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DB70AF" w:rsidRPr="00573DEB" w:rsidTr="00D377AB">
        <w:tc>
          <w:tcPr>
            <w:tcW w:w="4513" w:type="dxa"/>
            <w:tcBorders>
              <w:bottom w:val="single" w:sz="4" w:space="0" w:color="auto"/>
            </w:tcBorders>
            <w:tcMar>
              <w:bottom w:w="170" w:type="dxa"/>
            </w:tcMar>
          </w:tcPr>
          <w:p w:rsidR="00DB70AF" w:rsidRPr="00573DEB" w:rsidRDefault="00DB70AF" w:rsidP="004B4B73"/>
        </w:tc>
        <w:tc>
          <w:tcPr>
            <w:tcW w:w="4337" w:type="dxa"/>
            <w:tcBorders>
              <w:bottom w:val="single" w:sz="4" w:space="0" w:color="auto"/>
            </w:tcBorders>
            <w:tcMar>
              <w:left w:w="0" w:type="dxa"/>
              <w:right w:w="0" w:type="dxa"/>
            </w:tcMar>
          </w:tcPr>
          <w:p w:rsidR="00DB70AF" w:rsidRPr="00573DEB" w:rsidRDefault="00DB70AF" w:rsidP="004B4B73">
            <w:r w:rsidRPr="00573DEB">
              <w:rPr>
                <w:noProof/>
              </w:rPr>
              <w:drawing>
                <wp:inline distT="0" distB="0" distL="0" distR="0" wp14:anchorId="0693EF57" wp14:editId="745180DE">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DB70AF" w:rsidRPr="00573DEB" w:rsidRDefault="00DB70AF" w:rsidP="004B4B73">
            <w:pPr>
              <w:rPr>
                <w:b/>
                <w:sz w:val="40"/>
                <w:szCs w:val="40"/>
              </w:rPr>
            </w:pPr>
            <w:r w:rsidRPr="00573DEB">
              <w:rPr>
                <w:b/>
                <w:sz w:val="40"/>
                <w:szCs w:val="40"/>
              </w:rPr>
              <w:t>E</w:t>
            </w:r>
          </w:p>
        </w:tc>
      </w:tr>
      <w:tr w:rsidR="00DB70AF" w:rsidRPr="00573DEB" w:rsidTr="00DF7371">
        <w:tc>
          <w:tcPr>
            <w:tcW w:w="9356" w:type="dxa"/>
            <w:gridSpan w:val="3"/>
            <w:tcBorders>
              <w:top w:val="single" w:sz="4" w:space="0" w:color="auto"/>
            </w:tcBorders>
            <w:tcMar>
              <w:top w:w="170" w:type="dxa"/>
              <w:left w:w="0" w:type="dxa"/>
              <w:right w:w="0" w:type="dxa"/>
            </w:tcMar>
            <w:vAlign w:val="bottom"/>
          </w:tcPr>
          <w:p w:rsidR="00DB70AF" w:rsidRPr="00573DEB" w:rsidRDefault="00DB70AF" w:rsidP="00522F2E">
            <w:pPr>
              <w:widowControl/>
              <w:jc w:val="right"/>
              <w:rPr>
                <w:rFonts w:ascii="Arial Black" w:eastAsia="SimSun" w:hAnsi="Arial Black" w:cs="Arial"/>
                <w:caps/>
                <w:sz w:val="15"/>
                <w:szCs w:val="20"/>
                <w:lang w:eastAsia="zh-CN"/>
              </w:rPr>
            </w:pPr>
            <w:r w:rsidRPr="00573DEB">
              <w:rPr>
                <w:rFonts w:ascii="Arial Black" w:eastAsia="SimSun" w:hAnsi="Arial Black" w:cs="Arial"/>
                <w:caps/>
                <w:sz w:val="15"/>
                <w:szCs w:val="20"/>
                <w:lang w:eastAsia="zh-CN"/>
              </w:rPr>
              <w:t>CDIP/</w:t>
            </w:r>
            <w:r w:rsidR="00E03C3B" w:rsidRPr="00573DEB">
              <w:rPr>
                <w:rFonts w:ascii="Arial Black" w:eastAsia="SimSun" w:hAnsi="Arial Black" w:cs="Arial"/>
                <w:caps/>
                <w:sz w:val="15"/>
                <w:szCs w:val="20"/>
                <w:lang w:eastAsia="zh-CN"/>
              </w:rPr>
              <w:t>14</w:t>
            </w:r>
            <w:r w:rsidRPr="00573DEB">
              <w:rPr>
                <w:rFonts w:ascii="Arial Black" w:eastAsia="SimSun" w:hAnsi="Arial Black" w:cs="Arial"/>
                <w:caps/>
                <w:sz w:val="15"/>
                <w:szCs w:val="20"/>
                <w:lang w:eastAsia="zh-CN"/>
              </w:rPr>
              <w:t>/</w:t>
            </w:r>
            <w:bookmarkStart w:id="0" w:name="Code"/>
            <w:bookmarkEnd w:id="0"/>
            <w:r w:rsidRPr="00573DEB">
              <w:rPr>
                <w:rFonts w:ascii="Arial Black" w:eastAsia="SimSun" w:hAnsi="Arial Black" w:cs="Arial"/>
                <w:caps/>
                <w:sz w:val="15"/>
                <w:szCs w:val="20"/>
                <w:lang w:eastAsia="zh-CN"/>
              </w:rPr>
              <w:t>INF/</w:t>
            </w:r>
            <w:r w:rsidR="00522F2E">
              <w:rPr>
                <w:rFonts w:ascii="Arial Black" w:eastAsia="SimSun" w:hAnsi="Arial Black" w:cs="Arial"/>
                <w:caps/>
                <w:sz w:val="15"/>
                <w:szCs w:val="20"/>
                <w:lang w:eastAsia="zh-CN"/>
              </w:rPr>
              <w:t>6</w:t>
            </w:r>
            <w:r w:rsidR="004B4B73" w:rsidRPr="00573DEB">
              <w:rPr>
                <w:rFonts w:ascii="Arial Black" w:eastAsia="SimSun" w:hAnsi="Arial Black" w:cs="Arial"/>
                <w:caps/>
                <w:sz w:val="15"/>
                <w:szCs w:val="20"/>
                <w:lang w:eastAsia="zh-CN"/>
              </w:rPr>
              <w:t xml:space="preserve">  </w:t>
            </w:r>
          </w:p>
        </w:tc>
      </w:tr>
      <w:tr w:rsidR="00DB70AF" w:rsidRPr="00573DEB" w:rsidTr="00D377AB">
        <w:trPr>
          <w:trHeight w:hRule="exact" w:val="170"/>
        </w:trPr>
        <w:tc>
          <w:tcPr>
            <w:tcW w:w="9356" w:type="dxa"/>
            <w:gridSpan w:val="3"/>
            <w:noWrap/>
            <w:tcMar>
              <w:left w:w="0" w:type="dxa"/>
              <w:right w:w="0" w:type="dxa"/>
            </w:tcMar>
            <w:vAlign w:val="bottom"/>
          </w:tcPr>
          <w:p w:rsidR="00DB70AF" w:rsidRPr="00573DEB" w:rsidRDefault="00DB70AF" w:rsidP="004B4B73">
            <w:pPr>
              <w:widowControl/>
              <w:jc w:val="right"/>
              <w:rPr>
                <w:rFonts w:ascii="Arial Black" w:eastAsia="SimSun" w:hAnsi="Arial Black" w:cs="Arial"/>
                <w:caps/>
                <w:sz w:val="15"/>
                <w:szCs w:val="20"/>
                <w:lang w:eastAsia="zh-CN"/>
              </w:rPr>
            </w:pPr>
            <w:r w:rsidRPr="00573DEB">
              <w:rPr>
                <w:rFonts w:ascii="Arial Black" w:eastAsia="SimSun" w:hAnsi="Arial Black" w:cs="Arial"/>
                <w:caps/>
                <w:sz w:val="15"/>
                <w:szCs w:val="20"/>
                <w:lang w:eastAsia="zh-CN"/>
              </w:rPr>
              <w:t xml:space="preserve">ORIGINAL:  </w:t>
            </w:r>
            <w:bookmarkStart w:id="1" w:name="Original"/>
            <w:bookmarkEnd w:id="1"/>
            <w:r w:rsidRPr="00573DEB">
              <w:rPr>
                <w:rFonts w:ascii="Arial Black" w:eastAsia="SimSun" w:hAnsi="Arial Black" w:cs="Arial"/>
                <w:caps/>
                <w:sz w:val="15"/>
                <w:szCs w:val="20"/>
                <w:lang w:eastAsia="zh-CN"/>
              </w:rPr>
              <w:t>english</w:t>
            </w:r>
          </w:p>
        </w:tc>
      </w:tr>
      <w:tr w:rsidR="00DB70AF" w:rsidRPr="00573DEB" w:rsidTr="00D377AB">
        <w:trPr>
          <w:trHeight w:hRule="exact" w:val="198"/>
        </w:trPr>
        <w:tc>
          <w:tcPr>
            <w:tcW w:w="9356" w:type="dxa"/>
            <w:gridSpan w:val="3"/>
            <w:tcMar>
              <w:left w:w="0" w:type="dxa"/>
              <w:right w:w="0" w:type="dxa"/>
            </w:tcMar>
            <w:vAlign w:val="bottom"/>
          </w:tcPr>
          <w:p w:rsidR="00DB70AF" w:rsidRPr="00573DEB" w:rsidRDefault="00DB70AF" w:rsidP="00DA2C07">
            <w:pPr>
              <w:widowControl/>
              <w:jc w:val="right"/>
              <w:rPr>
                <w:rFonts w:ascii="Arial Black" w:eastAsia="SimSun" w:hAnsi="Arial Black" w:cs="Arial"/>
                <w:caps/>
                <w:sz w:val="15"/>
                <w:szCs w:val="20"/>
                <w:lang w:eastAsia="zh-CN"/>
              </w:rPr>
            </w:pPr>
            <w:r w:rsidRPr="00573DEB">
              <w:rPr>
                <w:rFonts w:ascii="Arial Black" w:eastAsia="SimSun" w:hAnsi="Arial Black" w:cs="Arial"/>
                <w:caps/>
                <w:sz w:val="15"/>
                <w:szCs w:val="20"/>
                <w:lang w:eastAsia="zh-CN"/>
              </w:rPr>
              <w:t xml:space="preserve">DATE: </w:t>
            </w:r>
            <w:bookmarkStart w:id="2" w:name="Date"/>
            <w:bookmarkEnd w:id="2"/>
            <w:r w:rsidR="003856EA" w:rsidRPr="00573DEB">
              <w:rPr>
                <w:rFonts w:ascii="Arial Black" w:eastAsia="SimSun" w:hAnsi="Arial Black" w:cs="Arial"/>
                <w:caps/>
                <w:sz w:val="15"/>
                <w:szCs w:val="20"/>
                <w:lang w:eastAsia="zh-CN"/>
              </w:rPr>
              <w:t xml:space="preserve"> </w:t>
            </w:r>
            <w:r w:rsidR="00B000C0" w:rsidRPr="00573DEB">
              <w:rPr>
                <w:rFonts w:ascii="Arial Black" w:eastAsia="SimSun" w:hAnsi="Arial Black" w:cs="Arial"/>
                <w:caps/>
                <w:sz w:val="15"/>
                <w:szCs w:val="20"/>
                <w:lang w:eastAsia="zh-CN"/>
              </w:rPr>
              <w:t xml:space="preserve">September </w:t>
            </w:r>
            <w:r w:rsidR="00DA2C07">
              <w:rPr>
                <w:rFonts w:ascii="Arial Black" w:eastAsia="SimSun" w:hAnsi="Arial Black" w:cs="Arial"/>
                <w:caps/>
                <w:sz w:val="15"/>
                <w:szCs w:val="20"/>
                <w:lang w:eastAsia="zh-CN"/>
              </w:rPr>
              <w:t>17</w:t>
            </w:r>
            <w:r w:rsidRPr="00573DEB">
              <w:rPr>
                <w:rFonts w:ascii="Arial Black" w:eastAsia="SimSun" w:hAnsi="Arial Black" w:cs="Arial"/>
                <w:caps/>
                <w:sz w:val="15"/>
                <w:szCs w:val="20"/>
                <w:lang w:eastAsia="zh-CN"/>
              </w:rPr>
              <w:t>, 2014</w:t>
            </w:r>
          </w:p>
        </w:tc>
      </w:tr>
    </w:tbl>
    <w:p w:rsidR="00DB70AF" w:rsidRPr="00573DEB" w:rsidRDefault="00DB70AF" w:rsidP="004B4B73"/>
    <w:p w:rsidR="00DB70AF" w:rsidRPr="00573DEB" w:rsidRDefault="00DB70AF" w:rsidP="004B4B73"/>
    <w:p w:rsidR="00DB70AF" w:rsidRPr="00573DEB" w:rsidRDefault="00DB70AF" w:rsidP="004B4B73"/>
    <w:p w:rsidR="00DB70AF" w:rsidRPr="00573DEB" w:rsidRDefault="00DB70AF" w:rsidP="004B4B73"/>
    <w:p w:rsidR="00DB70AF" w:rsidRPr="00573DEB" w:rsidRDefault="00DB70AF" w:rsidP="004B4B73"/>
    <w:p w:rsidR="00DB70AF" w:rsidRPr="00573DEB" w:rsidRDefault="00DB70AF" w:rsidP="004B4B73">
      <w:pPr>
        <w:widowControl/>
        <w:rPr>
          <w:rFonts w:eastAsia="SimSun" w:cs="Arial"/>
          <w:b/>
          <w:sz w:val="28"/>
          <w:szCs w:val="28"/>
          <w:lang w:eastAsia="zh-CN"/>
        </w:rPr>
      </w:pPr>
      <w:r w:rsidRPr="00573DEB">
        <w:rPr>
          <w:rFonts w:eastAsia="SimSun" w:cs="Arial"/>
          <w:b/>
          <w:sz w:val="28"/>
          <w:szCs w:val="28"/>
          <w:lang w:eastAsia="zh-CN"/>
        </w:rPr>
        <w:t>Committee on Development and Intellectual Property (CDIP)</w:t>
      </w:r>
    </w:p>
    <w:p w:rsidR="00DB70AF" w:rsidRPr="00573DEB" w:rsidRDefault="00DB70AF" w:rsidP="004B4B73"/>
    <w:p w:rsidR="00DB70AF" w:rsidRPr="00573DEB" w:rsidRDefault="00DB70AF" w:rsidP="004B4B73"/>
    <w:p w:rsidR="00DB70AF" w:rsidRPr="00573DEB" w:rsidRDefault="00E03C3B" w:rsidP="004B4B73">
      <w:pPr>
        <w:widowControl/>
        <w:rPr>
          <w:rFonts w:eastAsia="SimSun" w:cs="Arial"/>
          <w:b/>
          <w:sz w:val="24"/>
          <w:szCs w:val="24"/>
          <w:lang w:eastAsia="zh-CN"/>
        </w:rPr>
      </w:pPr>
      <w:r w:rsidRPr="00573DEB">
        <w:rPr>
          <w:rFonts w:eastAsia="SimSun" w:cs="Arial"/>
          <w:b/>
          <w:sz w:val="24"/>
          <w:szCs w:val="24"/>
          <w:lang w:eastAsia="zh-CN"/>
        </w:rPr>
        <w:t xml:space="preserve">Fourteenth </w:t>
      </w:r>
      <w:r w:rsidR="00DB70AF" w:rsidRPr="00573DEB">
        <w:rPr>
          <w:rFonts w:eastAsia="SimSun" w:cs="Arial"/>
          <w:b/>
          <w:sz w:val="24"/>
          <w:szCs w:val="24"/>
          <w:lang w:eastAsia="zh-CN"/>
        </w:rPr>
        <w:t>Session</w:t>
      </w:r>
    </w:p>
    <w:p w:rsidR="00DB70AF" w:rsidRPr="00573DEB" w:rsidRDefault="00DB70AF" w:rsidP="004B4B73">
      <w:pPr>
        <w:widowControl/>
        <w:rPr>
          <w:rFonts w:eastAsia="SimSun" w:cs="Arial"/>
          <w:b/>
          <w:sz w:val="24"/>
          <w:szCs w:val="24"/>
          <w:lang w:eastAsia="zh-CN"/>
        </w:rPr>
      </w:pPr>
      <w:r w:rsidRPr="00573DEB">
        <w:rPr>
          <w:rFonts w:eastAsia="SimSun" w:cs="Arial"/>
          <w:b/>
          <w:sz w:val="24"/>
          <w:szCs w:val="24"/>
          <w:lang w:eastAsia="zh-CN"/>
        </w:rPr>
        <w:t xml:space="preserve">Geneva, </w:t>
      </w:r>
      <w:r w:rsidR="00E03C3B" w:rsidRPr="00573DEB">
        <w:rPr>
          <w:rFonts w:eastAsia="SimSun" w:cs="Arial"/>
          <w:b/>
          <w:sz w:val="24"/>
          <w:szCs w:val="24"/>
          <w:lang w:eastAsia="zh-CN"/>
        </w:rPr>
        <w:t>November</w:t>
      </w:r>
      <w:r w:rsidRPr="00573DEB">
        <w:rPr>
          <w:rFonts w:eastAsia="SimSun" w:cs="Arial"/>
          <w:b/>
          <w:sz w:val="24"/>
          <w:szCs w:val="24"/>
          <w:lang w:eastAsia="zh-CN"/>
        </w:rPr>
        <w:t xml:space="preserve"> </w:t>
      </w:r>
      <w:r w:rsidR="00E03C3B" w:rsidRPr="00573DEB">
        <w:rPr>
          <w:rFonts w:eastAsia="SimSun" w:cs="Arial"/>
          <w:b/>
          <w:sz w:val="24"/>
          <w:szCs w:val="24"/>
          <w:lang w:eastAsia="zh-CN"/>
        </w:rPr>
        <w:t>10</w:t>
      </w:r>
      <w:r w:rsidRPr="00573DEB">
        <w:rPr>
          <w:rFonts w:eastAsia="SimSun" w:cs="Arial"/>
          <w:b/>
          <w:sz w:val="24"/>
          <w:szCs w:val="24"/>
          <w:lang w:eastAsia="zh-CN"/>
        </w:rPr>
        <w:t xml:space="preserve"> to </w:t>
      </w:r>
      <w:r w:rsidR="00E03C3B" w:rsidRPr="00573DEB">
        <w:rPr>
          <w:rFonts w:eastAsia="SimSun" w:cs="Arial"/>
          <w:b/>
          <w:sz w:val="24"/>
          <w:szCs w:val="24"/>
          <w:lang w:eastAsia="zh-CN"/>
        </w:rPr>
        <w:t>14</w:t>
      </w:r>
      <w:r w:rsidRPr="00573DEB">
        <w:rPr>
          <w:rFonts w:eastAsia="SimSun" w:cs="Arial"/>
          <w:b/>
          <w:sz w:val="24"/>
          <w:szCs w:val="24"/>
          <w:lang w:eastAsia="zh-CN"/>
        </w:rPr>
        <w:t>, 2014</w:t>
      </w:r>
    </w:p>
    <w:p w:rsidR="00DB70AF" w:rsidRPr="00573DEB" w:rsidRDefault="00DB70AF" w:rsidP="004B4B73"/>
    <w:p w:rsidR="00DB70AF" w:rsidRPr="00573DEB" w:rsidRDefault="00DB70AF" w:rsidP="004B4B73"/>
    <w:p w:rsidR="00DB70AF" w:rsidRPr="00573DEB" w:rsidRDefault="00DB70AF" w:rsidP="004B4B73"/>
    <w:p w:rsidR="00DB70AF" w:rsidRPr="00573DEB" w:rsidRDefault="00B000C0" w:rsidP="00BD1481">
      <w:pPr>
        <w:widowControl/>
        <w:rPr>
          <w:rFonts w:eastAsia="SimSun" w:cs="Arial"/>
          <w:caps/>
          <w:sz w:val="24"/>
          <w:szCs w:val="20"/>
          <w:lang w:eastAsia="zh-CN" w:bidi="th-TH"/>
        </w:rPr>
      </w:pPr>
      <w:bookmarkStart w:id="3" w:name="TitleOfDoc"/>
      <w:bookmarkEnd w:id="3"/>
      <w:r w:rsidRPr="00573DEB">
        <w:rPr>
          <w:rFonts w:eastAsia="SimSun" w:cs="Arial"/>
          <w:caps/>
          <w:sz w:val="24"/>
          <w:szCs w:val="20"/>
          <w:lang w:eastAsia="zh-CN" w:bidi="th-TH"/>
        </w:rPr>
        <w:t>Report on IP use in Brazil (2000-2011)</w:t>
      </w:r>
    </w:p>
    <w:p w:rsidR="00DB70AF" w:rsidRPr="00573DEB" w:rsidRDefault="00DB70AF" w:rsidP="004B4B73"/>
    <w:p w:rsidR="00B000C0" w:rsidRPr="00573DEB" w:rsidRDefault="003B3850" w:rsidP="004B4B73">
      <w:pPr>
        <w:rPr>
          <w:rFonts w:eastAsia="SimSun" w:cs="Arial"/>
          <w:i/>
          <w:szCs w:val="20"/>
          <w:lang w:eastAsia="zh-CN"/>
        </w:rPr>
      </w:pPr>
      <w:r w:rsidRPr="00573DEB">
        <w:rPr>
          <w:rFonts w:eastAsia="SimSun" w:cs="Arial"/>
          <w:i/>
          <w:szCs w:val="20"/>
          <w:lang w:eastAsia="zh-CN"/>
        </w:rPr>
        <w:t xml:space="preserve">prepared by </w:t>
      </w:r>
      <w:r w:rsidR="00B000C0" w:rsidRPr="00573DEB">
        <w:rPr>
          <w:rFonts w:eastAsia="SimSun" w:cs="Arial"/>
          <w:i/>
          <w:szCs w:val="20"/>
          <w:lang w:eastAsia="zh-CN"/>
        </w:rPr>
        <w:t>Mr</w:t>
      </w:r>
      <w:r w:rsidR="004B4B73" w:rsidRPr="00573DEB">
        <w:rPr>
          <w:rFonts w:eastAsia="SimSun" w:cs="Arial"/>
          <w:i/>
          <w:szCs w:val="20"/>
          <w:lang w:eastAsia="zh-CN"/>
        </w:rPr>
        <w:t xml:space="preserve">. </w:t>
      </w:r>
      <w:r w:rsidR="00B000C0" w:rsidRPr="00573DEB">
        <w:rPr>
          <w:rFonts w:eastAsia="SimSun" w:cs="Arial"/>
          <w:i/>
          <w:szCs w:val="20"/>
          <w:lang w:eastAsia="zh-CN"/>
        </w:rPr>
        <w:t xml:space="preserve">Sergio </w:t>
      </w:r>
      <w:proofErr w:type="spellStart"/>
      <w:r w:rsidR="00B000C0" w:rsidRPr="00573DEB">
        <w:rPr>
          <w:rFonts w:eastAsia="SimSun" w:cs="Arial"/>
          <w:i/>
          <w:szCs w:val="20"/>
          <w:lang w:eastAsia="zh-CN"/>
        </w:rPr>
        <w:t>Paulino</w:t>
      </w:r>
      <w:proofErr w:type="spellEnd"/>
      <w:r w:rsidR="00B000C0" w:rsidRPr="00573DEB">
        <w:rPr>
          <w:rFonts w:eastAsia="SimSun" w:cs="Arial"/>
          <w:i/>
          <w:szCs w:val="20"/>
          <w:lang w:eastAsia="zh-CN"/>
        </w:rPr>
        <w:t xml:space="preserve"> de </w:t>
      </w:r>
      <w:proofErr w:type="spellStart"/>
      <w:r w:rsidR="00B000C0" w:rsidRPr="00573DEB">
        <w:rPr>
          <w:rFonts w:eastAsia="SimSun" w:cs="Arial"/>
          <w:i/>
          <w:szCs w:val="20"/>
          <w:lang w:eastAsia="zh-CN"/>
        </w:rPr>
        <w:t>Carvalho</w:t>
      </w:r>
      <w:proofErr w:type="spellEnd"/>
      <w:r w:rsidR="00B000C0" w:rsidRPr="00573DEB">
        <w:rPr>
          <w:rFonts w:eastAsia="SimSun" w:cs="Arial"/>
          <w:i/>
          <w:szCs w:val="20"/>
          <w:lang w:eastAsia="zh-CN"/>
        </w:rPr>
        <w:t xml:space="preserve">, </w:t>
      </w:r>
      <w:proofErr w:type="spellStart"/>
      <w:r w:rsidR="00B000C0" w:rsidRPr="00573DEB">
        <w:rPr>
          <w:rFonts w:eastAsia="SimSun" w:cs="Arial"/>
          <w:i/>
          <w:szCs w:val="20"/>
          <w:lang w:eastAsia="zh-CN"/>
        </w:rPr>
        <w:t>Instituto</w:t>
      </w:r>
      <w:proofErr w:type="spellEnd"/>
      <w:r w:rsidR="00B000C0" w:rsidRPr="00573DEB">
        <w:rPr>
          <w:rFonts w:eastAsia="SimSun" w:cs="Arial"/>
          <w:i/>
          <w:szCs w:val="20"/>
          <w:lang w:eastAsia="zh-CN"/>
        </w:rPr>
        <w:t xml:space="preserve"> </w:t>
      </w:r>
      <w:proofErr w:type="spellStart"/>
      <w:r w:rsidR="00B000C0" w:rsidRPr="00573DEB">
        <w:rPr>
          <w:rFonts w:eastAsia="SimSun" w:cs="Arial"/>
          <w:i/>
          <w:szCs w:val="20"/>
          <w:lang w:eastAsia="zh-CN"/>
        </w:rPr>
        <w:t>Nacional</w:t>
      </w:r>
      <w:proofErr w:type="spellEnd"/>
      <w:r w:rsidR="00B000C0" w:rsidRPr="00573DEB">
        <w:rPr>
          <w:rFonts w:eastAsia="SimSun" w:cs="Arial"/>
          <w:i/>
          <w:szCs w:val="20"/>
          <w:lang w:eastAsia="zh-CN"/>
        </w:rPr>
        <w:t xml:space="preserve"> d</w:t>
      </w:r>
      <w:r w:rsidR="00F008A7" w:rsidRPr="00573DEB">
        <w:rPr>
          <w:rFonts w:eastAsia="SimSun" w:cs="Arial"/>
          <w:i/>
          <w:szCs w:val="20"/>
          <w:lang w:eastAsia="zh-CN"/>
        </w:rPr>
        <w:t>a</w:t>
      </w:r>
      <w:r w:rsidR="00B000C0" w:rsidRPr="00573DEB">
        <w:rPr>
          <w:rFonts w:eastAsia="SimSun" w:cs="Arial"/>
          <w:i/>
          <w:szCs w:val="20"/>
          <w:lang w:eastAsia="zh-CN"/>
        </w:rPr>
        <w:t xml:space="preserve"> </w:t>
      </w:r>
      <w:proofErr w:type="spellStart"/>
      <w:r w:rsidR="00B000C0" w:rsidRPr="00573DEB">
        <w:rPr>
          <w:rFonts w:eastAsia="SimSun" w:cs="Arial"/>
          <w:i/>
          <w:szCs w:val="20"/>
          <w:lang w:eastAsia="zh-CN"/>
        </w:rPr>
        <w:t>Proprieda</w:t>
      </w:r>
      <w:r w:rsidR="00F008A7" w:rsidRPr="00573DEB">
        <w:rPr>
          <w:rFonts w:eastAsia="SimSun" w:cs="Arial"/>
          <w:i/>
          <w:szCs w:val="20"/>
          <w:lang w:eastAsia="zh-CN"/>
        </w:rPr>
        <w:t>de</w:t>
      </w:r>
      <w:proofErr w:type="spellEnd"/>
      <w:r w:rsidR="00F008A7" w:rsidRPr="00573DEB">
        <w:rPr>
          <w:rFonts w:eastAsia="SimSun" w:cs="Arial"/>
          <w:i/>
          <w:szCs w:val="20"/>
          <w:lang w:eastAsia="zh-CN"/>
        </w:rPr>
        <w:t xml:space="preserve"> </w:t>
      </w:r>
      <w:r w:rsidR="00B000C0" w:rsidRPr="00573DEB">
        <w:rPr>
          <w:rFonts w:eastAsia="SimSun" w:cs="Arial"/>
          <w:i/>
          <w:szCs w:val="20"/>
          <w:lang w:eastAsia="zh-CN"/>
        </w:rPr>
        <w:t>Industrial (INPI), Brazil, Ms</w:t>
      </w:r>
      <w:r w:rsidR="004B4B73" w:rsidRPr="00573DEB">
        <w:rPr>
          <w:rFonts w:eastAsia="SimSun" w:cs="Arial"/>
          <w:i/>
          <w:szCs w:val="20"/>
          <w:lang w:eastAsia="zh-CN"/>
        </w:rPr>
        <w:t xml:space="preserve">. </w:t>
      </w:r>
      <w:r w:rsidR="00B000C0" w:rsidRPr="00573DEB">
        <w:rPr>
          <w:rFonts w:eastAsia="SimSun" w:cs="Arial"/>
          <w:i/>
          <w:szCs w:val="20"/>
          <w:lang w:eastAsia="zh-CN"/>
        </w:rPr>
        <w:t>Marina Filgueiras Jorge, INPI, Brazil, Ms</w:t>
      </w:r>
      <w:r w:rsidR="004B4B73" w:rsidRPr="00573DEB">
        <w:rPr>
          <w:rFonts w:eastAsia="SimSun" w:cs="Arial"/>
          <w:i/>
          <w:szCs w:val="20"/>
          <w:lang w:eastAsia="zh-CN"/>
        </w:rPr>
        <w:t xml:space="preserve">. </w:t>
      </w:r>
      <w:r w:rsidR="00B000C0" w:rsidRPr="00573DEB">
        <w:rPr>
          <w:rFonts w:eastAsia="SimSun" w:cs="Arial"/>
          <w:i/>
          <w:szCs w:val="20"/>
          <w:lang w:eastAsia="zh-CN"/>
        </w:rPr>
        <w:t xml:space="preserve">Vera </w:t>
      </w:r>
      <w:proofErr w:type="spellStart"/>
      <w:r w:rsidR="00B000C0" w:rsidRPr="00573DEB">
        <w:rPr>
          <w:rFonts w:eastAsia="SimSun" w:cs="Arial"/>
          <w:i/>
          <w:szCs w:val="20"/>
          <w:lang w:eastAsia="zh-CN"/>
        </w:rPr>
        <w:t>Pinheiro</w:t>
      </w:r>
      <w:proofErr w:type="spellEnd"/>
      <w:r w:rsidR="00B000C0" w:rsidRPr="00573DEB">
        <w:rPr>
          <w:rFonts w:eastAsia="SimSun" w:cs="Arial"/>
          <w:i/>
          <w:szCs w:val="20"/>
          <w:lang w:eastAsia="zh-CN"/>
        </w:rPr>
        <w:t>, INPI, Brazil, Mr</w:t>
      </w:r>
      <w:r w:rsidR="004B4B73" w:rsidRPr="00573DEB">
        <w:rPr>
          <w:rFonts w:eastAsia="SimSun" w:cs="Arial"/>
          <w:i/>
          <w:szCs w:val="20"/>
          <w:lang w:eastAsia="zh-CN"/>
        </w:rPr>
        <w:t>.</w:t>
      </w:r>
      <w:r w:rsidR="00913E8C">
        <w:rPr>
          <w:rFonts w:eastAsia="SimSun" w:cs="Arial"/>
          <w:i/>
          <w:szCs w:val="20"/>
          <w:lang w:eastAsia="zh-CN"/>
        </w:rPr>
        <w:t> </w:t>
      </w:r>
      <w:r w:rsidR="00B000C0" w:rsidRPr="00573DEB">
        <w:rPr>
          <w:rFonts w:eastAsia="SimSun" w:cs="Arial"/>
          <w:i/>
          <w:szCs w:val="20"/>
          <w:lang w:eastAsia="zh-CN"/>
        </w:rPr>
        <w:t>Felipe Lopes, INPI, Brazil, Mr</w:t>
      </w:r>
      <w:r w:rsidR="004B4B73" w:rsidRPr="00573DEB">
        <w:rPr>
          <w:rFonts w:eastAsia="SimSun" w:cs="Arial"/>
          <w:i/>
          <w:szCs w:val="20"/>
          <w:lang w:eastAsia="zh-CN"/>
        </w:rPr>
        <w:t xml:space="preserve">. </w:t>
      </w:r>
      <w:proofErr w:type="spellStart"/>
      <w:r w:rsidR="00B000C0" w:rsidRPr="00573DEB">
        <w:rPr>
          <w:rFonts w:eastAsia="SimSun" w:cs="Arial"/>
          <w:i/>
          <w:szCs w:val="20"/>
          <w:lang w:eastAsia="zh-CN"/>
        </w:rPr>
        <w:t>Celso</w:t>
      </w:r>
      <w:proofErr w:type="spellEnd"/>
      <w:r w:rsidR="00B000C0" w:rsidRPr="00573DEB">
        <w:rPr>
          <w:rFonts w:eastAsia="SimSun" w:cs="Arial"/>
          <w:i/>
          <w:szCs w:val="20"/>
          <w:lang w:eastAsia="zh-CN"/>
        </w:rPr>
        <w:t xml:space="preserve"> </w:t>
      </w:r>
      <w:proofErr w:type="spellStart"/>
      <w:r w:rsidR="00B000C0" w:rsidRPr="00573DEB">
        <w:rPr>
          <w:rFonts w:eastAsia="SimSun" w:cs="Arial"/>
          <w:i/>
          <w:szCs w:val="20"/>
          <w:lang w:eastAsia="zh-CN"/>
        </w:rPr>
        <w:t>Sampaio</w:t>
      </w:r>
      <w:proofErr w:type="spellEnd"/>
      <w:r w:rsidR="00B000C0" w:rsidRPr="00573DEB">
        <w:rPr>
          <w:rFonts w:eastAsia="SimSun" w:cs="Arial"/>
          <w:i/>
          <w:szCs w:val="20"/>
          <w:lang w:eastAsia="zh-CN"/>
        </w:rPr>
        <w:t>, INPI, Brazil, and Mr</w:t>
      </w:r>
      <w:r w:rsidR="004B4B73" w:rsidRPr="00573DEB">
        <w:rPr>
          <w:rFonts w:eastAsia="SimSun" w:cs="Arial"/>
          <w:i/>
          <w:szCs w:val="20"/>
          <w:lang w:eastAsia="zh-CN"/>
        </w:rPr>
        <w:t>.</w:t>
      </w:r>
      <w:r w:rsidR="00AE4490">
        <w:rPr>
          <w:rFonts w:eastAsia="SimSun" w:cs="Arial"/>
          <w:i/>
          <w:szCs w:val="20"/>
          <w:lang w:eastAsia="zh-CN"/>
        </w:rPr>
        <w:t xml:space="preserve"> </w:t>
      </w:r>
      <w:r w:rsidR="00B000C0" w:rsidRPr="00573DEB">
        <w:rPr>
          <w:rFonts w:eastAsia="SimSun" w:cs="Arial"/>
          <w:i/>
          <w:szCs w:val="20"/>
          <w:lang w:eastAsia="zh-CN"/>
        </w:rPr>
        <w:t xml:space="preserve">Leonardo Ribeiro, </w:t>
      </w:r>
      <w:proofErr w:type="spellStart"/>
      <w:r w:rsidR="00B000C0" w:rsidRPr="00573DEB">
        <w:rPr>
          <w:rFonts w:eastAsia="SimSun" w:cs="Arial"/>
          <w:i/>
          <w:szCs w:val="20"/>
          <w:lang w:eastAsia="zh-CN"/>
        </w:rPr>
        <w:t>Instituto</w:t>
      </w:r>
      <w:proofErr w:type="spellEnd"/>
      <w:r w:rsidR="00B000C0" w:rsidRPr="00573DEB">
        <w:rPr>
          <w:rFonts w:eastAsia="SimSun" w:cs="Arial"/>
          <w:i/>
          <w:szCs w:val="20"/>
          <w:lang w:eastAsia="zh-CN"/>
        </w:rPr>
        <w:t xml:space="preserve"> </w:t>
      </w:r>
      <w:proofErr w:type="spellStart"/>
      <w:r w:rsidR="00B000C0" w:rsidRPr="00573DEB">
        <w:rPr>
          <w:rFonts w:eastAsia="SimSun" w:cs="Arial"/>
          <w:i/>
          <w:szCs w:val="20"/>
          <w:lang w:eastAsia="zh-CN"/>
        </w:rPr>
        <w:t>Nacional</w:t>
      </w:r>
      <w:proofErr w:type="spellEnd"/>
      <w:r w:rsidR="00B000C0" w:rsidRPr="00573DEB">
        <w:rPr>
          <w:rFonts w:eastAsia="SimSun" w:cs="Arial"/>
          <w:i/>
          <w:szCs w:val="20"/>
          <w:lang w:eastAsia="zh-CN"/>
        </w:rPr>
        <w:t xml:space="preserve"> de </w:t>
      </w:r>
      <w:proofErr w:type="spellStart"/>
      <w:r w:rsidR="00B000C0" w:rsidRPr="00573DEB">
        <w:rPr>
          <w:rFonts w:eastAsia="SimSun" w:cs="Arial"/>
          <w:i/>
          <w:szCs w:val="20"/>
          <w:lang w:eastAsia="zh-CN"/>
        </w:rPr>
        <w:t>Metrologia</w:t>
      </w:r>
      <w:proofErr w:type="spellEnd"/>
      <w:r w:rsidR="00B000C0" w:rsidRPr="00573DEB">
        <w:rPr>
          <w:rFonts w:eastAsia="SimSun" w:cs="Arial"/>
          <w:i/>
          <w:szCs w:val="20"/>
          <w:lang w:eastAsia="zh-CN"/>
        </w:rPr>
        <w:t xml:space="preserve">, </w:t>
      </w:r>
      <w:proofErr w:type="spellStart"/>
      <w:r w:rsidR="00B000C0" w:rsidRPr="00573DEB">
        <w:rPr>
          <w:rFonts w:eastAsia="SimSun" w:cs="Arial"/>
          <w:i/>
          <w:szCs w:val="20"/>
          <w:lang w:eastAsia="zh-CN"/>
        </w:rPr>
        <w:t>Qualidade</w:t>
      </w:r>
      <w:proofErr w:type="spellEnd"/>
      <w:r w:rsidR="00B000C0" w:rsidRPr="00573DEB">
        <w:rPr>
          <w:rFonts w:eastAsia="SimSun" w:cs="Arial"/>
          <w:i/>
          <w:szCs w:val="20"/>
          <w:lang w:eastAsia="zh-CN"/>
        </w:rPr>
        <w:t xml:space="preserve"> e </w:t>
      </w:r>
      <w:proofErr w:type="spellStart"/>
      <w:r w:rsidR="00B000C0" w:rsidRPr="00573DEB">
        <w:rPr>
          <w:rFonts w:eastAsia="SimSun" w:cs="Arial"/>
          <w:i/>
          <w:szCs w:val="20"/>
          <w:lang w:eastAsia="zh-CN"/>
        </w:rPr>
        <w:t>Tecnologia</w:t>
      </w:r>
      <w:proofErr w:type="spellEnd"/>
      <w:r w:rsidR="00B000C0" w:rsidRPr="00573DEB">
        <w:rPr>
          <w:rFonts w:eastAsia="SimSun" w:cs="Arial"/>
          <w:i/>
          <w:szCs w:val="20"/>
          <w:lang w:eastAsia="zh-CN"/>
        </w:rPr>
        <w:t xml:space="preserve"> (INMETRO), Brazil</w:t>
      </w:r>
      <w:r w:rsidR="005437D4">
        <w:rPr>
          <w:rFonts w:eastAsia="SimSun" w:cs="Arial"/>
          <w:i/>
          <w:szCs w:val="20"/>
          <w:lang w:eastAsia="zh-CN"/>
        </w:rPr>
        <w:br/>
      </w:r>
      <w:r w:rsidR="005437D4" w:rsidRPr="00573DEB">
        <w:rPr>
          <w:rFonts w:eastAsia="SimSun" w:cs="Arial"/>
          <w:i/>
          <w:szCs w:val="20"/>
          <w:lang w:eastAsia="zh-CN"/>
        </w:rPr>
        <w:t>in cooperation with</w:t>
      </w:r>
      <w:r w:rsidR="005437D4">
        <w:rPr>
          <w:rFonts w:eastAsia="SimSun" w:cs="Arial"/>
          <w:i/>
          <w:szCs w:val="20"/>
          <w:lang w:eastAsia="zh-CN"/>
        </w:rPr>
        <w:t xml:space="preserve"> </w:t>
      </w:r>
      <w:r w:rsidR="005437D4" w:rsidRPr="00573DEB">
        <w:rPr>
          <w:rFonts w:eastAsia="SimSun" w:cs="Arial"/>
          <w:i/>
          <w:szCs w:val="20"/>
          <w:lang w:eastAsia="zh-CN"/>
        </w:rPr>
        <w:t>the Secretariat</w:t>
      </w:r>
      <w:r w:rsidR="00AE4490">
        <w:rPr>
          <w:rFonts w:eastAsia="SimSun" w:cs="Arial"/>
          <w:i/>
          <w:szCs w:val="20"/>
          <w:lang w:eastAsia="zh-CN"/>
        </w:rPr>
        <w:t>.</w:t>
      </w:r>
    </w:p>
    <w:p w:rsidR="007C6C7E" w:rsidRPr="00573DEB" w:rsidRDefault="007C6C7E" w:rsidP="004B4B73"/>
    <w:p w:rsidR="00DB70AF" w:rsidRPr="00573DEB" w:rsidRDefault="00DB70AF" w:rsidP="004B4B73"/>
    <w:p w:rsidR="00DB70AF" w:rsidRPr="00573DEB" w:rsidRDefault="00DB70AF" w:rsidP="004B4B73">
      <w:r w:rsidRPr="00573DEB">
        <w:rPr>
          <w:rFonts w:eastAsia="Calibri"/>
          <w:color w:val="000000"/>
          <w:sz w:val="24"/>
          <w:szCs w:val="24"/>
        </w:rPr>
        <w:t>1.</w:t>
      </w:r>
      <w:r w:rsidRPr="00573DEB">
        <w:rPr>
          <w:rFonts w:eastAsia="Calibri"/>
          <w:color w:val="000000"/>
          <w:sz w:val="24"/>
          <w:szCs w:val="24"/>
        </w:rPr>
        <w:tab/>
      </w:r>
      <w:r w:rsidR="003B3850" w:rsidRPr="00573DEB">
        <w:rPr>
          <w:rFonts w:eastAsia="Calibri"/>
          <w:color w:val="000000"/>
        </w:rPr>
        <w:t xml:space="preserve">The Annex to this document contains a </w:t>
      </w:r>
      <w:r w:rsidR="003B3850" w:rsidRPr="00573DEB">
        <w:t xml:space="preserve">Study on the </w:t>
      </w:r>
      <w:r w:rsidR="00A81353" w:rsidRPr="00573DEB">
        <w:t>U</w:t>
      </w:r>
      <w:r w:rsidR="003B3850" w:rsidRPr="00573DEB">
        <w:t xml:space="preserve">se of </w:t>
      </w:r>
      <w:r w:rsidR="00A81353" w:rsidRPr="00573DEB">
        <w:t xml:space="preserve">Intellectual Property </w:t>
      </w:r>
      <w:r w:rsidR="00F008A7" w:rsidRPr="00573DEB">
        <w:t xml:space="preserve">in </w:t>
      </w:r>
      <w:r w:rsidR="00A81353" w:rsidRPr="00573DEB">
        <w:t xml:space="preserve">Brazil </w:t>
      </w:r>
      <w:r w:rsidR="003B3850" w:rsidRPr="00573DEB">
        <w:t>prepared under the Project on Intellectual Property and Socio-Economic Development (CDIP/5/7 Rev.)</w:t>
      </w:r>
    </w:p>
    <w:p w:rsidR="00DB70AF" w:rsidRPr="00573DEB" w:rsidRDefault="00DB70AF" w:rsidP="004B4B73"/>
    <w:p w:rsidR="00DB70AF" w:rsidRPr="0030177A" w:rsidRDefault="00DB70AF" w:rsidP="001C045D">
      <w:pPr>
        <w:widowControl/>
        <w:tabs>
          <w:tab w:val="left" w:pos="567"/>
          <w:tab w:val="left" w:pos="1134"/>
          <w:tab w:val="left" w:pos="6120"/>
        </w:tabs>
        <w:ind w:left="5533"/>
        <w:rPr>
          <w:i/>
        </w:rPr>
      </w:pPr>
      <w:r w:rsidRPr="0030177A">
        <w:rPr>
          <w:i/>
        </w:rPr>
        <w:t>2.</w:t>
      </w:r>
      <w:r w:rsidRPr="0030177A">
        <w:rPr>
          <w:i/>
        </w:rPr>
        <w:tab/>
      </w:r>
      <w:r w:rsidRPr="001C045D">
        <w:rPr>
          <w:rFonts w:eastAsia="Times New Roman" w:cs="Arial"/>
          <w:i/>
        </w:rPr>
        <w:t>The</w:t>
      </w:r>
      <w:r w:rsidRPr="0030177A">
        <w:rPr>
          <w:i/>
        </w:rPr>
        <w:t xml:space="preserve"> CDIP is </w:t>
      </w:r>
      <w:r w:rsidRPr="0030177A">
        <w:rPr>
          <w:rFonts w:eastAsia="Times New Roman" w:cs="Arial"/>
          <w:i/>
          <w:szCs w:val="24"/>
          <w:lang w:bidi="th-TH"/>
        </w:rPr>
        <w:t>invited</w:t>
      </w:r>
      <w:r w:rsidRPr="0030177A">
        <w:rPr>
          <w:i/>
        </w:rPr>
        <w:t xml:space="preserve"> to take note of the information contained in the Annex to this document.</w:t>
      </w:r>
    </w:p>
    <w:p w:rsidR="00DB70AF" w:rsidRPr="0030177A" w:rsidRDefault="00DB70AF" w:rsidP="004B4B73">
      <w:pPr>
        <w:rPr>
          <w:i/>
        </w:rPr>
      </w:pPr>
    </w:p>
    <w:p w:rsidR="00DB70AF" w:rsidRPr="00573DEB" w:rsidRDefault="00DB70AF" w:rsidP="004B4B73"/>
    <w:p w:rsidR="00DB70AF" w:rsidRPr="00573DEB" w:rsidRDefault="00DB70AF" w:rsidP="004B4B73"/>
    <w:p w:rsidR="006B5AE7" w:rsidRDefault="00DB70AF" w:rsidP="0030177A">
      <w:pPr>
        <w:pStyle w:val="Endofdocument-Annex"/>
        <w:widowControl/>
      </w:pPr>
      <w:r w:rsidRPr="00573DEB">
        <w:t>[</w:t>
      </w:r>
      <w:r w:rsidRPr="0030177A">
        <w:rPr>
          <w:rFonts w:eastAsia="Times New Roman" w:cs="Arial"/>
          <w:szCs w:val="24"/>
          <w:lang w:bidi="th-TH"/>
        </w:rPr>
        <w:t>Annex</w:t>
      </w:r>
      <w:r w:rsidRPr="00573DEB">
        <w:t xml:space="preserve"> follows]</w:t>
      </w:r>
    </w:p>
    <w:p w:rsidR="0075722A" w:rsidRDefault="0075722A" w:rsidP="0075722A">
      <w:pPr>
        <w:pStyle w:val="Endofdocument-Annex"/>
      </w:pPr>
    </w:p>
    <w:p w:rsidR="0075722A" w:rsidRDefault="0075722A" w:rsidP="00B447C7">
      <w:pPr>
        <w:jc w:val="right"/>
        <w:sectPr w:rsidR="0075722A" w:rsidSect="00913E8C">
          <w:headerReference w:type="default" r:id="rId10"/>
          <w:footerReference w:type="default" r:id="rId11"/>
          <w:pgSz w:w="11906" w:h="16838"/>
          <w:pgMar w:top="567" w:right="1440" w:bottom="1418" w:left="1440" w:header="709" w:footer="709" w:gutter="0"/>
          <w:cols w:space="720"/>
          <w:titlePg/>
          <w:docGrid w:linePitch="360"/>
        </w:sectPr>
      </w:pPr>
    </w:p>
    <w:p w:rsidR="00B449B9" w:rsidRPr="00B449B9" w:rsidRDefault="00B449B9" w:rsidP="00B449B9">
      <w:pPr>
        <w:pStyle w:val="Title"/>
        <w:jc w:val="left"/>
        <w:rPr>
          <w:sz w:val="22"/>
          <w:szCs w:val="22"/>
        </w:rPr>
      </w:pPr>
      <w:r w:rsidRPr="00B449B9">
        <w:rPr>
          <w:sz w:val="22"/>
          <w:szCs w:val="22"/>
        </w:rPr>
        <w:lastRenderedPageBreak/>
        <w:t>REPORT ON IP USE IN BRAZIL</w:t>
      </w:r>
    </w:p>
    <w:p w:rsidR="00B000C0" w:rsidRDefault="00B000C0" w:rsidP="004B4B73"/>
    <w:p w:rsidR="006B5AE7" w:rsidRPr="00DA2C07" w:rsidRDefault="00060286" w:rsidP="00DA2C07">
      <w:pPr>
        <w:pStyle w:val="Heading1"/>
        <w:ind w:left="0" w:firstLine="0"/>
        <w:rPr>
          <w:sz w:val="22"/>
          <w:szCs w:val="22"/>
        </w:rPr>
      </w:pPr>
      <w:r>
        <w:rPr>
          <w:sz w:val="22"/>
          <w:szCs w:val="22"/>
        </w:rPr>
        <w:t>EXECUTIVE SUMMARY</w:t>
      </w:r>
    </w:p>
    <w:p w:rsidR="00B000C0" w:rsidRDefault="00B000C0" w:rsidP="00DA2C07"/>
    <w:p w:rsidR="00913E8C" w:rsidRPr="00DA2C07" w:rsidRDefault="00913E8C" w:rsidP="00DA2C07"/>
    <w:p w:rsidR="00B000C0" w:rsidRPr="00DA2C07" w:rsidRDefault="00B000C0" w:rsidP="00DA2C07">
      <w:r w:rsidRPr="00DA2C07">
        <w:t>Brazil has made a remarkable effort in order to align its policies and structure to promote innovation in relation to developed countries</w:t>
      </w:r>
      <w:r w:rsidR="004B4B73" w:rsidRPr="00DA2C07">
        <w:t xml:space="preserve">.  </w:t>
      </w:r>
      <w:r w:rsidRPr="00DA2C07">
        <w:t>The last twenty years were characterized by effective improvements of governance and increased efficiency of the integration between policies, instruments and agencies</w:t>
      </w:r>
      <w:r w:rsidR="004B4B73" w:rsidRPr="00DA2C07">
        <w:t xml:space="preserve">.  </w:t>
      </w:r>
      <w:r w:rsidRPr="00DA2C07">
        <w:t xml:space="preserve">In this sense, the legal framework of the system to protect intellectual property in Brazil was changed to incorporate the Final Act of the Uruguay Round of Multilateral Trade Negotiations of </w:t>
      </w:r>
      <w:r w:rsidRPr="00DA2C07">
        <w:rPr>
          <w:color w:val="222222"/>
        </w:rPr>
        <w:t>the General Agreement on Tariffs and Trade (GATT),</w:t>
      </w:r>
      <w:r w:rsidRPr="00DA2C07">
        <w:t xml:space="preserve"> including the Agreement on Trade-Related Aspects of Intellectual Property Rights (TRIPS Agreement)</w:t>
      </w:r>
      <w:r w:rsidR="004B4B73" w:rsidRPr="00DA2C07">
        <w:t xml:space="preserve">.  </w:t>
      </w:r>
      <w:r w:rsidRPr="00DA2C07">
        <w:t>The most significant changes were related to the scope of the protection, which was expanded to all areas of knowledge</w:t>
      </w:r>
      <w:r w:rsidR="004B4B73" w:rsidRPr="00DA2C07">
        <w:t xml:space="preserve">.  </w:t>
      </w:r>
      <w:r w:rsidRPr="00DA2C07">
        <w:t>As a result of TRIPS (Article 27), the new Industrial Property Law (Law No</w:t>
      </w:r>
      <w:r w:rsidR="004B4B73" w:rsidRPr="00DA2C07">
        <w:t xml:space="preserve">. </w:t>
      </w:r>
      <w:r w:rsidRPr="00DA2C07">
        <w:t>9.279/96) recognized the patenting of “substances, materials or products obtained by chemical means or processes, and alimentary or chemical-pharmaceutical substances, materials, mixtures or products, and medications of any kind, as well as the respective processes for obtaining or modifying them”;</w:t>
      </w:r>
      <w:r w:rsidRPr="00DA2C07">
        <w:rPr>
          <w:color w:val="548DD4"/>
        </w:rPr>
        <w:t xml:space="preserve"> </w:t>
      </w:r>
      <w:r w:rsidRPr="00DA2C07">
        <w:t>however it was opted for sui generis protection for plant varieties and species of microorganisms</w:t>
      </w:r>
      <w:r w:rsidR="004B4B73" w:rsidRPr="00DA2C07">
        <w:t xml:space="preserve">.  </w:t>
      </w:r>
    </w:p>
    <w:p w:rsidR="00B000C0" w:rsidRPr="00DA2C07" w:rsidRDefault="00B000C0" w:rsidP="00DA2C07"/>
    <w:p w:rsidR="00B000C0" w:rsidRPr="00DA2C07" w:rsidRDefault="00B000C0" w:rsidP="00DA2C07">
      <w:r w:rsidRPr="00DA2C07">
        <w:t>The data presented in this report provides evidences that Brazil is becoming a more mature innovation system</w:t>
      </w:r>
      <w:r w:rsidR="004B4B73" w:rsidRPr="00DA2C07">
        <w:t xml:space="preserve">.  </w:t>
      </w:r>
      <w:r w:rsidRPr="00DA2C07">
        <w:t>The smooth fall of utility model applications from 2000 to 2011 (7%) and the rapid growth of patent applications underline such trend</w:t>
      </w:r>
      <w:r w:rsidR="004B4B73" w:rsidRPr="00DA2C07">
        <w:t xml:space="preserve">.  </w:t>
      </w:r>
      <w:r w:rsidRPr="00DA2C07">
        <w:t>In this period, patent applications increased 63%, totaling more than 28,000 in 2011</w:t>
      </w:r>
      <w:r w:rsidR="004B4B73" w:rsidRPr="00DA2C07">
        <w:t xml:space="preserve">.  </w:t>
      </w:r>
      <w:r w:rsidRPr="00DA2C07">
        <w:t xml:space="preserve">Moreover, </w:t>
      </w:r>
      <w:r w:rsidRPr="00DA2C07">
        <w:rPr>
          <w:noProof/>
        </w:rPr>
        <w:t xml:space="preserve">the patent applications filed by residents (99% directly with INPI), </w:t>
      </w:r>
      <w:r w:rsidRPr="00DA2C07">
        <w:t>have grown 46%, from around 3,200 per year in 2000 to around 4,700 in 2011</w:t>
      </w:r>
      <w:r w:rsidR="004B4B73" w:rsidRPr="00DA2C07">
        <w:t xml:space="preserve">.  </w:t>
      </w:r>
      <w:r w:rsidRPr="00DA2C07">
        <w:rPr>
          <w:noProof/>
        </w:rPr>
        <w:t xml:space="preserve">It is also of notice the increase of PCT </w:t>
      </w:r>
      <w:r w:rsidRPr="00DA2C07">
        <w:t xml:space="preserve">applications </w:t>
      </w:r>
      <w:r w:rsidRPr="00DA2C07">
        <w:rPr>
          <w:noProof/>
        </w:rPr>
        <w:t>from residents since 2009, the year INPI started to operate as ISA-IPEA</w:t>
      </w:r>
      <w:r w:rsidR="004B4B73" w:rsidRPr="00DA2C07">
        <w:rPr>
          <w:noProof/>
        </w:rPr>
        <w:t xml:space="preserve">.  </w:t>
      </w:r>
      <w:r w:rsidRPr="00DA2C07">
        <w:t>The data regarding patent applications by country of origin shows that the United States represents around 30% of the patents, followed by Brazil (16%), Germany (10%) and Japan (9%)</w:t>
      </w:r>
      <w:r w:rsidR="004B4B73" w:rsidRPr="00DA2C07">
        <w:t xml:space="preserve">.  </w:t>
      </w:r>
      <w:r w:rsidRPr="00DA2C07">
        <w:t>Applications from France and Switzerland are also relevant, with around 5% each</w:t>
      </w:r>
      <w:r w:rsidR="004B4B73" w:rsidRPr="00DA2C07">
        <w:t xml:space="preserve">.  </w:t>
      </w:r>
      <w:r w:rsidRPr="00DA2C07">
        <w:t>In the period, Japan and China stand out as countries that showed a significant growth of patent applications.</w:t>
      </w:r>
    </w:p>
    <w:p w:rsidR="00B000C0" w:rsidRPr="00DA2C07" w:rsidRDefault="00B000C0" w:rsidP="00DA2C07"/>
    <w:p w:rsidR="00B000C0" w:rsidRPr="00DA2C07" w:rsidRDefault="00B000C0" w:rsidP="00DA2C07">
      <w:r w:rsidRPr="00DA2C07">
        <w:t>Regarding the distribution among technological sectors, there were no relevant changes during the period, which continues to be majorly constituted by non-resident applications</w:t>
      </w:r>
      <w:r w:rsidR="004B4B73" w:rsidRPr="00DA2C07">
        <w:t xml:space="preserve">.  </w:t>
      </w:r>
      <w:r w:rsidRPr="00DA2C07">
        <w:t xml:space="preserve">The chemistry sector accounted for the highest share of total applications </w:t>
      </w:r>
      <w:r w:rsidR="00334CC6" w:rsidRPr="00DA2C07">
        <w:t>(</w:t>
      </w:r>
      <w:r w:rsidRPr="00DA2C07">
        <w:t xml:space="preserve">over 40%), followed by mechanical engineering </w:t>
      </w:r>
      <w:r w:rsidR="00334CC6" w:rsidRPr="00DA2C07">
        <w:t>(</w:t>
      </w:r>
      <w:r w:rsidRPr="00DA2C07">
        <w:t xml:space="preserve">more than 20%), electrical engineering </w:t>
      </w:r>
      <w:r w:rsidR="00334CC6" w:rsidRPr="00DA2C07">
        <w:t>(</w:t>
      </w:r>
      <w:r w:rsidRPr="00DA2C07">
        <w:t xml:space="preserve">14%), instruments </w:t>
      </w:r>
      <w:r w:rsidR="00334CC6" w:rsidRPr="00DA2C07">
        <w:t>(</w:t>
      </w:r>
      <w:r w:rsidRPr="00DA2C07">
        <w:t xml:space="preserve">11%) and other fields </w:t>
      </w:r>
      <w:r w:rsidR="00334CC6" w:rsidRPr="00DA2C07">
        <w:t>(</w:t>
      </w:r>
      <w:r w:rsidRPr="00DA2C07">
        <w:t>7%)</w:t>
      </w:r>
      <w:r w:rsidR="004B4B73" w:rsidRPr="00DA2C07">
        <w:t xml:space="preserve">.  </w:t>
      </w:r>
      <w:r w:rsidRPr="00DA2C07">
        <w:t>The analysis by technological fields of the patent applications filed in 2011 varies according to the origin of applicants and indicate</w:t>
      </w:r>
      <w:r w:rsidR="00AF73C3" w:rsidRPr="00DA2C07">
        <w:t>s</w:t>
      </w:r>
      <w:r w:rsidRPr="00DA2C07">
        <w:t xml:space="preserve"> the contrast between the internal technological capabilities and the areas under strong prominence and protection of non-residents</w:t>
      </w:r>
      <w:r w:rsidR="004B4B73" w:rsidRPr="00DA2C07">
        <w:t xml:space="preserve">.  </w:t>
      </w:r>
      <w:r w:rsidRPr="00DA2C07">
        <w:t>Furthermore, when comparing the distribution of applications between resident and non-residents, the sectors of technology follow the same order of importance</w:t>
      </w:r>
      <w:r w:rsidR="004B4B73" w:rsidRPr="00DA2C07">
        <w:t xml:space="preserve">.  </w:t>
      </w:r>
      <w:r w:rsidRPr="00DA2C07">
        <w:t>In the chemistry sector, residents accounts for a smaller share of the applications, around 30%, while representing 43% of total applications</w:t>
      </w:r>
      <w:r w:rsidR="004B4B73" w:rsidRPr="00DA2C07">
        <w:t xml:space="preserve">.  </w:t>
      </w:r>
      <w:r w:rsidRPr="00DA2C07">
        <w:t>In the mechanical engineering sector and “other fields”, residents account for bigger shares.</w:t>
      </w:r>
    </w:p>
    <w:p w:rsidR="00B000C0" w:rsidRPr="00DA2C07" w:rsidRDefault="00B000C0" w:rsidP="00DA2C07"/>
    <w:p w:rsidR="00B000C0" w:rsidRPr="00DA2C07" w:rsidRDefault="00B000C0" w:rsidP="00DA2C07">
      <w:r w:rsidRPr="00DA2C07">
        <w:t xml:space="preserve">The data also shows that individuals represented more than 70% of total patent applications in 2000 </w:t>
      </w:r>
      <w:r w:rsidR="00334CC6" w:rsidRPr="00DA2C07">
        <w:t>(</w:t>
      </w:r>
      <w:r w:rsidRPr="00DA2C07">
        <w:t xml:space="preserve">2,286 applications), with companies accounting for 26.8% </w:t>
      </w:r>
      <w:r w:rsidR="00334CC6" w:rsidRPr="00DA2C07">
        <w:t>(</w:t>
      </w:r>
      <w:r w:rsidRPr="00DA2C07">
        <w:t>861 applications) and the universities with a small participation of 2.0%</w:t>
      </w:r>
      <w:r w:rsidR="004B4B73" w:rsidRPr="00DA2C07">
        <w:t xml:space="preserve">.  </w:t>
      </w:r>
      <w:r w:rsidRPr="00DA2C07">
        <w:t>During the period, it is of note the significant increase in the number of patent applications from universities and companies</w:t>
      </w:r>
      <w:r w:rsidR="004B4B73" w:rsidRPr="00DA2C07">
        <w:t xml:space="preserve">.  </w:t>
      </w:r>
      <w:r w:rsidRPr="00DA2C07">
        <w:t xml:space="preserve">The latter almost duplicated </w:t>
      </w:r>
      <w:r w:rsidR="00AF73C3" w:rsidRPr="00DA2C07">
        <w:t xml:space="preserve">(1,619) </w:t>
      </w:r>
      <w:r w:rsidRPr="00DA2C07">
        <w:t>reach</w:t>
      </w:r>
      <w:r w:rsidR="00AF73C3" w:rsidRPr="00DA2C07">
        <w:t xml:space="preserve">ing </w:t>
      </w:r>
      <w:r w:rsidRPr="00DA2C07">
        <w:t>34.2% of total applications in 2011, while the former showed an increase</w:t>
      </w:r>
      <w:r w:rsidR="00AF73C3" w:rsidRPr="00DA2C07">
        <w:t xml:space="preserve"> of </w:t>
      </w:r>
      <w:r w:rsidRPr="00DA2C07">
        <w:t>13.8% in 2011</w:t>
      </w:r>
      <w:r w:rsidR="00AF73C3" w:rsidRPr="00DA2C07">
        <w:t xml:space="preserve">, totaling </w:t>
      </w:r>
      <w:r w:rsidRPr="00DA2C07">
        <w:t>652</w:t>
      </w:r>
      <w:r w:rsidR="00AF73C3" w:rsidRPr="00DA2C07">
        <w:t xml:space="preserve"> applications</w:t>
      </w:r>
      <w:r w:rsidR="004B4B73" w:rsidRPr="00DA2C07">
        <w:t xml:space="preserve">.  </w:t>
      </w:r>
      <w:r w:rsidRPr="00DA2C07">
        <w:t xml:space="preserve">Individual patent applications also increased by 7.5% </w:t>
      </w:r>
      <w:r w:rsidR="00334CC6" w:rsidRPr="00DA2C07">
        <w:t>(</w:t>
      </w:r>
      <w:r w:rsidRPr="00DA2C07">
        <w:t>2,459 applications) but their participation in the total number of applications dropped to 52%</w:t>
      </w:r>
      <w:r w:rsidR="004B4B73" w:rsidRPr="00DA2C07">
        <w:t xml:space="preserve">.  </w:t>
      </w:r>
      <w:r w:rsidRPr="00DA2C07">
        <w:t xml:space="preserve">The statistics on the </w:t>
      </w:r>
      <w:r w:rsidR="00573DEB" w:rsidRPr="00DA2C07">
        <w:t>distribution</w:t>
      </w:r>
      <w:r w:rsidRPr="00DA2C07">
        <w:t xml:space="preserve"> of applicants have </w:t>
      </w:r>
      <w:r w:rsidRPr="00DA2C07">
        <w:lastRenderedPageBreak/>
        <w:t>thus been changing</w:t>
      </w:r>
      <w:r w:rsidR="004B4B73" w:rsidRPr="00DA2C07">
        <w:t xml:space="preserve">.  </w:t>
      </w:r>
      <w:r w:rsidRPr="00DA2C07">
        <w:t>This could be attributed to the several incentives given by recent industrial and innovation policies and also to the internal changes at INPI-Brazil, who became more active in their initiatives to disseminate information on intellectual property among universities and companies.</w:t>
      </w:r>
    </w:p>
    <w:p w:rsidR="00B000C0" w:rsidRPr="00DA2C07" w:rsidRDefault="00B000C0" w:rsidP="00DA2C07"/>
    <w:p w:rsidR="00B000C0" w:rsidRPr="00DA2C07" w:rsidRDefault="00B000C0" w:rsidP="00DA2C07">
      <w:r w:rsidRPr="00DA2C07">
        <w:t>With regard to the analysis of patent applications by economic sectors, the report points out the large participation of universities and government research institutes that are classified in the following divisions: “education”, “public administration, defense and social security” (a division that includes Government Research Institutes and the Institutes of Technological Research from the Army and the Air Force) and “Scientific research and development” (which also includes private and public foundations funding research)</w:t>
      </w:r>
      <w:r w:rsidR="004B4B73" w:rsidRPr="00DA2C07">
        <w:t xml:space="preserve">.  </w:t>
      </w:r>
      <w:r w:rsidRPr="00DA2C07">
        <w:t>These sectors as a whole represented 19% of total resident applications in 2006 and reached 31% in 2011</w:t>
      </w:r>
      <w:r w:rsidR="004B4B73" w:rsidRPr="00DA2C07">
        <w:t xml:space="preserve">.  </w:t>
      </w:r>
      <w:r w:rsidRPr="00DA2C07">
        <w:t>The industrial sector also has a significant share of resident applications</w:t>
      </w:r>
      <w:r w:rsidR="004B4B73" w:rsidRPr="00DA2C07">
        <w:t xml:space="preserve">.  </w:t>
      </w:r>
      <w:r w:rsidRPr="00DA2C07">
        <w:t>The electrical equipment sector more than doubled the number of patent applications in the period considered, increasing its relative share from 4.4% to 8.5%</w:t>
      </w:r>
      <w:r w:rsidR="004B4B73" w:rsidRPr="00DA2C07">
        <w:t xml:space="preserve">.  </w:t>
      </w:r>
      <w:r w:rsidRPr="00DA2C07">
        <w:t>The machinery and equipment sector, although reducing its share in the period 2006-11, continues as one of the most important sectors in 2011 (6.2%).</w:t>
      </w:r>
    </w:p>
    <w:p w:rsidR="00B000C0" w:rsidRPr="00DA2C07" w:rsidRDefault="00B000C0" w:rsidP="00DA2C07"/>
    <w:p w:rsidR="00B000C0" w:rsidRPr="00DA2C07" w:rsidRDefault="00B000C0" w:rsidP="00DA2C07">
      <w:r w:rsidRPr="00DA2C07">
        <w:t>Over the period 2000-11, Brazil's INPI granted more than 38,000 patents</w:t>
      </w:r>
      <w:r w:rsidR="004B4B73" w:rsidRPr="00DA2C07">
        <w:t xml:space="preserve">.  </w:t>
      </w:r>
      <w:r w:rsidRPr="00DA2C07">
        <w:t>Out of this total, 34,291 were granted to non-resident and 3,985 to residents</w:t>
      </w:r>
      <w:r w:rsidR="004B4B73" w:rsidRPr="00DA2C07">
        <w:t xml:space="preserve">.  </w:t>
      </w:r>
      <w:r w:rsidRPr="00DA2C07">
        <w:t>Considering the distribution along the years, INPI granted 6,006 patents in 2000, falling to a level of 2,100 grants in 2004, reaching 3,437 grants in 2011</w:t>
      </w:r>
      <w:r w:rsidR="004B4B73" w:rsidRPr="00DA2C07">
        <w:t xml:space="preserve">.  </w:t>
      </w:r>
      <w:r w:rsidRPr="00DA2C07">
        <w:t>In the period analyzed, the main foreign countries of which residents were granted patents are the United States, with 34% of the total, Germany, with 14%, France, with 7% and Japan, with 5%.</w:t>
      </w:r>
    </w:p>
    <w:p w:rsidR="00B000C0" w:rsidRPr="00DA2C07" w:rsidRDefault="00B000C0" w:rsidP="00DA2C07"/>
    <w:p w:rsidR="00B000C0" w:rsidRPr="00DA2C07" w:rsidRDefault="00B000C0" w:rsidP="00DA2C07">
      <w:r w:rsidRPr="00DA2C07">
        <w:t>Concerning utility model (UM) applications, despite the decrease of almost 7% observed in the period, it is interesting to note that it was not continuous</w:t>
      </w:r>
      <w:r w:rsidR="004B4B73" w:rsidRPr="00DA2C07">
        <w:t xml:space="preserve">.  </w:t>
      </w:r>
      <w:r w:rsidRPr="00DA2C07">
        <w:t>At the beginning of the decade, between 2000</w:t>
      </w:r>
      <w:r w:rsidR="00AF73C3" w:rsidRPr="00DA2C07">
        <w:t xml:space="preserve"> and </w:t>
      </w:r>
      <w:r w:rsidRPr="00DA2C07">
        <w:t>2004, UM applications had an upward trend, when applications increased from 3,300 to 3,600</w:t>
      </w:r>
      <w:r w:rsidR="004B4B73" w:rsidRPr="00DA2C07">
        <w:t xml:space="preserve">.  </w:t>
      </w:r>
      <w:r w:rsidRPr="00DA2C07">
        <w:t>Since then, the total number of UM applications filed in Brazil fell sharply between 2004 and 2007 (-15%), followed by a recovery in 2008-2009 (11%) and then, in 2010-2011, declining again (-11%) to a lower level when compared to the beginning of the period</w:t>
      </w:r>
      <w:r w:rsidR="004B4B73" w:rsidRPr="00DA2C07">
        <w:t xml:space="preserve">.  </w:t>
      </w:r>
      <w:r w:rsidRPr="00DA2C07">
        <w:t>Considering the origin of non-resident applicants, more than 50% of non-resident applications originated in Taiwan</w:t>
      </w:r>
      <w:r w:rsidR="00EA665D">
        <w:t>, Province of China</w:t>
      </w:r>
      <w:r w:rsidRPr="00DA2C07">
        <w:t xml:space="preserve"> (21%), Argentina, United States and China </w:t>
      </w:r>
      <w:r w:rsidR="00334CC6" w:rsidRPr="00DA2C07">
        <w:t>(</w:t>
      </w:r>
      <w:r w:rsidRPr="00DA2C07">
        <w:t>11% each)</w:t>
      </w:r>
      <w:r w:rsidR="004B4B73" w:rsidRPr="00DA2C07">
        <w:t xml:space="preserve">.  </w:t>
      </w:r>
      <w:r w:rsidRPr="00DA2C07">
        <w:t>Regarding UM applications by technological sector, the mechanical engineering sector and other fields accounted for the highest share in total applications, with almost 75%</w:t>
      </w:r>
      <w:r w:rsidR="004B4B73" w:rsidRPr="00DA2C07">
        <w:t xml:space="preserve">.  </w:t>
      </w:r>
      <w:r w:rsidRPr="00DA2C07">
        <w:t>The data shows that the sectors in which residents predominate in patents are different from those in UM applications</w:t>
      </w:r>
      <w:r w:rsidR="004B4B73" w:rsidRPr="00DA2C07">
        <w:t xml:space="preserve">.  </w:t>
      </w:r>
      <w:r w:rsidRPr="00DA2C07">
        <w:t>In other words, the form of protection is specific to each sector</w:t>
      </w:r>
      <w:r w:rsidR="004B4B73" w:rsidRPr="00DA2C07">
        <w:t xml:space="preserve">.  </w:t>
      </w:r>
      <w:r w:rsidRPr="00DA2C07">
        <w:t>For example, the chemistry sector has a relevant participation in patent applications, with 30%, but it represents only 7% of UM applications</w:t>
      </w:r>
      <w:r w:rsidR="004B4B73" w:rsidRPr="00DA2C07">
        <w:t xml:space="preserve">.  </w:t>
      </w:r>
      <w:r w:rsidRPr="00DA2C07">
        <w:t>Individually, the five most important sectors were “furniture, games”, “handling”, “other consumer goods”, “civil engineering” and “transport”</w:t>
      </w:r>
      <w:r w:rsidR="004B4B73" w:rsidRPr="00DA2C07">
        <w:t xml:space="preserve">.  </w:t>
      </w:r>
      <w:r w:rsidRPr="00DA2C07">
        <w:t>Considering UM applications by economic sectors, those with the largest participation were “machinery and equipment production”, “metal products” and “rubber and plastics products”</w:t>
      </w:r>
      <w:r w:rsidR="004B4B73" w:rsidRPr="00DA2C07">
        <w:t xml:space="preserve">.  </w:t>
      </w:r>
      <w:r w:rsidRPr="00DA2C07">
        <w:t>In the period of 2000-11, Brazil granted 4,007 Utility Models, of which 3,799 were for residents and 208 for non-residents.</w:t>
      </w:r>
    </w:p>
    <w:p w:rsidR="00B000C0" w:rsidRPr="00DA2C07" w:rsidRDefault="00B000C0" w:rsidP="00DA2C07"/>
    <w:p w:rsidR="00B000C0" w:rsidRPr="00DA2C07" w:rsidRDefault="00B000C0" w:rsidP="00DA2C07">
      <w:r w:rsidRPr="00DA2C07">
        <w:t>The report also shows that the total number of industrial design applications filed in Brazil between 2000 and 2011 increased 89%, from around 3,610 to 6,835</w:t>
      </w:r>
      <w:r w:rsidR="004B4B73" w:rsidRPr="00DA2C07">
        <w:t xml:space="preserve">.  </w:t>
      </w:r>
      <w:r w:rsidRPr="00DA2C07">
        <w:t>The 6,835 applications filed in 2011 consisted of 4,364 resident and 2,471 non-resident applications</w:t>
      </w:r>
      <w:r w:rsidR="004B4B73" w:rsidRPr="00DA2C07">
        <w:t xml:space="preserve">.  </w:t>
      </w:r>
      <w:r w:rsidRPr="00DA2C07">
        <w:t>Compared to 2000, the number of non-resident applications in 2011 showed a strong increase and almost tripled (175%), while resident applications also grew but by a more modest rate (62%)</w:t>
      </w:r>
      <w:r w:rsidR="004B4B73" w:rsidRPr="00DA2C07">
        <w:t xml:space="preserve">.  </w:t>
      </w:r>
      <w:r w:rsidRPr="00DA2C07">
        <w:t>Thus, there was an increased participation of non-resident applicants in their share of total industrial design applications during the period</w:t>
      </w:r>
      <w:r w:rsidR="004B4B73" w:rsidRPr="00DA2C07">
        <w:t xml:space="preserve">.  </w:t>
      </w:r>
      <w:r w:rsidRPr="00DA2C07">
        <w:t>In 2000, the applications consisted of 25% from non-residents and 75% from residents, while, in 2011, this share increased to 36% and 64%, respectively</w:t>
      </w:r>
      <w:r w:rsidR="004B4B73" w:rsidRPr="00DA2C07">
        <w:t xml:space="preserve">.  </w:t>
      </w:r>
      <w:r w:rsidRPr="00DA2C07">
        <w:t xml:space="preserve">Residents from the United States accounted for </w:t>
      </w:r>
      <w:r w:rsidRPr="00DA2C07">
        <w:lastRenderedPageBreak/>
        <w:t>the most substantial growth of non-resident applications (27%), but lost its relative importance</w:t>
      </w:r>
      <w:r w:rsidR="004B4B73" w:rsidRPr="00DA2C07">
        <w:t xml:space="preserve">.  </w:t>
      </w:r>
      <w:r w:rsidRPr="00DA2C07">
        <w:t>Japan accounted for 19% of growth of total non-resident applications and presented a strong increase of 574%</w:t>
      </w:r>
      <w:r w:rsidR="004B4B73" w:rsidRPr="00DA2C07">
        <w:t xml:space="preserve">.  </w:t>
      </w:r>
      <w:r w:rsidRPr="00DA2C07">
        <w:t>In the case of resident applications, the state of São</w:t>
      </w:r>
      <w:r w:rsidR="00913E8C">
        <w:t> </w:t>
      </w:r>
      <w:r w:rsidRPr="00DA2C07">
        <w:t>Paulo  had the largest share of all Brazilian states during the period, but presented a small loss on it: from 1,344 applications in 2000 (49.7%) to 2,129 in 2011 (48.8%)</w:t>
      </w:r>
      <w:r w:rsidR="004B4B73" w:rsidRPr="00DA2C07">
        <w:t xml:space="preserve">.  </w:t>
      </w:r>
      <w:r w:rsidRPr="00DA2C07">
        <w:t xml:space="preserve">The same occurred with applications from Rio Grande do </w:t>
      </w:r>
      <w:proofErr w:type="spellStart"/>
      <w:r w:rsidRPr="00DA2C07">
        <w:t>Sul</w:t>
      </w:r>
      <w:proofErr w:type="spellEnd"/>
      <w:r w:rsidRPr="00DA2C07">
        <w:t>, which grew from 355 applications in 2000 (13.1%) to 547 applications in 2011 (12.5%), and from Paraná, where applications grew from 303 applications in 2000 (11.2%) to 427 applications in 2011 (9.8%)</w:t>
      </w:r>
      <w:r w:rsidR="004B4B73" w:rsidRPr="00DA2C07">
        <w:t xml:space="preserve">.  </w:t>
      </w:r>
      <w:r w:rsidRPr="00DA2C07">
        <w:t>Applications from the Northeast Region accounted for just 5% of total resident applications, with the North and Central West regions represented 1% each</w:t>
      </w:r>
      <w:r w:rsidR="004B4B73" w:rsidRPr="00DA2C07">
        <w:t xml:space="preserve">.  </w:t>
      </w:r>
      <w:r w:rsidRPr="00DA2C07">
        <w:t>In 2000, individual applicants accounted for 2,479 applications (68.8% of total applications), while, in 2011, they filed 5,176 industrial design applications (75.7%)</w:t>
      </w:r>
      <w:r w:rsidR="004B4B73" w:rsidRPr="00DA2C07">
        <w:t xml:space="preserve">.  </w:t>
      </w:r>
      <w:r w:rsidRPr="00DA2C07">
        <w:t>Concerning only resident companies, the largest sector was “manufacture of leather and related products”, accounting for 23.1% in 2011 (compared to 10.3% in 2006)</w:t>
      </w:r>
      <w:r w:rsidR="004B4B73" w:rsidRPr="00DA2C07">
        <w:t xml:space="preserve">.  </w:t>
      </w:r>
      <w:r w:rsidRPr="00DA2C07">
        <w:t xml:space="preserve">It was followed by “manufacture of electrical equipment” </w:t>
      </w:r>
      <w:r w:rsidR="00334CC6" w:rsidRPr="00DA2C07">
        <w:t>(</w:t>
      </w:r>
      <w:r w:rsidRPr="00DA2C07">
        <w:t xml:space="preserve">8.9%), “manufacture of motor vehicles, trailers and semi-trailers” </w:t>
      </w:r>
      <w:r w:rsidR="00334CC6" w:rsidRPr="00DA2C07">
        <w:t>(</w:t>
      </w:r>
      <w:r w:rsidRPr="00DA2C07">
        <w:t xml:space="preserve">8.8%) and “manufacture of rubber and plastics products” </w:t>
      </w:r>
      <w:r w:rsidR="00334CC6" w:rsidRPr="00DA2C07">
        <w:t>(</w:t>
      </w:r>
      <w:r w:rsidRPr="00DA2C07">
        <w:t>8.2%)</w:t>
      </w:r>
      <w:r w:rsidR="004B4B73" w:rsidRPr="00DA2C07">
        <w:t xml:space="preserve">.  </w:t>
      </w:r>
      <w:r w:rsidRPr="00DA2C07">
        <w:t>It is interesting to note that “manufacture of fabricated metal products, except machinery and equipment”, which accounted for 9.3% of applications from resident companies in 2006, lost its importance (relative and absolute)</w:t>
      </w:r>
      <w:r w:rsidR="004B4B73" w:rsidRPr="00DA2C07">
        <w:t xml:space="preserve">.  </w:t>
      </w:r>
      <w:r w:rsidRPr="00DA2C07">
        <w:t>The number of resident registrations increased from 1,934 in 2000 to 3,348 in 2011, while non-resident registrations increased from 840 in 2000 to 1,298 in 2011</w:t>
      </w:r>
      <w:r w:rsidR="004B4B73" w:rsidRPr="00DA2C07">
        <w:t xml:space="preserve">.  </w:t>
      </w:r>
      <w:r w:rsidRPr="00DA2C07">
        <w:t>This means that, despite its largest increase in absolute terms, the share of residents in total registrations granted fluctuated around 70% each year.</w:t>
      </w:r>
    </w:p>
    <w:p w:rsidR="00B000C0" w:rsidRPr="00DA2C07" w:rsidRDefault="00B000C0" w:rsidP="00DA2C07"/>
    <w:p w:rsidR="00B000C0" w:rsidRPr="00DA2C07" w:rsidRDefault="00B000C0" w:rsidP="00DA2C07">
      <w:r w:rsidRPr="00DA2C07">
        <w:t>In the case of trademarks, applications increased about 40% between 2000 and 2012, from 108,231 to 151,711</w:t>
      </w:r>
      <w:r w:rsidR="004B4B73" w:rsidRPr="00DA2C07">
        <w:t xml:space="preserve">.  </w:t>
      </w:r>
      <w:r w:rsidRPr="00DA2C07">
        <w:t>Regarding their nature, trademarks of product and service accounted for most of the applications, with a balanced distribution between them</w:t>
      </w:r>
      <w:r w:rsidR="004B4B73" w:rsidRPr="00DA2C07">
        <w:t xml:space="preserve">.  </w:t>
      </w:r>
      <w:r w:rsidRPr="00DA2C07">
        <w:t>However, trademark applications for products predominated until 2006, when trademark service applications started to represent the majority of trademarks applications</w:t>
      </w:r>
      <w:r w:rsidR="004B4B73" w:rsidRPr="00DA2C07">
        <w:t xml:space="preserve">.  </w:t>
      </w:r>
      <w:r w:rsidRPr="00DA2C07">
        <w:t>Concerning the type, most of the applications are of combined trademarks, or signals composed of both word and figurative elements</w:t>
      </w:r>
      <w:r w:rsidR="004B4B73" w:rsidRPr="00DA2C07">
        <w:t xml:space="preserve">.  </w:t>
      </w:r>
      <w:r w:rsidRPr="00DA2C07">
        <w:t>Most applicants, 83%, are residents, of which about 40% are micro or small companies</w:t>
      </w:r>
      <w:r w:rsidR="004B4B73" w:rsidRPr="00DA2C07">
        <w:t xml:space="preserve">.  </w:t>
      </w:r>
      <w:r w:rsidRPr="00DA2C07">
        <w:t>Over the period, non-residents accounted for only 18% of trademarks deposits, with a decrease between 2001 and 2004 and an upward trend from 2005 onwards</w:t>
      </w:r>
      <w:r w:rsidR="004B4B73" w:rsidRPr="00DA2C07">
        <w:t xml:space="preserve">.  </w:t>
      </w:r>
      <w:r w:rsidRPr="00DA2C07">
        <w:t>The most representative non-resident applicants are from the following countries: United States (5%), Germany (2%), France and Switzerland (both with 1%)</w:t>
      </w:r>
      <w:r w:rsidR="004B4B73" w:rsidRPr="00DA2C07">
        <w:t xml:space="preserve">.  </w:t>
      </w:r>
      <w:r w:rsidRPr="00DA2C07">
        <w:t xml:space="preserve">With regard to resident applicants, between 2000 and 2012 the states of São Paulo (SP), Minas </w:t>
      </w:r>
      <w:proofErr w:type="spellStart"/>
      <w:r w:rsidRPr="00DA2C07">
        <w:t>Gerais</w:t>
      </w:r>
      <w:proofErr w:type="spellEnd"/>
      <w:r w:rsidRPr="00DA2C07">
        <w:t xml:space="preserve"> (MG) and Rio de Janeiro (RJ) represented 60% of applications; the states of Paraná (PR), Rio Grande do </w:t>
      </w:r>
      <w:proofErr w:type="spellStart"/>
      <w:r w:rsidRPr="00DA2C07">
        <w:t>Sul</w:t>
      </w:r>
      <w:proofErr w:type="spellEnd"/>
      <w:r w:rsidRPr="00DA2C07">
        <w:t xml:space="preserve"> (RS) and Santa Catarina (SC) represented 20% of the applications</w:t>
      </w:r>
      <w:r w:rsidR="004B4B73" w:rsidRPr="00DA2C07">
        <w:t xml:space="preserve">.  </w:t>
      </w:r>
      <w:r w:rsidRPr="00DA2C07">
        <w:t>Concerning the main activity of applicants, the financial services industry and real estate, business management and advertising had, on average, a share of about 21 percent of applications in the same period, while the education, training and leisure sectors represented 16%</w:t>
      </w:r>
      <w:r w:rsidR="004B4B73" w:rsidRPr="00DA2C07">
        <w:t xml:space="preserve">.  </w:t>
      </w:r>
      <w:r w:rsidRPr="00DA2C07">
        <w:t>The granting of trademarks increased in the period in question, from an annual average of 16.300, over the period 2000-2005, to 60.900 over the period 2008-2012.</w:t>
      </w:r>
    </w:p>
    <w:p w:rsidR="00B000C0" w:rsidRPr="00DA2C07" w:rsidRDefault="00B000C0" w:rsidP="00DA2C07"/>
    <w:p w:rsidR="00B000C0" w:rsidRPr="00DA2C07" w:rsidRDefault="00B000C0" w:rsidP="00DA2C07">
      <w:r w:rsidRPr="00DA2C07">
        <w:t>With regard to technological contracts, between 2000 and 2012 the total number of new contracts registered in INPI increased by 2%, from 1,212 to 1,238</w:t>
      </w:r>
      <w:r w:rsidR="004B4B73" w:rsidRPr="00DA2C07">
        <w:t xml:space="preserve">.  </w:t>
      </w:r>
      <w:r w:rsidRPr="00DA2C07">
        <w:t>Contracts for the provision of technical assistance services accounted for the largest portion of the total, although its share has declined over the period (from 74% in 2000 to 65% in 2012)</w:t>
      </w:r>
      <w:r w:rsidR="004B4B73" w:rsidRPr="00DA2C07">
        <w:t xml:space="preserve">.  </w:t>
      </w:r>
      <w:r w:rsidRPr="00DA2C07">
        <w:t>The large share of services in the contracts registered by the INPI may be credited to the importance of the sector of machinery and equipment in the modernization of industry</w:t>
      </w:r>
      <w:r w:rsidR="004B4B73" w:rsidRPr="00DA2C07">
        <w:t xml:space="preserve">.  </w:t>
      </w:r>
      <w:r w:rsidRPr="00DA2C07">
        <w:t>Among the other types of contracts, Trademark Licensing and Franchising contracts showed increased participation over the period, from 12% of total registrations in 2000 to 22% in 2012, while contracts for the supply of technology ("Know-How Agreements"), contracts for licensing patents and industrial designs and contracts with more than one modality maintained their share stable, with around 15%</w:t>
      </w:r>
      <w:r w:rsidR="004B4B73" w:rsidRPr="00DA2C07">
        <w:t xml:space="preserve">.  </w:t>
      </w:r>
      <w:r w:rsidRPr="00DA2C07">
        <w:t xml:space="preserve">Between 2001 and 2005, the value of the contracts as a percentage of total foreign payments was very small, ranging between 1 and </w:t>
      </w:r>
      <w:r w:rsidRPr="00DA2C07">
        <w:lastRenderedPageBreak/>
        <w:t>3%, as calculated by the Central Bank of Brazil</w:t>
      </w:r>
      <w:r w:rsidR="004B4B73" w:rsidRPr="00DA2C07">
        <w:t xml:space="preserve">.  </w:t>
      </w:r>
      <w:r w:rsidRPr="00DA2C07">
        <w:t>In 2006, however, the pattern of such disbursements changed, reaching almost 50% of the total in that year, or US$ 716.5 million</w:t>
      </w:r>
      <w:r w:rsidR="004B4B73" w:rsidRPr="00DA2C07">
        <w:t xml:space="preserve">.  </w:t>
      </w:r>
      <w:r w:rsidRPr="00DA2C07">
        <w:t>In 2012, contract payments reached 44% of total payments, or US$ 1.37 billion</w:t>
      </w:r>
      <w:r w:rsidR="004B4B73" w:rsidRPr="00DA2C07">
        <w:t xml:space="preserve">.  </w:t>
      </w:r>
      <w:r w:rsidRPr="00DA2C07">
        <w:t xml:space="preserve">The changing pattern of payments related to royalties and provision of technical assistance in 2006 and the growth of these revenues in the period of 2006-2012 </w:t>
      </w:r>
      <w:proofErr w:type="gramStart"/>
      <w:r w:rsidRPr="00DA2C07">
        <w:t>is</w:t>
      </w:r>
      <w:proofErr w:type="gramEnd"/>
      <w:r w:rsidRPr="00DA2C07">
        <w:t xml:space="preserve"> mainly explained by the efforts of Brazilian companies to integrate into the global economy, promoted by Brazilian industrial policy</w:t>
      </w:r>
      <w:r w:rsidR="004B4B73" w:rsidRPr="00DA2C07">
        <w:t xml:space="preserve">.  </w:t>
      </w:r>
      <w:r w:rsidRPr="00DA2C07">
        <w:t>In this context, it is worth highlighting the financing programs carried out by the National Bank of Economic and Social Development (BNDES) since 2005</w:t>
      </w:r>
      <w:r w:rsidR="004B4B73" w:rsidRPr="00DA2C07">
        <w:t xml:space="preserve">.  </w:t>
      </w:r>
    </w:p>
    <w:p w:rsidR="00B000C0" w:rsidRPr="00DA2C07" w:rsidRDefault="00B000C0" w:rsidP="00DA2C07"/>
    <w:p w:rsidR="00B000C0" w:rsidRPr="00DA2C07" w:rsidRDefault="00B000C0" w:rsidP="00DA2C07">
      <w:pPr>
        <w:rPr>
          <w:bdr w:val="single" w:sz="4" w:space="0" w:color="F5F5F5" w:frame="1"/>
          <w:shd w:val="clear" w:color="auto" w:fill="FFFFFF"/>
        </w:rPr>
      </w:pPr>
      <w:r w:rsidRPr="00DA2C07">
        <w:t>Applications of geographical indication are still incipient in Brazil, although the interest of nationals for this protection has increased</w:t>
      </w:r>
      <w:r w:rsidR="004B4B73" w:rsidRPr="00DA2C07">
        <w:t xml:space="preserve">.  </w:t>
      </w:r>
      <w:r w:rsidRPr="00DA2C07">
        <w:t>Between 2000 and 2012, there were 67</w:t>
      </w:r>
      <w:r w:rsidR="00913E8C">
        <w:t> </w:t>
      </w:r>
      <w:r w:rsidRPr="00DA2C07">
        <w:t xml:space="preserve">applications, predominantly by residents (49), of which the states of Minas </w:t>
      </w:r>
      <w:proofErr w:type="spellStart"/>
      <w:r w:rsidRPr="00DA2C07">
        <w:t>Gerais</w:t>
      </w:r>
      <w:proofErr w:type="spellEnd"/>
      <w:r w:rsidRPr="00DA2C07">
        <w:t xml:space="preserve"> and Rio Grande do </w:t>
      </w:r>
      <w:proofErr w:type="spellStart"/>
      <w:r w:rsidRPr="00DA2C07">
        <w:t>Sul</w:t>
      </w:r>
      <w:proofErr w:type="spellEnd"/>
      <w:r w:rsidRPr="00DA2C07">
        <w:t xml:space="preserve"> were the most representative, with 10 and 9 applications, respectively</w:t>
      </w:r>
      <w:r w:rsidR="004B4B73" w:rsidRPr="00DA2C07">
        <w:t xml:space="preserve">.  </w:t>
      </w:r>
      <w:r w:rsidRPr="00DA2C07">
        <w:t>Concerning their type, most applications are of indication of origin (40) and, regarding the nature, the majority is related to products (63)</w:t>
      </w:r>
      <w:r w:rsidR="004B4B73" w:rsidRPr="00DA2C07">
        <w:t xml:space="preserve">.  </w:t>
      </w:r>
      <w:r w:rsidRPr="00DA2C07">
        <w:t>Over this period, 39 applications were granted</w:t>
      </w:r>
      <w:r w:rsidR="004B4B73" w:rsidRPr="00DA2C07">
        <w:t xml:space="preserve">.  </w:t>
      </w:r>
      <w:r w:rsidRPr="00DA2C07">
        <w:t xml:space="preserve">There was an increase in registrations in 2012, when 21 were granted, as compared with 18 between 2000 </w:t>
      </w:r>
      <w:r w:rsidR="00334CC6" w:rsidRPr="00DA2C07">
        <w:t>and</w:t>
      </w:r>
      <w:r w:rsidRPr="00DA2C07">
        <w:t xml:space="preserve"> 2011.</w:t>
      </w:r>
    </w:p>
    <w:p w:rsidR="00B000C0" w:rsidRPr="00DA2C07" w:rsidRDefault="00B000C0" w:rsidP="00DA2C07"/>
    <w:p w:rsidR="00B000C0" w:rsidRPr="00DA2C07" w:rsidRDefault="00B000C0" w:rsidP="00DA2C07">
      <w:r w:rsidRPr="00DA2C07">
        <w:t>Lastly, software applications almost doubled between 2000</w:t>
      </w:r>
      <w:r w:rsidR="00AF73C3" w:rsidRPr="00DA2C07">
        <w:t xml:space="preserve"> and </w:t>
      </w:r>
      <w:r w:rsidRPr="00DA2C07">
        <w:t>2011, from 663 to 1,279 applications</w:t>
      </w:r>
      <w:r w:rsidR="004B4B73" w:rsidRPr="00DA2C07">
        <w:t xml:space="preserve">.  </w:t>
      </w:r>
      <w:r w:rsidRPr="00DA2C07">
        <w:t>Applications with only one applicant predominate, with only 10% of such applications having multiple applicants</w:t>
      </w:r>
      <w:r w:rsidR="004B4B73" w:rsidRPr="00DA2C07">
        <w:t xml:space="preserve">.  </w:t>
      </w:r>
      <w:r w:rsidRPr="00DA2C07">
        <w:t>In 2011, for example, the 1,279 applications had approximately 1,400 applicants, of which around 60% were legal entities</w:t>
      </w:r>
      <w:r w:rsidR="004B4B73" w:rsidRPr="00DA2C07">
        <w:t xml:space="preserve">.  </w:t>
      </w:r>
      <w:r w:rsidRPr="00DA2C07">
        <w:t>Software producers are not required to register at INPI in order to enjoy the protection granted under Brazilian law</w:t>
      </w:r>
      <w:r w:rsidR="004B4B73" w:rsidRPr="00DA2C07">
        <w:t xml:space="preserve">.  </w:t>
      </w:r>
    </w:p>
    <w:p w:rsidR="00567A53" w:rsidRPr="00DA2C07" w:rsidRDefault="00567A53" w:rsidP="00DA2C07"/>
    <w:p w:rsidR="00845030" w:rsidRPr="00DA2C07" w:rsidRDefault="00845030" w:rsidP="00DA2C07">
      <w:r w:rsidRPr="00DA2C07">
        <w:br w:type="page"/>
      </w:r>
    </w:p>
    <w:p w:rsidR="00B000C0" w:rsidRPr="00DB1F14" w:rsidRDefault="00DB1F14" w:rsidP="00DB1F14">
      <w:pPr>
        <w:pStyle w:val="Title"/>
        <w:jc w:val="left"/>
        <w:rPr>
          <w:sz w:val="24"/>
          <w:szCs w:val="24"/>
        </w:rPr>
      </w:pPr>
      <w:bookmarkStart w:id="4" w:name="_Toc383414395"/>
      <w:r w:rsidRPr="00DB1F14">
        <w:rPr>
          <w:sz w:val="24"/>
          <w:szCs w:val="24"/>
        </w:rPr>
        <w:lastRenderedPageBreak/>
        <w:t>REPORT ON IP USE IN BRAZIL</w:t>
      </w:r>
      <w:bookmarkEnd w:id="4"/>
    </w:p>
    <w:p w:rsidR="00B000C0" w:rsidRPr="00573DEB" w:rsidRDefault="00B000C0" w:rsidP="004B4B73"/>
    <w:p w:rsidR="00B000C0" w:rsidRPr="00573DEB" w:rsidRDefault="00181227" w:rsidP="004B4B73">
      <w:pPr>
        <w:pStyle w:val="Heading1"/>
      </w:pPr>
      <w:bookmarkStart w:id="5" w:name="_Toc388619903"/>
      <w:r>
        <w:t>1</w:t>
      </w:r>
      <w:r>
        <w:tab/>
      </w:r>
      <w:r w:rsidR="00B000C0" w:rsidRPr="00573DEB">
        <w:t>Introduction</w:t>
      </w:r>
      <w:bookmarkEnd w:id="5"/>
    </w:p>
    <w:p w:rsidR="00B000C0" w:rsidRPr="00573DEB" w:rsidRDefault="00B000C0" w:rsidP="004B4B73"/>
    <w:p w:rsidR="00B000C0" w:rsidRPr="00573DEB" w:rsidRDefault="00B000C0" w:rsidP="004B4B73">
      <w:r w:rsidRPr="00573DEB">
        <w:t>The past decades have seen profound changes in the use of the intellectual property (IP) system worldwide</w:t>
      </w:r>
      <w:r w:rsidR="004B4B73" w:rsidRPr="00573DEB">
        <w:t xml:space="preserve">.  </w:t>
      </w:r>
      <w:r w:rsidRPr="00573DEB">
        <w:t>There is a great interest in improving the understanding of the effects of IP protection in less developed countries, regarding both the specific aspects of social and economic performance and the process of economic development more broadly</w:t>
      </w:r>
      <w:r w:rsidR="004B4B73" w:rsidRPr="00573DEB">
        <w:t xml:space="preserve">.  </w:t>
      </w:r>
      <w:r w:rsidRPr="00573DEB">
        <w:t>At the same time, national policymakers in developing countries lack credible empirical guidance in order to tailor their IP systems to their national capacities and needs</w:t>
      </w:r>
      <w:r w:rsidR="004B4B73" w:rsidRPr="00573DEB">
        <w:t xml:space="preserve">.  </w:t>
      </w:r>
      <w:r w:rsidRPr="00573DEB">
        <w:t>This is in contrast to developed countries, where national IP offices, other branches of government and academic economists have produced insightful evidence on the economic implications of the different aspects of IP protection.</w:t>
      </w:r>
    </w:p>
    <w:p w:rsidR="00B000C0" w:rsidRPr="00573DEB" w:rsidRDefault="00B000C0" w:rsidP="004B4B73"/>
    <w:p w:rsidR="00B000C0" w:rsidRPr="00573DEB" w:rsidRDefault="00B000C0" w:rsidP="004B4B73">
      <w:r w:rsidRPr="00573DEB">
        <w:t>The resulting changes in the IP landscape have raised numerous new questions on the role that the IP system plays in the innovation process</w:t>
      </w:r>
      <w:r w:rsidR="004B4B73" w:rsidRPr="00573DEB">
        <w:t xml:space="preserve">.  </w:t>
      </w:r>
      <w:r w:rsidRPr="00573DEB">
        <w:t>Currently, the economic literature focuses mainly high-income countries and does not provide much evidence on the role of IP in middle-income economies such as Brazil</w:t>
      </w:r>
      <w:r w:rsidR="004B4B73" w:rsidRPr="00573DEB">
        <w:t xml:space="preserve">.  </w:t>
      </w:r>
      <w:r w:rsidRPr="00573DEB">
        <w:t>There appears to be two underlying reasons</w:t>
      </w:r>
      <w:r w:rsidR="004B4B73" w:rsidRPr="00573DEB">
        <w:t xml:space="preserve">.  </w:t>
      </w:r>
      <w:r w:rsidRPr="00573DEB">
        <w:t>First, in absolute terms, high-income countries are the largest users of IP protection and, consequently, questions regarding IP protection have raised considerable public interest</w:t>
      </w:r>
      <w:r w:rsidR="004B4B73" w:rsidRPr="00573DEB">
        <w:t xml:space="preserve">.  </w:t>
      </w:r>
      <w:r w:rsidRPr="00573DEB">
        <w:t>Second, efforts by IP offices and academic researchers of such countries have led to the creation of micro-level IP databases – mostly on patent data – that enabled a wide range of empirical investigations</w:t>
      </w:r>
      <w:r w:rsidR="004B4B73" w:rsidRPr="00573DEB">
        <w:t xml:space="preserve">.  </w:t>
      </w:r>
    </w:p>
    <w:p w:rsidR="00B000C0" w:rsidRPr="00573DEB" w:rsidRDefault="00B000C0" w:rsidP="004B4B73"/>
    <w:p w:rsidR="00B000C0" w:rsidRPr="00573DEB" w:rsidRDefault="00B000C0" w:rsidP="004B4B73">
      <w:r w:rsidRPr="00573DEB">
        <w:t>The Project on Intellectual Property and Socio-Economic Development under the Committee on Development and Intellectual Property (CDIP) of the World Intellectual Property Organization (WIPO) consists of a series of economic studies seeking to narrow the knowledge gap that policymakers in developing countries face.</w:t>
      </w:r>
      <w:r w:rsidRPr="00573DEB">
        <w:rPr>
          <w:rStyle w:val="FootnoteReference"/>
        </w:rPr>
        <w:footnoteReference w:id="1"/>
      </w:r>
      <w:r w:rsidRPr="00573DEB">
        <w:t xml:space="preserve"> One critical constraint for such research has been the lack of an IP data infrastructure.</w:t>
      </w:r>
      <w:r w:rsidRPr="00573DEB">
        <w:rPr>
          <w:rStyle w:val="FootnoteReference"/>
        </w:rPr>
        <w:footnoteReference w:id="2"/>
      </w:r>
      <w:r w:rsidRPr="00573DEB">
        <w:t xml:space="preserve"> Therefore, exploiting the full potential of IP data requires investments on the development of new databases.</w:t>
      </w:r>
    </w:p>
    <w:p w:rsidR="00B000C0" w:rsidRPr="00573DEB" w:rsidRDefault="00B000C0" w:rsidP="004B4B73"/>
    <w:p w:rsidR="00B000C0" w:rsidRPr="00573DEB" w:rsidRDefault="00B000C0" w:rsidP="004B4B73">
      <w:r w:rsidRPr="00573DEB">
        <w:t xml:space="preserve">In this context, the Brazilian IP Office – </w:t>
      </w:r>
      <w:proofErr w:type="spellStart"/>
      <w:r w:rsidRPr="00573DEB">
        <w:rPr>
          <w:i/>
          <w:iCs/>
        </w:rPr>
        <w:t>Instituto</w:t>
      </w:r>
      <w:proofErr w:type="spellEnd"/>
      <w:r w:rsidRPr="00573DEB">
        <w:rPr>
          <w:i/>
          <w:iCs/>
        </w:rPr>
        <w:t xml:space="preserve"> </w:t>
      </w:r>
      <w:proofErr w:type="spellStart"/>
      <w:r w:rsidRPr="00573DEB">
        <w:rPr>
          <w:i/>
          <w:iCs/>
        </w:rPr>
        <w:t>Nacional</w:t>
      </w:r>
      <w:proofErr w:type="spellEnd"/>
      <w:r w:rsidRPr="00573DEB">
        <w:rPr>
          <w:i/>
          <w:iCs/>
        </w:rPr>
        <w:t xml:space="preserve"> da </w:t>
      </w:r>
      <w:proofErr w:type="spellStart"/>
      <w:r w:rsidRPr="00573DEB">
        <w:rPr>
          <w:i/>
          <w:iCs/>
        </w:rPr>
        <w:t>Propriedade</w:t>
      </w:r>
      <w:proofErr w:type="spellEnd"/>
      <w:r w:rsidRPr="00573DEB">
        <w:rPr>
          <w:i/>
          <w:iCs/>
        </w:rPr>
        <w:t xml:space="preserve"> Industrial </w:t>
      </w:r>
      <w:r w:rsidRPr="00573DEB">
        <w:t>(INPI) – created the Economic Advisory Area (AECON) with the mission of conducting economic studies on the impact of Intellectual Property (IP) and to contribute to INPI’s actions on policies for economic development.</w:t>
      </w:r>
      <w:r w:rsidRPr="00573DEB">
        <w:rPr>
          <w:rStyle w:val="FootnoteReference"/>
        </w:rPr>
        <w:footnoteReference w:id="3"/>
      </w:r>
      <w:r w:rsidRPr="00573DEB">
        <w:t xml:space="preserve">  When executing such activities, AECON faced serious limitations in terms of data availability, mainly on the use of statistical and analytical</w:t>
      </w:r>
      <w:r w:rsidR="004B4B73" w:rsidRPr="00573DEB">
        <w:t xml:space="preserve"> </w:t>
      </w:r>
      <w:r w:rsidRPr="00573DEB">
        <w:t>tools</w:t>
      </w:r>
      <w:r w:rsidR="004B4B73" w:rsidRPr="00573DEB">
        <w:t xml:space="preserve">.  </w:t>
      </w:r>
    </w:p>
    <w:p w:rsidR="00B000C0" w:rsidRPr="00573DEB" w:rsidRDefault="00B000C0" w:rsidP="004B4B73"/>
    <w:p w:rsidR="00B000C0" w:rsidRPr="00573DEB" w:rsidRDefault="00B000C0" w:rsidP="004B4B73">
      <w:r w:rsidRPr="00573DEB">
        <w:t>The report presents the outcome of a joint effort by INPI and WIPO to build a comprehensive database on the use of IP in Brazil</w:t>
      </w:r>
      <w:r w:rsidR="004B4B73" w:rsidRPr="00573DEB">
        <w:t xml:space="preserve">.  </w:t>
      </w:r>
      <w:r w:rsidRPr="00573DEB">
        <w:t xml:space="preserve">This Intellectual Property Statistical Database </w:t>
      </w:r>
      <w:r w:rsidR="00AF73C3" w:rsidRPr="00573DEB">
        <w:t>(</w:t>
      </w:r>
      <w:r w:rsidRPr="00573DEB">
        <w:t>BADEPI</w:t>
      </w:r>
      <w:r w:rsidR="00AF73C3" w:rsidRPr="00573DEB">
        <w:t xml:space="preserve">) </w:t>
      </w:r>
      <w:r w:rsidRPr="00573DEB">
        <w:t>contains all IP records available in Brazil: in the case of patent, utility model, industrial design and software data, it covers the period of 2000 to 2011, while for trademark</w:t>
      </w:r>
      <w:r w:rsidR="00AF73C3" w:rsidRPr="00573DEB">
        <w:t>s</w:t>
      </w:r>
      <w:r w:rsidRPr="00573DEB">
        <w:t>, geographical indication</w:t>
      </w:r>
      <w:r w:rsidR="00AF73C3" w:rsidRPr="00573DEB">
        <w:t>s</w:t>
      </w:r>
      <w:r w:rsidRPr="00573DEB">
        <w:t xml:space="preserve"> and technological contracts, </w:t>
      </w:r>
      <w:r w:rsidR="00AF73C3" w:rsidRPr="00573DEB">
        <w:t xml:space="preserve">it </w:t>
      </w:r>
      <w:r w:rsidRPr="00573DEB">
        <w:t>covers the period of 2000 to 2012</w:t>
      </w:r>
      <w:r w:rsidR="004B4B73" w:rsidRPr="00573DEB">
        <w:t xml:space="preserve">.  </w:t>
      </w:r>
      <w:r w:rsidRPr="00573DEB">
        <w:t>One key aspect contributing to the creation of the BADEPI was the establishment of a dynamic process for production of data.</w:t>
      </w:r>
    </w:p>
    <w:p w:rsidR="00B000C0" w:rsidRPr="00573DEB" w:rsidRDefault="00B000C0" w:rsidP="004B4B73"/>
    <w:p w:rsidR="00B000C0" w:rsidRPr="00573DEB" w:rsidRDefault="00B000C0" w:rsidP="004B4B73">
      <w:r w:rsidRPr="00573DEB">
        <w:t>This new database enables new investigations that can deepen the understanding of the role that IP plays in Brazil’s innovation system</w:t>
      </w:r>
      <w:r w:rsidR="004B4B73" w:rsidRPr="00573DEB">
        <w:t xml:space="preserve">.  </w:t>
      </w:r>
      <w:r w:rsidRPr="00573DEB">
        <w:t xml:space="preserve">As part of the CDIP/5/7 </w:t>
      </w:r>
      <w:r w:rsidRPr="00573DEB">
        <w:rPr>
          <w:i/>
        </w:rPr>
        <w:t>Country Study Brazil</w:t>
      </w:r>
      <w:r w:rsidRPr="00573DEB">
        <w:t>, this report also attempts to provide a first descriptive statistical overview of the use of IP in Brazil</w:t>
      </w:r>
      <w:r w:rsidR="004B4B73" w:rsidRPr="00573DEB">
        <w:t xml:space="preserve">.  </w:t>
      </w:r>
      <w:r w:rsidRPr="00573DEB">
        <w:t>Using the detailed and novel data on IP filings, this report describes how IP is being used, by whom and for which technological sectors.</w:t>
      </w:r>
    </w:p>
    <w:p w:rsidR="00B000C0" w:rsidRPr="00573DEB" w:rsidRDefault="00B000C0" w:rsidP="004B4B73"/>
    <w:p w:rsidR="00AF73C3" w:rsidRPr="00573DEB" w:rsidRDefault="00AF73C3" w:rsidP="004B4B73"/>
    <w:p w:rsidR="00B000C0" w:rsidRPr="00573DEB" w:rsidRDefault="006129E2" w:rsidP="004B4B73">
      <w:pPr>
        <w:pStyle w:val="Heading1"/>
        <w:rPr>
          <w:lang w:eastAsia="pt-BR"/>
        </w:rPr>
      </w:pPr>
      <w:bookmarkStart w:id="6" w:name="_Toc388619904"/>
      <w:r>
        <w:rPr>
          <w:lang w:eastAsia="pt-BR"/>
        </w:rPr>
        <w:t>2</w:t>
      </w:r>
      <w:r>
        <w:rPr>
          <w:lang w:eastAsia="pt-BR"/>
        </w:rPr>
        <w:tab/>
      </w:r>
      <w:r w:rsidR="00B000C0" w:rsidRPr="00573DEB">
        <w:rPr>
          <w:lang w:eastAsia="pt-BR"/>
        </w:rPr>
        <w:t>Industrial Policy and Intellectual Property System in Brazil</w:t>
      </w:r>
      <w:bookmarkEnd w:id="6"/>
      <w:r w:rsidR="00B000C0" w:rsidRPr="00573DEB">
        <w:rPr>
          <w:lang w:eastAsia="pt-BR"/>
        </w:rPr>
        <w:t xml:space="preserve"> </w:t>
      </w:r>
    </w:p>
    <w:p w:rsidR="00B000C0" w:rsidRPr="00573DEB" w:rsidRDefault="00B000C0" w:rsidP="004B4B73">
      <w:pPr>
        <w:rPr>
          <w:lang w:eastAsia="pt-BR"/>
        </w:rPr>
      </w:pPr>
    </w:p>
    <w:p w:rsidR="00B000C0" w:rsidRPr="00573DEB" w:rsidRDefault="00B000C0" w:rsidP="004B4B73">
      <w:pPr>
        <w:pStyle w:val="Heading2"/>
        <w:rPr>
          <w:lang w:eastAsia="pt-BR"/>
        </w:rPr>
      </w:pPr>
      <w:bookmarkStart w:id="7" w:name="_Toc388619905"/>
      <w:r w:rsidRPr="00573DEB">
        <w:rPr>
          <w:lang w:eastAsia="pt-BR"/>
        </w:rPr>
        <w:t>Macroeconomic Outlook (2000-2012)</w:t>
      </w:r>
      <w:bookmarkEnd w:id="7"/>
    </w:p>
    <w:p w:rsidR="00B000C0" w:rsidRPr="00573DEB" w:rsidRDefault="00B000C0" w:rsidP="004B4B73">
      <w:pPr>
        <w:rPr>
          <w:lang w:eastAsia="pt-BR"/>
        </w:rPr>
      </w:pPr>
    </w:p>
    <w:p w:rsidR="00B000C0" w:rsidRPr="00573DEB" w:rsidRDefault="00B000C0" w:rsidP="004B4B73">
      <w:pPr>
        <w:rPr>
          <w:lang w:eastAsia="pt-BR"/>
        </w:rPr>
      </w:pPr>
      <w:r w:rsidRPr="00573DEB">
        <w:rPr>
          <w:lang w:eastAsia="pt-BR"/>
        </w:rPr>
        <w:t>The last 20 years have seen profound changes in both national and international economic backgrounds, as a result of the changes in the productive structure of each country</w:t>
      </w:r>
      <w:r w:rsidR="004B4B73" w:rsidRPr="00573DEB">
        <w:rPr>
          <w:lang w:eastAsia="pt-BR"/>
        </w:rPr>
        <w:t xml:space="preserve">.  </w:t>
      </w:r>
      <w:r w:rsidRPr="00573DEB">
        <w:rPr>
          <w:lang w:eastAsia="pt-BR"/>
        </w:rPr>
        <w:t>During the 90s, Brazil experienced a rapid transformation due to a process of trade liberalization and economic stability achieved through a set of appropriate economic policies, such as the adoption of an inflation target, a floating exchange rate and fiscal austerity, which have created favorable conditions for economic growth</w:t>
      </w:r>
      <w:r w:rsidR="004B4B73" w:rsidRPr="00573DEB">
        <w:rPr>
          <w:lang w:eastAsia="pt-BR"/>
        </w:rPr>
        <w:t xml:space="preserve">.  </w:t>
      </w:r>
      <w:r w:rsidRPr="00573DEB">
        <w:rPr>
          <w:lang w:eastAsia="pt-BR"/>
        </w:rPr>
        <w:t>However, throughout the decade, the macroeconomic environment was characterized by constant turmoil due to economic external crises.</w:t>
      </w:r>
      <w:r w:rsidRPr="00573DEB">
        <w:rPr>
          <w:vertAlign w:val="superscript"/>
          <w:lang w:eastAsia="pt-BR"/>
        </w:rPr>
        <w:footnoteReference w:id="4"/>
      </w:r>
    </w:p>
    <w:p w:rsidR="00B000C0" w:rsidRPr="00573DEB" w:rsidRDefault="00B000C0" w:rsidP="004B4B73">
      <w:pPr>
        <w:rPr>
          <w:lang w:eastAsia="pt-BR"/>
        </w:rPr>
      </w:pPr>
    </w:p>
    <w:p w:rsidR="00B000C0" w:rsidRPr="00573DEB" w:rsidRDefault="00B000C0" w:rsidP="004B4B73">
      <w:pPr>
        <w:rPr>
          <w:lang w:eastAsia="pt-BR"/>
        </w:rPr>
      </w:pPr>
      <w:r w:rsidRPr="00573DEB">
        <w:rPr>
          <w:lang w:eastAsia="pt-BR"/>
        </w:rPr>
        <w:t>Between 2000 and 2012, the Gross Domestic Product (GDP) had an average annual growth of 3.41% per year (Figure 2.1), higher than the observed in the previous decade, of 1.64% per year</w:t>
      </w:r>
      <w:r w:rsidR="004B4B73" w:rsidRPr="00573DEB">
        <w:rPr>
          <w:lang w:eastAsia="pt-BR"/>
        </w:rPr>
        <w:t xml:space="preserve">.  </w:t>
      </w:r>
      <w:r w:rsidRPr="00573DEB">
        <w:rPr>
          <w:lang w:eastAsia="pt-BR"/>
        </w:rPr>
        <w:t>The highest performance of the economy occurred between 2004 and 2008, when GDP grew on average by 4.82% per year</w:t>
      </w:r>
      <w:r w:rsidR="004B4B73" w:rsidRPr="00573DEB">
        <w:rPr>
          <w:lang w:eastAsia="pt-BR"/>
        </w:rPr>
        <w:t xml:space="preserve">.  </w:t>
      </w:r>
      <w:r w:rsidRPr="00573DEB">
        <w:rPr>
          <w:lang w:eastAsia="pt-BR"/>
        </w:rPr>
        <w:t>It is worth mentioning that the effects of the subprime crisis on GDP were relatively small, with a drop of only 0.3% in 2009 and a rapid recovery in 2010, when GPD grew by 7.53%</w:t>
      </w:r>
      <w:r w:rsidR="004B4B73" w:rsidRPr="00573DEB">
        <w:rPr>
          <w:lang w:eastAsia="pt-BR"/>
        </w:rPr>
        <w:t xml:space="preserve">.  </w:t>
      </w:r>
      <w:r w:rsidRPr="00573DEB">
        <w:rPr>
          <w:lang w:eastAsia="pt-BR"/>
        </w:rPr>
        <w:t>In 2011 and 2012, there was a more modest growth, reflecting the adverse external environment.</w:t>
      </w:r>
    </w:p>
    <w:p w:rsidR="00B000C0" w:rsidRPr="00573DEB" w:rsidRDefault="00B000C0" w:rsidP="004B4B73">
      <w:pPr>
        <w:rPr>
          <w:lang w:eastAsia="pt-BR"/>
        </w:rPr>
      </w:pPr>
    </w:p>
    <w:p w:rsidR="00B000C0" w:rsidRPr="00573DEB" w:rsidRDefault="00B000C0" w:rsidP="004B4B73">
      <w:bookmarkStart w:id="8" w:name="_Toc377045388"/>
      <w:bookmarkStart w:id="9" w:name="_Toc377053279"/>
    </w:p>
    <w:p w:rsidR="00B000C0" w:rsidRPr="00573DEB" w:rsidRDefault="003A460B" w:rsidP="00800CA3">
      <w:pPr>
        <w:pStyle w:val="Caption"/>
        <w:rPr>
          <w:lang w:eastAsia="pt-BR"/>
        </w:rPr>
      </w:pPr>
      <w:bookmarkStart w:id="10" w:name="_Toc378267949"/>
      <w:r>
        <w:rPr>
          <w:lang w:eastAsia="pt-BR"/>
        </w:rPr>
        <w:t xml:space="preserve">Figure 2.1:  </w:t>
      </w:r>
      <w:r w:rsidR="00B000C0" w:rsidRPr="00573DEB">
        <w:rPr>
          <w:lang w:eastAsia="pt-BR"/>
        </w:rPr>
        <w:t>Annual GDP Growth, 1999-2012</w:t>
      </w:r>
      <w:bookmarkEnd w:id="8"/>
      <w:bookmarkEnd w:id="9"/>
      <w:bookmarkEnd w:id="10"/>
    </w:p>
    <w:p w:rsidR="00B000C0" w:rsidRPr="00573DEB" w:rsidRDefault="00B000C0" w:rsidP="004B4B73">
      <w:r w:rsidRPr="00573DEB">
        <w:rPr>
          <w:noProof/>
        </w:rPr>
        <w:drawing>
          <wp:inline distT="0" distB="0" distL="0" distR="0" wp14:anchorId="19495DC5" wp14:editId="2E9F1A78">
            <wp:extent cx="5549900" cy="2655570"/>
            <wp:effectExtent l="19050" t="19050" r="12700" b="1143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900" cy="2655570"/>
                    </a:xfrm>
                    <a:prstGeom prst="rect">
                      <a:avLst/>
                    </a:prstGeom>
                    <a:noFill/>
                    <a:ln w="9525" cmpd="sng">
                      <a:solidFill>
                        <a:srgbClr val="000000"/>
                      </a:solidFill>
                      <a:miter lim="800000"/>
                      <a:headEnd/>
                      <a:tailEnd/>
                    </a:ln>
                    <a:effectLst/>
                  </pic:spPr>
                </pic:pic>
              </a:graphicData>
            </a:graphic>
          </wp:inline>
        </w:drawing>
      </w:r>
    </w:p>
    <w:p w:rsidR="00B000C0" w:rsidRPr="00587436" w:rsidRDefault="00B000C0" w:rsidP="00800CA3">
      <w:pPr>
        <w:pStyle w:val="Captionnotes"/>
        <w:rPr>
          <w:i w:val="0"/>
        </w:rPr>
      </w:pPr>
      <w:r w:rsidRPr="00587436">
        <w:rPr>
          <w:i w:val="0"/>
        </w:rPr>
        <w:t>Source:</w:t>
      </w:r>
      <w:r w:rsidR="006129E2" w:rsidRPr="00587436">
        <w:rPr>
          <w:i w:val="0"/>
        </w:rPr>
        <w:t xml:space="preserve"> </w:t>
      </w:r>
      <w:r w:rsidRPr="00587436">
        <w:rPr>
          <w:i w:val="0"/>
        </w:rPr>
        <w:t xml:space="preserve"> Prepared by INPI, data from the Brazilian Institute of Geography and Statistics (IBGE)</w:t>
      </w:r>
    </w:p>
    <w:p w:rsidR="00B000C0" w:rsidRDefault="00B000C0" w:rsidP="004B4B73">
      <w:pPr>
        <w:rPr>
          <w:lang w:eastAsia="pt-BR"/>
        </w:rPr>
      </w:pPr>
    </w:p>
    <w:p w:rsidR="00F86B70" w:rsidRPr="00573DEB" w:rsidRDefault="00F86B70" w:rsidP="004B4B73">
      <w:pPr>
        <w:rPr>
          <w:lang w:eastAsia="pt-BR"/>
        </w:rPr>
      </w:pPr>
    </w:p>
    <w:p w:rsidR="00B000C0" w:rsidRPr="00573DEB" w:rsidRDefault="00B000C0" w:rsidP="004B4B73">
      <w:pPr>
        <w:rPr>
          <w:lang w:eastAsia="pt-BR"/>
        </w:rPr>
      </w:pPr>
      <w:r w:rsidRPr="00573DEB">
        <w:rPr>
          <w:lang w:eastAsia="pt-BR"/>
        </w:rPr>
        <w:t>This behavior may be partly credited to the strength of the domestic market and to factors such as the strong expansion of domestic credit</w:t>
      </w:r>
      <w:r w:rsidR="004B4B73" w:rsidRPr="00573DEB">
        <w:rPr>
          <w:lang w:eastAsia="pt-BR"/>
        </w:rPr>
        <w:t xml:space="preserve">.  </w:t>
      </w:r>
      <w:r w:rsidRPr="00573DEB">
        <w:rPr>
          <w:lang w:eastAsia="pt-BR"/>
        </w:rPr>
        <w:t>The credit-to-GDP ratio until 2006 was less than 30%, reaching 50% in 2012 (Figure 2.2)</w:t>
      </w:r>
      <w:r w:rsidR="004B4B73" w:rsidRPr="00573DEB">
        <w:rPr>
          <w:lang w:eastAsia="pt-BR"/>
        </w:rPr>
        <w:t xml:space="preserve">.  </w:t>
      </w:r>
      <w:r w:rsidRPr="00573DEB">
        <w:rPr>
          <w:lang w:eastAsia="pt-BR"/>
        </w:rPr>
        <w:t>In particular, the expansion of credit to individuals was relevant, growing from 6% of the GDP in 2001 to 16% in 2012.</w:t>
      </w:r>
    </w:p>
    <w:p w:rsidR="00B000C0" w:rsidRPr="00573DEB" w:rsidRDefault="00B000C0" w:rsidP="004B4B73"/>
    <w:p w:rsidR="00B000C0" w:rsidRPr="00573DEB" w:rsidRDefault="00B000C0" w:rsidP="004B4B73"/>
    <w:p w:rsidR="00B000C0" w:rsidRPr="00573DEB" w:rsidRDefault="000C6B94" w:rsidP="00800CA3">
      <w:pPr>
        <w:pStyle w:val="Caption"/>
        <w:rPr>
          <w:i/>
          <w:iCs/>
          <w:lang w:eastAsia="pt-BR"/>
        </w:rPr>
      </w:pPr>
      <w:bookmarkStart w:id="11" w:name="_Toc377045389"/>
      <w:bookmarkStart w:id="12" w:name="_Toc377053280"/>
      <w:bookmarkStart w:id="13" w:name="_Toc378267950"/>
      <w:r>
        <w:rPr>
          <w:lang w:eastAsia="pt-BR"/>
        </w:rPr>
        <w:lastRenderedPageBreak/>
        <w:t xml:space="preserve">Figure 2.2:  </w:t>
      </w:r>
      <w:r w:rsidR="00B000C0" w:rsidRPr="00573DEB">
        <w:rPr>
          <w:lang w:eastAsia="pt-BR"/>
        </w:rPr>
        <w:t>Credit Operations relative to GDP (%), 2001-2013</w:t>
      </w:r>
      <w:bookmarkEnd w:id="11"/>
      <w:bookmarkEnd w:id="12"/>
      <w:bookmarkEnd w:id="13"/>
    </w:p>
    <w:p w:rsidR="00B000C0" w:rsidRPr="00573DEB" w:rsidRDefault="00B000C0" w:rsidP="004B4B73">
      <w:r w:rsidRPr="00573DEB">
        <w:rPr>
          <w:noProof/>
        </w:rPr>
        <w:drawing>
          <wp:inline distT="0" distB="0" distL="0" distR="0" wp14:anchorId="28C74782" wp14:editId="000F1EDF">
            <wp:extent cx="5613400" cy="3013710"/>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3013710"/>
                    </a:xfrm>
                    <a:prstGeom prst="rect">
                      <a:avLst/>
                    </a:prstGeom>
                    <a:noFill/>
                    <a:ln>
                      <a:noFill/>
                    </a:ln>
                  </pic:spPr>
                </pic:pic>
              </a:graphicData>
            </a:graphic>
          </wp:inline>
        </w:drawing>
      </w:r>
    </w:p>
    <w:p w:rsidR="00B000C0" w:rsidRPr="00587436" w:rsidRDefault="00B000C0" w:rsidP="00800CA3">
      <w:pPr>
        <w:pStyle w:val="Captionnotes"/>
        <w:rPr>
          <w:i w:val="0"/>
        </w:rPr>
      </w:pPr>
      <w:r w:rsidRPr="00587436">
        <w:rPr>
          <w:i w:val="0"/>
        </w:rPr>
        <w:t xml:space="preserve">Source: </w:t>
      </w:r>
      <w:r w:rsidR="006129E2" w:rsidRPr="00587436">
        <w:rPr>
          <w:i w:val="0"/>
        </w:rPr>
        <w:t xml:space="preserve"> </w:t>
      </w:r>
      <w:r w:rsidRPr="00587436">
        <w:rPr>
          <w:i w:val="0"/>
        </w:rPr>
        <w:t>Prepared by INPI, data from the Central Bank of Brazil (BCB)</w:t>
      </w:r>
    </w:p>
    <w:p w:rsidR="00B000C0" w:rsidRPr="00573DEB" w:rsidRDefault="00B000C0" w:rsidP="004B4B73">
      <w:pPr>
        <w:rPr>
          <w:lang w:eastAsia="pt-BR"/>
        </w:rPr>
      </w:pPr>
    </w:p>
    <w:p w:rsidR="00B000C0" w:rsidRPr="00573DEB" w:rsidRDefault="00B000C0" w:rsidP="004B4B73">
      <w:pPr>
        <w:rPr>
          <w:lang w:eastAsia="pt-BR"/>
        </w:rPr>
      </w:pPr>
      <w:r w:rsidRPr="00573DEB">
        <w:rPr>
          <w:lang w:eastAsia="pt-BR"/>
        </w:rPr>
        <w:t>The expansion of investment in the different sectors of the economy was also a relevant factor in the period</w:t>
      </w:r>
      <w:r w:rsidR="004B4B73" w:rsidRPr="00573DEB">
        <w:rPr>
          <w:lang w:eastAsia="pt-BR"/>
        </w:rPr>
        <w:t xml:space="preserve">.  </w:t>
      </w:r>
      <w:r w:rsidRPr="00573DEB">
        <w:rPr>
          <w:lang w:eastAsia="pt-BR"/>
        </w:rPr>
        <w:t>Their performance is related to domestic and international markets as well as to public policies and structural reforms</w:t>
      </w:r>
      <w:r w:rsidR="004B4B73" w:rsidRPr="00573DEB">
        <w:rPr>
          <w:lang w:eastAsia="pt-BR"/>
        </w:rPr>
        <w:t xml:space="preserve">.  </w:t>
      </w:r>
      <w:r w:rsidRPr="00573DEB">
        <w:rPr>
          <w:lang w:eastAsia="pt-BR"/>
        </w:rPr>
        <w:t>Between 2006 and September 2008, Brazil experienced an important investment cycle</w:t>
      </w:r>
      <w:r w:rsidR="004B4B73" w:rsidRPr="00573DEB">
        <w:rPr>
          <w:lang w:eastAsia="pt-BR"/>
        </w:rPr>
        <w:t xml:space="preserve">.  </w:t>
      </w:r>
      <w:r w:rsidRPr="00573DEB">
        <w:rPr>
          <w:lang w:eastAsia="pt-BR"/>
        </w:rPr>
        <w:t>There was a strong increase in the investment rate, from 15.9% of GDP in 2005 to 19.1% of GDP in 2008, maintaining this level until 2012.</w:t>
      </w:r>
    </w:p>
    <w:p w:rsidR="00B000C0" w:rsidRPr="00573DEB" w:rsidRDefault="00B000C0" w:rsidP="004B4B73">
      <w:pPr>
        <w:rPr>
          <w:lang w:eastAsia="pt-BR"/>
        </w:rPr>
      </w:pPr>
    </w:p>
    <w:p w:rsidR="00B000C0" w:rsidRPr="00573DEB" w:rsidRDefault="00B000C0" w:rsidP="004B4B73">
      <w:pPr>
        <w:rPr>
          <w:lang w:eastAsia="pt-BR"/>
        </w:rPr>
      </w:pPr>
      <w:r w:rsidRPr="00573DEB">
        <w:rPr>
          <w:lang w:eastAsia="pt-BR"/>
        </w:rPr>
        <w:t>Regarding the external sector, the consolidation of China as an economic power provided a growing demand for commodities and increased the exportation of mineral and energetic resources from Brazil</w:t>
      </w:r>
      <w:r w:rsidR="004B4B73" w:rsidRPr="00573DEB">
        <w:rPr>
          <w:lang w:eastAsia="pt-BR"/>
        </w:rPr>
        <w:t xml:space="preserve">.  </w:t>
      </w:r>
      <w:r w:rsidRPr="00573DEB">
        <w:rPr>
          <w:lang w:eastAsia="pt-BR"/>
        </w:rPr>
        <w:t>This change in the international economic structure impacted the dynamism of emerging and developed countries</w:t>
      </w:r>
      <w:r w:rsidR="004B4B73" w:rsidRPr="00573DEB">
        <w:rPr>
          <w:lang w:eastAsia="pt-BR"/>
        </w:rPr>
        <w:t xml:space="preserve">.  </w:t>
      </w:r>
      <w:r w:rsidRPr="00573DEB">
        <w:rPr>
          <w:lang w:eastAsia="pt-BR"/>
        </w:rPr>
        <w:t>In this sense, the Brazil's balance of trade reversed the trend of deficits observed during the 90s, with an annual average surplus of US$ 24 billion in the 2000s</w:t>
      </w:r>
      <w:r w:rsidR="004B4B73" w:rsidRPr="00573DEB">
        <w:rPr>
          <w:lang w:eastAsia="pt-BR"/>
        </w:rPr>
        <w:t xml:space="preserve">.  </w:t>
      </w:r>
      <w:r w:rsidRPr="00573DEB">
        <w:rPr>
          <w:lang w:eastAsia="pt-BR"/>
        </w:rPr>
        <w:t>The Brazilian exports jumped from around US$55 billion in 2000 to US$242 billion in 2012, while imports grew from US$56 billion to US$223 billion</w:t>
      </w:r>
      <w:r w:rsidR="004B4B73" w:rsidRPr="00573DEB">
        <w:rPr>
          <w:lang w:eastAsia="pt-BR"/>
        </w:rPr>
        <w:t xml:space="preserve">.  </w:t>
      </w:r>
      <w:r w:rsidR="00800CA3" w:rsidRPr="00573DEB">
        <w:rPr>
          <w:lang w:eastAsia="pt-BR"/>
        </w:rPr>
        <w:t xml:space="preserve">This balance of trade </w:t>
      </w:r>
      <w:r w:rsidR="00AE4490" w:rsidRPr="00573DEB">
        <w:rPr>
          <w:lang w:eastAsia="pt-BR"/>
        </w:rPr>
        <w:t xml:space="preserve">improvement </w:t>
      </w:r>
      <w:r w:rsidR="00800CA3" w:rsidRPr="00573DEB">
        <w:rPr>
          <w:lang w:eastAsia="pt-BR"/>
        </w:rPr>
        <w:t xml:space="preserve">had different contributions </w:t>
      </w:r>
      <w:r w:rsidR="00AE4490">
        <w:rPr>
          <w:lang w:eastAsia="pt-BR"/>
        </w:rPr>
        <w:t xml:space="preserve">in terms of </w:t>
      </w:r>
      <w:r w:rsidR="00800CA3" w:rsidRPr="00573DEB">
        <w:rPr>
          <w:lang w:eastAsia="pt-BR"/>
        </w:rPr>
        <w:t xml:space="preserve">intermediary products </w:t>
      </w:r>
      <w:r w:rsidR="00AE4490">
        <w:rPr>
          <w:lang w:eastAsia="pt-BR"/>
        </w:rPr>
        <w:t xml:space="preserve">than of </w:t>
      </w:r>
      <w:r w:rsidR="00800CA3" w:rsidRPr="00573DEB">
        <w:rPr>
          <w:lang w:eastAsia="pt-BR"/>
        </w:rPr>
        <w:t>capital goods (</w:t>
      </w:r>
      <w:r w:rsidRPr="00573DEB">
        <w:rPr>
          <w:lang w:eastAsia="pt-BR"/>
        </w:rPr>
        <w:t>Table 2.1)</w:t>
      </w:r>
      <w:r w:rsidR="004B4B73" w:rsidRPr="00573DEB">
        <w:rPr>
          <w:lang w:eastAsia="pt-BR"/>
        </w:rPr>
        <w:t xml:space="preserve">.  </w:t>
      </w:r>
      <w:r w:rsidRPr="00573DEB">
        <w:rPr>
          <w:lang w:eastAsia="pt-BR"/>
        </w:rPr>
        <w:t>In the first case, the agricultural sector and those intensive in natural resources were greatly influenced by the increase of the market prices of agricultural and mineral commodities</w:t>
      </w:r>
      <w:r w:rsidR="004B4B73" w:rsidRPr="00573DEB">
        <w:rPr>
          <w:lang w:eastAsia="pt-BR"/>
        </w:rPr>
        <w:t xml:space="preserve">.  </w:t>
      </w:r>
      <w:r w:rsidRPr="00573DEB">
        <w:rPr>
          <w:lang w:eastAsia="pt-BR"/>
        </w:rPr>
        <w:t xml:space="preserve">In the second case, the trade deficit in the sector was </w:t>
      </w:r>
      <w:r w:rsidR="00AE4490">
        <w:rPr>
          <w:lang w:eastAsia="pt-BR"/>
        </w:rPr>
        <w:t xml:space="preserve">explained by </w:t>
      </w:r>
      <w:r w:rsidRPr="00573DEB">
        <w:rPr>
          <w:lang w:eastAsia="pt-BR"/>
        </w:rPr>
        <w:t>companies rely</w:t>
      </w:r>
      <w:r w:rsidR="00AE4490">
        <w:rPr>
          <w:lang w:eastAsia="pt-BR"/>
        </w:rPr>
        <w:t>ing</w:t>
      </w:r>
      <w:r w:rsidRPr="00573DEB">
        <w:rPr>
          <w:lang w:eastAsia="pt-BR"/>
        </w:rPr>
        <w:t xml:space="preserve"> heavily on engineering and technological products</w:t>
      </w:r>
      <w:r w:rsidR="004B4B73" w:rsidRPr="00573DEB">
        <w:rPr>
          <w:lang w:eastAsia="pt-BR"/>
        </w:rPr>
        <w:t xml:space="preserve">.  </w:t>
      </w:r>
    </w:p>
    <w:p w:rsidR="00B000C0" w:rsidRPr="00573DEB" w:rsidRDefault="00B000C0" w:rsidP="004B4B73">
      <w:pPr>
        <w:rPr>
          <w:lang w:eastAsia="pt-BR"/>
        </w:rPr>
      </w:pPr>
    </w:p>
    <w:p w:rsidR="00B000C0" w:rsidRPr="00573DEB" w:rsidRDefault="00B000C0" w:rsidP="004B4B73">
      <w:pPr>
        <w:rPr>
          <w:lang w:eastAsia="pt-BR"/>
        </w:rPr>
      </w:pPr>
      <w:r w:rsidRPr="00573DEB">
        <w:rPr>
          <w:lang w:eastAsia="pt-BR"/>
        </w:rPr>
        <w:t>Another relevant aspect of the Brazilian economy in the period refers to the flow of Foreign Direct Investment (FDI)</w:t>
      </w:r>
      <w:r w:rsidR="004B4B73" w:rsidRPr="00573DEB">
        <w:rPr>
          <w:lang w:eastAsia="pt-BR"/>
        </w:rPr>
        <w:t xml:space="preserve">.  </w:t>
      </w:r>
      <w:r w:rsidRPr="00573DEB">
        <w:rPr>
          <w:lang w:eastAsia="pt-BR"/>
        </w:rPr>
        <w:t>In 2012, with a flow of US$ 65 billion, the country was the fourth country in the world as FDI destination</w:t>
      </w:r>
      <w:r w:rsidR="004B4B73" w:rsidRPr="00573DEB">
        <w:rPr>
          <w:lang w:eastAsia="pt-BR"/>
        </w:rPr>
        <w:t xml:space="preserve">.  </w:t>
      </w:r>
      <w:r w:rsidRPr="00573DEB">
        <w:rPr>
          <w:lang w:eastAsia="pt-BR"/>
        </w:rPr>
        <w:t>Although this volume is 2% lower than in 2011, these values are a result of the measures undertaken by the Government in industry, technology and foreign trade policies adopted by the government in the last decade.</w:t>
      </w:r>
    </w:p>
    <w:p w:rsidR="00B000C0" w:rsidRPr="00573DEB" w:rsidRDefault="00B000C0" w:rsidP="004B4B73">
      <w:pPr>
        <w:rPr>
          <w:lang w:eastAsia="pt-BR"/>
        </w:rPr>
      </w:pPr>
    </w:p>
    <w:p w:rsidR="00800CA3" w:rsidRPr="00573DEB" w:rsidRDefault="00800CA3" w:rsidP="00800CA3"/>
    <w:p w:rsidR="00B000C0" w:rsidRPr="00573DEB" w:rsidRDefault="000C6B94" w:rsidP="00800CA3">
      <w:pPr>
        <w:pStyle w:val="Caption"/>
      </w:pPr>
      <w:r>
        <w:lastRenderedPageBreak/>
        <w:t xml:space="preserve">Table 2.1:  </w:t>
      </w:r>
      <w:r w:rsidR="00800CA3" w:rsidRPr="00573DEB">
        <w:t>Balance of Trade by Type of Good, 2000-2012</w:t>
      </w:r>
      <w:r w:rsidR="00B000C0" w:rsidRPr="00573DEB">
        <w:rPr>
          <w:noProof/>
        </w:rPr>
        <w:drawing>
          <wp:inline distT="0" distB="0" distL="0" distR="0" wp14:anchorId="5F1FFFEA" wp14:editId="69A9A8F8">
            <wp:extent cx="4500245" cy="252031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0245" cy="2520315"/>
                    </a:xfrm>
                    <a:prstGeom prst="rect">
                      <a:avLst/>
                    </a:prstGeom>
                    <a:noFill/>
                    <a:ln>
                      <a:noFill/>
                    </a:ln>
                  </pic:spPr>
                </pic:pic>
              </a:graphicData>
            </a:graphic>
          </wp:inline>
        </w:drawing>
      </w:r>
    </w:p>
    <w:p w:rsidR="00B000C0" w:rsidRPr="00587436" w:rsidRDefault="00B000C0" w:rsidP="00800CA3">
      <w:pPr>
        <w:pStyle w:val="Captionnotes"/>
        <w:rPr>
          <w:i w:val="0"/>
        </w:rPr>
      </w:pPr>
      <w:r w:rsidRPr="00587436">
        <w:rPr>
          <w:i w:val="0"/>
        </w:rPr>
        <w:t xml:space="preserve">Source: </w:t>
      </w:r>
      <w:r w:rsidR="00587436">
        <w:rPr>
          <w:i w:val="0"/>
        </w:rPr>
        <w:t xml:space="preserve"> </w:t>
      </w:r>
      <w:r w:rsidRPr="00587436">
        <w:rPr>
          <w:i w:val="0"/>
        </w:rPr>
        <w:t>Prepared by INPI, data from the Central Bank of Brazil (BCB)</w:t>
      </w:r>
    </w:p>
    <w:p w:rsidR="00B000C0" w:rsidRPr="00573DEB" w:rsidRDefault="00B000C0" w:rsidP="004B4B73">
      <w:pPr>
        <w:rPr>
          <w:lang w:eastAsia="pt-BR"/>
        </w:rPr>
      </w:pPr>
    </w:p>
    <w:p w:rsidR="00B000C0" w:rsidRPr="00573DEB" w:rsidRDefault="00B000C0" w:rsidP="004B4B73">
      <w:pPr>
        <w:rPr>
          <w:lang w:eastAsia="pt-BR"/>
        </w:rPr>
      </w:pPr>
      <w:r w:rsidRPr="00573DEB">
        <w:rPr>
          <w:lang w:eastAsia="pt-BR"/>
        </w:rPr>
        <w:t>From a social perspective, government policies of readjustments of the minimum wage and transfer income provided a substantial improvement in the income and quality of life of the poorest households</w:t>
      </w:r>
      <w:r w:rsidR="004B4B73" w:rsidRPr="00573DEB">
        <w:rPr>
          <w:lang w:eastAsia="pt-BR"/>
        </w:rPr>
        <w:t xml:space="preserve">.  </w:t>
      </w:r>
      <w:r w:rsidRPr="00573DEB">
        <w:rPr>
          <w:lang w:eastAsia="pt-BR"/>
        </w:rPr>
        <w:t xml:space="preserve">The unemployment rate had an almost continuous fall, </w:t>
      </w:r>
      <w:proofErr w:type="gramStart"/>
      <w:r w:rsidRPr="00573DEB">
        <w:rPr>
          <w:lang w:eastAsia="pt-BR"/>
        </w:rPr>
        <w:t>and ,</w:t>
      </w:r>
      <w:proofErr w:type="gramEnd"/>
      <w:r w:rsidRPr="00573DEB">
        <w:rPr>
          <w:lang w:eastAsia="pt-BR"/>
        </w:rPr>
        <w:t xml:space="preserve"> reached the lowest value in the last 10 years (4.6%) in late 2012.</w:t>
      </w:r>
    </w:p>
    <w:p w:rsidR="00B000C0" w:rsidRPr="00573DEB" w:rsidRDefault="00B000C0" w:rsidP="004B4B73">
      <w:pPr>
        <w:rPr>
          <w:lang w:eastAsia="pt-BR"/>
        </w:rPr>
      </w:pPr>
    </w:p>
    <w:p w:rsidR="00B000C0" w:rsidRPr="00573DEB" w:rsidRDefault="00B000C0" w:rsidP="004B4B73">
      <w:pPr>
        <w:rPr>
          <w:lang w:eastAsia="pt-BR"/>
        </w:rPr>
      </w:pPr>
      <w:r w:rsidRPr="00573DEB">
        <w:rPr>
          <w:lang w:eastAsia="pt-BR"/>
        </w:rPr>
        <w:t>Despite recent improvements in macroeconomic indicators between 2000 and 2012, an economic, social and environmentally sustainable development is necessary to continue the social advances and increase the competitiveness of the Brazilian economy</w:t>
      </w:r>
      <w:r w:rsidR="004B4B73" w:rsidRPr="00573DEB">
        <w:rPr>
          <w:lang w:eastAsia="pt-BR"/>
        </w:rPr>
        <w:t xml:space="preserve">.  </w:t>
      </w:r>
      <w:r w:rsidRPr="00573DEB">
        <w:rPr>
          <w:lang w:eastAsia="pt-BR"/>
        </w:rPr>
        <w:t>In the process, investments in infrastructure, increased R&amp;D spending and better qualification of the workforce are key factors</w:t>
      </w:r>
      <w:r w:rsidR="004B4B73" w:rsidRPr="00573DEB">
        <w:rPr>
          <w:lang w:eastAsia="pt-BR"/>
        </w:rPr>
        <w:t xml:space="preserve">.  </w:t>
      </w:r>
      <w:r w:rsidRPr="00573DEB">
        <w:rPr>
          <w:lang w:eastAsia="pt-BR"/>
        </w:rPr>
        <w:t>With that in mind, the next section highlights the changes in the regulatory framework and the main policies implemented.</w:t>
      </w:r>
    </w:p>
    <w:p w:rsidR="00B000C0" w:rsidRPr="00573DEB" w:rsidRDefault="00B000C0" w:rsidP="004B4B73">
      <w:pPr>
        <w:rPr>
          <w:lang w:eastAsia="pt-BR"/>
        </w:rPr>
      </w:pPr>
    </w:p>
    <w:p w:rsidR="00800CA3" w:rsidRPr="00573DEB" w:rsidRDefault="00800CA3" w:rsidP="004B4B73">
      <w:pPr>
        <w:rPr>
          <w:lang w:eastAsia="pt-BR"/>
        </w:rPr>
      </w:pPr>
    </w:p>
    <w:p w:rsidR="00800CA3" w:rsidRPr="00573DEB" w:rsidRDefault="00800CA3" w:rsidP="004B4B73">
      <w:pPr>
        <w:rPr>
          <w:lang w:eastAsia="pt-BR"/>
        </w:rPr>
      </w:pPr>
    </w:p>
    <w:p w:rsidR="00B000C0" w:rsidRPr="00573DEB" w:rsidRDefault="00B000C0" w:rsidP="004B4B73">
      <w:pPr>
        <w:pStyle w:val="Heading2"/>
        <w:rPr>
          <w:lang w:eastAsia="pt-BR"/>
        </w:rPr>
      </w:pPr>
      <w:bookmarkStart w:id="14" w:name="_Toc388619906"/>
      <w:r w:rsidRPr="00573DEB">
        <w:rPr>
          <w:lang w:eastAsia="pt-BR"/>
        </w:rPr>
        <w:t>Brazilian National System of Innovation and Industrial Development</w:t>
      </w:r>
      <w:bookmarkEnd w:id="14"/>
    </w:p>
    <w:p w:rsidR="00B000C0" w:rsidRPr="00573DEB" w:rsidRDefault="00B000C0" w:rsidP="004B4B73">
      <w:pPr>
        <w:rPr>
          <w:lang w:eastAsia="pt-BR"/>
        </w:rPr>
      </w:pPr>
    </w:p>
    <w:p w:rsidR="00B000C0" w:rsidRPr="00573DEB" w:rsidRDefault="00B000C0" w:rsidP="004B4B73">
      <w:pPr>
        <w:rPr>
          <w:lang w:eastAsia="pt-BR"/>
        </w:rPr>
      </w:pPr>
      <w:proofErr w:type="gramStart"/>
      <w:r w:rsidRPr="00573DEB">
        <w:rPr>
          <w:lang w:eastAsia="pt-BR"/>
        </w:rPr>
        <w:t xml:space="preserve">In Brazil, public policies for scientific and technological </w:t>
      </w:r>
      <w:r w:rsidR="00AE4490" w:rsidRPr="00573DEB">
        <w:rPr>
          <w:lang w:eastAsia="pt-BR"/>
        </w:rPr>
        <w:t xml:space="preserve">development </w:t>
      </w:r>
      <w:r w:rsidRPr="00573DEB">
        <w:rPr>
          <w:lang w:eastAsia="pt-BR"/>
        </w:rPr>
        <w:t>begun in the 1950s</w:t>
      </w:r>
      <w:r w:rsidR="004B4B73" w:rsidRPr="00573DEB">
        <w:rPr>
          <w:lang w:eastAsia="pt-BR"/>
        </w:rPr>
        <w:t>.</w:t>
      </w:r>
      <w:proofErr w:type="gramEnd"/>
      <w:r w:rsidR="004B4B73" w:rsidRPr="00573DEB">
        <w:rPr>
          <w:lang w:eastAsia="pt-BR"/>
        </w:rPr>
        <w:t xml:space="preserve">  </w:t>
      </w:r>
      <w:r w:rsidRPr="00573DEB">
        <w:rPr>
          <w:lang w:eastAsia="pt-BR"/>
        </w:rPr>
        <w:t>In that decade, the Brazilian Government created its first science and technology (S&amp;T) programs</w:t>
      </w:r>
      <w:r w:rsidR="004B4B73" w:rsidRPr="00573DEB">
        <w:rPr>
          <w:lang w:eastAsia="pt-BR"/>
        </w:rPr>
        <w:t xml:space="preserve">.  </w:t>
      </w:r>
      <w:r w:rsidRPr="00573DEB">
        <w:rPr>
          <w:lang w:eastAsia="pt-BR"/>
        </w:rPr>
        <w:t>Later on, with the goal of raising incentives for innovation and scientific and technological research and to boost the competitiveness and economic growth of the economy, the Ministry of Science and Technology (MCT) was created in 1985.</w:t>
      </w:r>
    </w:p>
    <w:p w:rsidR="00B000C0" w:rsidRPr="00573DEB" w:rsidRDefault="00B000C0" w:rsidP="004B4B73">
      <w:pPr>
        <w:rPr>
          <w:lang w:eastAsia="pt-BR"/>
        </w:rPr>
      </w:pPr>
    </w:p>
    <w:p w:rsidR="00B000C0" w:rsidRPr="00573DEB" w:rsidRDefault="00B000C0" w:rsidP="004B4B73">
      <w:pPr>
        <w:rPr>
          <w:lang w:eastAsia="pt-BR"/>
        </w:rPr>
      </w:pPr>
      <w:r w:rsidRPr="00573DEB">
        <w:rPr>
          <w:lang w:eastAsia="pt-BR"/>
        </w:rPr>
        <w:t>Until the 90s, S&amp;T policy consisted in a set of actions aimed at building an infrastructure for scientific research, and then applying it to the production system</w:t>
      </w:r>
      <w:r w:rsidR="004B4B73" w:rsidRPr="00573DEB">
        <w:rPr>
          <w:lang w:eastAsia="pt-BR"/>
        </w:rPr>
        <w:t xml:space="preserve">.  </w:t>
      </w:r>
      <w:r w:rsidRPr="00573DEB">
        <w:rPr>
          <w:lang w:eastAsia="pt-BR"/>
        </w:rPr>
        <w:t>Under the new macroeconomic scenario – economic stabilization and trade liberalization –, the prevailing view at that point in time was that industrial policies should cover all sectors, without distinguishing among specific priorities</w:t>
      </w:r>
      <w:r w:rsidR="004B4B73" w:rsidRPr="00573DEB">
        <w:rPr>
          <w:lang w:eastAsia="pt-BR"/>
        </w:rPr>
        <w:t xml:space="preserve">.  </w:t>
      </w:r>
      <w:r w:rsidRPr="00573DEB">
        <w:rPr>
          <w:lang w:eastAsia="pt-BR"/>
        </w:rPr>
        <w:t>With the goal of integrating it to the industrial policy of the 90s, the S&amp;T policy was duly adapted</w:t>
      </w:r>
      <w:r w:rsidR="004B4B73" w:rsidRPr="00573DEB">
        <w:rPr>
          <w:lang w:eastAsia="pt-BR"/>
        </w:rPr>
        <w:t xml:space="preserve">.  </w:t>
      </w:r>
      <w:r w:rsidRPr="00573DEB">
        <w:rPr>
          <w:lang w:eastAsia="pt-BR"/>
        </w:rPr>
        <w:t>Other relevant aspects of the period are the changes in the intellectual property regime with the adoption of the Agreement on Trade-Related Aspects of Intellectual Property Rights (TRIPS) and the emergence of innovation as one of the objectives of S&amp;T policies</w:t>
      </w:r>
      <w:r w:rsidRPr="00573DEB">
        <w:rPr>
          <w:vertAlign w:val="superscript"/>
          <w:lang w:eastAsia="pt-BR"/>
        </w:rPr>
        <w:footnoteReference w:id="5"/>
      </w:r>
      <w:r w:rsidR="004B4B73" w:rsidRPr="00573DEB">
        <w:rPr>
          <w:lang w:eastAsia="pt-BR"/>
        </w:rPr>
        <w:t xml:space="preserve">.  </w:t>
      </w:r>
      <w:r w:rsidRPr="00573DEB">
        <w:rPr>
          <w:lang w:eastAsia="pt-BR"/>
        </w:rPr>
        <w:t xml:space="preserve">On this last point, the role of sectorial funds </w:t>
      </w:r>
      <w:r w:rsidR="00800CA3" w:rsidRPr="00573DEB">
        <w:rPr>
          <w:lang w:eastAsia="pt-BR"/>
        </w:rPr>
        <w:t>is</w:t>
      </w:r>
      <w:r w:rsidRPr="00573DEB">
        <w:rPr>
          <w:lang w:eastAsia="pt-BR"/>
        </w:rPr>
        <w:t xml:space="preserve"> an important advance, since they provide a significant part of the R&amp;D funding</w:t>
      </w:r>
      <w:r w:rsidR="004B4B73" w:rsidRPr="00573DEB">
        <w:rPr>
          <w:lang w:eastAsia="pt-BR"/>
        </w:rPr>
        <w:t xml:space="preserve">.  </w:t>
      </w:r>
    </w:p>
    <w:p w:rsidR="00B000C0" w:rsidRPr="00573DEB" w:rsidRDefault="00B000C0" w:rsidP="004B4B73">
      <w:pPr>
        <w:rPr>
          <w:lang w:eastAsia="pt-BR"/>
        </w:rPr>
      </w:pPr>
    </w:p>
    <w:p w:rsidR="00B000C0" w:rsidRPr="00573DEB" w:rsidRDefault="00B000C0" w:rsidP="004B4B73">
      <w:pPr>
        <w:rPr>
          <w:lang w:eastAsia="pt-BR"/>
        </w:rPr>
      </w:pPr>
      <w:r w:rsidRPr="00573DEB">
        <w:rPr>
          <w:lang w:eastAsia="pt-BR"/>
        </w:rPr>
        <w:t>In the case of innovation-based industrial policy, a general framework was created by the Industrial, Technological and Foreign Trade Policy (PITCE)</w:t>
      </w:r>
      <w:r w:rsidR="004B4B73" w:rsidRPr="00573DEB">
        <w:rPr>
          <w:lang w:eastAsia="pt-BR"/>
        </w:rPr>
        <w:t xml:space="preserve">.  </w:t>
      </w:r>
      <w:r w:rsidRPr="00573DEB">
        <w:rPr>
          <w:lang w:eastAsia="pt-BR"/>
        </w:rPr>
        <w:t xml:space="preserve">Despite emphasizing the importance of interactions between the productive and the academic sectors, this policy brought two important advances: </w:t>
      </w:r>
      <w:r w:rsidR="00587436">
        <w:rPr>
          <w:lang w:eastAsia="pt-BR"/>
        </w:rPr>
        <w:t xml:space="preserve"> </w:t>
      </w:r>
      <w:r w:rsidRPr="00573DEB">
        <w:rPr>
          <w:lang w:eastAsia="pt-BR"/>
        </w:rPr>
        <w:t xml:space="preserve">The Innovation Law (2004) and the "Lei do </w:t>
      </w:r>
      <w:proofErr w:type="spellStart"/>
      <w:r w:rsidRPr="00573DEB">
        <w:rPr>
          <w:lang w:eastAsia="pt-BR"/>
        </w:rPr>
        <w:t>Bem</w:t>
      </w:r>
      <w:proofErr w:type="spellEnd"/>
      <w:r w:rsidRPr="00573DEB">
        <w:rPr>
          <w:lang w:eastAsia="pt-BR"/>
        </w:rPr>
        <w:t>" (2005)</w:t>
      </w:r>
      <w:r w:rsidR="004B4B73" w:rsidRPr="00573DEB">
        <w:rPr>
          <w:lang w:eastAsia="pt-BR"/>
        </w:rPr>
        <w:t xml:space="preserve">.  </w:t>
      </w:r>
      <w:r w:rsidRPr="00573DEB">
        <w:rPr>
          <w:lang w:eastAsia="pt-BR"/>
        </w:rPr>
        <w:t>The first provided the institutional basis for strategic partnerships between universities and industries and also established rules for the sharing of infrastructure and of the economic benefits associated with innovations</w:t>
      </w:r>
      <w:r w:rsidR="004B4B73" w:rsidRPr="00573DEB">
        <w:rPr>
          <w:lang w:eastAsia="pt-BR"/>
        </w:rPr>
        <w:t xml:space="preserve">.  </w:t>
      </w:r>
      <w:r w:rsidRPr="00573DEB">
        <w:rPr>
          <w:lang w:eastAsia="pt-BR"/>
        </w:rPr>
        <w:t xml:space="preserve">To boost the efficiency of the Innovation Law, the “Lei do </w:t>
      </w:r>
      <w:proofErr w:type="spellStart"/>
      <w:r w:rsidRPr="00573DEB">
        <w:rPr>
          <w:lang w:eastAsia="pt-BR"/>
        </w:rPr>
        <w:t>Bem</w:t>
      </w:r>
      <w:proofErr w:type="spellEnd"/>
      <w:r w:rsidRPr="00573DEB">
        <w:rPr>
          <w:lang w:eastAsia="pt-BR"/>
        </w:rPr>
        <w:t>” expanded the incentives for investments in innovative activities by authorizing the use of tax benefits for companies that invest in R&amp;D</w:t>
      </w:r>
      <w:r w:rsidR="004B4B73" w:rsidRPr="00573DEB">
        <w:rPr>
          <w:lang w:eastAsia="pt-BR"/>
        </w:rPr>
        <w:t xml:space="preserve">.  </w:t>
      </w:r>
    </w:p>
    <w:p w:rsidR="00B000C0" w:rsidRPr="00573DEB" w:rsidRDefault="00B000C0" w:rsidP="004B4B73">
      <w:pPr>
        <w:rPr>
          <w:lang w:eastAsia="pt-BR"/>
        </w:rPr>
      </w:pPr>
    </w:p>
    <w:p w:rsidR="00B000C0" w:rsidRPr="00573DEB" w:rsidRDefault="00B000C0" w:rsidP="004B4B73">
      <w:pPr>
        <w:rPr>
          <w:lang w:eastAsia="pt-BR"/>
        </w:rPr>
      </w:pPr>
      <w:r w:rsidRPr="00573DEB">
        <w:rPr>
          <w:lang w:eastAsia="pt-BR"/>
        </w:rPr>
        <w:t xml:space="preserve">In 2008, the PICTE was replaced by the Productive Development Policy (PDP), </w:t>
      </w:r>
      <w:r w:rsidRPr="00573DEB">
        <w:rPr>
          <w:color w:val="222222"/>
        </w:rPr>
        <w:t>increasing the number of benefited sectors and the programs for stimulating investments</w:t>
      </w:r>
      <w:r w:rsidR="004B4B73" w:rsidRPr="00573DEB">
        <w:rPr>
          <w:color w:val="222222"/>
        </w:rPr>
        <w:t xml:space="preserve">.  </w:t>
      </w:r>
      <w:r w:rsidRPr="00573DEB">
        <w:rPr>
          <w:lang w:eastAsia="pt-BR"/>
        </w:rPr>
        <w:t>It also aimed at bolstering the process of economic growth, increase the investment and the economic growth rates</w:t>
      </w:r>
      <w:r w:rsidR="004B4B73" w:rsidRPr="00573DEB">
        <w:rPr>
          <w:lang w:eastAsia="pt-BR"/>
        </w:rPr>
        <w:t xml:space="preserve">.  </w:t>
      </w:r>
      <w:r w:rsidRPr="00573DEB">
        <w:rPr>
          <w:lang w:eastAsia="pt-BR"/>
        </w:rPr>
        <w:t>One of the main objectives for 2010 was to increase R&amp;D expenditures to 0.65% of Gross Domestic Product (GDP).</w:t>
      </w:r>
    </w:p>
    <w:p w:rsidR="00B000C0" w:rsidRPr="00573DEB" w:rsidRDefault="00B000C0" w:rsidP="004B4B73">
      <w:pPr>
        <w:rPr>
          <w:lang w:eastAsia="pt-BR"/>
        </w:rPr>
      </w:pPr>
    </w:p>
    <w:p w:rsidR="00B000C0" w:rsidRPr="00573DEB" w:rsidRDefault="00B000C0" w:rsidP="004B4B73">
      <w:pPr>
        <w:rPr>
          <w:lang w:eastAsia="pt-BR"/>
        </w:rPr>
      </w:pPr>
      <w:r w:rsidRPr="00573DEB">
        <w:rPr>
          <w:lang w:eastAsia="pt-BR"/>
        </w:rPr>
        <w:t>Jointly with the targets of industrial policy, the Plan of Action for Science, Technology and Innovation (PACTI) was launched in 2007 with activities to be carried out and objectives to be reached in the period of 2007 to 2010</w:t>
      </w:r>
      <w:r w:rsidR="004B4B73" w:rsidRPr="00573DEB">
        <w:rPr>
          <w:lang w:eastAsia="pt-BR"/>
        </w:rPr>
        <w:t xml:space="preserve">.  </w:t>
      </w:r>
      <w:r w:rsidRPr="00573DEB">
        <w:rPr>
          <w:lang w:eastAsia="pt-BR"/>
        </w:rPr>
        <w:t>The main objective of PACTI was to define a wider range of initiatives, actions and programs that could improve the role of science, technology and innovation (S</w:t>
      </w:r>
      <w:proofErr w:type="gramStart"/>
      <w:r w:rsidRPr="00573DEB">
        <w:rPr>
          <w:lang w:eastAsia="pt-BR"/>
        </w:rPr>
        <w:t>,T</w:t>
      </w:r>
      <w:proofErr w:type="gramEnd"/>
      <w:r w:rsidRPr="00573DEB">
        <w:rPr>
          <w:lang w:eastAsia="pt-BR"/>
        </w:rPr>
        <w:t>&amp;I) as a basis for the sustainable development</w:t>
      </w:r>
      <w:r w:rsidR="004B4B73" w:rsidRPr="00573DEB">
        <w:rPr>
          <w:lang w:eastAsia="pt-BR"/>
        </w:rPr>
        <w:t xml:space="preserve">.  </w:t>
      </w:r>
      <w:r w:rsidRPr="00573DEB">
        <w:rPr>
          <w:lang w:eastAsia="pt-BR"/>
        </w:rPr>
        <w:t>To achieve this goal, several of the initiatives were aimed at stimulating companies to incorporate the activities of research, development and innovation (R</w:t>
      </w:r>
      <w:proofErr w:type="gramStart"/>
      <w:r w:rsidRPr="00573DEB">
        <w:rPr>
          <w:lang w:eastAsia="pt-BR"/>
        </w:rPr>
        <w:t>,D</w:t>
      </w:r>
      <w:proofErr w:type="gramEnd"/>
      <w:r w:rsidRPr="00573DEB">
        <w:rPr>
          <w:lang w:eastAsia="pt-BR"/>
        </w:rPr>
        <w:t>&amp;I) in their production process</w:t>
      </w:r>
      <w:r w:rsidR="004B4B73" w:rsidRPr="00573DEB">
        <w:rPr>
          <w:lang w:eastAsia="pt-BR"/>
        </w:rPr>
        <w:t xml:space="preserve">.  </w:t>
      </w:r>
      <w:r w:rsidRPr="00573DEB">
        <w:rPr>
          <w:lang w:eastAsia="pt-BR"/>
        </w:rPr>
        <w:t>All areas of knowledge were included in the programs, but with greater stimulus for engineering and strategic areas for the economic development</w:t>
      </w:r>
      <w:r w:rsidR="004B4B73" w:rsidRPr="00573DEB">
        <w:rPr>
          <w:lang w:eastAsia="pt-BR"/>
        </w:rPr>
        <w:t xml:space="preserve">.  </w:t>
      </w:r>
      <w:r w:rsidRPr="00573DEB">
        <w:rPr>
          <w:lang w:eastAsia="pt-BR"/>
        </w:rPr>
        <w:t>The plan forecast an investment of R$36 billion in S</w:t>
      </w:r>
      <w:proofErr w:type="gramStart"/>
      <w:r w:rsidRPr="00573DEB">
        <w:rPr>
          <w:lang w:eastAsia="pt-BR"/>
        </w:rPr>
        <w:t>,T</w:t>
      </w:r>
      <w:proofErr w:type="gramEnd"/>
      <w:r w:rsidRPr="00573DEB">
        <w:rPr>
          <w:lang w:eastAsia="pt-BR"/>
        </w:rPr>
        <w:t>&amp;I and the articulation of five policies and programs (Program of Accelerating Growth, PITCE, Policy for the Development of Agriculture, Plan of Health Development and Educational Development Plan)</w:t>
      </w:r>
      <w:r w:rsidR="004B4B73" w:rsidRPr="00573DEB">
        <w:rPr>
          <w:lang w:eastAsia="pt-BR"/>
        </w:rPr>
        <w:t xml:space="preserve">.  </w:t>
      </w:r>
      <w:r w:rsidRPr="00573DEB">
        <w:rPr>
          <w:lang w:eastAsia="pt-BR"/>
        </w:rPr>
        <w:t xml:space="preserve">The PACTI priorities are directly related to four strategic pillars that guide the current National Policy on S,T&amp; I: </w:t>
      </w:r>
      <w:proofErr w:type="spellStart"/>
      <w:r w:rsidRPr="00573DEB">
        <w:rPr>
          <w:lang w:eastAsia="pt-BR"/>
        </w:rPr>
        <w:t>i</w:t>
      </w:r>
      <w:proofErr w:type="spellEnd"/>
      <w:r w:rsidRPr="00573DEB">
        <w:rPr>
          <w:lang w:eastAsia="pt-BR"/>
        </w:rPr>
        <w:t>) using ST&amp;I as a tool for social development through the stimulation and dissemination of S&amp;T in the society, with improvements in education and in the use of technology; ii) bolstering the number of active researchers working at the private sector; iii) increasing in the number of scholarships and fellowships for undergraduates, master’s and PhD students, postdoctoral students and senior researchers; and, iv) raising the proportion of innovative companies that benefit from governmental support</w:t>
      </w:r>
      <w:r w:rsidR="004B4B73" w:rsidRPr="00573DEB">
        <w:rPr>
          <w:lang w:eastAsia="pt-BR"/>
        </w:rPr>
        <w:t xml:space="preserve">.  </w:t>
      </w:r>
    </w:p>
    <w:p w:rsidR="00B000C0" w:rsidRPr="00573DEB" w:rsidRDefault="00B000C0" w:rsidP="004B4B73">
      <w:pPr>
        <w:rPr>
          <w:lang w:eastAsia="pt-BR"/>
        </w:rPr>
      </w:pPr>
    </w:p>
    <w:p w:rsidR="00B000C0" w:rsidRPr="00573DEB" w:rsidRDefault="00B000C0" w:rsidP="004B4B73">
      <w:pPr>
        <w:rPr>
          <w:lang w:eastAsia="pt-BR"/>
        </w:rPr>
      </w:pPr>
      <w:r w:rsidRPr="00573DEB">
        <w:rPr>
          <w:lang w:eastAsia="pt-BR"/>
        </w:rPr>
        <w:t>Launched in 2011, the Greater Brazil Plan (PBM) consists of a set of initiatives to support the productive sector, especially the industry, with a wider scope than its predecessors</w:t>
      </w:r>
      <w:r w:rsidR="004B4B73" w:rsidRPr="00573DEB">
        <w:rPr>
          <w:lang w:eastAsia="pt-BR"/>
        </w:rPr>
        <w:t xml:space="preserve">.  </w:t>
      </w:r>
      <w:r w:rsidRPr="00573DEB">
        <w:rPr>
          <w:lang w:eastAsia="pt-BR"/>
        </w:rPr>
        <w:t>The PBM brings together two sets of integrated actions to improve the competitiveness of the productive sector</w:t>
      </w:r>
      <w:r w:rsidR="004B4B73" w:rsidRPr="00573DEB">
        <w:rPr>
          <w:lang w:eastAsia="pt-BR"/>
        </w:rPr>
        <w:t xml:space="preserve">.  </w:t>
      </w:r>
      <w:r w:rsidRPr="00573DEB">
        <w:rPr>
          <w:lang w:eastAsia="pt-BR"/>
        </w:rPr>
        <w:t>The first set has ten macro goals related to investments in R&amp;D, industrial production, the qualification of the labor force in the industry and to the use of clean energy, among other</w:t>
      </w:r>
      <w:r w:rsidR="004B4B73" w:rsidRPr="00573DEB">
        <w:rPr>
          <w:lang w:eastAsia="pt-BR"/>
        </w:rPr>
        <w:t xml:space="preserve">.  </w:t>
      </w:r>
      <w:r w:rsidRPr="00573DEB">
        <w:rPr>
          <w:lang w:eastAsia="pt-BR"/>
        </w:rPr>
        <w:t>The second set includes instruments aiming at improving the competitiveness, such as: the expansion of BNDES' financing, the reduction of indirect federal taxes and the use of tax benefits</w:t>
      </w:r>
      <w:r w:rsidR="004B4B73" w:rsidRPr="00573DEB">
        <w:rPr>
          <w:lang w:eastAsia="pt-BR"/>
        </w:rPr>
        <w:t xml:space="preserve">.  </w:t>
      </w:r>
      <w:r w:rsidRPr="00573DEB">
        <w:rPr>
          <w:lang w:eastAsia="pt-BR"/>
        </w:rPr>
        <w:t>This plan is articulated with the National Strategy on Science, Technology and Innovation (ENCTI) with the objectives to be reached between 2012 and 2015</w:t>
      </w:r>
      <w:r w:rsidR="004B4B73" w:rsidRPr="00573DEB">
        <w:rPr>
          <w:lang w:eastAsia="pt-BR"/>
        </w:rPr>
        <w:t xml:space="preserve">.  </w:t>
      </w:r>
      <w:r w:rsidRPr="00573DEB">
        <w:rPr>
          <w:lang w:eastAsia="pt-BR"/>
        </w:rPr>
        <w:t>The ENCTI is under the responsibility of the Ministry of Science, Technology and Innovation (MCTI)</w:t>
      </w:r>
      <w:r w:rsidR="004B4B73" w:rsidRPr="00573DEB">
        <w:rPr>
          <w:lang w:eastAsia="pt-BR"/>
        </w:rPr>
        <w:t xml:space="preserve">.  </w:t>
      </w:r>
      <w:r w:rsidRPr="00573DEB">
        <w:rPr>
          <w:lang w:eastAsia="pt-BR"/>
        </w:rPr>
        <w:t xml:space="preserve">Its main goals consist of: </w:t>
      </w:r>
      <w:proofErr w:type="spellStart"/>
      <w:r w:rsidRPr="00573DEB">
        <w:rPr>
          <w:lang w:eastAsia="pt-BR"/>
        </w:rPr>
        <w:t>i</w:t>
      </w:r>
      <w:proofErr w:type="spellEnd"/>
      <w:r w:rsidRPr="00573DEB">
        <w:rPr>
          <w:lang w:eastAsia="pt-BR"/>
        </w:rPr>
        <w:t>) reducing the scientific and technological gap in relation to developed countries; ii) training and raising the qualification of human resources; iii) expansion of the bases for environmental sustainability and, iv) poverty and social inequalities reduction.</w:t>
      </w:r>
    </w:p>
    <w:p w:rsidR="00B000C0" w:rsidRPr="00573DEB" w:rsidRDefault="00B000C0" w:rsidP="004B4B73">
      <w:pPr>
        <w:rPr>
          <w:lang w:eastAsia="pt-BR"/>
        </w:rPr>
      </w:pPr>
    </w:p>
    <w:p w:rsidR="00B000C0" w:rsidRPr="00573DEB" w:rsidRDefault="00B000C0" w:rsidP="004B4B73">
      <w:pPr>
        <w:rPr>
          <w:lang w:eastAsia="pt-BR"/>
        </w:rPr>
      </w:pPr>
      <w:r w:rsidRPr="00573DEB">
        <w:rPr>
          <w:lang w:eastAsia="pt-BR"/>
        </w:rPr>
        <w:t>In light of the above, it is clear that Brazil has made a remarkable effort in order to align its policies and structure for promoting innovation</w:t>
      </w:r>
      <w:r w:rsidR="004B4B73" w:rsidRPr="00573DEB">
        <w:rPr>
          <w:lang w:eastAsia="pt-BR"/>
        </w:rPr>
        <w:t xml:space="preserve">.  </w:t>
      </w:r>
      <w:r w:rsidRPr="00573DEB">
        <w:rPr>
          <w:lang w:eastAsia="pt-BR"/>
        </w:rPr>
        <w:t xml:space="preserve">There was an effective improvement of governance and an increased efficiency by the integration of policies, instruments and </w:t>
      </w:r>
      <w:r w:rsidRPr="00573DEB">
        <w:rPr>
          <w:lang w:eastAsia="pt-BR"/>
        </w:rPr>
        <w:lastRenderedPageBreak/>
        <w:t>agencies</w:t>
      </w:r>
      <w:r w:rsidR="004B4B73" w:rsidRPr="00573DEB">
        <w:rPr>
          <w:lang w:eastAsia="pt-BR"/>
        </w:rPr>
        <w:t xml:space="preserve">.  </w:t>
      </w:r>
      <w:r w:rsidRPr="00573DEB">
        <w:rPr>
          <w:lang w:eastAsia="pt-BR"/>
        </w:rPr>
        <w:t>Among recent advances, there is a consistent increase on scientific indicators, such as training of postgraduates</w:t>
      </w:r>
      <w:r w:rsidR="004B4B73" w:rsidRPr="00573DEB">
        <w:rPr>
          <w:lang w:eastAsia="pt-BR"/>
        </w:rPr>
        <w:t xml:space="preserve">.  </w:t>
      </w:r>
      <w:r w:rsidRPr="00573DEB">
        <w:rPr>
          <w:lang w:eastAsia="pt-BR"/>
        </w:rPr>
        <w:t>However, despite the growth observed in the period, innovation indicators such as the number of patent applications are still much lower than desirable</w:t>
      </w:r>
      <w:r w:rsidR="004B4B73" w:rsidRPr="00573DEB">
        <w:rPr>
          <w:lang w:eastAsia="pt-BR"/>
        </w:rPr>
        <w:t xml:space="preserve">.  </w:t>
      </w:r>
      <w:r w:rsidRPr="00573DEB">
        <w:rPr>
          <w:lang w:eastAsia="pt-BR"/>
        </w:rPr>
        <w:t>This may be partly credited to institutional factors that undermine the effectiveness of the instruments and to the difficulties of reaching the target of the programs.</w:t>
      </w:r>
    </w:p>
    <w:p w:rsidR="00B000C0" w:rsidRPr="00573DEB" w:rsidRDefault="00B000C0" w:rsidP="004B4B73">
      <w:pPr>
        <w:rPr>
          <w:lang w:eastAsia="pt-BR"/>
        </w:rPr>
      </w:pPr>
    </w:p>
    <w:p w:rsidR="00B000C0" w:rsidRPr="00573DEB" w:rsidRDefault="00B000C0" w:rsidP="004B4B73">
      <w:pPr>
        <w:pStyle w:val="Heading2"/>
        <w:rPr>
          <w:lang w:eastAsia="pt-BR"/>
        </w:rPr>
      </w:pPr>
      <w:bookmarkStart w:id="15" w:name="_Toc388619907"/>
      <w:r w:rsidRPr="00573DEB">
        <w:rPr>
          <w:lang w:eastAsia="pt-BR"/>
        </w:rPr>
        <w:t>The Intellectual Property System in Brazil</w:t>
      </w:r>
      <w:bookmarkEnd w:id="15"/>
    </w:p>
    <w:p w:rsidR="00B000C0" w:rsidRPr="00573DEB" w:rsidRDefault="00B000C0" w:rsidP="004B4B73"/>
    <w:p w:rsidR="00B000C0" w:rsidRPr="00573DEB" w:rsidRDefault="00B000C0" w:rsidP="004B4B73">
      <w:r w:rsidRPr="00573DEB">
        <w:t>The legal framework of intellectual property in Brazil has undergone important changes in order to incorporate the results of the Final Act of the Uruguay Round of Multilateral Trade Negotiations of the General Agreement on Tariffs and Trade (GATT)</w:t>
      </w:r>
      <w:r w:rsidR="00EC3024" w:rsidRPr="00573DEB">
        <w:t xml:space="preserve"> </w:t>
      </w:r>
      <w:r w:rsidRPr="00573DEB">
        <w:t>in the form of the Agreement on Trade Related Aspects of Intellectual Property Rights - TRIPS Agreement)</w:t>
      </w:r>
      <w:r w:rsidR="004B4B73" w:rsidRPr="00573DEB">
        <w:t xml:space="preserve">.  </w:t>
      </w:r>
      <w:r w:rsidRPr="00573DEB">
        <w:t>As a result, Brazil adopted new industrial property law (Law No</w:t>
      </w:r>
      <w:r w:rsidR="00EC3024" w:rsidRPr="00573DEB">
        <w:t xml:space="preserve">. </w:t>
      </w:r>
      <w:r w:rsidRPr="00573DEB">
        <w:t>9.279/1996) and copyright (Law No</w:t>
      </w:r>
      <w:r w:rsidR="004B4B73" w:rsidRPr="00573DEB">
        <w:t xml:space="preserve">. </w:t>
      </w:r>
      <w:r w:rsidRPr="00573DEB">
        <w:t>9.610/1998), as well as specific laws to protect software (Law No</w:t>
      </w:r>
      <w:r w:rsidR="004B4B73" w:rsidRPr="00573DEB">
        <w:t xml:space="preserve">. </w:t>
      </w:r>
      <w:r w:rsidRPr="00573DEB">
        <w:t>9.609/1998) and plant varieties (Law No</w:t>
      </w:r>
      <w:r w:rsidR="004B4B73" w:rsidRPr="00573DEB">
        <w:t xml:space="preserve">. </w:t>
      </w:r>
      <w:r w:rsidRPr="00573DEB">
        <w:t>9.456/1997).</w:t>
      </w:r>
    </w:p>
    <w:p w:rsidR="00B000C0" w:rsidRPr="00573DEB" w:rsidRDefault="00B000C0" w:rsidP="004B4B73"/>
    <w:p w:rsidR="00B000C0" w:rsidRPr="00573DEB" w:rsidRDefault="00B000C0" w:rsidP="004B4B73">
      <w:r w:rsidRPr="00573DEB">
        <w:t>In this context, the most significant changes were related to the scope of patent protection, which recognizes patentable subject-matter from all technological sectors.</w:t>
      </w:r>
      <w:r w:rsidR="00F86B70">
        <w:t xml:space="preserve">  </w:t>
      </w:r>
      <w:r w:rsidRPr="00573DEB">
        <w:t>As a result of TRIPS (Article 27), the new Industrial Property Law (Law No</w:t>
      </w:r>
      <w:r w:rsidR="004B4B73" w:rsidRPr="00573DEB">
        <w:t xml:space="preserve">. </w:t>
      </w:r>
      <w:r w:rsidRPr="00573DEB">
        <w:t>9.279/96) recognized the patenting of “substances, materials or products obtained by chemical means or processes, and alimentary or chemical-pharmaceutical substances, materials, mixtures or products, and medications of any kind, as well as the respective processes for obtaining or modifying them”;</w:t>
      </w:r>
      <w:r w:rsidRPr="00573DEB">
        <w:rPr>
          <w:color w:val="548DD4"/>
        </w:rPr>
        <w:t xml:space="preserve"> </w:t>
      </w:r>
      <w:r w:rsidRPr="00573DEB">
        <w:t>however it was opted for sui generis protection for plant varieties and species of microorganisms(Barbosa, 1999</w:t>
      </w:r>
      <w:r w:rsidRPr="00573DEB">
        <w:rPr>
          <w:vertAlign w:val="superscript"/>
        </w:rPr>
        <w:footnoteReference w:id="6"/>
      </w:r>
      <w:r w:rsidRPr="00573DEB">
        <w:t>; Carvalho, 1997).</w:t>
      </w:r>
      <w:r w:rsidRPr="00573DEB">
        <w:rPr>
          <w:vertAlign w:val="superscript"/>
        </w:rPr>
        <w:footnoteReference w:id="7"/>
      </w:r>
    </w:p>
    <w:p w:rsidR="00B000C0" w:rsidRPr="00573DEB" w:rsidRDefault="00B000C0" w:rsidP="004B4B73"/>
    <w:p w:rsidR="00B000C0" w:rsidRPr="00573DEB" w:rsidRDefault="00B000C0" w:rsidP="004B4B73">
      <w:r w:rsidRPr="00573DEB">
        <w:t>Another important initiative arising from the negotiations on the Uruguay Round of intellectual property is related to the establishment of a new institutional framework to address the needs of coordinating governmental action</w:t>
      </w:r>
      <w:r w:rsidR="004B4B73" w:rsidRPr="00573DEB">
        <w:t xml:space="preserve">.  </w:t>
      </w:r>
      <w:r w:rsidRPr="00573DEB">
        <w:t xml:space="preserve">In 2001, created the </w:t>
      </w:r>
      <w:proofErr w:type="spellStart"/>
      <w:r w:rsidRPr="00573DEB">
        <w:t>Interministerial</w:t>
      </w:r>
      <w:proofErr w:type="spellEnd"/>
      <w:r w:rsidRPr="00573DEB">
        <w:t xml:space="preserve"> Group of Intellectual Property (GIPI)</w:t>
      </w:r>
      <w:r w:rsidRPr="00573DEB">
        <w:rPr>
          <w:vertAlign w:val="superscript"/>
        </w:rPr>
        <w:footnoteReference w:id="8"/>
      </w:r>
      <w:r w:rsidRPr="00573DEB">
        <w:t xml:space="preserve"> was created</w:t>
      </w:r>
      <w:r w:rsidR="004B4B73" w:rsidRPr="00573DEB">
        <w:t xml:space="preserve">.  </w:t>
      </w:r>
      <w:r w:rsidRPr="00573DEB">
        <w:t>It is under the Foreign Trade Chamber - CAMEX, with the function of proposing governmental actions to harmonize internal and external policies regarding IP-related goods and services</w:t>
      </w:r>
      <w:r w:rsidR="004B4B73" w:rsidRPr="00573DEB">
        <w:t xml:space="preserve">.  </w:t>
      </w:r>
      <w:r w:rsidRPr="00573DEB">
        <w:t>The GIPI, coordinated by the Ministry of Development, Industry and Foreign Trade (MDIC), defines government positions related to intellectual property and provide support for the international negotiations (involving direct or indirect issues), whereas the negotiations themselves are conducted by the Ministry of External Re</w:t>
      </w:r>
      <w:r w:rsidR="00EC3024" w:rsidRPr="00573DEB">
        <w:t>l</w:t>
      </w:r>
      <w:r w:rsidRPr="00573DEB">
        <w:t>ations.</w:t>
      </w:r>
    </w:p>
    <w:p w:rsidR="00B000C0" w:rsidRPr="00573DEB" w:rsidRDefault="00B000C0" w:rsidP="004B4B73"/>
    <w:p w:rsidR="00B000C0" w:rsidRPr="00573DEB" w:rsidRDefault="00B000C0" w:rsidP="004B4B73">
      <w:r w:rsidRPr="00573DEB">
        <w:t>The institutional structure of intellectual property protection was also regulated by decrees which establish the functioning of the several institutions responsible for the implementation of the specific laws</w:t>
      </w:r>
      <w:r w:rsidR="004B4B73" w:rsidRPr="00573DEB">
        <w:t xml:space="preserve">.  </w:t>
      </w:r>
    </w:p>
    <w:p w:rsidR="00B000C0" w:rsidRPr="00573DEB" w:rsidRDefault="00B000C0" w:rsidP="004B4B73"/>
    <w:p w:rsidR="00B000C0" w:rsidRPr="00573DEB" w:rsidRDefault="00B000C0" w:rsidP="004B4B73">
      <w:r w:rsidRPr="00573DEB">
        <w:t>The protection of industrial property assets is regulated and managed by the National Institute of Industrial Property (INPI)</w:t>
      </w:r>
      <w:r w:rsidRPr="00573DEB">
        <w:rPr>
          <w:rStyle w:val="FootnoteReference"/>
          <w:color w:val="222222"/>
        </w:rPr>
        <w:footnoteReference w:id="9"/>
      </w:r>
      <w:r w:rsidRPr="00573DEB">
        <w:t>, an institution under the Ministry of Development, Industry and Foreign Trade</w:t>
      </w:r>
      <w:r w:rsidR="004B4B73" w:rsidRPr="00573DEB">
        <w:t xml:space="preserve">.  </w:t>
      </w:r>
      <w:r w:rsidRPr="00573DEB">
        <w:t>The INPI has the following responsibilities: the examination of patent, trademarks, industrial designs and geographical indications applications and also the registration of contracts of technology transfer and franchising</w:t>
      </w:r>
      <w:r w:rsidR="004B4B73" w:rsidRPr="00573DEB">
        <w:t xml:space="preserve">.  </w:t>
      </w:r>
      <w:r w:rsidRPr="00573DEB">
        <w:t>The INPI is also responsible for the registration of software (which enjoy copyright protection) and integrated circuit topographies (a sui generis protection)</w:t>
      </w:r>
      <w:r w:rsidR="004B4B73" w:rsidRPr="00573DEB">
        <w:t xml:space="preserve">.  </w:t>
      </w:r>
      <w:r w:rsidRPr="00573DEB">
        <w:t>Besides registry services, INPI is responsible for disseminating technological information contained in patent documents and for promoting IP system</w:t>
      </w:r>
      <w:r w:rsidR="004B4B73" w:rsidRPr="00573DEB">
        <w:t xml:space="preserve">.  </w:t>
      </w:r>
    </w:p>
    <w:p w:rsidR="00B000C0" w:rsidRPr="00573DEB" w:rsidRDefault="00B000C0" w:rsidP="004B4B73"/>
    <w:p w:rsidR="00B000C0" w:rsidRPr="00573DEB" w:rsidRDefault="00B000C0" w:rsidP="004B4B73">
      <w:r w:rsidRPr="00573DEB">
        <w:t>Regarding copyright law, the protection of the rights is independent of the registration</w:t>
      </w:r>
      <w:r w:rsidR="004B4B73" w:rsidRPr="00573DEB">
        <w:t xml:space="preserve">.  </w:t>
      </w:r>
      <w:r w:rsidRPr="00573DEB">
        <w:t>Nevertheless, authors may register their work in a public institution according to the type of the work:</w:t>
      </w:r>
    </w:p>
    <w:p w:rsidR="00EC3024" w:rsidRPr="00573DEB" w:rsidRDefault="00EC3024" w:rsidP="004B4B73"/>
    <w:p w:rsidR="00B000C0" w:rsidRPr="00573DEB" w:rsidRDefault="00B000C0" w:rsidP="00587436">
      <w:pPr>
        <w:pStyle w:val="ListParagraph"/>
        <w:numPr>
          <w:ilvl w:val="0"/>
          <w:numId w:val="10"/>
        </w:numPr>
        <w:ind w:hanging="783"/>
      </w:pPr>
      <w:r w:rsidRPr="00573DEB">
        <w:t>Literary, scientific and artistic works are registered in the National Library Foundation from the Ministry of Culture</w:t>
      </w:r>
      <w:r w:rsidRPr="00573DEB">
        <w:rPr>
          <w:vertAlign w:val="superscript"/>
        </w:rPr>
        <w:footnoteReference w:id="10"/>
      </w:r>
      <w:r w:rsidR="004B4B73" w:rsidRPr="00573DEB">
        <w:t xml:space="preserve">.  </w:t>
      </w:r>
    </w:p>
    <w:p w:rsidR="00B000C0" w:rsidRPr="00573DEB" w:rsidRDefault="00B000C0" w:rsidP="00587436">
      <w:pPr>
        <w:pStyle w:val="ListParagraph"/>
        <w:numPr>
          <w:ilvl w:val="0"/>
          <w:numId w:val="10"/>
        </w:numPr>
        <w:ind w:hanging="783"/>
      </w:pPr>
      <w:r w:rsidRPr="00573DEB">
        <w:t>Musical compositions are registered in School Music of the Federal University of Rio de Janeiro</w:t>
      </w:r>
      <w:r w:rsidRPr="00573DEB">
        <w:rPr>
          <w:vertAlign w:val="superscript"/>
        </w:rPr>
        <w:footnoteReference w:id="11"/>
      </w:r>
      <w:r w:rsidR="004B4B73" w:rsidRPr="00573DEB">
        <w:t xml:space="preserve">.  </w:t>
      </w:r>
    </w:p>
    <w:p w:rsidR="00B000C0" w:rsidRPr="00573DEB" w:rsidRDefault="00B000C0" w:rsidP="00587436">
      <w:pPr>
        <w:pStyle w:val="ListParagraph"/>
        <w:numPr>
          <w:ilvl w:val="0"/>
          <w:numId w:val="10"/>
        </w:numPr>
        <w:ind w:hanging="783"/>
      </w:pPr>
      <w:r w:rsidRPr="00573DEB">
        <w:t xml:space="preserve"> Works of drawing, painting, sculpture, lithography and kinetic arts are registered at the School of Fine Arts of the Federal University of Rio de Janeiro</w:t>
      </w:r>
      <w:r w:rsidRPr="00573DEB">
        <w:rPr>
          <w:vertAlign w:val="superscript"/>
        </w:rPr>
        <w:footnoteReference w:id="12"/>
      </w:r>
      <w:r w:rsidRPr="00573DEB">
        <w:t>.</w:t>
      </w:r>
    </w:p>
    <w:p w:rsidR="00B000C0" w:rsidRPr="00573DEB" w:rsidRDefault="00B000C0" w:rsidP="00587436">
      <w:pPr>
        <w:pStyle w:val="ListParagraph"/>
        <w:numPr>
          <w:ilvl w:val="0"/>
          <w:numId w:val="10"/>
        </w:numPr>
        <w:ind w:hanging="783"/>
      </w:pPr>
      <w:r w:rsidRPr="00573DEB">
        <w:t>Architectural plans and projects are registered at the Regional Council of Engineering, Architecture and Agronomy (CREA)</w:t>
      </w:r>
      <w:r w:rsidRPr="00573DEB">
        <w:rPr>
          <w:vertAlign w:val="superscript"/>
        </w:rPr>
        <w:footnoteReference w:id="13"/>
      </w:r>
      <w:r w:rsidRPr="00573DEB">
        <w:t>.</w:t>
      </w:r>
    </w:p>
    <w:p w:rsidR="00B000C0" w:rsidRPr="00573DEB" w:rsidRDefault="00B000C0" w:rsidP="00587436">
      <w:pPr>
        <w:pStyle w:val="ListParagraph"/>
        <w:numPr>
          <w:ilvl w:val="0"/>
          <w:numId w:val="10"/>
        </w:numPr>
        <w:ind w:hanging="783"/>
      </w:pPr>
      <w:r w:rsidRPr="00573DEB">
        <w:t>Cinematographic works are registered at the National Film Agency (ANCINE)</w:t>
      </w:r>
      <w:r w:rsidRPr="00573DEB">
        <w:rPr>
          <w:vertAlign w:val="superscript"/>
        </w:rPr>
        <w:footnoteReference w:id="14"/>
      </w:r>
      <w:r w:rsidRPr="00573DEB">
        <w:t>.</w:t>
      </w:r>
    </w:p>
    <w:p w:rsidR="00B000C0" w:rsidRPr="00573DEB" w:rsidRDefault="00B000C0" w:rsidP="004B4B73"/>
    <w:p w:rsidR="00B000C0" w:rsidRPr="00573DEB" w:rsidRDefault="00B000C0" w:rsidP="004B4B73">
      <w:r w:rsidRPr="00573DEB">
        <w:t>Concerning the analysis of requests for new varieties of plants, it is under the responsibility of the National Service for Plant Variety Protection (SNPC) from the Ministry of Agriculture, Livestock and Food Supply.</w:t>
      </w:r>
      <w:r w:rsidRPr="00573DEB">
        <w:rPr>
          <w:vertAlign w:val="superscript"/>
        </w:rPr>
        <w:footnoteReference w:id="15"/>
      </w:r>
      <w:r w:rsidRPr="00573DEB">
        <w:t xml:space="preserve"> </w:t>
      </w:r>
    </w:p>
    <w:p w:rsidR="00B000C0" w:rsidRPr="00573DEB" w:rsidRDefault="00B000C0" w:rsidP="004B4B73"/>
    <w:p w:rsidR="00B000C0" w:rsidRPr="00573DEB" w:rsidRDefault="00B000C0" w:rsidP="004B4B73">
      <w:r w:rsidRPr="00573DEB">
        <w:t>The following subsections offer a brief description of the different forms of protection</w:t>
      </w:r>
      <w:r w:rsidRPr="00573DEB" w:rsidDel="00DF0847">
        <w:t xml:space="preserve"> </w:t>
      </w:r>
      <w:r w:rsidRPr="00573DEB">
        <w:t>that are under the responsibility of INPI and which are object of the analysis of this report</w:t>
      </w:r>
      <w:r w:rsidR="004B4B73" w:rsidRPr="00573DEB">
        <w:t xml:space="preserve">.  </w:t>
      </w:r>
      <w:r w:rsidRPr="00573DEB">
        <w:t>At the end of this section, a summary box is presented with the main information of the intellectual property system in Brazil.</w:t>
      </w:r>
    </w:p>
    <w:p w:rsidR="00B000C0" w:rsidRPr="00573DEB" w:rsidRDefault="00B000C0" w:rsidP="004B4B73"/>
    <w:p w:rsidR="00B000C0" w:rsidRPr="00573DEB" w:rsidRDefault="00B000C0" w:rsidP="004B4B73"/>
    <w:p w:rsidR="00B000C0" w:rsidRPr="00573DEB" w:rsidRDefault="00B000C0" w:rsidP="004B4B73">
      <w:pPr>
        <w:pStyle w:val="Heading3"/>
        <w:rPr>
          <w:lang w:eastAsia="pt-BR"/>
        </w:rPr>
      </w:pPr>
      <w:bookmarkStart w:id="16" w:name="_Toc388619908"/>
      <w:r w:rsidRPr="00573DEB">
        <w:rPr>
          <w:lang w:eastAsia="pt-BR"/>
        </w:rPr>
        <w:t>Patents (of invention and utility models)</w:t>
      </w:r>
      <w:bookmarkEnd w:id="16"/>
    </w:p>
    <w:p w:rsidR="00B000C0" w:rsidRPr="00573DEB" w:rsidRDefault="00B000C0" w:rsidP="004B4B73"/>
    <w:p w:rsidR="00B000C0" w:rsidRPr="00573DEB" w:rsidRDefault="00B000C0" w:rsidP="004B4B73">
      <w:r w:rsidRPr="00573DEB">
        <w:t>As an introduction of the characteristics of invention patents and utility models in Brazil, it is important to clarify that, according to the Law No</w:t>
      </w:r>
      <w:r w:rsidR="004B4B73" w:rsidRPr="00573DEB">
        <w:t xml:space="preserve">. </w:t>
      </w:r>
      <w:r w:rsidRPr="00573DEB">
        <w:t>9.279/96, which regulates industrial property in Brazil, both inventions and utility models are protected as patents, albeit with different terms of protection and substantive criteria</w:t>
      </w:r>
      <w:r w:rsidR="004B4B73" w:rsidRPr="00573DEB">
        <w:t xml:space="preserve">.  </w:t>
      </w:r>
      <w:r w:rsidRPr="00573DEB">
        <w:t>It means that both are under the same regulations.</w:t>
      </w:r>
    </w:p>
    <w:p w:rsidR="00B000C0" w:rsidRPr="00573DEB" w:rsidRDefault="00B000C0" w:rsidP="004B4B73"/>
    <w:p w:rsidR="00B000C0" w:rsidRPr="00573DEB" w:rsidRDefault="00B000C0" w:rsidP="004B4B73">
      <w:r w:rsidRPr="00573DEB">
        <w:t>The following are not considered to be inventions or utility models: (</w:t>
      </w:r>
      <w:proofErr w:type="spellStart"/>
      <w:r w:rsidRPr="00573DEB">
        <w:t>i</w:t>
      </w:r>
      <w:proofErr w:type="spellEnd"/>
      <w:r w:rsidRPr="00573DEB">
        <w:t xml:space="preserve">) discoveries, scientific theories, and mathematical methods; (ii) purely abstract conceptions; (iii) commercial, accounting, financial, educational, advertising, raffling, and inspection schemes, plans, principles or methods; (iv) literary, architectural, artistic and scientific works, or any aesthetic creation; (v) computer programs per se; (vi) presentation of information; (vii) rules of games; (viii) surgical techniques and methods, as well as therapeutic or diagnostic methods, for application to human or animal body; and (ix) all or part of natural living beings and biological materials found in nature, even if isolated therefrom, including the genome or </w:t>
      </w:r>
      <w:proofErr w:type="spellStart"/>
      <w:r w:rsidRPr="00573DEB">
        <w:t>germoplasm</w:t>
      </w:r>
      <w:proofErr w:type="spellEnd"/>
      <w:r w:rsidRPr="00573DEB">
        <w:t xml:space="preserve"> of any natural living being, and the natural biological processes</w:t>
      </w:r>
      <w:r w:rsidR="004B4B73" w:rsidRPr="00573DEB">
        <w:t xml:space="preserve">.  </w:t>
      </w:r>
    </w:p>
    <w:p w:rsidR="00B000C0" w:rsidRPr="00573DEB" w:rsidRDefault="00B000C0" w:rsidP="004B4B73"/>
    <w:p w:rsidR="00B000C0" w:rsidRPr="00573DEB" w:rsidRDefault="00B000C0" w:rsidP="004B4B73">
      <w:r w:rsidRPr="00573DEB">
        <w:t>In order to facilitate international comparisons, patents should be understood as referring only to invention patents, while utility model will be presented separately</w:t>
      </w:r>
      <w:r w:rsidR="00EC3024" w:rsidRPr="00573DEB">
        <w:t>.</w:t>
      </w:r>
    </w:p>
    <w:p w:rsidR="00EC3024" w:rsidRPr="00573DEB" w:rsidRDefault="00EC3024" w:rsidP="004B4B73"/>
    <w:p w:rsidR="00EC3024" w:rsidRPr="00573DEB" w:rsidRDefault="00EC3024" w:rsidP="004B4B73">
      <w:pPr>
        <w:rPr>
          <w:color w:val="222222"/>
        </w:rPr>
      </w:pPr>
    </w:p>
    <w:p w:rsidR="00B000C0" w:rsidRPr="00573DEB" w:rsidRDefault="00B000C0" w:rsidP="00913E8C">
      <w:pPr>
        <w:pStyle w:val="Heading4"/>
      </w:pPr>
      <w:r w:rsidRPr="00573DEB">
        <w:lastRenderedPageBreak/>
        <w:t>Patents</w:t>
      </w:r>
    </w:p>
    <w:p w:rsidR="00B000C0" w:rsidRPr="00573DEB" w:rsidRDefault="00B000C0" w:rsidP="00913E8C">
      <w:pPr>
        <w:keepNext/>
      </w:pPr>
    </w:p>
    <w:p w:rsidR="00B000C0" w:rsidRPr="00573DEB" w:rsidRDefault="00B000C0" w:rsidP="00913E8C">
      <w:pPr>
        <w:keepNext/>
      </w:pPr>
      <w:r w:rsidRPr="00573DEB">
        <w:t>Patent refers to an invention that satisfies the requirements of novelty, inventive step and industrial application</w:t>
      </w:r>
      <w:r w:rsidR="004B4B73" w:rsidRPr="00573DEB">
        <w:t xml:space="preserve">.  </w:t>
      </w:r>
      <w:r w:rsidRPr="00573DEB">
        <w:t>An invention can be defined as a new solution to a specific technical problem, within a given technological field.</w:t>
      </w:r>
    </w:p>
    <w:p w:rsidR="00B000C0" w:rsidRPr="00573DEB" w:rsidRDefault="00B000C0" w:rsidP="004B4B73"/>
    <w:p w:rsidR="00B000C0" w:rsidRPr="00573DEB" w:rsidRDefault="00B000C0" w:rsidP="004B4B73">
      <w:r w:rsidRPr="00573DEB">
        <w:t>In Brazil, the process of filing and granting a patent application undergo the following main steps:</w:t>
      </w:r>
    </w:p>
    <w:p w:rsidR="00EC3024" w:rsidRPr="00573DEB" w:rsidRDefault="00EC3024" w:rsidP="004B4B73"/>
    <w:p w:rsidR="00EC3024" w:rsidRPr="00573DEB" w:rsidRDefault="00B000C0" w:rsidP="00EC3024">
      <w:pPr>
        <w:pStyle w:val="ListParagraph"/>
        <w:numPr>
          <w:ilvl w:val="0"/>
          <w:numId w:val="33"/>
        </w:numPr>
        <w:ind w:left="567"/>
      </w:pPr>
      <w:r w:rsidRPr="00573DEB">
        <w:t>Once the application has been submitted, it will undergo a formal preliminary examination and, if found to be properly documented, the date of submission (protocol or entrance at INPI) will be considered as the date of filing.</w:t>
      </w:r>
    </w:p>
    <w:p w:rsidR="00EC3024" w:rsidRPr="00573DEB" w:rsidRDefault="00EC3024" w:rsidP="00EC3024"/>
    <w:p w:rsidR="00EC3024" w:rsidRPr="00573DEB" w:rsidRDefault="00B000C0" w:rsidP="00EC3024">
      <w:pPr>
        <w:pStyle w:val="ListParagraph"/>
        <w:numPr>
          <w:ilvl w:val="0"/>
          <w:numId w:val="33"/>
        </w:numPr>
        <w:ind w:left="567"/>
      </w:pPr>
      <w:r w:rsidRPr="00573DEB">
        <w:t>A patent application will be kept secret for 18 (eighteen) months from the date of filing or of the oldest priority, if any, after which it is published</w:t>
      </w:r>
      <w:r w:rsidR="004B4B73" w:rsidRPr="00573DEB">
        <w:t xml:space="preserve">.  </w:t>
      </w:r>
      <w:r w:rsidRPr="00573DEB">
        <w:t xml:space="preserve">The publication of the application may be anticipated at the request of the applicant; </w:t>
      </w:r>
      <w:r w:rsidRPr="00573DEB">
        <w:rPr>
          <w:color w:val="222222"/>
        </w:rPr>
        <w:t>however, it does not accelerate the technical examination</w:t>
      </w:r>
      <w:r w:rsidR="004B4B73" w:rsidRPr="00573DEB">
        <w:t xml:space="preserve">.  </w:t>
      </w:r>
      <w:r w:rsidRPr="00573DEB">
        <w:t>After publication of the application and up to the end of the examination, interested parties may submit documents and data to assist the examination.</w:t>
      </w:r>
    </w:p>
    <w:p w:rsidR="00EC3024" w:rsidRPr="00573DEB" w:rsidRDefault="00EC3024" w:rsidP="00EC3024"/>
    <w:p w:rsidR="00EC3024" w:rsidRPr="00573DEB" w:rsidRDefault="00B000C0" w:rsidP="00EC3024">
      <w:pPr>
        <w:pStyle w:val="ListParagraph"/>
        <w:numPr>
          <w:ilvl w:val="0"/>
          <w:numId w:val="33"/>
        </w:numPr>
        <w:ind w:left="567"/>
      </w:pPr>
      <w:r w:rsidRPr="00573DEB">
        <w:t xml:space="preserve">The examination of a patent application </w:t>
      </w:r>
      <w:r w:rsidRPr="00573DEB">
        <w:rPr>
          <w:bCs/>
        </w:rPr>
        <w:t>must be requested</w:t>
      </w:r>
      <w:r w:rsidRPr="00573DEB">
        <w:t xml:space="preserve"> by the applicant or by other interested party within a period of 36 (thirty six) months from the date of filing</w:t>
      </w:r>
      <w:r w:rsidR="004B4B73" w:rsidRPr="00573DEB">
        <w:t xml:space="preserve">.  </w:t>
      </w:r>
      <w:r w:rsidRPr="00573DEB">
        <w:rPr>
          <w:color w:val="222222"/>
        </w:rPr>
        <w:t xml:space="preserve">If the examination of the application is not requested, the application is </w:t>
      </w:r>
      <w:r w:rsidRPr="00573DEB">
        <w:t>dismissed</w:t>
      </w:r>
      <w:r w:rsidR="004B4B73" w:rsidRPr="00573DEB">
        <w:t xml:space="preserve">.  </w:t>
      </w:r>
      <w:r w:rsidRPr="00573DEB">
        <w:t xml:space="preserve">The technical examination contains a report of search and an opinion with respect to: the patentability of the application; the appropriateness of the application given the nature claimed (Patents of Invention or Utility Model); the </w:t>
      </w:r>
      <w:r w:rsidRPr="00573DEB">
        <w:rPr>
          <w:color w:val="222222"/>
        </w:rPr>
        <w:t>need to reformulate or divide the application; and the technical requirements.</w:t>
      </w:r>
    </w:p>
    <w:p w:rsidR="00EC3024" w:rsidRPr="00573DEB" w:rsidRDefault="00EC3024" w:rsidP="00EC3024"/>
    <w:p w:rsidR="00B000C0" w:rsidRPr="00573DEB" w:rsidRDefault="00B000C0" w:rsidP="00EC3024">
      <w:pPr>
        <w:pStyle w:val="ListParagraph"/>
        <w:numPr>
          <w:ilvl w:val="0"/>
          <w:numId w:val="33"/>
        </w:numPr>
        <w:ind w:left="567"/>
      </w:pPr>
      <w:r w:rsidRPr="00573DEB">
        <w:t>The examination can either approve or reject the patent application</w:t>
      </w:r>
      <w:r w:rsidR="004B4B73" w:rsidRPr="00573DEB">
        <w:t xml:space="preserve">.  </w:t>
      </w:r>
      <w:r w:rsidRPr="00573DEB">
        <w:t>In the case of approval, the applicant has 60 days to pay for the expedition of the letter patent.</w:t>
      </w:r>
    </w:p>
    <w:p w:rsidR="00B000C0" w:rsidRPr="00573DEB" w:rsidRDefault="00B000C0" w:rsidP="004B4B73"/>
    <w:p w:rsidR="00B000C0" w:rsidRPr="00573DEB" w:rsidRDefault="00B000C0" w:rsidP="004B4B73">
      <w:r w:rsidRPr="00573DEB">
        <w:t>Once granted, a patent remains in force for a period of 20 (twenty) years from the date of filing and the term shall not be less than 10 (ten) years counting from the date of granting.</w:t>
      </w:r>
    </w:p>
    <w:p w:rsidR="00B000C0" w:rsidRPr="00573DEB" w:rsidRDefault="00B000C0" w:rsidP="004B4B73"/>
    <w:p w:rsidR="00EC3024" w:rsidRPr="00573DEB" w:rsidRDefault="00B000C0" w:rsidP="004B4B73">
      <w:r w:rsidRPr="00573DEB">
        <w:t>Regarding international treaties on patents, it is worth noting that Brazil is part of:</w:t>
      </w:r>
    </w:p>
    <w:p w:rsidR="00B000C0" w:rsidRPr="00573DEB" w:rsidRDefault="00B000C0" w:rsidP="004B4B73"/>
    <w:p w:rsidR="00B000C0" w:rsidRPr="00573DEB" w:rsidRDefault="00B000C0" w:rsidP="004B4B73">
      <w:pPr>
        <w:pStyle w:val="ListParagraph"/>
        <w:numPr>
          <w:ilvl w:val="0"/>
          <w:numId w:val="23"/>
        </w:numPr>
      </w:pPr>
      <w:r w:rsidRPr="00573DEB">
        <w:t>The Patent Cooperation Treaty (PCT), since April/1978</w:t>
      </w:r>
      <w:r w:rsidR="004B4B73" w:rsidRPr="00573DEB">
        <w:t xml:space="preserve">.  </w:t>
      </w:r>
      <w:r w:rsidRPr="00573DEB">
        <w:t>Since August/2009, INPI commenced its operation as an International Searching Authority (ISA) and International Preliminary Examination Authority (IPEA).</w:t>
      </w:r>
    </w:p>
    <w:p w:rsidR="00B000C0" w:rsidRPr="00573DEB" w:rsidRDefault="00B000C0" w:rsidP="004B4B73"/>
    <w:p w:rsidR="00B000C0" w:rsidRPr="00573DEB" w:rsidRDefault="00B000C0" w:rsidP="004B4B73">
      <w:pPr>
        <w:pStyle w:val="ListParagraph"/>
        <w:numPr>
          <w:ilvl w:val="0"/>
          <w:numId w:val="23"/>
        </w:numPr>
      </w:pPr>
      <w:r w:rsidRPr="00573DEB">
        <w:t>The Strasbourg Agreement, since October 1975, which established the International Patent Classification</w:t>
      </w:r>
      <w:r w:rsidR="00EC3024" w:rsidRPr="00573DEB">
        <w:t xml:space="preserve"> </w:t>
      </w:r>
      <w:r w:rsidRPr="00573DEB">
        <w:t>(IPC)</w:t>
      </w:r>
      <w:r w:rsidR="004B4B73" w:rsidRPr="00573DEB">
        <w:t xml:space="preserve">.  </w:t>
      </w:r>
      <w:r w:rsidRPr="00573DEB">
        <w:t>The IPC provides a hierarchical system of symbols for the classification according to the different technological areas to which they belong.</w:t>
      </w:r>
    </w:p>
    <w:p w:rsidR="00B000C0" w:rsidRPr="00573DEB" w:rsidRDefault="00B000C0" w:rsidP="004B4B73"/>
    <w:p w:rsidR="00B000C0" w:rsidRPr="00573DEB" w:rsidRDefault="00B000C0" w:rsidP="004B4B73">
      <w:r w:rsidRPr="00573DEB">
        <w:t>Judicial proceedings for the nullification of a patent may be proposed at any time during the term of the patent (either by the INPI or by any person with a legitimate interest) and are filed at the Federal Court forum</w:t>
      </w:r>
      <w:r w:rsidR="004B4B73" w:rsidRPr="00573DEB">
        <w:t xml:space="preserve">.  </w:t>
      </w:r>
      <w:r w:rsidR="00AE4490">
        <w:t>W</w:t>
      </w:r>
      <w:r w:rsidR="00AE4490" w:rsidRPr="00573DEB">
        <w:t xml:space="preserve">hen not </w:t>
      </w:r>
      <w:r w:rsidR="00AE4490">
        <w:t xml:space="preserve">being </w:t>
      </w:r>
      <w:r w:rsidR="00AE4490" w:rsidRPr="00573DEB">
        <w:t xml:space="preserve">the plaintiff, </w:t>
      </w:r>
      <w:r w:rsidR="00AE4490">
        <w:t>t</w:t>
      </w:r>
      <w:r w:rsidRPr="00573DEB">
        <w:t>he INPI</w:t>
      </w:r>
      <w:r w:rsidR="00AE4490">
        <w:t xml:space="preserve"> </w:t>
      </w:r>
      <w:r w:rsidRPr="00573DEB">
        <w:t>is part of such proceedings.</w:t>
      </w:r>
    </w:p>
    <w:p w:rsidR="00617175" w:rsidRDefault="00617175">
      <w:pPr>
        <w:widowControl/>
        <w:spacing w:after="200" w:line="276" w:lineRule="auto"/>
      </w:pPr>
      <w:r>
        <w:br w:type="page"/>
      </w:r>
    </w:p>
    <w:p w:rsidR="00AE4490" w:rsidRPr="00573DEB" w:rsidRDefault="00AE4490" w:rsidP="004B4B73"/>
    <w:p w:rsidR="00B000C0" w:rsidRPr="00573DEB" w:rsidRDefault="00B000C0" w:rsidP="004B4B73">
      <w:pPr>
        <w:pStyle w:val="Heading4"/>
      </w:pPr>
      <w:r w:rsidRPr="00573DEB">
        <w:t xml:space="preserve">Utility models </w:t>
      </w:r>
    </w:p>
    <w:p w:rsidR="00B000C0" w:rsidRPr="00573DEB" w:rsidRDefault="00B000C0" w:rsidP="004B4B73"/>
    <w:p w:rsidR="00B000C0" w:rsidRPr="00573DEB" w:rsidRDefault="00B000C0" w:rsidP="004B4B73">
      <w:r w:rsidRPr="00573DEB">
        <w:t>A Utility Model refers to an object of practical use or part thereof that can be patented as a utility model if it is capable of industrial application, has a new form or arrangement, and involves an inventive act that results in a functional improvement in its use or manufacture</w:t>
      </w:r>
      <w:r w:rsidR="004B4B73" w:rsidRPr="00573DEB">
        <w:t xml:space="preserve">.  </w:t>
      </w:r>
    </w:p>
    <w:p w:rsidR="00B000C0" w:rsidRPr="00573DEB" w:rsidRDefault="00B000C0" w:rsidP="004B4B73"/>
    <w:p w:rsidR="00B000C0" w:rsidRPr="00573DEB" w:rsidRDefault="00B000C0" w:rsidP="004B4B73">
      <w:pPr>
        <w:rPr>
          <w:bCs/>
          <w:i/>
          <w:iCs/>
        </w:rPr>
      </w:pPr>
      <w:r w:rsidRPr="00573DEB">
        <w:t>Utility models are very similar to patents in terms of process of filing and granting, but differ in a few issues:</w:t>
      </w:r>
    </w:p>
    <w:p w:rsidR="00B000C0" w:rsidRPr="00573DEB" w:rsidRDefault="00B000C0" w:rsidP="004B4B73"/>
    <w:p w:rsidR="00B000C0" w:rsidRPr="00573DEB" w:rsidRDefault="00B000C0" w:rsidP="004B4B73">
      <w:pPr>
        <w:pStyle w:val="ListParagraph"/>
        <w:numPr>
          <w:ilvl w:val="0"/>
          <w:numId w:val="7"/>
        </w:numPr>
      </w:pPr>
      <w:r w:rsidRPr="00573DEB">
        <w:t>Utility models refer only to products</w:t>
      </w:r>
      <w:r w:rsidR="00EC3024" w:rsidRPr="00573DEB">
        <w:t xml:space="preserve">, </w:t>
      </w:r>
      <w:r w:rsidRPr="00573DEB">
        <w:t>not processes.</w:t>
      </w:r>
    </w:p>
    <w:p w:rsidR="00EC3024" w:rsidRPr="00573DEB" w:rsidRDefault="00EC3024" w:rsidP="00EC3024"/>
    <w:p w:rsidR="00B000C0" w:rsidRPr="00573DEB" w:rsidRDefault="00B000C0" w:rsidP="004B4B73">
      <w:pPr>
        <w:pStyle w:val="ListParagraph"/>
        <w:numPr>
          <w:ilvl w:val="0"/>
          <w:numId w:val="7"/>
        </w:numPr>
      </w:pPr>
      <w:r w:rsidRPr="00573DEB">
        <w:t>Instead of the inventive step requirement of patents, utility models require an inventive act, which is less complex.</w:t>
      </w:r>
    </w:p>
    <w:p w:rsidR="00EC3024" w:rsidRPr="00573DEB" w:rsidRDefault="00EC3024" w:rsidP="00EC3024"/>
    <w:p w:rsidR="00B000C0" w:rsidRPr="00573DEB" w:rsidRDefault="00B000C0" w:rsidP="004B4B73">
      <w:pPr>
        <w:pStyle w:val="ListParagraph"/>
        <w:numPr>
          <w:ilvl w:val="0"/>
          <w:numId w:val="7"/>
        </w:numPr>
      </w:pPr>
      <w:r w:rsidRPr="00573DEB">
        <w:t>Fees for filing patents and utility models are the same, but examination and annuity fees are cheaper for utility models than for patents.</w:t>
      </w:r>
    </w:p>
    <w:p w:rsidR="00EC3024" w:rsidRPr="00573DEB" w:rsidRDefault="00EC3024" w:rsidP="00EC3024"/>
    <w:p w:rsidR="00B000C0" w:rsidRPr="00573DEB" w:rsidRDefault="00B000C0" w:rsidP="004B4B73">
      <w:pPr>
        <w:pStyle w:val="ListParagraph"/>
        <w:numPr>
          <w:ilvl w:val="0"/>
          <w:numId w:val="7"/>
        </w:numPr>
      </w:pPr>
      <w:r w:rsidRPr="00573DEB">
        <w:t>Once granted, a utility model remains in force for a period of 15 (fifteen) years from the date of filing and the term shall not be less than 7 (seven) years beginning on the date of granting.</w:t>
      </w:r>
    </w:p>
    <w:p w:rsidR="00B000C0" w:rsidRPr="00573DEB" w:rsidRDefault="00B000C0" w:rsidP="004B4B73"/>
    <w:p w:rsidR="00B000C0" w:rsidRPr="00573DEB" w:rsidRDefault="00B000C0" w:rsidP="004B4B73">
      <w:r w:rsidRPr="00573DEB">
        <w:t>As a patent, a utility model is also a type of protection available via the PCT System and the classification of the invention also follows the International Patent Classification (IPC).</w:t>
      </w:r>
    </w:p>
    <w:p w:rsidR="00B000C0" w:rsidRPr="00573DEB" w:rsidRDefault="00B000C0" w:rsidP="004B4B73"/>
    <w:p w:rsidR="00EC3024" w:rsidRPr="00573DEB" w:rsidRDefault="00EC3024" w:rsidP="004B4B73"/>
    <w:p w:rsidR="00B000C0" w:rsidRPr="00573DEB" w:rsidRDefault="00B000C0" w:rsidP="004B4B73"/>
    <w:p w:rsidR="00B000C0" w:rsidRPr="00573DEB" w:rsidRDefault="00B000C0" w:rsidP="004B4B73">
      <w:pPr>
        <w:pStyle w:val="Heading3"/>
        <w:rPr>
          <w:lang w:eastAsia="pt-BR"/>
        </w:rPr>
      </w:pPr>
      <w:bookmarkStart w:id="17" w:name="_Toc388619909"/>
      <w:r w:rsidRPr="00573DEB">
        <w:rPr>
          <w:lang w:eastAsia="pt-BR"/>
        </w:rPr>
        <w:t>Industrial designs</w:t>
      </w:r>
      <w:bookmarkEnd w:id="17"/>
    </w:p>
    <w:p w:rsidR="00B000C0" w:rsidRPr="00573DEB" w:rsidRDefault="00B000C0" w:rsidP="004B4B73"/>
    <w:p w:rsidR="00B000C0" w:rsidRPr="00573DEB" w:rsidRDefault="00B000C0" w:rsidP="004B4B73">
      <w:r w:rsidRPr="00573DEB">
        <w:t>In Brazil, the Industrial Property Law (No</w:t>
      </w:r>
      <w:r w:rsidR="004B4B73" w:rsidRPr="00573DEB">
        <w:t xml:space="preserve">. </w:t>
      </w:r>
      <w:r w:rsidRPr="00573DEB">
        <w:t>9.279</w:t>
      </w:r>
      <w:r w:rsidR="00D51F50" w:rsidRPr="00573DEB">
        <w:t>,</w:t>
      </w:r>
      <w:r w:rsidRPr="00573DEB">
        <w:t xml:space="preserve"> 14/05/1996) established</w:t>
      </w:r>
      <w:r w:rsidRPr="00573DEB">
        <w:rPr>
          <w:vertAlign w:val="superscript"/>
        </w:rPr>
        <w:footnoteReference w:id="16"/>
      </w:r>
      <w:r w:rsidRPr="00573DEB">
        <w:t xml:space="preserve"> that industrial design registration protects the ornamental external form of an object or the set of lines and colors applied to a product, provided that they make a new and original result and are capable of industrial production</w:t>
      </w:r>
      <w:r w:rsidR="004B4B73" w:rsidRPr="00573DEB">
        <w:t xml:space="preserve">.  </w:t>
      </w:r>
      <w:r w:rsidRPr="00573DEB">
        <w:t>Such registration does not protect functionalities, dimensions, materials or manufacturing processes of an object</w:t>
      </w:r>
      <w:r w:rsidR="004B4B73" w:rsidRPr="00573DEB">
        <w:t xml:space="preserve">.  </w:t>
      </w:r>
      <w:r w:rsidRPr="00573DEB">
        <w:t>The Brazilian law determines that the application for industrial design registration refers to a single object, of which a plurality of variations is permitted, provided that they are intended for the same purpose and all retain the same preponderant distinctive characteristic, with each application limited to a maximum of 20 (twenty) variations.</w:t>
      </w:r>
    </w:p>
    <w:p w:rsidR="00B000C0" w:rsidRPr="00573DEB" w:rsidRDefault="00B000C0" w:rsidP="004B4B73"/>
    <w:p w:rsidR="00B000C0" w:rsidRPr="00573DEB" w:rsidRDefault="00B000C0" w:rsidP="004B4B73">
      <w:r w:rsidRPr="00573DEB">
        <w:t>The main feature with respect to the filing and granting of the application for registration of the industrial design process is the lack of substantive examination, except if requested by the applicant</w:t>
      </w:r>
      <w:r w:rsidR="004B4B73" w:rsidRPr="00573DEB">
        <w:t xml:space="preserve">.  </w:t>
      </w:r>
      <w:r w:rsidRPr="00573DEB">
        <w:t>This means that, after the filing of an industrial design registration with the INPI, if it is considered properly documented, it will automatically be published and the registration will be simultaneously granted, being issued the respective certificate.</w:t>
      </w:r>
    </w:p>
    <w:p w:rsidR="00B000C0" w:rsidRPr="00573DEB" w:rsidRDefault="00B000C0" w:rsidP="004B4B73"/>
    <w:p w:rsidR="00B000C0" w:rsidRPr="00573DEB" w:rsidRDefault="00B000C0" w:rsidP="004B4B73">
      <w:r w:rsidRPr="00573DEB">
        <w:t>The industrial design registration is valid for 10 years with the possibility of consecutive renewal for up to three (3) periods of five years, totaling a maximum of 25 years</w:t>
      </w:r>
      <w:r w:rsidR="004B4B73" w:rsidRPr="00573DEB">
        <w:t xml:space="preserve">.  </w:t>
      </w:r>
      <w:r w:rsidRPr="00573DEB">
        <w:t>The registration of Industrial Design guarantees to the owner temporary ownership of the industrial design and the right to exclude others from manufacturing, selling or importing products incorporating the object without their permission in the country.</w:t>
      </w:r>
    </w:p>
    <w:p w:rsidR="00B000C0" w:rsidRPr="00573DEB" w:rsidRDefault="00B000C0" w:rsidP="004B4B73"/>
    <w:p w:rsidR="00B000C0" w:rsidRPr="00573DEB" w:rsidRDefault="00B000C0" w:rsidP="00173827">
      <w:pPr>
        <w:keepNext/>
      </w:pPr>
      <w:r w:rsidRPr="00573DEB">
        <w:lastRenderedPageBreak/>
        <w:t xml:space="preserve">Regarding international treaties on industrial design, Brazil's current </w:t>
      </w:r>
      <w:proofErr w:type="gramStart"/>
      <w:r w:rsidRPr="00573DEB">
        <w:t>status are</w:t>
      </w:r>
      <w:proofErr w:type="gramEnd"/>
      <w:r w:rsidRPr="00573DEB">
        <w:t>:</w:t>
      </w:r>
    </w:p>
    <w:p w:rsidR="00BF3800" w:rsidRPr="00573DEB" w:rsidRDefault="00BF3800" w:rsidP="00173827">
      <w:pPr>
        <w:keepNext/>
      </w:pPr>
    </w:p>
    <w:p w:rsidR="00B000C0" w:rsidRPr="00573DEB" w:rsidRDefault="00B000C0" w:rsidP="00173827">
      <w:pPr>
        <w:pStyle w:val="ListParagraph"/>
        <w:keepNext/>
        <w:numPr>
          <w:ilvl w:val="0"/>
          <w:numId w:val="23"/>
        </w:numPr>
      </w:pPr>
      <w:r w:rsidRPr="00573DEB">
        <w:t>Brazil is not a member of Locarno Agreement, which establishes the International Classification of industrial designs, but uses its classification to indicate the goods incorporating the designs belong.</w:t>
      </w:r>
    </w:p>
    <w:p w:rsidR="00BF3800" w:rsidRPr="00573DEB" w:rsidRDefault="00BF3800" w:rsidP="00BF3800"/>
    <w:p w:rsidR="00B000C0" w:rsidRPr="00573DEB" w:rsidRDefault="00B000C0" w:rsidP="004B4B73">
      <w:pPr>
        <w:pStyle w:val="ListParagraph"/>
        <w:numPr>
          <w:ilvl w:val="0"/>
          <w:numId w:val="23"/>
        </w:numPr>
      </w:pPr>
      <w:r w:rsidRPr="00573DEB">
        <w:t>Brazil is not a signatory to the Hague System for the international registration of industrial designs</w:t>
      </w:r>
      <w:r w:rsidR="004B4B73" w:rsidRPr="00573DEB">
        <w:t xml:space="preserve">.  </w:t>
      </w:r>
    </w:p>
    <w:p w:rsidR="00BF3800" w:rsidRPr="00573DEB" w:rsidRDefault="00BF3800" w:rsidP="004B4B73"/>
    <w:p w:rsidR="00B000C0" w:rsidRPr="00573DEB" w:rsidRDefault="00B000C0" w:rsidP="004B4B73"/>
    <w:p w:rsidR="00B000C0" w:rsidRPr="00573DEB" w:rsidRDefault="00B000C0" w:rsidP="004B4B73">
      <w:pPr>
        <w:pStyle w:val="Heading3"/>
        <w:rPr>
          <w:lang w:eastAsia="pt-BR"/>
        </w:rPr>
      </w:pPr>
      <w:bookmarkStart w:id="18" w:name="_Toc388619910"/>
      <w:r w:rsidRPr="00573DEB">
        <w:rPr>
          <w:lang w:eastAsia="pt-BR"/>
        </w:rPr>
        <w:t>Trademarks</w:t>
      </w:r>
      <w:bookmarkEnd w:id="18"/>
    </w:p>
    <w:p w:rsidR="00B000C0" w:rsidRPr="00573DEB" w:rsidRDefault="00B000C0" w:rsidP="004B4B73"/>
    <w:p w:rsidR="00B000C0" w:rsidRPr="00573DEB" w:rsidRDefault="00B000C0" w:rsidP="004B4B73">
      <w:r w:rsidRPr="00573DEB">
        <w:t>In Brazil, according to the Industrial Property Law (Law No</w:t>
      </w:r>
      <w:r w:rsidR="004B4B73" w:rsidRPr="00573DEB">
        <w:t xml:space="preserve">. </w:t>
      </w:r>
      <w:r w:rsidRPr="00573DEB">
        <w:t>9.279/96), the trademark registration protects visually distinctive and perceivable signs, not prohibited by law</w:t>
      </w:r>
      <w:r w:rsidR="004B4B73" w:rsidRPr="00573DEB">
        <w:t xml:space="preserve">.  </w:t>
      </w:r>
      <w:r w:rsidRPr="00573DEB">
        <w:t>Marks can be differentiated by their nature, according to its use on the market in four distinct categories:</w:t>
      </w:r>
    </w:p>
    <w:p w:rsidR="00B000C0" w:rsidRPr="00573DEB" w:rsidRDefault="00B000C0" w:rsidP="004B4B73"/>
    <w:p w:rsidR="00B000C0" w:rsidRPr="00573DEB" w:rsidRDefault="00B000C0" w:rsidP="004B4B73">
      <w:pPr>
        <w:pStyle w:val="ListParagraph"/>
        <w:numPr>
          <w:ilvl w:val="0"/>
          <w:numId w:val="8"/>
        </w:numPr>
      </w:pPr>
      <w:r w:rsidRPr="00573DEB">
        <w:t>Product trademarks: used to distinguish a product from another that is identical, similar, or alike, but of different origin</w:t>
      </w:r>
      <w:r w:rsidR="004B4B73" w:rsidRPr="00573DEB">
        <w:t xml:space="preserve">. </w:t>
      </w:r>
    </w:p>
    <w:p w:rsidR="00B000C0" w:rsidRPr="00573DEB" w:rsidRDefault="00B000C0" w:rsidP="004B4B73">
      <w:pPr>
        <w:pStyle w:val="ListParagraph"/>
        <w:numPr>
          <w:ilvl w:val="0"/>
          <w:numId w:val="8"/>
        </w:numPr>
      </w:pPr>
      <w:r w:rsidRPr="00573DEB">
        <w:t>Service marks: used to distinguish a service from another that is identical, similar, or alike, but of different origin</w:t>
      </w:r>
      <w:r w:rsidR="004B4B73" w:rsidRPr="00573DEB">
        <w:t xml:space="preserve">.  </w:t>
      </w:r>
    </w:p>
    <w:p w:rsidR="00B000C0" w:rsidRPr="00573DEB" w:rsidRDefault="00B000C0" w:rsidP="004B4B73">
      <w:pPr>
        <w:pStyle w:val="ListParagraph"/>
        <w:numPr>
          <w:ilvl w:val="0"/>
          <w:numId w:val="8"/>
        </w:numPr>
      </w:pPr>
      <w:r w:rsidRPr="00573DEB">
        <w:t xml:space="preserve">Certification marks: used to attest the conformity of a product or service with certain technical standards or specifications, particularly regarding its quality, nature, material used and methodology employed; and  </w:t>
      </w:r>
    </w:p>
    <w:p w:rsidR="00B000C0" w:rsidRPr="00573DEB" w:rsidRDefault="00B000C0" w:rsidP="004B4B73">
      <w:pPr>
        <w:pStyle w:val="ListParagraph"/>
        <w:numPr>
          <w:ilvl w:val="0"/>
          <w:numId w:val="8"/>
        </w:numPr>
      </w:pPr>
      <w:r w:rsidRPr="00573DEB">
        <w:t>Collective marks: used to identify products or services provided by members of a certain entity.</w:t>
      </w:r>
    </w:p>
    <w:p w:rsidR="00B000C0" w:rsidRPr="00573DEB" w:rsidRDefault="00B000C0" w:rsidP="004B4B73"/>
    <w:p w:rsidR="00B000C0" w:rsidRDefault="00B000C0" w:rsidP="004B4B73">
      <w:r w:rsidRPr="00573DEB">
        <w:t xml:space="preserve">A trademark can also be classified according to its presentation </w:t>
      </w:r>
      <w:r w:rsidRPr="00573DEB">
        <w:rPr>
          <w:color w:val="222222"/>
        </w:rPr>
        <w:t xml:space="preserve">in </w:t>
      </w:r>
      <w:r w:rsidRPr="00617175">
        <w:t>four distinct categories:</w:t>
      </w:r>
    </w:p>
    <w:p w:rsidR="00617175" w:rsidRPr="00573DEB" w:rsidRDefault="00617175" w:rsidP="004B4B73"/>
    <w:p w:rsidR="00B000C0" w:rsidRPr="00573DEB" w:rsidRDefault="00B000C0" w:rsidP="004B4B73">
      <w:pPr>
        <w:pStyle w:val="ListParagraph"/>
        <w:numPr>
          <w:ilvl w:val="0"/>
          <w:numId w:val="9"/>
        </w:numPr>
      </w:pPr>
      <w:r w:rsidRPr="00573DEB">
        <w:t xml:space="preserve">Nominative marks: protect words, abbreviations, neologisms or any combination of letters, and/or numbers, </w:t>
      </w:r>
      <w:r w:rsidRPr="00573DEB">
        <w:rPr>
          <w:color w:val="222222"/>
        </w:rPr>
        <w:t>provided they are not misleading</w:t>
      </w:r>
      <w:r w:rsidR="004B4B73" w:rsidRPr="00573DEB">
        <w:t xml:space="preserve">.  </w:t>
      </w:r>
    </w:p>
    <w:p w:rsidR="00B000C0" w:rsidRPr="00573DEB" w:rsidRDefault="00B000C0" w:rsidP="004B4B73">
      <w:pPr>
        <w:pStyle w:val="ListParagraph"/>
        <w:numPr>
          <w:ilvl w:val="0"/>
          <w:numId w:val="9"/>
        </w:numPr>
      </w:pPr>
      <w:r w:rsidRPr="00573DEB">
        <w:t>Figurative marks: protect only signs with pictures, image symbols or drawings</w:t>
      </w:r>
      <w:r w:rsidR="004B4B73" w:rsidRPr="00573DEB">
        <w:t xml:space="preserve">.  </w:t>
      </w:r>
    </w:p>
    <w:p w:rsidR="00B000C0" w:rsidRPr="00573DEB" w:rsidRDefault="00B000C0" w:rsidP="004B4B73">
      <w:pPr>
        <w:pStyle w:val="ListParagraph"/>
        <w:numPr>
          <w:ilvl w:val="0"/>
          <w:numId w:val="9"/>
        </w:numPr>
      </w:pPr>
      <w:r w:rsidRPr="00573DEB">
        <w:t>Mixed marks:  protect both word and figurative signs, and three-dimensional marks consisting of three-dimensional features such as the shape and packaging of goods without a functional or technical effect</w:t>
      </w:r>
      <w:r w:rsidR="004B4B73" w:rsidRPr="00573DEB">
        <w:t xml:space="preserve">.  </w:t>
      </w:r>
    </w:p>
    <w:p w:rsidR="00B000C0" w:rsidRPr="00573DEB" w:rsidRDefault="00B000C0" w:rsidP="004B4B73"/>
    <w:p w:rsidR="00B000C0" w:rsidRDefault="00B000C0" w:rsidP="004B4B73">
      <w:r w:rsidRPr="00573DEB">
        <w:t>In Braz</w:t>
      </w:r>
      <w:r w:rsidR="005E44C5" w:rsidRPr="00573DEB">
        <w:t>il</w:t>
      </w:r>
      <w:r w:rsidRPr="00573DEB">
        <w:t>, the process of an application for trademark registration has the following main steps:</w:t>
      </w:r>
    </w:p>
    <w:p w:rsidR="00617175" w:rsidRPr="00573DEB" w:rsidRDefault="00617175" w:rsidP="004B4B73"/>
    <w:p w:rsidR="00B000C0" w:rsidRPr="00573DEB" w:rsidRDefault="00B000C0" w:rsidP="004B4B73">
      <w:pPr>
        <w:pStyle w:val="ListParagraph"/>
        <w:numPr>
          <w:ilvl w:val="0"/>
          <w:numId w:val="25"/>
        </w:numPr>
      </w:pPr>
      <w:r w:rsidRPr="00573DEB">
        <w:t>The Brazilian law provides that the application for registration should be in only one class of the good or service that the trademark intends to distinguish</w:t>
      </w:r>
      <w:r w:rsidR="004B4B73" w:rsidRPr="00573DEB">
        <w:t xml:space="preserve">.  </w:t>
      </w:r>
      <w:r w:rsidRPr="00573DEB">
        <w:t>Where applicants wish protection in different classes, they should submit separate applications for each class</w:t>
      </w:r>
      <w:r w:rsidR="004B4B73" w:rsidRPr="00573DEB">
        <w:t xml:space="preserve">.  </w:t>
      </w:r>
      <w:r w:rsidRPr="00573DEB">
        <w:t>It is not necessary to submit proof of use of the mark when filing the register.</w:t>
      </w:r>
    </w:p>
    <w:p w:rsidR="00B000C0" w:rsidRPr="00573DEB" w:rsidRDefault="00B000C0" w:rsidP="004B4B73">
      <w:pPr>
        <w:pStyle w:val="ListParagraph"/>
        <w:numPr>
          <w:ilvl w:val="0"/>
          <w:numId w:val="25"/>
        </w:numPr>
      </w:pPr>
      <w:r w:rsidRPr="00573DEB">
        <w:t>After filing in the INPI, the application is subject to a formal preliminary examination and, if properly documented, the application is published in the Industrial Property Gazette (RPI).</w:t>
      </w:r>
    </w:p>
    <w:p w:rsidR="00B000C0" w:rsidRPr="00573DEB" w:rsidRDefault="00B000C0" w:rsidP="004B4B73">
      <w:pPr>
        <w:pStyle w:val="ListParagraph"/>
        <w:numPr>
          <w:ilvl w:val="0"/>
          <w:numId w:val="25"/>
        </w:numPr>
      </w:pPr>
      <w:r w:rsidRPr="00573DEB">
        <w:t>After the application is published in the RPI, interested parties have 60 days to submit information to INPI if they wish to oppose the application.</w:t>
      </w:r>
    </w:p>
    <w:p w:rsidR="00B000C0" w:rsidRPr="00573DEB" w:rsidRDefault="00B000C0" w:rsidP="004B4B73">
      <w:pPr>
        <w:pStyle w:val="ListParagraph"/>
        <w:numPr>
          <w:ilvl w:val="0"/>
          <w:numId w:val="25"/>
        </w:numPr>
      </w:pPr>
      <w:r w:rsidRPr="00573DEB">
        <w:t>After the opposition period, the application is submitted to the substantive examination.</w:t>
      </w:r>
    </w:p>
    <w:p w:rsidR="00B000C0" w:rsidRPr="00573DEB" w:rsidRDefault="00B000C0" w:rsidP="004B4B73">
      <w:pPr>
        <w:pStyle w:val="ListParagraph"/>
        <w:numPr>
          <w:ilvl w:val="0"/>
          <w:numId w:val="25"/>
        </w:numPr>
      </w:pPr>
      <w:r w:rsidRPr="00573DEB">
        <w:t>If the trademark application complies with the substantive criteria and the applicant duly pays the corresponding fees, the registration certificate will be granted to the applicant.</w:t>
      </w:r>
    </w:p>
    <w:p w:rsidR="00B000C0" w:rsidRPr="00573DEB" w:rsidRDefault="00B000C0" w:rsidP="004B4B73"/>
    <w:p w:rsidR="00B000C0" w:rsidRPr="00573DEB" w:rsidRDefault="00B000C0" w:rsidP="004B4B73">
      <w:r w:rsidRPr="00573DEB">
        <w:lastRenderedPageBreak/>
        <w:t>Once granted, a trademark remains in force for a period of 10 (ten) years from the date of grant and this period may be extended for equal and successive periods by paying renewal fees</w:t>
      </w:r>
      <w:r w:rsidR="004B4B73" w:rsidRPr="00573DEB">
        <w:t xml:space="preserve">.  </w:t>
      </w:r>
      <w:r w:rsidRPr="00573DEB">
        <w:t>Under Brazilian law, the certificate of registration of a trademark ensures to the titleholder its exclusive use throughout the national territory, as well as the right to authorize others to use your trademark and to prevent other people from using it to signal products or services which are identical, similar or related.</w:t>
      </w:r>
    </w:p>
    <w:p w:rsidR="00B000C0" w:rsidRPr="00573DEB" w:rsidRDefault="00B000C0" w:rsidP="004B4B73"/>
    <w:p w:rsidR="00B000C0" w:rsidRPr="00573DEB" w:rsidRDefault="00B000C0" w:rsidP="004B4B73">
      <w:r w:rsidRPr="00573DEB">
        <w:t>A trademark can also be cancelled post-grant</w:t>
      </w:r>
      <w:r w:rsidR="004B4B73" w:rsidRPr="00573DEB">
        <w:t xml:space="preserve">.  </w:t>
      </w:r>
      <w:r w:rsidRPr="00573DEB">
        <w:t>Administrative nullity proceedings may be request by any person having a legitimate interest within 180 days from grant</w:t>
      </w:r>
      <w:r w:rsidR="004B4B73" w:rsidRPr="00573DEB">
        <w:t xml:space="preserve">.  </w:t>
      </w:r>
      <w:r w:rsidRPr="00573DEB">
        <w:t>Judicial nullity proceedings may be proposed either by INPI or by any person having a legitimate interest within five years after it was registered.</w:t>
      </w:r>
    </w:p>
    <w:p w:rsidR="00B000C0" w:rsidRPr="00573DEB" w:rsidRDefault="00B000C0" w:rsidP="004B4B73"/>
    <w:p w:rsidR="00B000C0" w:rsidRPr="00573DEB" w:rsidRDefault="00B000C0" w:rsidP="004B4B73">
      <w:r w:rsidRPr="00573DEB">
        <w:t>Regarding international treaties on trademarks, it is worth noting that:</w:t>
      </w:r>
    </w:p>
    <w:p w:rsidR="00B000C0" w:rsidRPr="00573DEB" w:rsidRDefault="00B000C0" w:rsidP="004B4B73"/>
    <w:p w:rsidR="00B000C0" w:rsidRDefault="00B000C0" w:rsidP="004B4B73">
      <w:pPr>
        <w:pStyle w:val="ListParagraph"/>
        <w:numPr>
          <w:ilvl w:val="0"/>
          <w:numId w:val="23"/>
        </w:numPr>
      </w:pPr>
      <w:r w:rsidRPr="00573DEB">
        <w:t>Brazil is not a member of the Nice Agreement ("Nice Agreement Concerning the International Classification of Goods and Services for the Purposes of the Registration of Marks")</w:t>
      </w:r>
      <w:r w:rsidR="004B4B73" w:rsidRPr="00573DEB">
        <w:t xml:space="preserve">.  </w:t>
      </w:r>
      <w:r w:rsidRPr="00573DEB">
        <w:t xml:space="preserve">INPI, however, uses </w:t>
      </w:r>
      <w:proofErr w:type="spellStart"/>
      <w:r w:rsidRPr="00573DEB">
        <w:t>Nice's</w:t>
      </w:r>
      <w:proofErr w:type="spellEnd"/>
      <w:r w:rsidRPr="00573DEB">
        <w:t xml:space="preserve"> International Classification of Goods and Services.</w:t>
      </w:r>
    </w:p>
    <w:p w:rsidR="00617175" w:rsidRPr="00573DEB" w:rsidRDefault="00617175" w:rsidP="00617175">
      <w:pPr>
        <w:pStyle w:val="ListParagraph"/>
      </w:pPr>
    </w:p>
    <w:p w:rsidR="00B000C0" w:rsidRDefault="00B000C0" w:rsidP="004B4B73">
      <w:pPr>
        <w:pStyle w:val="ListParagraph"/>
        <w:numPr>
          <w:ilvl w:val="0"/>
          <w:numId w:val="23"/>
        </w:numPr>
      </w:pPr>
      <w:r w:rsidRPr="00573DEB">
        <w:t>Brazil is not a member of the Vienna Agreement ("Vienna Agreement Establishing an International Classification of the Figurative Elements of Marks"), but uses the Classification of the Figura</w:t>
      </w:r>
      <w:r w:rsidR="00617175">
        <w:t>tive Elements established by it.</w:t>
      </w:r>
    </w:p>
    <w:p w:rsidR="00617175" w:rsidRPr="00617175" w:rsidRDefault="00617175" w:rsidP="00617175">
      <w:pPr>
        <w:pStyle w:val="ListParagraph"/>
      </w:pPr>
    </w:p>
    <w:p w:rsidR="00B000C0" w:rsidRPr="00617175" w:rsidRDefault="00B000C0" w:rsidP="004B4B73">
      <w:pPr>
        <w:pStyle w:val="ListParagraph"/>
        <w:numPr>
          <w:ilvl w:val="0"/>
          <w:numId w:val="23"/>
        </w:numPr>
      </w:pPr>
      <w:r w:rsidRPr="00617175">
        <w:t>Brazil is not a member of the Madrid Protocol (“Protocol Relating to the Madrid Agreement Concerning the International Registration of Marks”).</w:t>
      </w:r>
      <w:r w:rsidR="00617175" w:rsidRPr="00617175">
        <w:t xml:space="preserve">  </w:t>
      </w:r>
      <w:r w:rsidRPr="00617175">
        <w:t>The Agreement is an international system of record that enables obtaining protection for trademarks in several States and/or intergovernmental organizations through a single international application to be filed with the International Bureau of the World Intellectual Property Organization (WIPO)</w:t>
      </w:r>
    </w:p>
    <w:p w:rsidR="00B000C0" w:rsidRPr="00573DEB" w:rsidRDefault="00B000C0" w:rsidP="004B4B73"/>
    <w:p w:rsidR="005E44C5" w:rsidRPr="00573DEB" w:rsidRDefault="005E44C5" w:rsidP="004B4B73"/>
    <w:p w:rsidR="005E44C5" w:rsidRPr="00573DEB" w:rsidRDefault="005E44C5" w:rsidP="004B4B73"/>
    <w:p w:rsidR="00B000C0" w:rsidRPr="00573DEB" w:rsidRDefault="00B000C0" w:rsidP="004B4B73">
      <w:pPr>
        <w:pStyle w:val="Heading3"/>
        <w:rPr>
          <w:lang w:eastAsia="pt-BR"/>
        </w:rPr>
      </w:pPr>
      <w:bookmarkStart w:id="19" w:name="_Toc388619911"/>
      <w:r w:rsidRPr="00573DEB">
        <w:rPr>
          <w:lang w:eastAsia="pt-BR"/>
        </w:rPr>
        <w:t>Technology and franchising Contracts</w:t>
      </w:r>
      <w:bookmarkEnd w:id="19"/>
    </w:p>
    <w:p w:rsidR="00B000C0" w:rsidRPr="00573DEB" w:rsidRDefault="00B000C0" w:rsidP="004B4B73"/>
    <w:p w:rsidR="00B000C0" w:rsidRPr="00573DEB" w:rsidRDefault="00B000C0" w:rsidP="004B4B73">
      <w:r w:rsidRPr="00573DEB">
        <w:t>According to the Industrial Property Law (No</w:t>
      </w:r>
      <w:r w:rsidR="00982C7F" w:rsidRPr="00573DEB">
        <w:t xml:space="preserve">. </w:t>
      </w:r>
      <w:r w:rsidRPr="00573DEB">
        <w:t>9.279/96), INPI is responsible for the registration of contracts that involves transfer of technology, franchise agreements and alike in order that such contracts take effect for third parties</w:t>
      </w:r>
      <w:r w:rsidR="004B4B73" w:rsidRPr="00573DEB">
        <w:t xml:space="preserve">.  </w:t>
      </w:r>
      <w:r w:rsidRPr="00573DEB">
        <w:t>Under Brazilian law, technology contracts are agreements whose object involves industrial property rights or an expectation of rights, which may include pending applications for the registration of IPRs</w:t>
      </w:r>
      <w:r w:rsidR="004B4B73" w:rsidRPr="00573DEB">
        <w:t xml:space="preserve">.  </w:t>
      </w:r>
    </w:p>
    <w:p w:rsidR="00B000C0" w:rsidRPr="00573DEB" w:rsidRDefault="00B000C0" w:rsidP="004B4B73"/>
    <w:p w:rsidR="00B000C0" w:rsidRPr="00573DEB" w:rsidRDefault="005E44C5" w:rsidP="004B4B73">
      <w:r w:rsidRPr="00573DEB">
        <w:t>Agreements</w:t>
      </w:r>
      <w:r w:rsidR="00B000C0" w:rsidRPr="00573DEB">
        <w:t xml:space="preserve"> whose object involves the transmission of knowledge, which may not be registered as industrial property rights, are also required to be registered at INPI</w:t>
      </w:r>
      <w:r w:rsidR="004B4B73" w:rsidRPr="00573DEB">
        <w:t xml:space="preserve">.  </w:t>
      </w:r>
      <w:r w:rsidR="00B000C0" w:rsidRPr="00573DEB">
        <w:t>This is the case of contracts involving know-how and trade secrets as well as contracts for the provision of technical assistance services, related to the preparation of studies, projects and technical support needed for the absorption of technology</w:t>
      </w:r>
      <w:r w:rsidR="004B4B73" w:rsidRPr="00573DEB">
        <w:t xml:space="preserve">.  </w:t>
      </w:r>
    </w:p>
    <w:p w:rsidR="00B000C0" w:rsidRPr="00573DEB" w:rsidRDefault="00B000C0" w:rsidP="004B4B73"/>
    <w:p w:rsidR="00B000C0" w:rsidRPr="00573DEB" w:rsidRDefault="00B000C0" w:rsidP="004B4B73">
      <w:r w:rsidRPr="00573DEB">
        <w:t>The franchise contracts are regulated by Law No</w:t>
      </w:r>
      <w:r w:rsidR="004B4B73" w:rsidRPr="00573DEB">
        <w:t xml:space="preserve">.  </w:t>
      </w:r>
      <w:r w:rsidRPr="00573DEB">
        <w:t>8.955/94, which defines them as "the mechanism by which the franchisor grants the franchisee the right to use the trademark or patent, associated with the right of exclusive or semi-exclusive distribution of products or services, and, eventually, the right to use the technology of deployment and management of the business or the operating system developed or held by the franchisor, by direct or indirect remuneration, without, however, characterizing any employment relationship" (art</w:t>
      </w:r>
      <w:r w:rsidR="004B4B73" w:rsidRPr="00573DEB">
        <w:t xml:space="preserve">. </w:t>
      </w:r>
      <w:r w:rsidRPr="00573DEB">
        <w:t>2 Law No</w:t>
      </w:r>
      <w:r w:rsidR="004B4B73" w:rsidRPr="00573DEB">
        <w:t xml:space="preserve">. </w:t>
      </w:r>
      <w:r w:rsidRPr="00573DEB">
        <w:t>8.955/94)</w:t>
      </w:r>
      <w:r w:rsidR="004B4B73" w:rsidRPr="00573DEB">
        <w:t xml:space="preserve">.  </w:t>
      </w:r>
    </w:p>
    <w:p w:rsidR="00B000C0" w:rsidRDefault="00B000C0" w:rsidP="004B4B73"/>
    <w:p w:rsidR="00173827" w:rsidRPr="00573DEB" w:rsidRDefault="00173827" w:rsidP="004B4B73"/>
    <w:p w:rsidR="00B000C0" w:rsidRPr="00573DEB" w:rsidRDefault="00B000C0" w:rsidP="004B4B73">
      <w:r w:rsidRPr="00573DEB">
        <w:lastRenderedPageBreak/>
        <w:t xml:space="preserve">According to these rules and regulations, technology and franchise contracts should be registered at the INPI: </w:t>
      </w:r>
    </w:p>
    <w:p w:rsidR="00B000C0" w:rsidRPr="00573DEB" w:rsidRDefault="00B000C0" w:rsidP="004B4B73"/>
    <w:p w:rsidR="00B000C0" w:rsidRPr="00573DEB" w:rsidRDefault="00B000C0" w:rsidP="004B4B73">
      <w:pPr>
        <w:pStyle w:val="ListParagraph"/>
        <w:numPr>
          <w:ilvl w:val="0"/>
          <w:numId w:val="24"/>
        </w:numPr>
      </w:pPr>
      <w:r w:rsidRPr="00573DEB">
        <w:t>to have effect for third parties (Law 9.279/96);</w:t>
      </w:r>
    </w:p>
    <w:p w:rsidR="005E44C5" w:rsidRPr="00573DEB" w:rsidRDefault="005E44C5" w:rsidP="005E44C5"/>
    <w:p w:rsidR="00B000C0" w:rsidRPr="00573DEB" w:rsidRDefault="00B000C0" w:rsidP="004B4B73">
      <w:pPr>
        <w:pStyle w:val="ListParagraph"/>
        <w:numPr>
          <w:ilvl w:val="0"/>
          <w:numId w:val="24"/>
        </w:numPr>
      </w:pPr>
      <w:r w:rsidRPr="00573DEB">
        <w:t>to legitimize and enable the remittance of royalties and services involving technology transfer (Law No</w:t>
      </w:r>
      <w:r w:rsidR="004B4B73" w:rsidRPr="00573DEB">
        <w:t xml:space="preserve">. </w:t>
      </w:r>
      <w:r w:rsidRPr="00573DEB">
        <w:t>4.131/62 and Resolution No</w:t>
      </w:r>
      <w:r w:rsidR="004B4B73" w:rsidRPr="00573DEB">
        <w:t xml:space="preserve">. </w:t>
      </w:r>
      <w:r w:rsidRPr="00573DEB">
        <w:t>3.844/2010 of the Central Bank of Brazil); and</w:t>
      </w:r>
      <w:r w:rsidR="00AE4490">
        <w:t>,</w:t>
      </w:r>
      <w:r w:rsidRPr="00573DEB">
        <w:t xml:space="preserve"> </w:t>
      </w:r>
    </w:p>
    <w:p w:rsidR="005E44C5" w:rsidRPr="00573DEB" w:rsidRDefault="005E44C5" w:rsidP="005E44C5"/>
    <w:p w:rsidR="00B000C0" w:rsidRPr="00573DEB" w:rsidRDefault="00B000C0" w:rsidP="004B4B73">
      <w:pPr>
        <w:pStyle w:val="ListParagraph"/>
        <w:numPr>
          <w:ilvl w:val="0"/>
          <w:numId w:val="24"/>
        </w:numPr>
      </w:pPr>
      <w:proofErr w:type="gramStart"/>
      <w:r w:rsidRPr="00573DEB">
        <w:t>to</w:t>
      </w:r>
      <w:proofErr w:type="gramEnd"/>
      <w:r w:rsidRPr="00573DEB">
        <w:t xml:space="preserve"> allow the tax deduction of technology and technical assistance expenses (Decree Nº</w:t>
      </w:r>
      <w:r w:rsidR="004B4B73" w:rsidRPr="00573DEB">
        <w:t xml:space="preserve">. </w:t>
      </w:r>
      <w:r w:rsidRPr="00573DEB">
        <w:t>3.000</w:t>
      </w:r>
      <w:r w:rsidR="00BF3800" w:rsidRPr="00573DEB">
        <w:t>,</w:t>
      </w:r>
      <w:r w:rsidRPr="00573DEB">
        <w:t xml:space="preserve"> 26/03/1999</w:t>
      </w:r>
      <w:r w:rsidR="00BF3800" w:rsidRPr="00573DEB">
        <w:t>,</w:t>
      </w:r>
      <w:r w:rsidRPr="00573DEB">
        <w:t xml:space="preserve"> relating to the Income Tax Regulations)</w:t>
      </w:r>
      <w:r w:rsidR="004B4B73" w:rsidRPr="00573DEB">
        <w:t xml:space="preserve">.  </w:t>
      </w:r>
    </w:p>
    <w:p w:rsidR="005E44C5" w:rsidRPr="00573DEB" w:rsidRDefault="005E44C5" w:rsidP="00617175"/>
    <w:p w:rsidR="005E44C5" w:rsidRPr="00573DEB" w:rsidRDefault="005E44C5" w:rsidP="00617175"/>
    <w:p w:rsidR="00B000C0" w:rsidRPr="00573DEB" w:rsidRDefault="00B000C0" w:rsidP="00617175">
      <w:pPr>
        <w:pStyle w:val="Heading3"/>
        <w:rPr>
          <w:lang w:eastAsia="pt-BR"/>
        </w:rPr>
      </w:pPr>
      <w:bookmarkStart w:id="20" w:name="_Toc388619912"/>
      <w:r w:rsidRPr="00573DEB">
        <w:rPr>
          <w:lang w:eastAsia="pt-BR"/>
        </w:rPr>
        <w:t>Geographical indications</w:t>
      </w:r>
      <w:bookmarkEnd w:id="20"/>
      <w:r w:rsidRPr="00573DEB">
        <w:rPr>
          <w:lang w:eastAsia="pt-BR"/>
        </w:rPr>
        <w:t xml:space="preserve"> </w:t>
      </w:r>
    </w:p>
    <w:p w:rsidR="00B000C0" w:rsidRPr="00573DEB" w:rsidRDefault="00B000C0" w:rsidP="00617175"/>
    <w:p w:rsidR="00B000C0" w:rsidRPr="00573DEB" w:rsidRDefault="00B000C0" w:rsidP="00617175">
      <w:r w:rsidRPr="00573DEB">
        <w:t xml:space="preserve">In Brazil, according to the Law 9279/96, the registration of geographical </w:t>
      </w:r>
      <w:r w:rsidR="005E44C5" w:rsidRPr="00573DEB">
        <w:t>indications</w:t>
      </w:r>
      <w:r w:rsidRPr="00573DEB">
        <w:t xml:space="preserve"> protects an indication of origin (or indication of source) or an appellation of origin (or denomination of origin)</w:t>
      </w:r>
      <w:r w:rsidR="004B4B73" w:rsidRPr="00573DEB">
        <w:t xml:space="preserve">.  </w:t>
      </w:r>
      <w:r w:rsidRPr="00573DEB">
        <w:t>INPI is the institution responsible for</w:t>
      </w:r>
      <w:r w:rsidR="005E44C5" w:rsidRPr="00573DEB">
        <w:t xml:space="preserve"> </w:t>
      </w:r>
      <w:r w:rsidRPr="00573DEB">
        <w:rPr>
          <w:color w:val="222222"/>
        </w:rPr>
        <w:t xml:space="preserve">establishing </w:t>
      </w:r>
      <w:r w:rsidRPr="00573DEB">
        <w:t>the registration procedure.</w:t>
      </w:r>
    </w:p>
    <w:p w:rsidR="00B000C0" w:rsidRPr="00573DEB" w:rsidRDefault="00B000C0" w:rsidP="00617175"/>
    <w:p w:rsidR="00B000C0" w:rsidRPr="00573DEB" w:rsidRDefault="00B000C0" w:rsidP="00617175">
      <w:r w:rsidRPr="00573DEB">
        <w:t>An indication of source is the geographic name of a country, city, region or locality in a territory which has become known as a center of extraction, production or manufacture of a given product or of provision of a given service</w:t>
      </w:r>
      <w:r w:rsidR="004B4B73" w:rsidRPr="00573DEB">
        <w:t xml:space="preserve">.  </w:t>
      </w:r>
      <w:r w:rsidRPr="00573DEB">
        <w:t>A denomination of origin is</w:t>
      </w:r>
      <w:r w:rsidR="005E44C5" w:rsidRPr="00573DEB">
        <w:t xml:space="preserve"> </w:t>
      </w:r>
      <w:r w:rsidRPr="00573DEB">
        <w:t>the geographical name of a country, city, region or locality in its territory that designates a product or service whose qualities or characteristics are exclusively or essentially attributable to the geographical environment, including natural and human factors</w:t>
      </w:r>
      <w:r w:rsidR="005E44C5" w:rsidRPr="00573DEB">
        <w:t>.</w:t>
      </w:r>
    </w:p>
    <w:p w:rsidR="00B000C0" w:rsidRPr="00573DEB" w:rsidRDefault="00B000C0" w:rsidP="00617175"/>
    <w:p w:rsidR="00B000C0" w:rsidRPr="00573DEB" w:rsidRDefault="00B000C0" w:rsidP="00617175">
      <w:r w:rsidRPr="00573DEB">
        <w:t>Once a geographic name has fallen into the common use as designating a product or service, it cannot be registered as a geographical indication</w:t>
      </w:r>
      <w:r w:rsidR="004B4B73" w:rsidRPr="00573DEB">
        <w:t xml:space="preserve">.  </w:t>
      </w:r>
    </w:p>
    <w:p w:rsidR="00B000C0" w:rsidRPr="00573DEB" w:rsidRDefault="00B000C0" w:rsidP="00617175"/>
    <w:p w:rsidR="00B000C0" w:rsidRPr="00573DEB" w:rsidRDefault="00B000C0" w:rsidP="00617175">
      <w:r w:rsidRPr="00573DEB">
        <w:t>The use of the geographical indication is restricted to those producers and service providers who are established in that locality, and it is also demanded, concerning denominations of origin, that the quality requirements are satisfied.</w:t>
      </w:r>
    </w:p>
    <w:p w:rsidR="00B000C0" w:rsidRPr="00573DEB" w:rsidRDefault="00B000C0" w:rsidP="00617175"/>
    <w:p w:rsidR="00B000C0" w:rsidRPr="00573DEB" w:rsidRDefault="00B000C0" w:rsidP="00617175">
      <w:r w:rsidRPr="00573DEB">
        <w:rPr>
          <w:color w:val="222222"/>
        </w:rPr>
        <w:t xml:space="preserve">Regarding international treaties on </w:t>
      </w:r>
      <w:r w:rsidRPr="00573DEB">
        <w:t>geographical indications</w:t>
      </w:r>
      <w:r w:rsidRPr="00573DEB">
        <w:rPr>
          <w:color w:val="222222"/>
        </w:rPr>
        <w:t>, it is worth noting that</w:t>
      </w:r>
      <w:r w:rsidRPr="00573DEB">
        <w:t xml:space="preserve"> Brazil is not part of the Lisbon Agreement (“Lisbon Agreement for the Protection of Appellations of Origin and their International Registration”).</w:t>
      </w:r>
    </w:p>
    <w:p w:rsidR="00B000C0" w:rsidRPr="00573DEB" w:rsidRDefault="00B000C0" w:rsidP="004B4B73"/>
    <w:p w:rsidR="005E44C5" w:rsidRPr="00573DEB" w:rsidRDefault="005E44C5" w:rsidP="004B4B73"/>
    <w:p w:rsidR="00B000C0" w:rsidRPr="00573DEB" w:rsidRDefault="00AE4490" w:rsidP="004B4B73">
      <w:pPr>
        <w:pStyle w:val="Heading3"/>
        <w:rPr>
          <w:lang w:eastAsia="pt-BR"/>
        </w:rPr>
      </w:pPr>
      <w:r w:rsidRPr="00573DEB">
        <w:rPr>
          <w:lang w:eastAsia="pt-BR"/>
        </w:rPr>
        <w:t>Software</w:t>
      </w:r>
    </w:p>
    <w:p w:rsidR="00B000C0" w:rsidRPr="00617175" w:rsidRDefault="00B000C0" w:rsidP="004B4B73"/>
    <w:p w:rsidR="00B000C0" w:rsidRPr="00617175" w:rsidRDefault="00B000C0" w:rsidP="004B4B73">
      <w:r w:rsidRPr="00617175">
        <w:t>In Brazil, in addition to copyright law (Law No</w:t>
      </w:r>
      <w:r w:rsidR="00BF3800" w:rsidRPr="00617175">
        <w:t xml:space="preserve">. </w:t>
      </w:r>
      <w:r w:rsidRPr="00617175">
        <w:t>9.610/1998) in which the computer program is protected as a literary work, the intellectual property protection of computer programs is the subject of specific legislation:</w:t>
      </w:r>
      <w:r w:rsidR="00617175" w:rsidRPr="00617175">
        <w:t xml:space="preserve"> </w:t>
      </w:r>
      <w:r w:rsidRPr="00617175">
        <w:t xml:space="preserve"> the Law 9.609/98, also known as Software Law.</w:t>
      </w:r>
    </w:p>
    <w:p w:rsidR="00B000C0" w:rsidRPr="00617175" w:rsidRDefault="00B000C0" w:rsidP="004B4B73"/>
    <w:p w:rsidR="00B000C0" w:rsidRPr="00617175" w:rsidRDefault="00B000C0" w:rsidP="004B4B73">
      <w:r w:rsidRPr="00617175">
        <w:t>In the case of works protected by copyright, the protection of rights in the computer program comes with its creation, independent of registration</w:t>
      </w:r>
      <w:r w:rsidR="004B4B73" w:rsidRPr="00617175">
        <w:t xml:space="preserve">.  </w:t>
      </w:r>
      <w:r w:rsidRPr="00617175">
        <w:t>To enjoy the rights granted by the ownership of the software, the owner must have of proof of authorship, either by the publication or by other evidence</w:t>
      </w:r>
      <w:r w:rsidR="004B4B73" w:rsidRPr="00617175">
        <w:t xml:space="preserve">.  </w:t>
      </w:r>
      <w:r w:rsidRPr="00617175">
        <w:t>Thus, to provide legal certainty for business and ensure its ownership, computer programs may be registered at INPI</w:t>
      </w:r>
      <w:r w:rsidR="004B4B73" w:rsidRPr="00617175">
        <w:t xml:space="preserve">.  </w:t>
      </w:r>
      <w:r w:rsidRPr="00617175">
        <w:t xml:space="preserve">The validity of the rights for those who develops </w:t>
      </w:r>
      <w:r w:rsidR="005E44C5" w:rsidRPr="00617175">
        <w:t>software</w:t>
      </w:r>
      <w:r w:rsidRPr="00617175">
        <w:t xml:space="preserve"> is fifty years from</w:t>
      </w:r>
      <w:r w:rsidR="004B4B73" w:rsidRPr="00617175">
        <w:t xml:space="preserve"> </w:t>
      </w:r>
      <w:r w:rsidRPr="00617175">
        <w:t xml:space="preserve">January </w:t>
      </w:r>
      <w:r w:rsidR="005E44C5" w:rsidRPr="00617175">
        <w:t>1</w:t>
      </w:r>
      <w:r w:rsidR="005E44C5" w:rsidRPr="00617175">
        <w:rPr>
          <w:vertAlign w:val="superscript"/>
        </w:rPr>
        <w:t>st</w:t>
      </w:r>
      <w:r w:rsidR="005E44C5" w:rsidRPr="00617175">
        <w:t xml:space="preserve"> </w:t>
      </w:r>
      <w:r w:rsidRPr="00617175">
        <w:t>of the year following that of its publication or, failing that, of their creation.</w:t>
      </w:r>
    </w:p>
    <w:p w:rsidR="00B000C0" w:rsidRPr="00617175" w:rsidRDefault="00B000C0" w:rsidP="004B4B73"/>
    <w:p w:rsidR="005E44C5" w:rsidRPr="00573DEB" w:rsidRDefault="00B000C0" w:rsidP="004B4B73">
      <w:r w:rsidRPr="00617175">
        <w:t>In the case of foreign programs, once coming from countries that grant reciprocity to Brazilian authors, they are not required to be registered in Brazil (except in cases of transfer of rights).</w:t>
      </w:r>
    </w:p>
    <w:p w:rsidR="00E1020F" w:rsidRPr="00573DEB" w:rsidRDefault="00E1020F" w:rsidP="004B4B73">
      <w:pPr>
        <w:sectPr w:rsidR="00E1020F" w:rsidRPr="00573DEB" w:rsidSect="001E619D">
          <w:headerReference w:type="default" r:id="rId15"/>
          <w:footerReference w:type="default" r:id="rId16"/>
          <w:headerReference w:type="first" r:id="rId17"/>
          <w:footerReference w:type="first" r:id="rId18"/>
          <w:pgSz w:w="11906" w:h="16838"/>
          <w:pgMar w:top="1418" w:right="1440" w:bottom="1418" w:left="1440" w:header="709" w:footer="709" w:gutter="0"/>
          <w:pgNumType w:start="1"/>
          <w:cols w:space="720"/>
          <w:titlePg/>
          <w:docGrid w:linePitch="360"/>
        </w:sectPr>
      </w:pPr>
    </w:p>
    <w:p w:rsidR="005E44C5" w:rsidRPr="00573DEB" w:rsidRDefault="005E44C5" w:rsidP="004B4B73"/>
    <w:p w:rsidR="00B000C0" w:rsidRPr="00573DEB" w:rsidRDefault="000C6B94" w:rsidP="005E44C5">
      <w:pPr>
        <w:pStyle w:val="Caption"/>
      </w:pPr>
      <w:r>
        <w:t xml:space="preserve">Box 2.1:  </w:t>
      </w:r>
      <w:r w:rsidR="00B000C0" w:rsidRPr="00573DEB">
        <w:t>Summary of IP system in Brazil</w:t>
      </w:r>
    </w:p>
    <w:tbl>
      <w:tblPr>
        <w:tblW w:w="1439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201"/>
        <w:gridCol w:w="2014"/>
        <w:gridCol w:w="2644"/>
        <w:gridCol w:w="2460"/>
        <w:gridCol w:w="6078"/>
      </w:tblGrid>
      <w:tr w:rsidR="00B000C0" w:rsidRPr="00573DEB" w:rsidTr="0029515C">
        <w:trPr>
          <w:trHeight w:val="390"/>
        </w:trPr>
        <w:tc>
          <w:tcPr>
            <w:tcW w:w="1201" w:type="dxa"/>
            <w:shd w:val="clear" w:color="auto" w:fill="auto"/>
            <w:vAlign w:val="center"/>
            <w:hideMark/>
          </w:tcPr>
          <w:p w:rsidR="00B000C0" w:rsidRPr="00573DEB" w:rsidRDefault="00B000C0" w:rsidP="005E44C5">
            <w:pPr>
              <w:rPr>
                <w:rFonts w:ascii="Arial Narrow" w:hAnsi="Arial Narrow"/>
                <w:b/>
                <w:lang w:eastAsia="pt-BR"/>
              </w:rPr>
            </w:pPr>
            <w:r w:rsidRPr="00573DEB">
              <w:rPr>
                <w:rFonts w:ascii="Arial Narrow" w:hAnsi="Arial Narrow"/>
                <w:b/>
                <w:lang w:eastAsia="pt-BR"/>
              </w:rPr>
              <w:t xml:space="preserve">Institution </w:t>
            </w:r>
          </w:p>
        </w:tc>
        <w:tc>
          <w:tcPr>
            <w:tcW w:w="2014" w:type="dxa"/>
            <w:shd w:val="clear" w:color="auto" w:fill="auto"/>
            <w:vAlign w:val="center"/>
            <w:hideMark/>
          </w:tcPr>
          <w:p w:rsidR="00B000C0" w:rsidRPr="00573DEB" w:rsidRDefault="00B000C0" w:rsidP="004B4B73">
            <w:pPr>
              <w:rPr>
                <w:rFonts w:ascii="Arial Narrow" w:hAnsi="Arial Narrow"/>
                <w:b/>
                <w:lang w:eastAsia="pt-BR"/>
              </w:rPr>
            </w:pPr>
            <w:r w:rsidRPr="00573DEB">
              <w:rPr>
                <w:rFonts w:ascii="Arial Narrow" w:hAnsi="Arial Narrow"/>
                <w:b/>
                <w:lang w:eastAsia="pt-BR"/>
              </w:rPr>
              <w:t>Type of IP</w:t>
            </w:r>
          </w:p>
        </w:tc>
        <w:tc>
          <w:tcPr>
            <w:tcW w:w="2644" w:type="dxa"/>
            <w:shd w:val="clear" w:color="auto" w:fill="auto"/>
            <w:vAlign w:val="center"/>
            <w:hideMark/>
          </w:tcPr>
          <w:p w:rsidR="00B000C0" w:rsidRPr="00573DEB" w:rsidRDefault="00B000C0" w:rsidP="004B4B73">
            <w:pPr>
              <w:rPr>
                <w:rFonts w:ascii="Arial Narrow" w:hAnsi="Arial Narrow"/>
                <w:b/>
                <w:lang w:eastAsia="pt-BR"/>
              </w:rPr>
            </w:pPr>
            <w:r w:rsidRPr="00573DEB">
              <w:rPr>
                <w:rFonts w:ascii="Arial Narrow" w:hAnsi="Arial Narrow"/>
                <w:b/>
                <w:lang w:eastAsia="pt-BR"/>
              </w:rPr>
              <w:t>Period in force</w:t>
            </w:r>
          </w:p>
        </w:tc>
        <w:tc>
          <w:tcPr>
            <w:tcW w:w="2460" w:type="dxa"/>
            <w:shd w:val="clear" w:color="auto" w:fill="auto"/>
            <w:vAlign w:val="center"/>
            <w:hideMark/>
          </w:tcPr>
          <w:p w:rsidR="00B000C0" w:rsidRPr="00573DEB" w:rsidRDefault="00B000C0" w:rsidP="004B4B73">
            <w:pPr>
              <w:rPr>
                <w:rFonts w:ascii="Arial Narrow" w:hAnsi="Arial Narrow"/>
                <w:b/>
                <w:lang w:eastAsia="pt-BR"/>
              </w:rPr>
            </w:pPr>
            <w:r w:rsidRPr="00573DEB">
              <w:rPr>
                <w:rFonts w:ascii="Arial Narrow" w:hAnsi="Arial Narrow"/>
                <w:b/>
                <w:lang w:eastAsia="pt-BR"/>
              </w:rPr>
              <w:t>National IP Laws</w:t>
            </w:r>
          </w:p>
        </w:tc>
        <w:tc>
          <w:tcPr>
            <w:tcW w:w="6078" w:type="dxa"/>
            <w:shd w:val="clear" w:color="auto" w:fill="auto"/>
            <w:vAlign w:val="center"/>
            <w:hideMark/>
          </w:tcPr>
          <w:p w:rsidR="00B000C0" w:rsidRPr="00573DEB" w:rsidRDefault="00B000C0" w:rsidP="004B4B73">
            <w:pPr>
              <w:rPr>
                <w:rFonts w:ascii="Arial Narrow" w:hAnsi="Arial Narrow"/>
                <w:b/>
                <w:lang w:eastAsia="pt-BR"/>
              </w:rPr>
            </w:pPr>
            <w:r w:rsidRPr="00573DEB">
              <w:rPr>
                <w:rFonts w:ascii="Arial Narrow" w:hAnsi="Arial Narrow"/>
                <w:b/>
                <w:lang w:eastAsia="pt-BR"/>
              </w:rPr>
              <w:t>International Agreements  Status</w:t>
            </w:r>
          </w:p>
        </w:tc>
      </w:tr>
      <w:tr w:rsidR="00B000C0" w:rsidRPr="00573DEB" w:rsidTr="0029515C">
        <w:trPr>
          <w:trHeight w:val="450"/>
        </w:trPr>
        <w:tc>
          <w:tcPr>
            <w:tcW w:w="1201" w:type="dxa"/>
            <w:vMerge w:val="restart"/>
            <w:shd w:val="clear" w:color="auto" w:fill="auto"/>
            <w:vAlign w:val="center"/>
            <w:hideMark/>
          </w:tcPr>
          <w:p w:rsidR="00B000C0" w:rsidRPr="00573DEB" w:rsidRDefault="00B000C0" w:rsidP="00E1020F">
            <w:pPr>
              <w:rPr>
                <w:rFonts w:ascii="Arial Narrow" w:hAnsi="Arial Narrow"/>
                <w:lang w:eastAsia="pt-BR"/>
              </w:rPr>
            </w:pPr>
            <w:r w:rsidRPr="00573DEB">
              <w:rPr>
                <w:rFonts w:ascii="Arial Narrow" w:hAnsi="Arial Narrow"/>
                <w:lang w:eastAsia="pt-BR"/>
              </w:rPr>
              <w:t xml:space="preserve">Brazilian IP </w:t>
            </w:r>
            <w:r w:rsidR="0029515C" w:rsidRPr="00573DEB">
              <w:rPr>
                <w:rFonts w:ascii="Arial Narrow" w:hAnsi="Arial Narrow"/>
                <w:lang w:eastAsia="pt-BR"/>
              </w:rPr>
              <w:br/>
            </w:r>
            <w:r w:rsidRPr="00573DEB">
              <w:rPr>
                <w:rFonts w:ascii="Arial Narrow" w:hAnsi="Arial Narrow"/>
                <w:lang w:eastAsia="pt-BR"/>
              </w:rPr>
              <w:t>Office (INPI)</w:t>
            </w:r>
            <w:r w:rsidR="00E1020F" w:rsidRPr="00573DEB">
              <w:rPr>
                <w:rFonts w:ascii="Arial Narrow" w:hAnsi="Arial Narrow"/>
                <w:lang w:eastAsia="pt-BR"/>
              </w:rPr>
              <w:t>,</w:t>
            </w:r>
            <w:r w:rsidRPr="00573DEB">
              <w:rPr>
                <w:rFonts w:ascii="Arial Narrow" w:hAnsi="Arial Narrow"/>
                <w:lang w:eastAsia="pt-BR"/>
              </w:rPr>
              <w:t xml:space="preserve"> </w:t>
            </w:r>
            <w:r w:rsidR="00E1020F" w:rsidRPr="00573DEB">
              <w:rPr>
                <w:rFonts w:ascii="Arial Narrow" w:hAnsi="Arial Narrow"/>
                <w:lang w:eastAsia="pt-BR"/>
              </w:rPr>
              <w:br/>
            </w:r>
            <w:r w:rsidRPr="00573DEB">
              <w:rPr>
                <w:rFonts w:ascii="Arial Narrow" w:hAnsi="Arial Narrow"/>
                <w:lang w:eastAsia="pt-BR"/>
              </w:rPr>
              <w:t xml:space="preserve">Ministry of </w:t>
            </w:r>
            <w:r w:rsidR="0029515C" w:rsidRPr="00573DEB">
              <w:rPr>
                <w:rFonts w:ascii="Arial Narrow" w:hAnsi="Arial Narrow"/>
                <w:lang w:eastAsia="pt-BR"/>
              </w:rPr>
              <w:br/>
            </w:r>
            <w:r w:rsidRPr="00573DEB">
              <w:rPr>
                <w:rFonts w:ascii="Arial Narrow" w:hAnsi="Arial Narrow"/>
                <w:lang w:eastAsia="pt-BR"/>
              </w:rPr>
              <w:t xml:space="preserve">Development, </w:t>
            </w:r>
            <w:r w:rsidR="00E1020F" w:rsidRPr="00573DEB">
              <w:rPr>
                <w:rFonts w:ascii="Arial Narrow" w:hAnsi="Arial Narrow"/>
                <w:lang w:eastAsia="pt-BR"/>
              </w:rPr>
              <w:br/>
            </w:r>
            <w:r w:rsidRPr="00573DEB">
              <w:rPr>
                <w:rFonts w:ascii="Arial Narrow" w:hAnsi="Arial Narrow"/>
                <w:lang w:eastAsia="pt-BR"/>
              </w:rPr>
              <w:t xml:space="preserve">Industry and </w:t>
            </w:r>
            <w:r w:rsidR="0029515C" w:rsidRPr="00573DEB">
              <w:rPr>
                <w:rFonts w:ascii="Arial Narrow" w:hAnsi="Arial Narrow"/>
                <w:lang w:eastAsia="pt-BR"/>
              </w:rPr>
              <w:br/>
            </w:r>
            <w:r w:rsidRPr="00573DEB">
              <w:rPr>
                <w:rFonts w:ascii="Arial Narrow" w:hAnsi="Arial Narrow"/>
                <w:lang w:eastAsia="pt-BR"/>
              </w:rPr>
              <w:t xml:space="preserve">Foreign </w:t>
            </w:r>
            <w:r w:rsidR="0029515C" w:rsidRPr="00573DEB">
              <w:rPr>
                <w:rFonts w:ascii="Arial Narrow" w:hAnsi="Arial Narrow"/>
                <w:lang w:eastAsia="pt-BR"/>
              </w:rPr>
              <w:br/>
            </w:r>
            <w:r w:rsidRPr="00573DEB">
              <w:rPr>
                <w:rFonts w:ascii="Arial Narrow" w:hAnsi="Arial Narrow"/>
                <w:lang w:eastAsia="pt-BR"/>
              </w:rPr>
              <w:t>Trade</w:t>
            </w:r>
          </w:p>
        </w:tc>
        <w:tc>
          <w:tcPr>
            <w:tcW w:w="2014" w:type="dxa"/>
            <w:shd w:val="clear" w:color="auto" w:fill="auto"/>
            <w:vAlign w:val="center"/>
            <w:hideMark/>
          </w:tcPr>
          <w:p w:rsidR="00B000C0" w:rsidRPr="00573DEB" w:rsidRDefault="00B000C0" w:rsidP="004B4B73">
            <w:pPr>
              <w:rPr>
                <w:rFonts w:ascii="Arial Narrow" w:hAnsi="Arial Narrow"/>
                <w:lang w:eastAsia="pt-BR"/>
              </w:rPr>
            </w:pPr>
            <w:r w:rsidRPr="00573DEB">
              <w:rPr>
                <w:rFonts w:ascii="Arial Narrow" w:hAnsi="Arial Narrow"/>
                <w:lang w:eastAsia="pt-BR"/>
              </w:rPr>
              <w:t>Patents</w:t>
            </w:r>
          </w:p>
        </w:tc>
        <w:tc>
          <w:tcPr>
            <w:tcW w:w="2644" w:type="dxa"/>
            <w:shd w:val="clear" w:color="auto" w:fill="auto"/>
            <w:vAlign w:val="center"/>
            <w:hideMark/>
          </w:tcPr>
          <w:p w:rsidR="00B000C0" w:rsidRPr="00573DEB" w:rsidRDefault="00B000C0" w:rsidP="00FB20E3">
            <w:pPr>
              <w:rPr>
                <w:rFonts w:ascii="Arial Narrow" w:hAnsi="Arial Narrow"/>
                <w:lang w:eastAsia="pt-BR"/>
              </w:rPr>
            </w:pPr>
            <w:r w:rsidRPr="00573DEB">
              <w:rPr>
                <w:rFonts w:ascii="Arial Narrow" w:hAnsi="Arial Narrow"/>
                <w:lang w:eastAsia="pt-BR"/>
              </w:rPr>
              <w:t xml:space="preserve">20 years from the date of filing, </w:t>
            </w:r>
            <w:r w:rsidRPr="00573DEB">
              <w:rPr>
                <w:rFonts w:ascii="Arial Narrow" w:hAnsi="Arial Narrow"/>
                <w:bCs/>
                <w:lang w:eastAsia="pt-BR"/>
              </w:rPr>
              <w:t>shall not</w:t>
            </w:r>
            <w:r w:rsidRPr="00573DEB">
              <w:rPr>
                <w:rFonts w:ascii="Arial Narrow" w:hAnsi="Arial Narrow"/>
                <w:lang w:eastAsia="pt-BR"/>
              </w:rPr>
              <w:t xml:space="preserve"> be less than 10 years beginning on the date of granting.</w:t>
            </w:r>
          </w:p>
        </w:tc>
        <w:tc>
          <w:tcPr>
            <w:tcW w:w="2460" w:type="dxa"/>
            <w:vMerge w:val="restart"/>
            <w:shd w:val="clear" w:color="auto" w:fill="auto"/>
            <w:vAlign w:val="center"/>
            <w:hideMark/>
          </w:tcPr>
          <w:p w:rsidR="00B000C0" w:rsidRPr="00573DEB" w:rsidRDefault="00B000C0" w:rsidP="0029515C">
            <w:pPr>
              <w:rPr>
                <w:rFonts w:ascii="Arial Narrow" w:hAnsi="Arial Narrow"/>
                <w:lang w:eastAsia="pt-BR"/>
              </w:rPr>
            </w:pPr>
            <w:r w:rsidRPr="00573DEB">
              <w:rPr>
                <w:rFonts w:ascii="Arial Narrow" w:hAnsi="Arial Narrow"/>
                <w:lang w:eastAsia="pt-BR"/>
              </w:rPr>
              <w:t>Law No</w:t>
            </w:r>
            <w:r w:rsidR="004B4B73" w:rsidRPr="00573DEB">
              <w:rPr>
                <w:rFonts w:ascii="Arial Narrow" w:hAnsi="Arial Narrow"/>
                <w:lang w:eastAsia="pt-BR"/>
              </w:rPr>
              <w:t xml:space="preserve">. </w:t>
            </w:r>
            <w:r w:rsidRPr="00573DEB">
              <w:rPr>
                <w:rFonts w:ascii="Arial Narrow" w:hAnsi="Arial Narrow"/>
                <w:lang w:eastAsia="pt-BR"/>
              </w:rPr>
              <w:t>9.279</w:t>
            </w:r>
            <w:r w:rsidR="0029515C" w:rsidRPr="00573DEB">
              <w:rPr>
                <w:rFonts w:ascii="Arial Narrow" w:hAnsi="Arial Narrow"/>
                <w:lang w:eastAsia="pt-BR"/>
              </w:rPr>
              <w:br/>
            </w:r>
            <w:r w:rsidRPr="00573DEB">
              <w:rPr>
                <w:rFonts w:ascii="Arial Narrow" w:hAnsi="Arial Narrow"/>
                <w:lang w:eastAsia="pt-BR"/>
              </w:rPr>
              <w:t>May 14, 1996</w:t>
            </w:r>
            <w:r w:rsidR="0029515C" w:rsidRPr="00573DEB">
              <w:rPr>
                <w:rFonts w:ascii="Arial Narrow" w:hAnsi="Arial Narrow"/>
                <w:lang w:eastAsia="pt-BR"/>
              </w:rPr>
              <w:br/>
            </w:r>
            <w:r w:rsidRPr="00573DEB">
              <w:rPr>
                <w:rFonts w:ascii="Arial Narrow" w:hAnsi="Arial Narrow"/>
                <w:lang w:eastAsia="pt-BR"/>
              </w:rPr>
              <w:t xml:space="preserve">Industrial </w:t>
            </w:r>
            <w:r w:rsidR="0029515C" w:rsidRPr="00573DEB">
              <w:rPr>
                <w:rFonts w:ascii="Arial Narrow" w:hAnsi="Arial Narrow"/>
                <w:lang w:eastAsia="pt-BR"/>
              </w:rPr>
              <w:br/>
            </w:r>
            <w:r w:rsidRPr="00573DEB">
              <w:rPr>
                <w:rFonts w:ascii="Arial Narrow" w:hAnsi="Arial Narrow"/>
                <w:lang w:eastAsia="pt-BR"/>
              </w:rPr>
              <w:t>Property Law</w:t>
            </w:r>
          </w:p>
        </w:tc>
        <w:tc>
          <w:tcPr>
            <w:tcW w:w="6078" w:type="dxa"/>
            <w:vMerge w:val="restart"/>
            <w:shd w:val="clear" w:color="auto" w:fill="auto"/>
            <w:vAlign w:val="center"/>
            <w:hideMark/>
          </w:tcPr>
          <w:p w:rsidR="00B000C0" w:rsidRPr="00573DEB" w:rsidRDefault="00B000C0" w:rsidP="004B4B73">
            <w:pPr>
              <w:rPr>
                <w:rFonts w:ascii="Arial Narrow" w:hAnsi="Arial Narrow"/>
              </w:rPr>
            </w:pPr>
            <w:r w:rsidRPr="00573DEB">
              <w:rPr>
                <w:rFonts w:ascii="Arial Narrow" w:hAnsi="Arial Narrow"/>
                <w:lang w:eastAsia="pt-BR"/>
              </w:rPr>
              <w:t>-</w:t>
            </w:r>
            <w:r w:rsidRPr="00573DEB">
              <w:rPr>
                <w:rFonts w:ascii="Arial Narrow" w:hAnsi="Arial Narrow" w:cs="Times New Roman"/>
                <w:lang w:eastAsia="pt-BR"/>
              </w:rPr>
              <w:t xml:space="preserve"> </w:t>
            </w:r>
            <w:r w:rsidRPr="00573DEB">
              <w:rPr>
                <w:rFonts w:ascii="Arial Narrow" w:hAnsi="Arial Narrow"/>
                <w:lang w:eastAsia="pt-BR"/>
              </w:rPr>
              <w:t>Paris Convention since July/1884</w:t>
            </w:r>
            <w:r w:rsidRPr="00573DEB">
              <w:rPr>
                <w:rFonts w:ascii="Arial Narrow" w:hAnsi="Arial Narrow"/>
              </w:rPr>
              <w:t xml:space="preserve"> </w:t>
            </w:r>
          </w:p>
          <w:p w:rsidR="00B000C0" w:rsidRPr="00573DEB" w:rsidRDefault="00B000C0" w:rsidP="004B4B73">
            <w:pPr>
              <w:rPr>
                <w:rFonts w:ascii="Arial Narrow" w:hAnsi="Arial Narrow"/>
              </w:rPr>
            </w:pPr>
            <w:r w:rsidRPr="00573DEB">
              <w:rPr>
                <w:rFonts w:ascii="Arial Narrow" w:hAnsi="Arial Narrow"/>
                <w:lang w:eastAsia="pt-BR"/>
              </w:rPr>
              <w:t>- Strasbourg Agreement (for International Patent Classification - IPC) since October/1975</w:t>
            </w:r>
            <w:r w:rsidRPr="00573DEB">
              <w:rPr>
                <w:rFonts w:ascii="Arial Narrow" w:hAnsi="Arial Narrow"/>
              </w:rPr>
              <w:t xml:space="preserve"> </w:t>
            </w:r>
          </w:p>
          <w:p w:rsidR="00B000C0" w:rsidRPr="00573DEB" w:rsidRDefault="00B000C0" w:rsidP="004B4B73">
            <w:pPr>
              <w:rPr>
                <w:rFonts w:ascii="Arial Narrow" w:hAnsi="Arial Narrow"/>
                <w:lang w:eastAsia="pt-BR"/>
              </w:rPr>
            </w:pPr>
            <w:r w:rsidRPr="00573DEB">
              <w:rPr>
                <w:rFonts w:ascii="Arial Narrow" w:hAnsi="Arial Narrow"/>
                <w:lang w:eastAsia="pt-BR"/>
              </w:rPr>
              <w:t xml:space="preserve">- PCT since April/1978 </w:t>
            </w:r>
          </w:p>
          <w:p w:rsidR="00B000C0" w:rsidRPr="00573DEB" w:rsidRDefault="00B000C0" w:rsidP="004B4B73">
            <w:pPr>
              <w:rPr>
                <w:rFonts w:ascii="Arial Narrow" w:hAnsi="Arial Narrow"/>
                <w:lang w:eastAsia="pt-BR"/>
              </w:rPr>
            </w:pPr>
            <w:r w:rsidRPr="00573DEB">
              <w:rPr>
                <w:rFonts w:ascii="Arial Narrow" w:hAnsi="Arial Narrow"/>
                <w:lang w:eastAsia="pt-BR"/>
              </w:rPr>
              <w:t xml:space="preserve">- ISA/IPEA since August/2009 </w:t>
            </w:r>
          </w:p>
          <w:p w:rsidR="00B000C0" w:rsidRPr="00573DEB" w:rsidRDefault="00B000C0" w:rsidP="00FB20E3">
            <w:pPr>
              <w:rPr>
                <w:rFonts w:ascii="Arial Narrow" w:hAnsi="Arial Narrow"/>
                <w:lang w:eastAsia="pt-BR"/>
              </w:rPr>
            </w:pPr>
            <w:r w:rsidRPr="00573DEB">
              <w:rPr>
                <w:rFonts w:ascii="Arial Narrow" w:hAnsi="Arial Narrow"/>
                <w:lang w:eastAsia="pt-BR"/>
              </w:rPr>
              <w:t>- Brazil is not a member of the Budapest Treaty (international recognition of the deposit of microorganisms for the purposes of patent procedure)</w:t>
            </w:r>
          </w:p>
        </w:tc>
      </w:tr>
      <w:tr w:rsidR="00B000C0" w:rsidRPr="00573DEB" w:rsidTr="0029515C">
        <w:trPr>
          <w:trHeight w:val="337"/>
        </w:trPr>
        <w:tc>
          <w:tcPr>
            <w:tcW w:w="1201" w:type="dxa"/>
            <w:vMerge/>
            <w:vAlign w:val="center"/>
            <w:hideMark/>
          </w:tcPr>
          <w:p w:rsidR="00B000C0" w:rsidRPr="00573DEB" w:rsidRDefault="00B000C0" w:rsidP="004B4B73">
            <w:pPr>
              <w:rPr>
                <w:rFonts w:ascii="Arial Narrow" w:hAnsi="Arial Narrow"/>
                <w:lang w:eastAsia="pt-BR"/>
              </w:rPr>
            </w:pPr>
          </w:p>
        </w:tc>
        <w:tc>
          <w:tcPr>
            <w:tcW w:w="2014" w:type="dxa"/>
            <w:shd w:val="clear" w:color="auto" w:fill="auto"/>
            <w:vAlign w:val="center"/>
            <w:hideMark/>
          </w:tcPr>
          <w:p w:rsidR="00B000C0" w:rsidRPr="00573DEB" w:rsidRDefault="00B000C0" w:rsidP="004B4B73">
            <w:pPr>
              <w:rPr>
                <w:rFonts w:ascii="Arial Narrow" w:hAnsi="Arial Narrow"/>
                <w:lang w:eastAsia="pt-BR"/>
              </w:rPr>
            </w:pPr>
            <w:r w:rsidRPr="00573DEB">
              <w:rPr>
                <w:rFonts w:ascii="Arial Narrow" w:hAnsi="Arial Narrow"/>
                <w:lang w:eastAsia="pt-BR"/>
              </w:rPr>
              <w:t>Utility Models</w:t>
            </w:r>
          </w:p>
        </w:tc>
        <w:tc>
          <w:tcPr>
            <w:tcW w:w="2644" w:type="dxa"/>
            <w:shd w:val="clear" w:color="auto" w:fill="auto"/>
            <w:vAlign w:val="center"/>
            <w:hideMark/>
          </w:tcPr>
          <w:p w:rsidR="00B000C0" w:rsidRPr="00573DEB" w:rsidRDefault="00B000C0" w:rsidP="00FB20E3">
            <w:pPr>
              <w:rPr>
                <w:rFonts w:ascii="Arial Narrow" w:hAnsi="Arial Narrow"/>
                <w:lang w:eastAsia="pt-BR"/>
              </w:rPr>
            </w:pPr>
            <w:r w:rsidRPr="00573DEB">
              <w:rPr>
                <w:rFonts w:ascii="Arial Narrow" w:hAnsi="Arial Narrow"/>
                <w:lang w:eastAsia="pt-BR"/>
              </w:rPr>
              <w:t xml:space="preserve">15 years from the date of filing, </w:t>
            </w:r>
            <w:r w:rsidRPr="00573DEB">
              <w:rPr>
                <w:rFonts w:ascii="Arial Narrow" w:hAnsi="Arial Narrow"/>
                <w:bCs/>
                <w:lang w:eastAsia="pt-BR"/>
              </w:rPr>
              <w:t>shall not</w:t>
            </w:r>
            <w:r w:rsidRPr="00573DEB">
              <w:rPr>
                <w:rFonts w:ascii="Arial Narrow" w:hAnsi="Arial Narrow"/>
                <w:lang w:eastAsia="pt-BR"/>
              </w:rPr>
              <w:t xml:space="preserve"> be less than 7 years beginning on the date of granting.</w:t>
            </w:r>
          </w:p>
        </w:tc>
        <w:tc>
          <w:tcPr>
            <w:tcW w:w="2460" w:type="dxa"/>
            <w:vMerge/>
            <w:vAlign w:val="center"/>
            <w:hideMark/>
          </w:tcPr>
          <w:p w:rsidR="00B000C0" w:rsidRPr="00573DEB" w:rsidRDefault="00B000C0" w:rsidP="004B4B73">
            <w:pPr>
              <w:rPr>
                <w:rFonts w:ascii="Arial Narrow" w:hAnsi="Arial Narrow"/>
                <w:lang w:eastAsia="pt-BR"/>
              </w:rPr>
            </w:pPr>
          </w:p>
        </w:tc>
        <w:tc>
          <w:tcPr>
            <w:tcW w:w="6078" w:type="dxa"/>
            <w:vMerge/>
            <w:vAlign w:val="center"/>
            <w:hideMark/>
          </w:tcPr>
          <w:p w:rsidR="00B000C0" w:rsidRPr="00573DEB" w:rsidRDefault="00B000C0" w:rsidP="004B4B73">
            <w:pPr>
              <w:rPr>
                <w:rFonts w:ascii="Arial Narrow" w:hAnsi="Arial Narrow"/>
                <w:lang w:eastAsia="pt-BR"/>
              </w:rPr>
            </w:pPr>
          </w:p>
        </w:tc>
      </w:tr>
      <w:tr w:rsidR="00B000C0" w:rsidRPr="00573DEB" w:rsidTr="0029515C">
        <w:trPr>
          <w:trHeight w:val="920"/>
        </w:trPr>
        <w:tc>
          <w:tcPr>
            <w:tcW w:w="1201" w:type="dxa"/>
            <w:vMerge/>
            <w:vAlign w:val="center"/>
            <w:hideMark/>
          </w:tcPr>
          <w:p w:rsidR="00B000C0" w:rsidRPr="00573DEB" w:rsidRDefault="00B000C0" w:rsidP="004B4B73">
            <w:pPr>
              <w:rPr>
                <w:rFonts w:ascii="Arial Narrow" w:hAnsi="Arial Narrow"/>
                <w:lang w:eastAsia="pt-BR"/>
              </w:rPr>
            </w:pPr>
          </w:p>
        </w:tc>
        <w:tc>
          <w:tcPr>
            <w:tcW w:w="2014" w:type="dxa"/>
            <w:shd w:val="clear" w:color="auto" w:fill="auto"/>
            <w:vAlign w:val="center"/>
            <w:hideMark/>
          </w:tcPr>
          <w:p w:rsidR="00B000C0" w:rsidRPr="00573DEB" w:rsidRDefault="00B000C0" w:rsidP="004B4B73">
            <w:pPr>
              <w:rPr>
                <w:rFonts w:ascii="Arial Narrow" w:hAnsi="Arial Narrow"/>
                <w:lang w:eastAsia="pt-BR"/>
              </w:rPr>
            </w:pPr>
            <w:r w:rsidRPr="00573DEB">
              <w:rPr>
                <w:rFonts w:ascii="Arial Narrow" w:hAnsi="Arial Narrow"/>
                <w:lang w:eastAsia="pt-BR"/>
              </w:rPr>
              <w:t>Trademarks</w:t>
            </w:r>
          </w:p>
        </w:tc>
        <w:tc>
          <w:tcPr>
            <w:tcW w:w="2644" w:type="dxa"/>
            <w:shd w:val="clear" w:color="auto" w:fill="auto"/>
            <w:vAlign w:val="center"/>
            <w:hideMark/>
          </w:tcPr>
          <w:p w:rsidR="00B000C0" w:rsidRPr="00573DEB" w:rsidRDefault="00B000C0" w:rsidP="00F039EE">
            <w:pPr>
              <w:rPr>
                <w:rFonts w:ascii="Arial Narrow" w:hAnsi="Arial Narrow"/>
                <w:lang w:eastAsia="pt-BR"/>
              </w:rPr>
            </w:pPr>
            <w:r w:rsidRPr="00573DEB">
              <w:rPr>
                <w:rFonts w:ascii="Arial Narrow" w:hAnsi="Arial Narrow"/>
                <w:lang w:eastAsia="pt-BR"/>
              </w:rPr>
              <w:t>10 years from the date of granting of the registration, renewable.</w:t>
            </w:r>
          </w:p>
        </w:tc>
        <w:tc>
          <w:tcPr>
            <w:tcW w:w="2460" w:type="dxa"/>
            <w:vMerge/>
            <w:vAlign w:val="center"/>
            <w:hideMark/>
          </w:tcPr>
          <w:p w:rsidR="00B000C0" w:rsidRPr="00573DEB" w:rsidRDefault="00B000C0" w:rsidP="004B4B73">
            <w:pPr>
              <w:rPr>
                <w:rFonts w:ascii="Arial Narrow" w:hAnsi="Arial Narrow"/>
                <w:lang w:eastAsia="pt-BR"/>
              </w:rPr>
            </w:pPr>
          </w:p>
        </w:tc>
        <w:tc>
          <w:tcPr>
            <w:tcW w:w="6078" w:type="dxa"/>
            <w:shd w:val="clear" w:color="auto" w:fill="auto"/>
            <w:vAlign w:val="center"/>
            <w:hideMark/>
          </w:tcPr>
          <w:p w:rsidR="00B000C0" w:rsidRPr="00573DEB" w:rsidRDefault="00B000C0" w:rsidP="004B4B73">
            <w:pPr>
              <w:rPr>
                <w:rFonts w:ascii="Arial Narrow" w:hAnsi="Arial Narrow"/>
                <w:lang w:eastAsia="pt-BR"/>
              </w:rPr>
            </w:pPr>
            <w:r w:rsidRPr="00573DEB">
              <w:rPr>
                <w:rFonts w:ascii="Arial Narrow" w:hAnsi="Arial Narrow"/>
                <w:lang w:eastAsia="pt-BR"/>
              </w:rPr>
              <w:t>-</w:t>
            </w:r>
            <w:r w:rsidRPr="00573DEB">
              <w:rPr>
                <w:rFonts w:ascii="Arial Narrow" w:hAnsi="Arial Narrow" w:cs="Times New Roman"/>
                <w:lang w:eastAsia="pt-BR"/>
              </w:rPr>
              <w:t xml:space="preserve"> </w:t>
            </w:r>
            <w:r w:rsidRPr="00573DEB">
              <w:rPr>
                <w:rFonts w:ascii="Arial Narrow" w:hAnsi="Arial Narrow"/>
                <w:lang w:eastAsia="pt-BR"/>
              </w:rPr>
              <w:t>Paris Convention since July/1884</w:t>
            </w:r>
          </w:p>
          <w:p w:rsidR="00B000C0" w:rsidRPr="00573DEB" w:rsidRDefault="00B000C0" w:rsidP="004B4B73">
            <w:pPr>
              <w:rPr>
                <w:rFonts w:ascii="Arial Narrow" w:hAnsi="Arial Narrow"/>
                <w:lang w:eastAsia="pt-BR"/>
              </w:rPr>
            </w:pPr>
            <w:r w:rsidRPr="00573DEB">
              <w:rPr>
                <w:rFonts w:ascii="Arial Narrow" w:hAnsi="Arial Narrow"/>
                <w:lang w:eastAsia="pt-BR"/>
              </w:rPr>
              <w:t>- Madrid Agreement (Repression of False or Deceptive Indications of Source on Goods) since October/1896</w:t>
            </w:r>
          </w:p>
          <w:p w:rsidR="00B000C0" w:rsidRPr="00573DEB" w:rsidRDefault="00B000C0" w:rsidP="004B4B73">
            <w:pPr>
              <w:rPr>
                <w:rFonts w:ascii="Arial Narrow" w:hAnsi="Arial Narrow"/>
                <w:lang w:eastAsia="pt-BR"/>
              </w:rPr>
            </w:pPr>
            <w:r w:rsidRPr="00573DEB">
              <w:rPr>
                <w:rFonts w:ascii="Arial Narrow" w:hAnsi="Arial Narrow"/>
                <w:lang w:eastAsia="pt-BR"/>
              </w:rPr>
              <w:t xml:space="preserve">- Nairobi Treaty (Protection of the Olympic Symbol) since August/1984 </w:t>
            </w:r>
          </w:p>
          <w:p w:rsidR="00B000C0" w:rsidRPr="00573DEB" w:rsidRDefault="00B000C0" w:rsidP="004B4B73">
            <w:pPr>
              <w:rPr>
                <w:rFonts w:ascii="Arial Narrow" w:hAnsi="Arial Narrow"/>
                <w:lang w:eastAsia="pt-BR"/>
              </w:rPr>
            </w:pPr>
            <w:r w:rsidRPr="00573DEB">
              <w:rPr>
                <w:rFonts w:ascii="Arial Narrow" w:hAnsi="Arial Narrow"/>
                <w:lang w:eastAsia="pt-BR"/>
              </w:rPr>
              <w:t xml:space="preserve">- Brazil is not a member of the Madrid Protocol (for International Registration of Marks) </w:t>
            </w:r>
          </w:p>
          <w:p w:rsidR="00B000C0" w:rsidRPr="00573DEB" w:rsidRDefault="00B000C0" w:rsidP="004B4B73">
            <w:pPr>
              <w:rPr>
                <w:rFonts w:ascii="Arial Narrow" w:hAnsi="Arial Narrow"/>
                <w:lang w:eastAsia="pt-BR"/>
              </w:rPr>
            </w:pPr>
            <w:r w:rsidRPr="00573DEB">
              <w:rPr>
                <w:rFonts w:ascii="Arial Narrow" w:hAnsi="Arial Narrow"/>
                <w:lang w:eastAsia="pt-BR"/>
              </w:rPr>
              <w:t>- Brazil is not a member of the Nice Agreement but uses its classification of goods and services for registration of marks.</w:t>
            </w:r>
          </w:p>
          <w:p w:rsidR="00B000C0" w:rsidRPr="00573DEB" w:rsidRDefault="00B000C0" w:rsidP="00FB20E3">
            <w:pPr>
              <w:rPr>
                <w:rFonts w:ascii="Arial Narrow" w:hAnsi="Arial Narrow"/>
                <w:lang w:eastAsia="pt-BR"/>
              </w:rPr>
            </w:pPr>
            <w:r w:rsidRPr="00573DEB">
              <w:rPr>
                <w:rFonts w:ascii="Arial Narrow" w:hAnsi="Arial Narrow"/>
                <w:lang w:eastAsia="pt-BR"/>
              </w:rPr>
              <w:t>- Brazil is not a member of the Vienna Agreement (for figurative elements of marks) but uses its classification</w:t>
            </w:r>
          </w:p>
        </w:tc>
      </w:tr>
      <w:tr w:rsidR="00B000C0" w:rsidRPr="00573DEB" w:rsidTr="0029515C">
        <w:trPr>
          <w:trHeight w:val="156"/>
        </w:trPr>
        <w:tc>
          <w:tcPr>
            <w:tcW w:w="1201" w:type="dxa"/>
            <w:vMerge/>
            <w:vAlign w:val="center"/>
            <w:hideMark/>
          </w:tcPr>
          <w:p w:rsidR="00B000C0" w:rsidRPr="00573DEB" w:rsidRDefault="00B000C0" w:rsidP="004B4B73">
            <w:pPr>
              <w:rPr>
                <w:rFonts w:ascii="Arial Narrow" w:hAnsi="Arial Narrow"/>
                <w:lang w:eastAsia="pt-BR"/>
              </w:rPr>
            </w:pPr>
          </w:p>
        </w:tc>
        <w:tc>
          <w:tcPr>
            <w:tcW w:w="2014" w:type="dxa"/>
            <w:shd w:val="clear" w:color="auto" w:fill="auto"/>
            <w:vAlign w:val="center"/>
            <w:hideMark/>
          </w:tcPr>
          <w:p w:rsidR="00B000C0" w:rsidRPr="00573DEB" w:rsidRDefault="00B000C0" w:rsidP="004B4B73">
            <w:pPr>
              <w:rPr>
                <w:rFonts w:ascii="Arial Narrow" w:hAnsi="Arial Narrow"/>
                <w:lang w:eastAsia="pt-BR"/>
              </w:rPr>
            </w:pPr>
            <w:r w:rsidRPr="00573DEB">
              <w:rPr>
                <w:rFonts w:ascii="Arial Narrow" w:hAnsi="Arial Narrow"/>
                <w:lang w:eastAsia="pt-BR"/>
              </w:rPr>
              <w:t>Industrial Designs</w:t>
            </w:r>
          </w:p>
        </w:tc>
        <w:tc>
          <w:tcPr>
            <w:tcW w:w="2644" w:type="dxa"/>
            <w:shd w:val="clear" w:color="auto" w:fill="auto"/>
            <w:vAlign w:val="center"/>
            <w:hideMark/>
          </w:tcPr>
          <w:p w:rsidR="00B000C0" w:rsidRPr="00573DEB" w:rsidRDefault="00B000C0" w:rsidP="00F039EE">
            <w:pPr>
              <w:rPr>
                <w:rFonts w:ascii="Arial Narrow" w:hAnsi="Arial Narrow"/>
                <w:lang w:eastAsia="pt-BR"/>
              </w:rPr>
            </w:pPr>
            <w:r w:rsidRPr="00573DEB">
              <w:rPr>
                <w:rFonts w:ascii="Arial Narrow" w:hAnsi="Arial Narrow"/>
                <w:lang w:eastAsia="pt-BR"/>
              </w:rPr>
              <w:t>10 years from the date of filing, being extendable for 3 successive periods of 5 years each.</w:t>
            </w:r>
          </w:p>
        </w:tc>
        <w:tc>
          <w:tcPr>
            <w:tcW w:w="2460" w:type="dxa"/>
            <w:vMerge/>
            <w:vAlign w:val="center"/>
            <w:hideMark/>
          </w:tcPr>
          <w:p w:rsidR="00B000C0" w:rsidRPr="00573DEB" w:rsidRDefault="00B000C0" w:rsidP="004B4B73">
            <w:pPr>
              <w:rPr>
                <w:rFonts w:ascii="Arial Narrow" w:hAnsi="Arial Narrow"/>
                <w:lang w:eastAsia="pt-BR"/>
              </w:rPr>
            </w:pPr>
          </w:p>
        </w:tc>
        <w:tc>
          <w:tcPr>
            <w:tcW w:w="6078" w:type="dxa"/>
            <w:shd w:val="clear" w:color="auto" w:fill="auto"/>
            <w:vAlign w:val="center"/>
            <w:hideMark/>
          </w:tcPr>
          <w:p w:rsidR="00B000C0" w:rsidRPr="00573DEB" w:rsidRDefault="00B000C0" w:rsidP="004B4B73">
            <w:pPr>
              <w:rPr>
                <w:rFonts w:ascii="Arial Narrow" w:hAnsi="Arial Narrow"/>
                <w:lang w:eastAsia="pt-BR"/>
              </w:rPr>
            </w:pPr>
            <w:r w:rsidRPr="00573DEB">
              <w:rPr>
                <w:rFonts w:ascii="Arial Narrow" w:hAnsi="Arial Narrow"/>
                <w:lang w:eastAsia="pt-BR"/>
              </w:rPr>
              <w:t>-</w:t>
            </w:r>
            <w:r w:rsidRPr="00573DEB">
              <w:rPr>
                <w:rFonts w:ascii="Arial Narrow" w:hAnsi="Arial Narrow" w:cs="Times New Roman"/>
                <w:lang w:eastAsia="pt-BR"/>
              </w:rPr>
              <w:t xml:space="preserve"> </w:t>
            </w:r>
            <w:r w:rsidRPr="00573DEB">
              <w:rPr>
                <w:rFonts w:ascii="Arial Narrow" w:hAnsi="Arial Narrow"/>
                <w:lang w:eastAsia="pt-BR"/>
              </w:rPr>
              <w:t xml:space="preserve">Paris Convention since July/1884  </w:t>
            </w:r>
          </w:p>
          <w:p w:rsidR="00B000C0" w:rsidRPr="00573DEB" w:rsidRDefault="00B000C0" w:rsidP="004B4B73">
            <w:pPr>
              <w:rPr>
                <w:rFonts w:ascii="Arial Narrow" w:hAnsi="Arial Narrow"/>
                <w:lang w:eastAsia="pt-BR"/>
              </w:rPr>
            </w:pPr>
            <w:r w:rsidRPr="00573DEB">
              <w:rPr>
                <w:rFonts w:ascii="Arial Narrow" w:hAnsi="Arial Narrow"/>
                <w:lang w:eastAsia="pt-BR"/>
              </w:rPr>
              <w:t>- Brazil is not a member of the Hague System (for the International Registration of Industrial Designs)</w:t>
            </w:r>
            <w:r w:rsidR="004B4B73" w:rsidRPr="00573DEB">
              <w:rPr>
                <w:rFonts w:ascii="Arial Narrow" w:hAnsi="Arial Narrow"/>
                <w:lang w:eastAsia="pt-BR"/>
              </w:rPr>
              <w:t xml:space="preserve">  </w:t>
            </w:r>
          </w:p>
          <w:p w:rsidR="00B000C0" w:rsidRPr="00573DEB" w:rsidRDefault="00B000C0" w:rsidP="004B4B73">
            <w:pPr>
              <w:rPr>
                <w:rFonts w:ascii="Arial Narrow" w:hAnsi="Arial Narrow"/>
                <w:lang w:eastAsia="pt-BR"/>
              </w:rPr>
            </w:pPr>
            <w:r w:rsidRPr="00573DEB">
              <w:rPr>
                <w:rFonts w:ascii="Arial Narrow" w:hAnsi="Arial Narrow"/>
                <w:lang w:eastAsia="pt-BR"/>
              </w:rPr>
              <w:t xml:space="preserve"> - Brazil is not a member of Locarno Agreement (for International Classification of industrial designs) but uses its classification.</w:t>
            </w:r>
          </w:p>
        </w:tc>
      </w:tr>
      <w:tr w:rsidR="00B000C0" w:rsidRPr="00573DEB" w:rsidTr="0029515C">
        <w:trPr>
          <w:trHeight w:val="161"/>
        </w:trPr>
        <w:tc>
          <w:tcPr>
            <w:tcW w:w="1201" w:type="dxa"/>
            <w:vMerge/>
            <w:vAlign w:val="center"/>
            <w:hideMark/>
          </w:tcPr>
          <w:p w:rsidR="00B000C0" w:rsidRPr="00573DEB" w:rsidRDefault="00B000C0" w:rsidP="004B4B73">
            <w:pPr>
              <w:rPr>
                <w:rFonts w:ascii="Arial Narrow" w:hAnsi="Arial Narrow"/>
                <w:lang w:eastAsia="pt-BR"/>
              </w:rPr>
            </w:pPr>
          </w:p>
        </w:tc>
        <w:tc>
          <w:tcPr>
            <w:tcW w:w="2014" w:type="dxa"/>
            <w:shd w:val="clear" w:color="auto" w:fill="auto"/>
            <w:vAlign w:val="center"/>
            <w:hideMark/>
          </w:tcPr>
          <w:p w:rsidR="00B000C0" w:rsidRPr="00573DEB" w:rsidRDefault="00B000C0" w:rsidP="004B4B73">
            <w:pPr>
              <w:rPr>
                <w:rFonts w:ascii="Arial Narrow" w:hAnsi="Arial Narrow"/>
                <w:lang w:eastAsia="pt-BR"/>
              </w:rPr>
            </w:pPr>
            <w:r w:rsidRPr="00573DEB">
              <w:rPr>
                <w:rFonts w:ascii="Arial Narrow" w:hAnsi="Arial Narrow"/>
                <w:lang w:eastAsia="pt-BR"/>
              </w:rPr>
              <w:t xml:space="preserve">Geographical </w:t>
            </w:r>
            <w:r w:rsidR="0029515C" w:rsidRPr="00573DEB">
              <w:rPr>
                <w:rFonts w:ascii="Arial Narrow" w:hAnsi="Arial Narrow"/>
                <w:lang w:eastAsia="pt-BR"/>
              </w:rPr>
              <w:br/>
            </w:r>
            <w:r w:rsidRPr="00573DEB">
              <w:rPr>
                <w:rFonts w:ascii="Arial Narrow" w:hAnsi="Arial Narrow"/>
                <w:lang w:eastAsia="pt-BR"/>
              </w:rPr>
              <w:t>Indications</w:t>
            </w:r>
          </w:p>
        </w:tc>
        <w:tc>
          <w:tcPr>
            <w:tcW w:w="2644" w:type="dxa"/>
            <w:shd w:val="clear" w:color="auto" w:fill="auto"/>
            <w:vAlign w:val="center"/>
            <w:hideMark/>
          </w:tcPr>
          <w:p w:rsidR="00B000C0" w:rsidRPr="00573DEB" w:rsidRDefault="00B000C0" w:rsidP="004B4B73">
            <w:pPr>
              <w:rPr>
                <w:rFonts w:ascii="Arial Narrow" w:hAnsi="Arial Narrow"/>
                <w:lang w:eastAsia="pt-BR"/>
              </w:rPr>
            </w:pPr>
            <w:r w:rsidRPr="00573DEB">
              <w:rPr>
                <w:rFonts w:ascii="Arial Narrow" w:hAnsi="Arial Narrow"/>
                <w:lang w:eastAsia="pt-BR"/>
              </w:rPr>
              <w:t>Not determined.</w:t>
            </w:r>
          </w:p>
        </w:tc>
        <w:tc>
          <w:tcPr>
            <w:tcW w:w="2460" w:type="dxa"/>
            <w:vMerge/>
            <w:vAlign w:val="center"/>
            <w:hideMark/>
          </w:tcPr>
          <w:p w:rsidR="00B000C0" w:rsidRPr="00573DEB" w:rsidRDefault="00B000C0" w:rsidP="004B4B73">
            <w:pPr>
              <w:rPr>
                <w:rFonts w:ascii="Arial Narrow" w:hAnsi="Arial Narrow"/>
                <w:lang w:eastAsia="pt-BR"/>
              </w:rPr>
            </w:pPr>
          </w:p>
        </w:tc>
        <w:tc>
          <w:tcPr>
            <w:tcW w:w="6078" w:type="dxa"/>
            <w:shd w:val="clear" w:color="auto" w:fill="auto"/>
            <w:vAlign w:val="center"/>
            <w:hideMark/>
          </w:tcPr>
          <w:p w:rsidR="00B000C0" w:rsidRPr="00573DEB" w:rsidRDefault="00B000C0" w:rsidP="004B4B73">
            <w:pPr>
              <w:rPr>
                <w:rFonts w:ascii="Arial Narrow" w:hAnsi="Arial Narrow"/>
                <w:lang w:eastAsia="pt-BR"/>
              </w:rPr>
            </w:pPr>
            <w:r w:rsidRPr="00573DEB">
              <w:rPr>
                <w:rFonts w:ascii="Arial Narrow" w:hAnsi="Arial Narrow"/>
                <w:lang w:eastAsia="pt-BR"/>
              </w:rPr>
              <w:t>-</w:t>
            </w:r>
            <w:r w:rsidRPr="00573DEB">
              <w:rPr>
                <w:rFonts w:ascii="Arial Narrow" w:hAnsi="Arial Narrow" w:cs="Times New Roman"/>
                <w:lang w:eastAsia="pt-BR"/>
              </w:rPr>
              <w:t xml:space="preserve"> </w:t>
            </w:r>
            <w:r w:rsidRPr="00573DEB">
              <w:rPr>
                <w:rFonts w:ascii="Arial Narrow" w:hAnsi="Arial Narrow"/>
                <w:lang w:eastAsia="pt-BR"/>
              </w:rPr>
              <w:t>Paris Convention since July/1884</w:t>
            </w:r>
          </w:p>
          <w:p w:rsidR="00B000C0" w:rsidRPr="00573DEB" w:rsidRDefault="00B000C0" w:rsidP="004B4B73">
            <w:pPr>
              <w:rPr>
                <w:rFonts w:ascii="Arial Narrow" w:hAnsi="Arial Narrow"/>
                <w:lang w:eastAsia="pt-BR"/>
              </w:rPr>
            </w:pPr>
            <w:r w:rsidRPr="00573DEB">
              <w:rPr>
                <w:rFonts w:ascii="Arial Narrow" w:hAnsi="Arial Narrow"/>
                <w:lang w:eastAsia="pt-BR"/>
              </w:rPr>
              <w:t>- Brazil is not a member of the Lisbon System (a global protection system for protection of appellations of origin and their international registration).</w:t>
            </w:r>
          </w:p>
        </w:tc>
      </w:tr>
      <w:tr w:rsidR="00B000C0" w:rsidRPr="00573DEB" w:rsidTr="0029515C">
        <w:trPr>
          <w:trHeight w:val="3131"/>
        </w:trPr>
        <w:tc>
          <w:tcPr>
            <w:tcW w:w="1201" w:type="dxa"/>
            <w:vMerge/>
            <w:vAlign w:val="center"/>
            <w:hideMark/>
          </w:tcPr>
          <w:p w:rsidR="00B000C0" w:rsidRPr="00573DEB" w:rsidRDefault="00B000C0" w:rsidP="004B4B73">
            <w:pPr>
              <w:rPr>
                <w:rFonts w:ascii="Arial Narrow" w:hAnsi="Arial Narrow"/>
                <w:lang w:eastAsia="pt-BR"/>
              </w:rPr>
            </w:pPr>
          </w:p>
        </w:tc>
        <w:tc>
          <w:tcPr>
            <w:tcW w:w="2014" w:type="dxa"/>
            <w:shd w:val="clear" w:color="auto" w:fill="auto"/>
            <w:vAlign w:val="center"/>
            <w:hideMark/>
          </w:tcPr>
          <w:p w:rsidR="00B000C0" w:rsidRPr="00573DEB" w:rsidRDefault="00B000C0" w:rsidP="004B4B73">
            <w:pPr>
              <w:rPr>
                <w:rFonts w:ascii="Arial Narrow" w:hAnsi="Arial Narrow"/>
                <w:lang w:eastAsia="pt-BR"/>
              </w:rPr>
            </w:pPr>
            <w:r w:rsidRPr="00573DEB">
              <w:rPr>
                <w:rFonts w:ascii="Arial Narrow" w:hAnsi="Arial Narrow"/>
                <w:lang w:eastAsia="pt-BR"/>
              </w:rPr>
              <w:t xml:space="preserve">Contracts of licensing </w:t>
            </w:r>
            <w:r w:rsidR="00E1020F" w:rsidRPr="00573DEB">
              <w:rPr>
                <w:rFonts w:ascii="Arial Narrow" w:hAnsi="Arial Narrow"/>
                <w:lang w:eastAsia="pt-BR"/>
              </w:rPr>
              <w:br/>
            </w:r>
            <w:r w:rsidRPr="00573DEB">
              <w:rPr>
                <w:rFonts w:ascii="Arial Narrow" w:hAnsi="Arial Narrow"/>
                <w:lang w:eastAsia="pt-BR"/>
              </w:rPr>
              <w:t xml:space="preserve">of industrial property, </w:t>
            </w:r>
            <w:r w:rsidR="00E1020F" w:rsidRPr="00573DEB">
              <w:rPr>
                <w:rFonts w:ascii="Arial Narrow" w:hAnsi="Arial Narrow"/>
                <w:lang w:eastAsia="pt-BR"/>
              </w:rPr>
              <w:br/>
            </w:r>
            <w:r w:rsidRPr="00573DEB">
              <w:rPr>
                <w:rFonts w:ascii="Arial Narrow" w:hAnsi="Arial Narrow"/>
                <w:lang w:eastAsia="pt-BR"/>
              </w:rPr>
              <w:t xml:space="preserve">technology transfer </w:t>
            </w:r>
            <w:r w:rsidR="00E1020F" w:rsidRPr="00573DEB">
              <w:rPr>
                <w:rFonts w:ascii="Arial Narrow" w:hAnsi="Arial Narrow"/>
                <w:lang w:eastAsia="pt-BR"/>
              </w:rPr>
              <w:br/>
            </w:r>
            <w:r w:rsidRPr="00573DEB">
              <w:rPr>
                <w:rFonts w:ascii="Arial Narrow" w:hAnsi="Arial Narrow"/>
                <w:lang w:eastAsia="pt-BR"/>
              </w:rPr>
              <w:t>and franchising</w:t>
            </w:r>
          </w:p>
        </w:tc>
        <w:tc>
          <w:tcPr>
            <w:tcW w:w="2644" w:type="dxa"/>
            <w:shd w:val="clear" w:color="auto" w:fill="auto"/>
            <w:vAlign w:val="center"/>
            <w:hideMark/>
          </w:tcPr>
          <w:p w:rsidR="00B000C0" w:rsidRPr="00573DEB" w:rsidRDefault="00B000C0" w:rsidP="004B4B73">
            <w:pPr>
              <w:rPr>
                <w:rFonts w:ascii="Arial Narrow" w:hAnsi="Arial Narrow"/>
                <w:lang w:eastAsia="pt-BR"/>
              </w:rPr>
            </w:pPr>
            <w:r w:rsidRPr="00573DEB">
              <w:rPr>
                <w:rFonts w:ascii="Arial Narrow" w:hAnsi="Arial Narrow"/>
                <w:lang w:eastAsia="pt-BR"/>
              </w:rPr>
              <w:t>-</w:t>
            </w:r>
            <w:r w:rsidRPr="00573DEB">
              <w:rPr>
                <w:rFonts w:ascii="Arial Narrow" w:hAnsi="Arial Narrow" w:cs="Times New Roman"/>
                <w:lang w:eastAsia="pt-BR"/>
              </w:rPr>
              <w:t xml:space="preserve"> </w:t>
            </w:r>
            <w:r w:rsidRPr="00573DEB">
              <w:rPr>
                <w:rFonts w:ascii="Arial Narrow" w:hAnsi="Arial Narrow"/>
                <w:lang w:eastAsia="pt-BR"/>
              </w:rPr>
              <w:t>Licensing of industrial property: duration of the validity of the</w:t>
            </w:r>
            <w:r w:rsidR="00F039EE" w:rsidRPr="00573DEB">
              <w:rPr>
                <w:rFonts w:ascii="Arial Narrow" w:hAnsi="Arial Narrow"/>
                <w:lang w:eastAsia="pt-BR"/>
              </w:rPr>
              <w:t xml:space="preserve"> </w:t>
            </w:r>
            <w:r w:rsidRPr="00573DEB">
              <w:rPr>
                <w:rFonts w:ascii="Arial Narrow" w:hAnsi="Arial Narrow"/>
                <w:lang w:eastAsia="pt-BR"/>
              </w:rPr>
              <w:t xml:space="preserve">industrial property rights involved; </w:t>
            </w:r>
          </w:p>
          <w:p w:rsidR="00B000C0" w:rsidRPr="00573DEB" w:rsidRDefault="00B000C0" w:rsidP="004B4B73">
            <w:pPr>
              <w:rPr>
                <w:rFonts w:ascii="Arial Narrow" w:hAnsi="Arial Narrow"/>
                <w:lang w:eastAsia="pt-BR"/>
              </w:rPr>
            </w:pPr>
            <w:r w:rsidRPr="00573DEB">
              <w:rPr>
                <w:rFonts w:ascii="Arial Narrow" w:hAnsi="Arial Narrow"/>
                <w:lang w:eastAsia="pt-BR"/>
              </w:rPr>
              <w:t xml:space="preserve">- Know-how and trade secrets contracts: period of 5 years, renewable for equal periods of 5 years; </w:t>
            </w:r>
          </w:p>
          <w:p w:rsidR="00B000C0" w:rsidRPr="00573DEB" w:rsidRDefault="00B000C0" w:rsidP="004B4B73">
            <w:pPr>
              <w:rPr>
                <w:rFonts w:ascii="Arial Narrow" w:hAnsi="Arial Narrow"/>
                <w:lang w:eastAsia="pt-BR"/>
              </w:rPr>
            </w:pPr>
            <w:r w:rsidRPr="00573DEB">
              <w:rPr>
                <w:rFonts w:ascii="Arial Narrow" w:hAnsi="Arial Narrow"/>
                <w:lang w:eastAsia="pt-BR"/>
              </w:rPr>
              <w:t>- Technical assistance services: period of provision of the services.</w:t>
            </w:r>
          </w:p>
        </w:tc>
        <w:tc>
          <w:tcPr>
            <w:tcW w:w="2460" w:type="dxa"/>
            <w:shd w:val="clear" w:color="auto" w:fill="auto"/>
            <w:vAlign w:val="center"/>
            <w:hideMark/>
          </w:tcPr>
          <w:p w:rsidR="00B000C0" w:rsidRPr="00573DEB" w:rsidRDefault="00B000C0" w:rsidP="004B4B73">
            <w:pPr>
              <w:rPr>
                <w:rFonts w:ascii="Arial Narrow" w:hAnsi="Arial Narrow"/>
                <w:lang w:eastAsia="pt-BR"/>
              </w:rPr>
            </w:pPr>
            <w:r w:rsidRPr="00573DEB">
              <w:rPr>
                <w:rFonts w:ascii="Arial Narrow" w:hAnsi="Arial Narrow"/>
                <w:lang w:eastAsia="pt-BR"/>
              </w:rPr>
              <w:t>Law No</w:t>
            </w:r>
            <w:r w:rsidR="004B4B73" w:rsidRPr="00573DEB">
              <w:rPr>
                <w:rFonts w:ascii="Arial Narrow" w:hAnsi="Arial Narrow"/>
                <w:lang w:eastAsia="pt-BR"/>
              </w:rPr>
              <w:t xml:space="preserve">. </w:t>
            </w:r>
            <w:r w:rsidRPr="00573DEB">
              <w:rPr>
                <w:rFonts w:ascii="Arial Narrow" w:hAnsi="Arial Narrow"/>
                <w:lang w:eastAsia="pt-BR"/>
              </w:rPr>
              <w:t>4.131/1962</w:t>
            </w:r>
            <w:r w:rsidR="0029515C" w:rsidRPr="00573DEB">
              <w:rPr>
                <w:rFonts w:ascii="Arial Narrow" w:hAnsi="Arial Narrow"/>
                <w:lang w:eastAsia="pt-BR"/>
              </w:rPr>
              <w:br/>
            </w:r>
            <w:r w:rsidRPr="00573DEB">
              <w:rPr>
                <w:rFonts w:ascii="Arial Narrow" w:hAnsi="Arial Narrow"/>
                <w:lang w:eastAsia="pt-BR"/>
              </w:rPr>
              <w:t>(Foreign Capital Law); Law No</w:t>
            </w:r>
            <w:r w:rsidR="004B4B73" w:rsidRPr="00573DEB">
              <w:rPr>
                <w:rFonts w:ascii="Arial Narrow" w:hAnsi="Arial Narrow"/>
                <w:lang w:eastAsia="pt-BR"/>
              </w:rPr>
              <w:t xml:space="preserve">. </w:t>
            </w:r>
            <w:r w:rsidRPr="00573DEB">
              <w:rPr>
                <w:rFonts w:ascii="Arial Narrow" w:hAnsi="Arial Narrow"/>
                <w:lang w:eastAsia="pt-BR"/>
              </w:rPr>
              <w:t>8.884/1994</w:t>
            </w:r>
            <w:r w:rsidR="0029515C" w:rsidRPr="00573DEB">
              <w:rPr>
                <w:rFonts w:ascii="Arial Narrow" w:hAnsi="Arial Narrow"/>
                <w:lang w:eastAsia="pt-BR"/>
              </w:rPr>
              <w:br/>
            </w:r>
            <w:r w:rsidRPr="00573DEB">
              <w:rPr>
                <w:rFonts w:ascii="Arial Narrow" w:hAnsi="Arial Narrow"/>
                <w:lang w:eastAsia="pt-BR"/>
              </w:rPr>
              <w:t xml:space="preserve">(Antitrust Law); </w:t>
            </w:r>
          </w:p>
          <w:p w:rsidR="00B000C0" w:rsidRPr="00573DEB" w:rsidRDefault="00B000C0" w:rsidP="004B4B73">
            <w:pPr>
              <w:rPr>
                <w:rFonts w:ascii="Arial Narrow" w:hAnsi="Arial Narrow"/>
                <w:lang w:eastAsia="pt-BR"/>
              </w:rPr>
            </w:pPr>
            <w:r w:rsidRPr="00573DEB">
              <w:rPr>
                <w:rFonts w:ascii="Arial Narrow" w:hAnsi="Arial Narrow"/>
                <w:lang w:eastAsia="pt-BR"/>
              </w:rPr>
              <w:t>Law No</w:t>
            </w:r>
            <w:r w:rsidR="004B4B73" w:rsidRPr="00573DEB">
              <w:rPr>
                <w:rFonts w:ascii="Arial Narrow" w:hAnsi="Arial Narrow"/>
                <w:lang w:eastAsia="pt-BR"/>
              </w:rPr>
              <w:t xml:space="preserve">. </w:t>
            </w:r>
            <w:r w:rsidRPr="00573DEB">
              <w:rPr>
                <w:rFonts w:ascii="Arial Narrow" w:hAnsi="Arial Narrow"/>
                <w:lang w:eastAsia="pt-BR"/>
              </w:rPr>
              <w:t>8.955/1994</w:t>
            </w:r>
            <w:r w:rsidR="0029515C" w:rsidRPr="00573DEB">
              <w:rPr>
                <w:rFonts w:ascii="Arial Narrow" w:hAnsi="Arial Narrow"/>
                <w:lang w:eastAsia="pt-BR"/>
              </w:rPr>
              <w:br/>
            </w:r>
            <w:r w:rsidRPr="00573DEB">
              <w:rPr>
                <w:rFonts w:ascii="Arial Narrow" w:hAnsi="Arial Narrow"/>
                <w:lang w:eastAsia="pt-BR"/>
              </w:rPr>
              <w:t xml:space="preserve">(Franchising Law); </w:t>
            </w:r>
          </w:p>
          <w:p w:rsidR="00B000C0" w:rsidRPr="00573DEB" w:rsidRDefault="00B000C0" w:rsidP="004B4B73">
            <w:pPr>
              <w:rPr>
                <w:rFonts w:ascii="Arial Narrow" w:hAnsi="Arial Narrow"/>
              </w:rPr>
            </w:pPr>
            <w:r w:rsidRPr="00573DEB">
              <w:rPr>
                <w:rFonts w:ascii="Arial Narrow" w:hAnsi="Arial Narrow"/>
                <w:lang w:eastAsia="pt-BR"/>
              </w:rPr>
              <w:t>Law No</w:t>
            </w:r>
            <w:r w:rsidR="004B4B73" w:rsidRPr="00573DEB">
              <w:rPr>
                <w:rFonts w:ascii="Arial Narrow" w:hAnsi="Arial Narrow"/>
                <w:lang w:eastAsia="pt-BR"/>
              </w:rPr>
              <w:t xml:space="preserve">. </w:t>
            </w:r>
            <w:r w:rsidRPr="00573DEB">
              <w:rPr>
                <w:rFonts w:ascii="Arial Narrow" w:hAnsi="Arial Narrow"/>
                <w:lang w:eastAsia="pt-BR"/>
              </w:rPr>
              <w:t>9.279/1996 (Industrial Property Law);</w:t>
            </w:r>
            <w:r w:rsidRPr="00573DEB">
              <w:rPr>
                <w:rFonts w:ascii="Arial Narrow" w:hAnsi="Arial Narrow"/>
              </w:rPr>
              <w:t xml:space="preserve"> </w:t>
            </w:r>
          </w:p>
          <w:p w:rsidR="00B000C0" w:rsidRPr="00573DEB" w:rsidRDefault="00B000C0" w:rsidP="00BF3800">
            <w:pPr>
              <w:rPr>
                <w:rFonts w:ascii="Arial Narrow" w:hAnsi="Arial Narrow"/>
                <w:lang w:eastAsia="pt-BR"/>
              </w:rPr>
            </w:pPr>
            <w:r w:rsidRPr="00573DEB">
              <w:rPr>
                <w:rFonts w:ascii="Arial Narrow" w:hAnsi="Arial Narrow"/>
                <w:lang w:eastAsia="pt-BR"/>
              </w:rPr>
              <w:t>Decree No</w:t>
            </w:r>
            <w:r w:rsidR="004B4B73" w:rsidRPr="00573DEB">
              <w:rPr>
                <w:rFonts w:ascii="Arial Narrow" w:hAnsi="Arial Narrow"/>
                <w:lang w:eastAsia="pt-BR"/>
              </w:rPr>
              <w:t xml:space="preserve">. </w:t>
            </w:r>
            <w:r w:rsidRPr="00573DEB">
              <w:rPr>
                <w:rFonts w:ascii="Arial Narrow" w:hAnsi="Arial Narrow"/>
                <w:lang w:eastAsia="pt-BR"/>
              </w:rPr>
              <w:t xml:space="preserve">3.000/1999 (Income Tax Regulations); </w:t>
            </w:r>
            <w:r w:rsidR="0029515C" w:rsidRPr="00573DEB">
              <w:rPr>
                <w:rFonts w:ascii="Arial Narrow" w:hAnsi="Arial Narrow"/>
                <w:lang w:eastAsia="pt-BR"/>
              </w:rPr>
              <w:br/>
            </w:r>
            <w:r w:rsidRPr="00573DEB">
              <w:rPr>
                <w:rFonts w:ascii="Arial Narrow" w:hAnsi="Arial Narrow"/>
                <w:lang w:eastAsia="pt-BR"/>
              </w:rPr>
              <w:t>Ordinance of the Ministry of Finance No</w:t>
            </w:r>
            <w:r w:rsidR="004B4B73" w:rsidRPr="00573DEB">
              <w:rPr>
                <w:rFonts w:ascii="Arial Narrow" w:hAnsi="Arial Narrow"/>
                <w:lang w:eastAsia="pt-BR"/>
              </w:rPr>
              <w:t xml:space="preserve">. </w:t>
            </w:r>
            <w:r w:rsidRPr="00573DEB">
              <w:rPr>
                <w:rFonts w:ascii="Arial Narrow" w:hAnsi="Arial Narrow"/>
                <w:lang w:eastAsia="pt-BR"/>
              </w:rPr>
              <w:t>436/1958.</w:t>
            </w:r>
          </w:p>
        </w:tc>
        <w:tc>
          <w:tcPr>
            <w:tcW w:w="6078" w:type="dxa"/>
            <w:shd w:val="clear" w:color="auto" w:fill="auto"/>
            <w:vAlign w:val="center"/>
            <w:hideMark/>
          </w:tcPr>
          <w:p w:rsidR="00B000C0" w:rsidRPr="00573DEB" w:rsidRDefault="00B000C0" w:rsidP="004B4B73">
            <w:pPr>
              <w:rPr>
                <w:rFonts w:ascii="Arial Narrow" w:hAnsi="Arial Narrow"/>
                <w:lang w:eastAsia="pt-BR"/>
              </w:rPr>
            </w:pPr>
            <w:r w:rsidRPr="00573DEB">
              <w:rPr>
                <w:rFonts w:ascii="Arial Narrow" w:hAnsi="Arial Narrow"/>
                <w:lang w:eastAsia="pt-BR"/>
              </w:rPr>
              <w:t> </w:t>
            </w:r>
          </w:p>
        </w:tc>
      </w:tr>
      <w:tr w:rsidR="00B000C0" w:rsidRPr="00573DEB" w:rsidTr="0029515C">
        <w:trPr>
          <w:trHeight w:val="372"/>
        </w:trPr>
        <w:tc>
          <w:tcPr>
            <w:tcW w:w="1201" w:type="dxa"/>
            <w:vMerge/>
            <w:vAlign w:val="center"/>
            <w:hideMark/>
          </w:tcPr>
          <w:p w:rsidR="00B000C0" w:rsidRPr="00573DEB" w:rsidRDefault="00B000C0" w:rsidP="004B4B73">
            <w:pPr>
              <w:rPr>
                <w:rFonts w:ascii="Arial Narrow" w:hAnsi="Arial Narrow"/>
                <w:lang w:eastAsia="pt-BR"/>
              </w:rPr>
            </w:pPr>
          </w:p>
        </w:tc>
        <w:tc>
          <w:tcPr>
            <w:tcW w:w="2014" w:type="dxa"/>
            <w:shd w:val="clear" w:color="auto" w:fill="auto"/>
            <w:vAlign w:val="center"/>
            <w:hideMark/>
          </w:tcPr>
          <w:p w:rsidR="00B000C0" w:rsidRPr="00573DEB" w:rsidRDefault="00F86B70" w:rsidP="004B4B73">
            <w:pPr>
              <w:rPr>
                <w:rFonts w:ascii="Arial Narrow" w:hAnsi="Arial Narrow"/>
                <w:lang w:eastAsia="pt-BR"/>
              </w:rPr>
            </w:pPr>
            <w:r w:rsidRPr="00573DEB">
              <w:rPr>
                <w:rFonts w:ascii="Arial Narrow" w:hAnsi="Arial Narrow"/>
                <w:lang w:eastAsia="pt-BR"/>
              </w:rPr>
              <w:t>Software</w:t>
            </w:r>
          </w:p>
        </w:tc>
        <w:tc>
          <w:tcPr>
            <w:tcW w:w="2644" w:type="dxa"/>
            <w:shd w:val="clear" w:color="auto" w:fill="auto"/>
            <w:vAlign w:val="center"/>
            <w:hideMark/>
          </w:tcPr>
          <w:p w:rsidR="00B000C0" w:rsidRPr="00573DEB" w:rsidRDefault="00F039EE" w:rsidP="00F039EE">
            <w:pPr>
              <w:rPr>
                <w:rFonts w:ascii="Arial Narrow" w:hAnsi="Arial Narrow"/>
                <w:lang w:eastAsia="pt-BR"/>
              </w:rPr>
            </w:pPr>
            <w:r w:rsidRPr="00573DEB">
              <w:rPr>
                <w:rFonts w:ascii="Arial Narrow" w:hAnsi="Arial Narrow"/>
                <w:lang w:eastAsia="pt-BR"/>
              </w:rPr>
              <w:t xml:space="preserve">50 </w:t>
            </w:r>
            <w:r w:rsidR="00B000C0" w:rsidRPr="00573DEB">
              <w:rPr>
                <w:rFonts w:ascii="Arial Narrow" w:hAnsi="Arial Narrow"/>
                <w:lang w:eastAsia="pt-BR"/>
              </w:rPr>
              <w:t>years, counting from January 1 of the year following its publication.</w:t>
            </w:r>
          </w:p>
        </w:tc>
        <w:tc>
          <w:tcPr>
            <w:tcW w:w="2460" w:type="dxa"/>
            <w:shd w:val="clear" w:color="auto" w:fill="auto"/>
            <w:vAlign w:val="center"/>
            <w:hideMark/>
          </w:tcPr>
          <w:p w:rsidR="00B000C0" w:rsidRPr="00573DEB" w:rsidRDefault="009D5BE0" w:rsidP="00BF3800">
            <w:pPr>
              <w:rPr>
                <w:rFonts w:ascii="Arial Narrow" w:hAnsi="Arial Narrow" w:cs="Times New Roman"/>
                <w:color w:val="0000FF"/>
                <w:u w:val="single"/>
                <w:lang w:eastAsia="pt-BR"/>
              </w:rPr>
            </w:pPr>
            <w:hyperlink r:id="rId19" w:history="1">
              <w:r w:rsidR="00B000C0" w:rsidRPr="00573DEB">
                <w:rPr>
                  <w:rFonts w:ascii="Arial Narrow" w:hAnsi="Arial Narrow"/>
                  <w:lang w:eastAsia="pt-BR"/>
                </w:rPr>
                <w:t>Law No</w:t>
              </w:r>
              <w:r w:rsidR="004B4B73" w:rsidRPr="00573DEB">
                <w:rPr>
                  <w:rFonts w:ascii="Arial Narrow" w:hAnsi="Arial Narrow"/>
                  <w:lang w:eastAsia="pt-BR"/>
                </w:rPr>
                <w:t xml:space="preserve">. </w:t>
              </w:r>
              <w:r w:rsidR="00B000C0" w:rsidRPr="00573DEB">
                <w:rPr>
                  <w:rFonts w:ascii="Arial Narrow" w:hAnsi="Arial Narrow"/>
                  <w:lang w:eastAsia="pt-BR"/>
                </w:rPr>
                <w:t>9.609</w:t>
              </w:r>
              <w:r w:rsidR="00BF3800" w:rsidRPr="00573DEB">
                <w:rPr>
                  <w:rFonts w:ascii="Arial Narrow" w:hAnsi="Arial Narrow"/>
                  <w:lang w:eastAsia="pt-BR"/>
                </w:rPr>
                <w:t xml:space="preserve">, </w:t>
              </w:r>
              <w:r w:rsidR="00B000C0" w:rsidRPr="00573DEB">
                <w:rPr>
                  <w:rFonts w:ascii="Arial Narrow" w:hAnsi="Arial Narrow"/>
                  <w:lang w:eastAsia="pt-BR"/>
                </w:rPr>
                <w:t>February 19, 1998</w:t>
              </w:r>
            </w:hyperlink>
          </w:p>
        </w:tc>
        <w:tc>
          <w:tcPr>
            <w:tcW w:w="6078" w:type="dxa"/>
            <w:shd w:val="clear" w:color="auto" w:fill="auto"/>
            <w:vAlign w:val="center"/>
            <w:hideMark/>
          </w:tcPr>
          <w:p w:rsidR="00B000C0" w:rsidRPr="00573DEB" w:rsidRDefault="00B000C0" w:rsidP="004B4B73">
            <w:pPr>
              <w:rPr>
                <w:rFonts w:ascii="Arial Narrow" w:hAnsi="Arial Narrow"/>
                <w:lang w:eastAsia="pt-BR"/>
              </w:rPr>
            </w:pPr>
            <w:r w:rsidRPr="00573DEB">
              <w:rPr>
                <w:rFonts w:ascii="Arial Narrow" w:hAnsi="Arial Narrow"/>
                <w:lang w:eastAsia="pt-BR"/>
              </w:rPr>
              <w:t> </w:t>
            </w:r>
          </w:p>
        </w:tc>
      </w:tr>
      <w:tr w:rsidR="00B000C0" w:rsidRPr="00573DEB" w:rsidTr="0029515C">
        <w:trPr>
          <w:trHeight w:val="372"/>
        </w:trPr>
        <w:tc>
          <w:tcPr>
            <w:tcW w:w="1201" w:type="dxa"/>
            <w:vMerge/>
            <w:vAlign w:val="center"/>
            <w:hideMark/>
          </w:tcPr>
          <w:p w:rsidR="00B000C0" w:rsidRPr="00573DEB" w:rsidRDefault="00B000C0" w:rsidP="004B4B73">
            <w:pPr>
              <w:rPr>
                <w:rFonts w:ascii="Arial Narrow" w:hAnsi="Arial Narrow"/>
                <w:lang w:eastAsia="pt-BR"/>
              </w:rPr>
            </w:pPr>
          </w:p>
        </w:tc>
        <w:tc>
          <w:tcPr>
            <w:tcW w:w="2014" w:type="dxa"/>
            <w:shd w:val="clear" w:color="auto" w:fill="auto"/>
            <w:vAlign w:val="center"/>
            <w:hideMark/>
          </w:tcPr>
          <w:p w:rsidR="00B000C0" w:rsidRPr="00573DEB" w:rsidRDefault="00B000C0" w:rsidP="004B4B73">
            <w:pPr>
              <w:rPr>
                <w:rFonts w:ascii="Arial Narrow" w:hAnsi="Arial Narrow"/>
                <w:lang w:eastAsia="pt-BR"/>
              </w:rPr>
            </w:pPr>
            <w:r w:rsidRPr="00573DEB">
              <w:rPr>
                <w:rFonts w:ascii="Arial Narrow" w:hAnsi="Arial Narrow"/>
                <w:lang w:eastAsia="pt-BR"/>
              </w:rPr>
              <w:t xml:space="preserve">Integrated Circuit </w:t>
            </w:r>
            <w:r w:rsidR="0029515C" w:rsidRPr="00573DEB">
              <w:rPr>
                <w:rFonts w:ascii="Arial Narrow" w:hAnsi="Arial Narrow"/>
                <w:lang w:eastAsia="pt-BR"/>
              </w:rPr>
              <w:br/>
            </w:r>
            <w:r w:rsidRPr="00573DEB">
              <w:rPr>
                <w:rFonts w:ascii="Arial Narrow" w:hAnsi="Arial Narrow"/>
                <w:lang w:eastAsia="pt-BR"/>
              </w:rPr>
              <w:t>Topographies</w:t>
            </w:r>
          </w:p>
        </w:tc>
        <w:tc>
          <w:tcPr>
            <w:tcW w:w="2644" w:type="dxa"/>
            <w:shd w:val="clear" w:color="auto" w:fill="auto"/>
            <w:vAlign w:val="center"/>
            <w:hideMark/>
          </w:tcPr>
          <w:p w:rsidR="00B000C0" w:rsidRPr="00573DEB" w:rsidRDefault="00B000C0" w:rsidP="004B4B73">
            <w:pPr>
              <w:rPr>
                <w:rFonts w:ascii="Arial Narrow" w:hAnsi="Arial Narrow"/>
                <w:lang w:eastAsia="pt-BR"/>
              </w:rPr>
            </w:pPr>
            <w:r w:rsidRPr="00573DEB">
              <w:rPr>
                <w:rFonts w:ascii="Arial Narrow" w:hAnsi="Arial Narrow"/>
                <w:lang w:eastAsia="pt-BR"/>
              </w:rPr>
              <w:t> </w:t>
            </w:r>
          </w:p>
        </w:tc>
        <w:tc>
          <w:tcPr>
            <w:tcW w:w="2460" w:type="dxa"/>
            <w:shd w:val="clear" w:color="auto" w:fill="auto"/>
            <w:vAlign w:val="center"/>
            <w:hideMark/>
          </w:tcPr>
          <w:p w:rsidR="00B000C0" w:rsidRPr="00573DEB" w:rsidRDefault="009D5BE0" w:rsidP="00BF3800">
            <w:pPr>
              <w:rPr>
                <w:rFonts w:ascii="Arial Narrow" w:hAnsi="Arial Narrow" w:cs="Times New Roman"/>
                <w:color w:val="0000FF"/>
                <w:u w:val="single"/>
                <w:lang w:eastAsia="pt-BR"/>
              </w:rPr>
            </w:pPr>
            <w:r>
              <w:fldChar w:fldCharType="begin"/>
            </w:r>
            <w:r>
              <w:instrText xml:space="preserve"> HYPERLINK "http://www.wipo.int/wipolex/en/details.jsp?id=8307" </w:instrText>
            </w:r>
            <w:r>
              <w:fldChar w:fldCharType="separate"/>
            </w:r>
            <w:r w:rsidR="00B000C0" w:rsidRPr="00573DEB">
              <w:rPr>
                <w:rFonts w:ascii="Arial Narrow" w:hAnsi="Arial Narrow"/>
                <w:lang w:eastAsia="pt-BR"/>
              </w:rPr>
              <w:t>Law No</w:t>
            </w:r>
            <w:r w:rsidR="004B4B73" w:rsidRPr="00573DEB">
              <w:rPr>
                <w:rFonts w:ascii="Arial Narrow" w:hAnsi="Arial Narrow"/>
                <w:lang w:eastAsia="pt-BR"/>
              </w:rPr>
              <w:t xml:space="preserve">. </w:t>
            </w:r>
            <w:r w:rsidR="00B000C0" w:rsidRPr="00573DEB">
              <w:rPr>
                <w:rFonts w:ascii="Arial Narrow" w:hAnsi="Arial Narrow"/>
                <w:lang w:eastAsia="pt-BR"/>
              </w:rPr>
              <w:t>11.484</w:t>
            </w:r>
            <w:r w:rsidR="00BF3800" w:rsidRPr="00573DEB">
              <w:rPr>
                <w:rFonts w:ascii="Arial Narrow" w:hAnsi="Arial Narrow"/>
                <w:lang w:eastAsia="pt-BR"/>
              </w:rPr>
              <w:t xml:space="preserve">, </w:t>
            </w:r>
            <w:r w:rsidR="00B000C0" w:rsidRPr="00573DEB">
              <w:rPr>
                <w:rFonts w:ascii="Arial Narrow" w:hAnsi="Arial Narrow"/>
                <w:lang w:eastAsia="pt-BR"/>
              </w:rPr>
              <w:t>May 31, 2007</w:t>
            </w:r>
            <w:r>
              <w:rPr>
                <w:rFonts w:ascii="Arial Narrow" w:hAnsi="Arial Narrow"/>
                <w:lang w:eastAsia="pt-BR"/>
              </w:rPr>
              <w:fldChar w:fldCharType="end"/>
            </w:r>
          </w:p>
        </w:tc>
        <w:tc>
          <w:tcPr>
            <w:tcW w:w="6078" w:type="dxa"/>
            <w:shd w:val="clear" w:color="auto" w:fill="auto"/>
            <w:vAlign w:val="center"/>
            <w:hideMark/>
          </w:tcPr>
          <w:p w:rsidR="00B000C0" w:rsidRPr="00573DEB" w:rsidRDefault="00B000C0" w:rsidP="004B4B73">
            <w:pPr>
              <w:rPr>
                <w:rFonts w:ascii="Arial Narrow" w:hAnsi="Arial Narrow"/>
                <w:lang w:eastAsia="pt-BR"/>
              </w:rPr>
            </w:pPr>
            <w:r w:rsidRPr="00573DEB">
              <w:rPr>
                <w:rFonts w:ascii="Arial Narrow" w:hAnsi="Arial Narrow"/>
                <w:lang w:eastAsia="pt-BR"/>
              </w:rPr>
              <w:t> </w:t>
            </w:r>
          </w:p>
        </w:tc>
      </w:tr>
      <w:tr w:rsidR="0029515C" w:rsidRPr="00573DEB" w:rsidTr="0029515C">
        <w:trPr>
          <w:trHeight w:val="1781"/>
        </w:trPr>
        <w:tc>
          <w:tcPr>
            <w:tcW w:w="1201" w:type="dxa"/>
            <w:shd w:val="clear" w:color="auto" w:fill="auto"/>
            <w:vAlign w:val="center"/>
            <w:hideMark/>
          </w:tcPr>
          <w:p w:rsidR="00BF3800" w:rsidRPr="00573DEB" w:rsidRDefault="00BF3800" w:rsidP="004B4B73">
            <w:pPr>
              <w:rPr>
                <w:rFonts w:ascii="Arial Narrow" w:hAnsi="Arial Narrow"/>
                <w:lang w:eastAsia="pt-BR"/>
              </w:rPr>
            </w:pPr>
            <w:r w:rsidRPr="00573DEB">
              <w:rPr>
                <w:rFonts w:ascii="Arial Narrow" w:hAnsi="Arial Narrow"/>
                <w:lang w:eastAsia="pt-BR"/>
              </w:rPr>
              <w:t xml:space="preserve">Ministry of </w:t>
            </w:r>
            <w:r w:rsidR="0029515C" w:rsidRPr="00573DEB">
              <w:rPr>
                <w:rFonts w:ascii="Arial Narrow" w:hAnsi="Arial Narrow"/>
                <w:lang w:eastAsia="pt-BR"/>
              </w:rPr>
              <w:br/>
            </w:r>
            <w:r w:rsidRPr="00573DEB">
              <w:rPr>
                <w:rFonts w:ascii="Arial Narrow" w:hAnsi="Arial Narrow"/>
                <w:lang w:eastAsia="pt-BR"/>
              </w:rPr>
              <w:t xml:space="preserve">Culture </w:t>
            </w:r>
            <w:r w:rsidR="00E1020F" w:rsidRPr="00573DEB">
              <w:rPr>
                <w:rFonts w:ascii="Arial Narrow" w:hAnsi="Arial Narrow"/>
                <w:lang w:eastAsia="pt-BR"/>
              </w:rPr>
              <w:br/>
            </w:r>
            <w:r w:rsidRPr="00573DEB">
              <w:rPr>
                <w:rFonts w:ascii="Arial Narrow" w:hAnsi="Arial Narrow"/>
                <w:lang w:eastAsia="pt-BR"/>
              </w:rPr>
              <w:t xml:space="preserve">and </w:t>
            </w:r>
            <w:r w:rsidR="00E1020F" w:rsidRPr="00573DEB">
              <w:rPr>
                <w:rFonts w:ascii="Arial Narrow" w:hAnsi="Arial Narrow"/>
                <w:lang w:eastAsia="pt-BR"/>
              </w:rPr>
              <w:br/>
            </w:r>
            <w:r w:rsidRPr="00573DEB">
              <w:rPr>
                <w:rFonts w:ascii="Arial Narrow" w:hAnsi="Arial Narrow"/>
                <w:lang w:eastAsia="pt-BR"/>
              </w:rPr>
              <w:t xml:space="preserve">Ministry of </w:t>
            </w:r>
            <w:r w:rsidR="0029515C" w:rsidRPr="00573DEB">
              <w:rPr>
                <w:rFonts w:ascii="Arial Narrow" w:hAnsi="Arial Narrow"/>
                <w:lang w:eastAsia="pt-BR"/>
              </w:rPr>
              <w:br/>
            </w:r>
            <w:r w:rsidRPr="00573DEB">
              <w:rPr>
                <w:rFonts w:ascii="Arial Narrow" w:hAnsi="Arial Narrow"/>
                <w:lang w:eastAsia="pt-BR"/>
              </w:rPr>
              <w:t>Education</w:t>
            </w:r>
          </w:p>
        </w:tc>
        <w:tc>
          <w:tcPr>
            <w:tcW w:w="2014" w:type="dxa"/>
            <w:shd w:val="clear" w:color="auto" w:fill="auto"/>
            <w:vAlign w:val="center"/>
            <w:hideMark/>
          </w:tcPr>
          <w:p w:rsidR="00BF3800" w:rsidRPr="00573DEB" w:rsidRDefault="00BF3800" w:rsidP="004B4B73">
            <w:pPr>
              <w:rPr>
                <w:rFonts w:ascii="Arial Narrow" w:hAnsi="Arial Narrow"/>
                <w:lang w:eastAsia="pt-BR"/>
              </w:rPr>
            </w:pPr>
            <w:r w:rsidRPr="00573DEB">
              <w:rPr>
                <w:rFonts w:ascii="Arial Narrow" w:hAnsi="Arial Narrow"/>
                <w:lang w:eastAsia="pt-BR"/>
              </w:rPr>
              <w:t xml:space="preserve">Copyright and </w:t>
            </w:r>
            <w:r w:rsidR="00E1020F" w:rsidRPr="00573DEB">
              <w:rPr>
                <w:rFonts w:ascii="Arial Narrow" w:hAnsi="Arial Narrow"/>
                <w:lang w:eastAsia="pt-BR"/>
              </w:rPr>
              <w:br/>
            </w:r>
            <w:r w:rsidRPr="00573DEB">
              <w:rPr>
                <w:rFonts w:ascii="Arial Narrow" w:hAnsi="Arial Narrow"/>
                <w:lang w:eastAsia="pt-BR"/>
              </w:rPr>
              <w:t>Neighboring Rights</w:t>
            </w:r>
          </w:p>
        </w:tc>
        <w:tc>
          <w:tcPr>
            <w:tcW w:w="2644" w:type="dxa"/>
            <w:shd w:val="clear" w:color="auto" w:fill="auto"/>
            <w:vAlign w:val="center"/>
            <w:hideMark/>
          </w:tcPr>
          <w:p w:rsidR="00BF3800" w:rsidRPr="00573DEB" w:rsidRDefault="00BF3800" w:rsidP="004B4B73">
            <w:pPr>
              <w:rPr>
                <w:rFonts w:ascii="Arial Narrow" w:hAnsi="Arial Narrow"/>
                <w:lang w:eastAsia="pt-BR"/>
              </w:rPr>
            </w:pPr>
            <w:r w:rsidRPr="00573DEB">
              <w:rPr>
                <w:rFonts w:ascii="Arial Narrow" w:hAnsi="Arial Narrow"/>
                <w:lang w:eastAsia="pt-BR"/>
              </w:rPr>
              <w:t> </w:t>
            </w:r>
          </w:p>
        </w:tc>
        <w:tc>
          <w:tcPr>
            <w:tcW w:w="2460" w:type="dxa"/>
            <w:shd w:val="clear" w:color="auto" w:fill="auto"/>
            <w:vAlign w:val="center"/>
            <w:hideMark/>
          </w:tcPr>
          <w:p w:rsidR="00BF3800" w:rsidRPr="00573DEB" w:rsidRDefault="00BF3800" w:rsidP="00BF3800">
            <w:pPr>
              <w:rPr>
                <w:rFonts w:ascii="Arial Narrow" w:hAnsi="Arial Narrow"/>
                <w:lang w:eastAsia="pt-BR"/>
              </w:rPr>
            </w:pPr>
            <w:r w:rsidRPr="00573DEB">
              <w:rPr>
                <w:rFonts w:ascii="Arial Narrow" w:hAnsi="Arial Narrow"/>
                <w:lang w:eastAsia="pt-BR"/>
              </w:rPr>
              <w:t>Law No. 9.610, February 19, 1998</w:t>
            </w:r>
          </w:p>
        </w:tc>
        <w:tc>
          <w:tcPr>
            <w:tcW w:w="6078" w:type="dxa"/>
            <w:shd w:val="clear" w:color="auto" w:fill="auto"/>
            <w:vAlign w:val="center"/>
            <w:hideMark/>
          </w:tcPr>
          <w:p w:rsidR="00BF3800" w:rsidRPr="00573DEB" w:rsidRDefault="00BF3800" w:rsidP="004B4B73">
            <w:pPr>
              <w:rPr>
                <w:rFonts w:ascii="Arial Narrow" w:hAnsi="Arial Narrow"/>
                <w:lang w:eastAsia="pt-BR"/>
              </w:rPr>
            </w:pPr>
            <w:r w:rsidRPr="00573DEB">
              <w:rPr>
                <w:rFonts w:ascii="Arial Narrow" w:hAnsi="Arial Narrow"/>
                <w:lang w:eastAsia="pt-BR"/>
              </w:rPr>
              <w:t>- Berne Convention (Protection of Literary and Artistic Works) since Feb/1922</w:t>
            </w:r>
          </w:p>
          <w:p w:rsidR="00BF3800" w:rsidRPr="00573DEB" w:rsidRDefault="00BF3800" w:rsidP="004B4B73">
            <w:pPr>
              <w:rPr>
                <w:rFonts w:ascii="Arial Narrow" w:hAnsi="Arial Narrow"/>
                <w:lang w:eastAsia="pt-BR"/>
              </w:rPr>
            </w:pPr>
            <w:r w:rsidRPr="00573DEB">
              <w:rPr>
                <w:rFonts w:ascii="Arial Narrow" w:hAnsi="Arial Narrow"/>
                <w:lang w:eastAsia="pt-BR"/>
              </w:rPr>
              <w:t>-</w:t>
            </w:r>
            <w:r w:rsidRPr="00573DEB">
              <w:rPr>
                <w:rFonts w:ascii="Arial Narrow" w:hAnsi="Arial Narrow" w:cs="Times New Roman"/>
                <w:lang w:eastAsia="pt-BR"/>
              </w:rPr>
              <w:t xml:space="preserve"> </w:t>
            </w:r>
            <w:r w:rsidRPr="00573DEB">
              <w:rPr>
                <w:rFonts w:ascii="Arial Narrow" w:hAnsi="Arial Narrow"/>
                <w:lang w:eastAsia="pt-BR"/>
              </w:rPr>
              <w:t>Phonograms Convention (Convention for the Protection of Producers of Phonograms Against Unauthorized Duplication of Their Phonograms) since Nov/1975</w:t>
            </w:r>
          </w:p>
          <w:p w:rsidR="00BF3800" w:rsidRPr="00573DEB" w:rsidRDefault="00BF3800" w:rsidP="004B4B73">
            <w:pPr>
              <w:rPr>
                <w:rFonts w:ascii="Arial Narrow" w:hAnsi="Arial Narrow"/>
                <w:lang w:eastAsia="pt-BR"/>
              </w:rPr>
            </w:pPr>
            <w:r w:rsidRPr="00573DEB">
              <w:rPr>
                <w:rFonts w:ascii="Arial Narrow" w:hAnsi="Arial Narrow"/>
                <w:lang w:eastAsia="pt-BR"/>
              </w:rPr>
              <w:t>- Rome Convention (Protection of Performers, Producers of Phonograms and Broadcasting Organizations) since Sep/1965</w:t>
            </w:r>
          </w:p>
        </w:tc>
      </w:tr>
      <w:tr w:rsidR="00B000C0" w:rsidRPr="00573DEB" w:rsidTr="0029515C">
        <w:trPr>
          <w:trHeight w:val="49"/>
        </w:trPr>
        <w:tc>
          <w:tcPr>
            <w:tcW w:w="1201" w:type="dxa"/>
            <w:shd w:val="clear" w:color="auto" w:fill="auto"/>
            <w:vAlign w:val="center"/>
          </w:tcPr>
          <w:p w:rsidR="00B000C0" w:rsidRPr="00573DEB" w:rsidRDefault="00B000C0" w:rsidP="004B4B73">
            <w:pPr>
              <w:rPr>
                <w:rFonts w:ascii="Arial Narrow" w:hAnsi="Arial Narrow"/>
                <w:lang w:eastAsia="pt-BR"/>
              </w:rPr>
            </w:pPr>
            <w:r w:rsidRPr="00573DEB">
              <w:rPr>
                <w:rFonts w:ascii="Arial Narrow" w:hAnsi="Arial Narrow"/>
                <w:lang w:eastAsia="pt-BR"/>
              </w:rPr>
              <w:t xml:space="preserve">National </w:t>
            </w:r>
            <w:r w:rsidR="0029515C" w:rsidRPr="00573DEB">
              <w:rPr>
                <w:rFonts w:ascii="Arial Narrow" w:hAnsi="Arial Narrow"/>
                <w:lang w:eastAsia="pt-BR"/>
              </w:rPr>
              <w:br/>
            </w:r>
            <w:r w:rsidRPr="00573DEB">
              <w:rPr>
                <w:rFonts w:ascii="Arial Narrow" w:hAnsi="Arial Narrow"/>
                <w:lang w:eastAsia="pt-BR"/>
              </w:rPr>
              <w:t xml:space="preserve">Service </w:t>
            </w:r>
            <w:r w:rsidR="00E1020F" w:rsidRPr="00573DEB">
              <w:rPr>
                <w:rFonts w:ascii="Arial Narrow" w:hAnsi="Arial Narrow"/>
                <w:lang w:eastAsia="pt-BR"/>
              </w:rPr>
              <w:br/>
            </w:r>
            <w:r w:rsidRPr="00573DEB">
              <w:rPr>
                <w:rFonts w:ascii="Arial Narrow" w:hAnsi="Arial Narrow"/>
                <w:lang w:eastAsia="pt-BR"/>
              </w:rPr>
              <w:t xml:space="preserve">for Plant </w:t>
            </w:r>
            <w:r w:rsidR="0029515C" w:rsidRPr="00573DEB">
              <w:rPr>
                <w:rFonts w:ascii="Arial Narrow" w:hAnsi="Arial Narrow"/>
                <w:lang w:eastAsia="pt-BR"/>
              </w:rPr>
              <w:br/>
            </w:r>
            <w:r w:rsidRPr="00573DEB">
              <w:rPr>
                <w:rFonts w:ascii="Arial Narrow" w:hAnsi="Arial Narrow"/>
                <w:lang w:eastAsia="pt-BR"/>
              </w:rPr>
              <w:t xml:space="preserve">Variety </w:t>
            </w:r>
          </w:p>
        </w:tc>
        <w:tc>
          <w:tcPr>
            <w:tcW w:w="2014" w:type="dxa"/>
            <w:shd w:val="clear" w:color="auto" w:fill="auto"/>
            <w:vAlign w:val="center"/>
          </w:tcPr>
          <w:p w:rsidR="00B000C0" w:rsidRPr="00573DEB" w:rsidRDefault="00B000C0" w:rsidP="00F039EE">
            <w:pPr>
              <w:rPr>
                <w:rFonts w:ascii="Arial Narrow" w:hAnsi="Arial Narrow"/>
                <w:lang w:eastAsia="pt-BR"/>
              </w:rPr>
            </w:pPr>
            <w:r w:rsidRPr="00573DEB">
              <w:rPr>
                <w:rFonts w:ascii="Arial Narrow" w:hAnsi="Arial Narrow"/>
              </w:rPr>
              <w:t xml:space="preserve">National Service for </w:t>
            </w:r>
            <w:r w:rsidR="00E1020F" w:rsidRPr="00573DEB">
              <w:rPr>
                <w:rFonts w:ascii="Arial Narrow" w:hAnsi="Arial Narrow"/>
              </w:rPr>
              <w:br/>
            </w:r>
            <w:r w:rsidRPr="00573DEB">
              <w:rPr>
                <w:rFonts w:ascii="Arial Narrow" w:hAnsi="Arial Narrow"/>
              </w:rPr>
              <w:t xml:space="preserve">Plant Variety Protection </w:t>
            </w:r>
            <w:r w:rsidR="00E1020F" w:rsidRPr="00573DEB">
              <w:rPr>
                <w:rFonts w:ascii="Arial Narrow" w:hAnsi="Arial Narrow"/>
              </w:rPr>
              <w:br/>
            </w:r>
            <w:r w:rsidRPr="00573DEB">
              <w:rPr>
                <w:rFonts w:ascii="Arial Narrow" w:hAnsi="Arial Narrow"/>
              </w:rPr>
              <w:t>/ Ministry of Agriculture</w:t>
            </w:r>
          </w:p>
        </w:tc>
        <w:tc>
          <w:tcPr>
            <w:tcW w:w="2644" w:type="dxa"/>
            <w:shd w:val="clear" w:color="auto" w:fill="auto"/>
            <w:vAlign w:val="center"/>
          </w:tcPr>
          <w:p w:rsidR="00B000C0" w:rsidRPr="00573DEB" w:rsidRDefault="00B000C0" w:rsidP="00F039EE">
            <w:pPr>
              <w:rPr>
                <w:rFonts w:ascii="Arial Narrow" w:hAnsi="Arial Narrow"/>
                <w:lang w:eastAsia="pt-BR"/>
              </w:rPr>
            </w:pPr>
            <w:r w:rsidRPr="00573DEB">
              <w:rPr>
                <w:rFonts w:ascii="Arial Narrow" w:hAnsi="Arial Narrow"/>
                <w:lang w:eastAsia="pt-BR"/>
              </w:rPr>
              <w:t>15 years for most of varieties;</w:t>
            </w:r>
          </w:p>
        </w:tc>
        <w:tc>
          <w:tcPr>
            <w:tcW w:w="2460" w:type="dxa"/>
            <w:shd w:val="clear" w:color="auto" w:fill="auto"/>
            <w:vAlign w:val="center"/>
          </w:tcPr>
          <w:p w:rsidR="00B000C0" w:rsidRPr="00573DEB" w:rsidRDefault="00B000C0" w:rsidP="00BF3800">
            <w:pPr>
              <w:rPr>
                <w:rFonts w:ascii="Arial Narrow" w:hAnsi="Arial Narrow" w:cs="Times New Roman"/>
                <w:color w:val="0000FF"/>
                <w:u w:val="single"/>
                <w:lang w:eastAsia="pt-BR"/>
              </w:rPr>
            </w:pPr>
            <w:r w:rsidRPr="00573DEB">
              <w:rPr>
                <w:rFonts w:ascii="Arial Narrow" w:hAnsi="Arial Narrow"/>
                <w:lang w:eastAsia="pt-BR"/>
              </w:rPr>
              <w:t>Law No</w:t>
            </w:r>
            <w:r w:rsidR="004B4B73" w:rsidRPr="00573DEB">
              <w:rPr>
                <w:rFonts w:ascii="Arial Narrow" w:hAnsi="Arial Narrow"/>
                <w:lang w:eastAsia="pt-BR"/>
              </w:rPr>
              <w:t xml:space="preserve">. </w:t>
            </w:r>
            <w:r w:rsidRPr="00573DEB">
              <w:rPr>
                <w:rFonts w:ascii="Arial Narrow" w:hAnsi="Arial Narrow"/>
                <w:lang w:eastAsia="pt-BR"/>
              </w:rPr>
              <w:t>9.456</w:t>
            </w:r>
            <w:r w:rsidR="00BF3800" w:rsidRPr="00573DEB">
              <w:rPr>
                <w:rFonts w:ascii="Arial Narrow" w:hAnsi="Arial Narrow"/>
                <w:lang w:eastAsia="pt-BR"/>
              </w:rPr>
              <w:t xml:space="preserve">, </w:t>
            </w:r>
            <w:r w:rsidRPr="00573DEB">
              <w:rPr>
                <w:rFonts w:ascii="Arial Narrow" w:hAnsi="Arial Narrow"/>
                <w:lang w:eastAsia="pt-BR"/>
              </w:rPr>
              <w:t>April 28, 1997</w:t>
            </w:r>
          </w:p>
        </w:tc>
        <w:tc>
          <w:tcPr>
            <w:tcW w:w="6078" w:type="dxa"/>
            <w:shd w:val="clear" w:color="auto" w:fill="auto"/>
            <w:vAlign w:val="center"/>
          </w:tcPr>
          <w:p w:rsidR="00B000C0" w:rsidRPr="00573DEB" w:rsidRDefault="00B000C0" w:rsidP="004B4B73">
            <w:pPr>
              <w:rPr>
                <w:rFonts w:ascii="Arial Narrow" w:hAnsi="Arial Narrow" w:cs="Times New Roman"/>
                <w:color w:val="0000FF"/>
                <w:u w:val="single"/>
                <w:lang w:eastAsia="pt-BR"/>
              </w:rPr>
            </w:pPr>
            <w:r w:rsidRPr="00573DEB">
              <w:rPr>
                <w:rFonts w:ascii="Arial Narrow" w:hAnsi="Arial Narrow"/>
                <w:lang w:eastAsia="pt-BR"/>
              </w:rPr>
              <w:t>- UPOV Convention since May/1999</w:t>
            </w:r>
            <w:r w:rsidRPr="00573DEB">
              <w:rPr>
                <w:rStyle w:val="FootnoteReference"/>
                <w:rFonts w:ascii="Arial Narrow" w:hAnsi="Arial Narrow"/>
                <w:color w:val="000000"/>
                <w:sz w:val="14"/>
                <w:szCs w:val="14"/>
                <w:lang w:eastAsia="pt-BR"/>
              </w:rPr>
              <w:footnoteReference w:id="17"/>
            </w:r>
          </w:p>
        </w:tc>
      </w:tr>
    </w:tbl>
    <w:p w:rsidR="00E1020F" w:rsidRPr="00573DEB" w:rsidRDefault="00E1020F" w:rsidP="00E1020F">
      <w:pPr>
        <w:rPr>
          <w:lang w:eastAsia="pt-BR"/>
        </w:rPr>
        <w:sectPr w:rsidR="00E1020F" w:rsidRPr="00573DEB" w:rsidSect="00E1020F">
          <w:pgSz w:w="16838" w:h="11906" w:orient="landscape"/>
          <w:pgMar w:top="1440" w:right="1417" w:bottom="1440" w:left="1417" w:header="706" w:footer="706" w:gutter="0"/>
          <w:cols w:space="720"/>
          <w:docGrid w:linePitch="360"/>
        </w:sectPr>
      </w:pPr>
      <w:bookmarkStart w:id="21" w:name="_Toc388619914"/>
    </w:p>
    <w:p w:rsidR="00F039EE" w:rsidRPr="00573DEB" w:rsidRDefault="00F039EE" w:rsidP="00F039EE">
      <w:pPr>
        <w:rPr>
          <w:lang w:eastAsia="pt-BR"/>
        </w:rPr>
      </w:pPr>
    </w:p>
    <w:p w:rsidR="00B000C0" w:rsidRPr="00573DEB" w:rsidRDefault="00617175" w:rsidP="004B4B73">
      <w:pPr>
        <w:pStyle w:val="Heading1"/>
        <w:rPr>
          <w:lang w:eastAsia="pt-BR"/>
        </w:rPr>
      </w:pPr>
      <w:r>
        <w:rPr>
          <w:lang w:eastAsia="pt-BR"/>
        </w:rPr>
        <w:t>3</w:t>
      </w:r>
      <w:r>
        <w:rPr>
          <w:lang w:eastAsia="pt-BR"/>
        </w:rPr>
        <w:tab/>
      </w:r>
      <w:r w:rsidR="00B000C0" w:rsidRPr="00573DEB">
        <w:rPr>
          <w:lang w:eastAsia="pt-BR"/>
        </w:rPr>
        <w:t>Brazil in the Global context (Overall trends)</w:t>
      </w:r>
      <w:bookmarkEnd w:id="21"/>
    </w:p>
    <w:p w:rsidR="00B000C0" w:rsidRPr="00573DEB" w:rsidRDefault="00B000C0" w:rsidP="004B4B73"/>
    <w:p w:rsidR="00B000C0" w:rsidRPr="00573DEB" w:rsidRDefault="00B000C0" w:rsidP="004B4B73">
      <w:r w:rsidRPr="00573DEB">
        <w:t>Brazil is the seventh largest economy of the world and the second largest middle-income economy.</w:t>
      </w:r>
      <w:r w:rsidRPr="00573DEB">
        <w:rPr>
          <w:rFonts w:cs="Times New Roman"/>
          <w:vertAlign w:val="superscript"/>
        </w:rPr>
        <w:footnoteReference w:id="18"/>
      </w:r>
      <w:r w:rsidRPr="00573DEB">
        <w:t xml:space="preserve"> Brazil is the largest economy among the Latin American and Caribbean (LAC) countries</w:t>
      </w:r>
      <w:r w:rsidR="004B4B73" w:rsidRPr="00573DEB">
        <w:t xml:space="preserve">.  </w:t>
      </w:r>
      <w:r w:rsidRPr="00573DEB">
        <w:t>Its GDP represented 42% of the LAC region’s GDP in 2011</w:t>
      </w:r>
      <w:r w:rsidR="004B4B73" w:rsidRPr="00573DEB">
        <w:t xml:space="preserve">.  </w:t>
      </w:r>
      <w:r w:rsidRPr="00573DEB">
        <w:t>That same year, it had a GDP of 2,477 billion USD which is more than twice the one of Mexico (1,160 billion constant USD), the second largest economy in the LAC region</w:t>
      </w:r>
      <w:r w:rsidR="004B4B73" w:rsidRPr="00573DEB">
        <w:t xml:space="preserve">.  </w:t>
      </w:r>
    </w:p>
    <w:p w:rsidR="00B000C0" w:rsidRPr="00573DEB" w:rsidRDefault="00B000C0" w:rsidP="004B4B73"/>
    <w:p w:rsidR="00B000C0" w:rsidRPr="00573DEB" w:rsidRDefault="00B000C0" w:rsidP="004B4B73">
      <w:r w:rsidRPr="00573DEB">
        <w:t>Brazil ranked first among LAC countries in registration of patents, utility models, industrial designs and trademarks</w:t>
      </w:r>
      <w:r w:rsidR="004B4B73" w:rsidRPr="00573DEB">
        <w:t xml:space="preserve">.  </w:t>
      </w:r>
      <w:r w:rsidRPr="00573DEB">
        <w:t>Similar to its GDP share, the share of patent filings originating from Brazilian applicants was of 40% of all LAC patent filings in 2011</w:t>
      </w:r>
      <w:r w:rsidR="004B4B73" w:rsidRPr="00573DEB">
        <w:t xml:space="preserve">.  </w:t>
      </w:r>
      <w:r w:rsidRPr="00573DEB">
        <w:t>With almost 6,400 patents filed worldwide, however, applications by Brazilian residents accounted for less than 0.5% of total world filings</w:t>
      </w:r>
      <w:r w:rsidR="004B4B73" w:rsidRPr="00573DEB">
        <w:t xml:space="preserve">.  </w:t>
      </w:r>
      <w:r w:rsidRPr="00573DEB">
        <w:t>By comparison, Chinese and Indian residents filed respectively about 436.000 and 16.000 patent applications worldwide in 2011.</w:t>
      </w:r>
      <w:r w:rsidRPr="00573DEB">
        <w:rPr>
          <w:rFonts w:cs="Times New Roman"/>
          <w:vertAlign w:val="superscript"/>
        </w:rPr>
        <w:footnoteReference w:id="19"/>
      </w:r>
    </w:p>
    <w:p w:rsidR="00B000C0" w:rsidRPr="00573DEB" w:rsidRDefault="00B000C0" w:rsidP="004B4B73"/>
    <w:p w:rsidR="00B000C0" w:rsidRPr="00573DEB" w:rsidRDefault="00B000C0" w:rsidP="004B4B73">
      <w:r w:rsidRPr="00573DEB">
        <w:t>INPI-Brazil received 28,547 patent applications in 2011 (figure 3.1), which represents roughly half of the filings in LAC but only 1.3% in the world</w:t>
      </w:r>
      <w:r w:rsidR="004B4B73" w:rsidRPr="00573DEB">
        <w:t xml:space="preserve">.  </w:t>
      </w:r>
      <w:r w:rsidRPr="00573DEB">
        <w:t>Between 2002 and 2011, the number of patents filed at INPI Brazil grew rapidly</w:t>
      </w:r>
      <w:r w:rsidR="004B4B73" w:rsidRPr="00573DEB">
        <w:t xml:space="preserve">.  </w:t>
      </w:r>
      <w:r w:rsidRPr="00573DEB">
        <w:t>By contrast, the offices of Argentina and Mexico received higher volumes of filings in 2006 than in 2011</w:t>
      </w:r>
      <w:r w:rsidR="004B4B73" w:rsidRPr="00573DEB">
        <w:t xml:space="preserve">.  </w:t>
      </w:r>
      <w:r w:rsidRPr="00573DEB">
        <w:t>Over the ten years’ period, all offices from upper-middle income countries combined have experienced a 16.8% annual growth on average, mainly due to the sharp growth seen at SIPO</w:t>
      </w:r>
      <w:r w:rsidRPr="00573DEB">
        <w:rPr>
          <w:rFonts w:cs="Times New Roman"/>
          <w:vertAlign w:val="superscript"/>
        </w:rPr>
        <w:footnoteReference w:id="20"/>
      </w:r>
      <w:r w:rsidRPr="00573DEB">
        <w:t xml:space="preserve"> (23.2%)</w:t>
      </w:r>
      <w:r w:rsidR="004B4B73" w:rsidRPr="00573DEB">
        <w:t xml:space="preserve">.  </w:t>
      </w:r>
      <w:r w:rsidRPr="00573DEB">
        <w:t>Nonetheless, with a 6.1% annual growth rate in the same period, INPI Brazil has seen an increase of patent filings by 1.6 percentage points above the world’s rate (4.5%).</w:t>
      </w:r>
    </w:p>
    <w:p w:rsidR="00B000C0" w:rsidRPr="00573DEB" w:rsidRDefault="00B000C0" w:rsidP="00E61339"/>
    <w:p w:rsidR="00B000C0" w:rsidRPr="00573DEB" w:rsidRDefault="000C6B94" w:rsidP="00E61339">
      <w:pPr>
        <w:pStyle w:val="Caption"/>
        <w:rPr>
          <w:lang w:eastAsia="pt-BR"/>
        </w:rPr>
      </w:pPr>
      <w:bookmarkStart w:id="22" w:name="_Toc383414523"/>
      <w:r>
        <w:rPr>
          <w:lang w:eastAsia="pt-BR"/>
        </w:rPr>
        <w:t xml:space="preserve">Figure 3.1:  </w:t>
      </w:r>
      <w:r w:rsidR="00B000C0" w:rsidRPr="00573DEB">
        <w:rPr>
          <w:lang w:eastAsia="pt-BR"/>
        </w:rPr>
        <w:t>Trends in patent filings</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4686"/>
      </w:tblGrid>
      <w:tr w:rsidR="00B000C0" w:rsidRPr="00573DEB" w:rsidTr="004B4B73">
        <w:trPr>
          <w:trHeight w:val="1821"/>
        </w:trPr>
        <w:tc>
          <w:tcPr>
            <w:tcW w:w="4124" w:type="dxa"/>
            <w:shd w:val="clear" w:color="auto" w:fill="auto"/>
          </w:tcPr>
          <w:p w:rsidR="00B000C0" w:rsidRPr="00573DEB" w:rsidRDefault="00B000C0" w:rsidP="004B4B73">
            <w:r w:rsidRPr="00573DEB">
              <w:rPr>
                <w:noProof/>
              </w:rPr>
              <w:drawing>
                <wp:inline distT="0" distB="0" distL="0" distR="0" wp14:anchorId="1DBD48CC" wp14:editId="019E8425">
                  <wp:extent cx="2838450" cy="2035810"/>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8450" cy="2035810"/>
                          </a:xfrm>
                          <a:prstGeom prst="rect">
                            <a:avLst/>
                          </a:prstGeom>
                          <a:noFill/>
                          <a:ln>
                            <a:noFill/>
                          </a:ln>
                        </pic:spPr>
                      </pic:pic>
                    </a:graphicData>
                  </a:graphic>
                </wp:inline>
              </w:drawing>
            </w:r>
          </w:p>
        </w:tc>
        <w:tc>
          <w:tcPr>
            <w:tcW w:w="4596" w:type="dxa"/>
            <w:shd w:val="clear" w:color="auto" w:fill="auto"/>
          </w:tcPr>
          <w:p w:rsidR="00B000C0" w:rsidRPr="00573DEB" w:rsidRDefault="00B000C0" w:rsidP="004B4B73">
            <w:r w:rsidRPr="00573DEB">
              <w:rPr>
                <w:noProof/>
              </w:rPr>
              <w:drawing>
                <wp:inline distT="0" distB="0" distL="0" distR="0" wp14:anchorId="39401E3D" wp14:editId="6BD4D6BC">
                  <wp:extent cx="2830830" cy="2035810"/>
                  <wp:effectExtent l="0" t="0" r="762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0830" cy="2035810"/>
                          </a:xfrm>
                          <a:prstGeom prst="rect">
                            <a:avLst/>
                          </a:prstGeom>
                          <a:noFill/>
                          <a:ln>
                            <a:noFill/>
                          </a:ln>
                        </pic:spPr>
                      </pic:pic>
                    </a:graphicData>
                  </a:graphic>
                </wp:inline>
              </w:drawing>
            </w:r>
          </w:p>
        </w:tc>
      </w:tr>
    </w:tbl>
    <w:p w:rsidR="00B000C0" w:rsidRPr="00617175" w:rsidRDefault="00B000C0" w:rsidP="00E61339">
      <w:pPr>
        <w:pStyle w:val="Captionnotes"/>
        <w:rPr>
          <w:i w:val="0"/>
          <w:szCs w:val="16"/>
        </w:rPr>
      </w:pPr>
      <w:r w:rsidRPr="00617175">
        <w:rPr>
          <w:i w:val="0"/>
        </w:rPr>
        <w:t xml:space="preserve">Note: </w:t>
      </w:r>
      <w:r w:rsidR="00617175">
        <w:rPr>
          <w:i w:val="0"/>
        </w:rPr>
        <w:t xml:space="preserve"> </w:t>
      </w:r>
      <w:r w:rsidRPr="00617175">
        <w:rPr>
          <w:i w:val="0"/>
        </w:rPr>
        <w:t>2011 data for Argentina, Upper-middle income data, LAC data and World data are WIPO estimates</w:t>
      </w:r>
      <w:r w:rsidR="004B4B73" w:rsidRPr="00617175">
        <w:rPr>
          <w:i w:val="0"/>
        </w:rPr>
        <w:t xml:space="preserve">.  </w:t>
      </w:r>
      <w:r w:rsidRPr="00617175">
        <w:rPr>
          <w:i w:val="0"/>
        </w:rPr>
        <w:t>Geometric mean was used to determine the average annual growth.</w:t>
      </w:r>
      <w:r w:rsidR="00E61339" w:rsidRPr="00617175">
        <w:rPr>
          <w:i w:val="0"/>
        </w:rPr>
        <w:t xml:space="preserve"> </w:t>
      </w:r>
      <w:r w:rsidRPr="00617175">
        <w:rPr>
          <w:i w:val="0"/>
          <w:szCs w:val="16"/>
        </w:rPr>
        <w:t>Source: WIPO Statistical Database, January 2014</w:t>
      </w:r>
    </w:p>
    <w:p w:rsidR="00B000C0" w:rsidRPr="00573DEB" w:rsidRDefault="00B000C0" w:rsidP="00617175"/>
    <w:p w:rsidR="00B000C0" w:rsidRPr="00573DEB" w:rsidRDefault="00B000C0" w:rsidP="00617175">
      <w:r w:rsidRPr="00573DEB">
        <w:t>Similar to patent filings, industrial design filings at INPI Brazil experienced a sharp increase from 2002 to 2011, with the filing of 6,835 industrial design applications in 2011 (figure 3.2)</w:t>
      </w:r>
      <w:r w:rsidR="004B4B73" w:rsidRPr="00573DEB">
        <w:t xml:space="preserve">.  </w:t>
      </w:r>
      <w:r w:rsidRPr="00573DEB">
        <w:t>This represents 46.5% of the industrial design filings in LAC, but less than 1% of the world total</w:t>
      </w:r>
      <w:r w:rsidR="004B4B73" w:rsidRPr="00573DEB">
        <w:t xml:space="preserve">.  </w:t>
      </w:r>
      <w:r w:rsidRPr="00573DEB">
        <w:t>Unlike patent filings, however, its 5.3% annual growth is lower than those observed at the offices of Argentina (7.4%) and Mexico (8.6%) as well as slightly below LAC average (5.5%)</w:t>
      </w:r>
      <w:r w:rsidR="004B4B73" w:rsidRPr="00573DEB">
        <w:t xml:space="preserve">.  </w:t>
      </w:r>
      <w:r w:rsidRPr="00573DEB">
        <w:t>In any case, all three offices experienced a substantial increase in the number of industrial design applications received since 2002</w:t>
      </w:r>
      <w:r w:rsidR="004B4B73" w:rsidRPr="00573DEB">
        <w:t xml:space="preserve">.  </w:t>
      </w:r>
      <w:r w:rsidRPr="00573DEB">
        <w:t>The INPI Brazil growth rate is also lower than the one observed for the world’s average as well as the one for the upper-middle income countries</w:t>
      </w:r>
      <w:r w:rsidR="004B4B73" w:rsidRPr="00573DEB">
        <w:t xml:space="preserve">.  </w:t>
      </w:r>
      <w:r w:rsidRPr="00573DEB">
        <w:t>These rates are largely due to filings at SIPO, which experienced an average growth of 23.3% since 2002 and accounted for 68% of the world's total industrial design filings in 2011.</w:t>
      </w:r>
    </w:p>
    <w:p w:rsidR="00B000C0" w:rsidRPr="00573DEB" w:rsidRDefault="00B000C0" w:rsidP="004B4B73"/>
    <w:p w:rsidR="00E61339" w:rsidRPr="00573DEB" w:rsidRDefault="00E61339" w:rsidP="004B4B73"/>
    <w:p w:rsidR="00B000C0" w:rsidRPr="00573DEB" w:rsidRDefault="000C6B94" w:rsidP="00E61339">
      <w:pPr>
        <w:pStyle w:val="Caption"/>
        <w:rPr>
          <w:lang w:eastAsia="pt-BR"/>
        </w:rPr>
      </w:pPr>
      <w:bookmarkStart w:id="23" w:name="_Toc383414524"/>
      <w:r>
        <w:rPr>
          <w:lang w:eastAsia="pt-BR"/>
        </w:rPr>
        <w:t xml:space="preserve">Figure 3.2:  </w:t>
      </w:r>
      <w:r w:rsidR="00B000C0" w:rsidRPr="00573DEB">
        <w:rPr>
          <w:lang w:eastAsia="pt-BR"/>
        </w:rPr>
        <w:t>Trends in industrial design filings</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596"/>
      </w:tblGrid>
      <w:tr w:rsidR="00B000C0" w:rsidRPr="00573DEB" w:rsidTr="004B4B73">
        <w:trPr>
          <w:trHeight w:val="1821"/>
        </w:trPr>
        <w:tc>
          <w:tcPr>
            <w:tcW w:w="4124" w:type="dxa"/>
            <w:shd w:val="clear" w:color="auto" w:fill="auto"/>
          </w:tcPr>
          <w:p w:rsidR="00B000C0" w:rsidRPr="00573DEB" w:rsidRDefault="00B000C0" w:rsidP="004B4B73">
            <w:r w:rsidRPr="00573DEB">
              <w:rPr>
                <w:noProof/>
              </w:rPr>
              <w:drawing>
                <wp:inline distT="0" distB="0" distL="0" distR="0" wp14:anchorId="5F3EE806" wp14:editId="0B582698">
                  <wp:extent cx="2560320" cy="205930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0320" cy="2059305"/>
                          </a:xfrm>
                          <a:prstGeom prst="rect">
                            <a:avLst/>
                          </a:prstGeom>
                          <a:noFill/>
                          <a:ln>
                            <a:noFill/>
                          </a:ln>
                        </pic:spPr>
                      </pic:pic>
                    </a:graphicData>
                  </a:graphic>
                </wp:inline>
              </w:drawing>
            </w:r>
          </w:p>
        </w:tc>
        <w:tc>
          <w:tcPr>
            <w:tcW w:w="4596" w:type="dxa"/>
            <w:shd w:val="clear" w:color="auto" w:fill="auto"/>
          </w:tcPr>
          <w:p w:rsidR="00B000C0" w:rsidRPr="00573DEB" w:rsidRDefault="00B000C0" w:rsidP="004B4B73">
            <w:r w:rsidRPr="00573DEB">
              <w:rPr>
                <w:noProof/>
              </w:rPr>
              <w:drawing>
                <wp:inline distT="0" distB="0" distL="0" distR="0" wp14:anchorId="4FCD44B9" wp14:editId="10D24D32">
                  <wp:extent cx="2544445" cy="2067560"/>
                  <wp:effectExtent l="0" t="0" r="8255"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4445" cy="2067560"/>
                          </a:xfrm>
                          <a:prstGeom prst="rect">
                            <a:avLst/>
                          </a:prstGeom>
                          <a:noFill/>
                          <a:ln>
                            <a:noFill/>
                          </a:ln>
                        </pic:spPr>
                      </pic:pic>
                    </a:graphicData>
                  </a:graphic>
                </wp:inline>
              </w:drawing>
            </w:r>
          </w:p>
        </w:tc>
      </w:tr>
    </w:tbl>
    <w:p w:rsidR="00B000C0" w:rsidRPr="00617175" w:rsidRDefault="00B000C0" w:rsidP="00E61339">
      <w:pPr>
        <w:pStyle w:val="Captionnotes"/>
        <w:rPr>
          <w:i w:val="0"/>
        </w:rPr>
      </w:pPr>
      <w:r w:rsidRPr="00617175">
        <w:rPr>
          <w:i w:val="0"/>
        </w:rPr>
        <w:t xml:space="preserve">Note: </w:t>
      </w:r>
      <w:r w:rsidR="00617175">
        <w:rPr>
          <w:i w:val="0"/>
        </w:rPr>
        <w:t xml:space="preserve"> </w:t>
      </w:r>
      <w:r w:rsidRPr="00617175">
        <w:rPr>
          <w:i w:val="0"/>
        </w:rPr>
        <w:t>2006 and 2011 data for Argentina, Upper-middle income data, LAC data and World data are WIPO estimates</w:t>
      </w:r>
      <w:r w:rsidR="004B4B73" w:rsidRPr="00617175">
        <w:rPr>
          <w:i w:val="0"/>
        </w:rPr>
        <w:t xml:space="preserve">.  </w:t>
      </w:r>
      <w:r w:rsidRPr="00617175">
        <w:rPr>
          <w:i w:val="0"/>
        </w:rPr>
        <w:t>Geometric mean was used to determine the average annual growth.</w:t>
      </w:r>
      <w:r w:rsidR="00E61339" w:rsidRPr="00617175">
        <w:rPr>
          <w:i w:val="0"/>
        </w:rPr>
        <w:t xml:space="preserve"> </w:t>
      </w:r>
      <w:r w:rsidR="00617175">
        <w:rPr>
          <w:i w:val="0"/>
        </w:rPr>
        <w:t xml:space="preserve"> </w:t>
      </w:r>
      <w:r w:rsidRPr="00617175">
        <w:rPr>
          <w:i w:val="0"/>
        </w:rPr>
        <w:t>Source:</w:t>
      </w:r>
      <w:r w:rsidR="00617175">
        <w:rPr>
          <w:i w:val="0"/>
        </w:rPr>
        <w:t xml:space="preserve"> </w:t>
      </w:r>
      <w:r w:rsidRPr="00617175">
        <w:rPr>
          <w:i w:val="0"/>
        </w:rPr>
        <w:t xml:space="preserve"> WIPO Statistical Database, January 2014</w:t>
      </w:r>
    </w:p>
    <w:p w:rsidR="00B000C0" w:rsidRPr="00573DEB" w:rsidRDefault="00B000C0" w:rsidP="004B4B73"/>
    <w:p w:rsidR="00977154" w:rsidRPr="00573DEB" w:rsidRDefault="00977154" w:rsidP="004B4B73"/>
    <w:p w:rsidR="00B000C0" w:rsidRPr="00573DEB" w:rsidRDefault="00B000C0" w:rsidP="004B4B73">
      <w:r w:rsidRPr="00573DEB">
        <w:t>With 152,699 filings received in 2011, INPI Brazil accounts for 27.6% of the trademark filings in LAC and 3.7% of the world</w:t>
      </w:r>
      <w:r w:rsidR="004B4B73" w:rsidRPr="00573DEB">
        <w:t xml:space="preserve">.  </w:t>
      </w:r>
      <w:r w:rsidRPr="00573DEB">
        <w:t>Brazil experienced a sharp increase in trademark filings since 2002 and especially since 2009 (figure 3.3)</w:t>
      </w:r>
      <w:r w:rsidR="004B4B73" w:rsidRPr="00573DEB">
        <w:t xml:space="preserve">.  </w:t>
      </w:r>
      <w:r w:rsidRPr="00573DEB">
        <w:t>This growth represents, in absolute terms, an increase of about 58,400 filings over the past decade, the highest increase in absolute terms among LAC countries</w:t>
      </w:r>
      <w:r w:rsidR="004B4B73" w:rsidRPr="00573DEB">
        <w:t xml:space="preserve">.  </w:t>
      </w:r>
      <w:r w:rsidRPr="00573DEB">
        <w:t>However, in relative terms, Brazil (5.5%) experienced a slightly lower average annual growth since 2002 than Argentina (6.6%) and Mexico (6.6%)</w:t>
      </w:r>
      <w:r w:rsidR="004B4B73" w:rsidRPr="00573DEB">
        <w:t xml:space="preserve">.  </w:t>
      </w:r>
      <w:r w:rsidRPr="00573DEB">
        <w:t>If filings at INPI Brazil grew, on average, faster than LAC average (4.9</w:t>
      </w:r>
      <w:r w:rsidR="00F86B70">
        <w:t>%</w:t>
      </w:r>
      <w:r w:rsidRPr="00573DEB">
        <w:t>), it was below the upper-middle income (10.8%) and world average (6.4%).</w:t>
      </w:r>
    </w:p>
    <w:p w:rsidR="00B000C0" w:rsidRPr="00573DEB" w:rsidRDefault="00B000C0" w:rsidP="004B4B73"/>
    <w:p w:rsidR="00E61339" w:rsidRPr="00573DEB" w:rsidRDefault="00E61339" w:rsidP="004B4B73"/>
    <w:p w:rsidR="00B000C0" w:rsidRPr="00573DEB" w:rsidRDefault="000C6B94" w:rsidP="00E61339">
      <w:pPr>
        <w:pStyle w:val="Caption"/>
        <w:rPr>
          <w:lang w:eastAsia="pt-BR"/>
        </w:rPr>
      </w:pPr>
      <w:bookmarkStart w:id="24" w:name="_Toc383414525"/>
      <w:r>
        <w:rPr>
          <w:lang w:eastAsia="pt-BR"/>
        </w:rPr>
        <w:t xml:space="preserve">Figure 3.3:  </w:t>
      </w:r>
      <w:r w:rsidR="00B000C0" w:rsidRPr="00573DEB">
        <w:rPr>
          <w:lang w:eastAsia="pt-BR"/>
        </w:rPr>
        <w:t>Trends in trademark filings</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4398"/>
      </w:tblGrid>
      <w:tr w:rsidR="00B000C0" w:rsidRPr="00573DEB" w:rsidTr="004B4B73">
        <w:trPr>
          <w:trHeight w:val="1821"/>
        </w:trPr>
        <w:tc>
          <w:tcPr>
            <w:tcW w:w="4366" w:type="dxa"/>
            <w:shd w:val="clear" w:color="auto" w:fill="auto"/>
          </w:tcPr>
          <w:p w:rsidR="00B000C0" w:rsidRPr="00573DEB" w:rsidRDefault="00B000C0" w:rsidP="004B4B73">
            <w:r w:rsidRPr="00573DEB">
              <w:rPr>
                <w:noProof/>
              </w:rPr>
              <w:drawing>
                <wp:inline distT="0" distB="0" distL="0" distR="0" wp14:anchorId="6EE81E6D" wp14:editId="59E41C54">
                  <wp:extent cx="2790825" cy="204343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0825" cy="2043430"/>
                          </a:xfrm>
                          <a:prstGeom prst="rect">
                            <a:avLst/>
                          </a:prstGeom>
                          <a:noFill/>
                          <a:ln>
                            <a:noFill/>
                          </a:ln>
                        </pic:spPr>
                      </pic:pic>
                    </a:graphicData>
                  </a:graphic>
                </wp:inline>
              </w:drawing>
            </w:r>
          </w:p>
        </w:tc>
        <w:tc>
          <w:tcPr>
            <w:tcW w:w="4354" w:type="dxa"/>
            <w:shd w:val="clear" w:color="auto" w:fill="auto"/>
          </w:tcPr>
          <w:p w:rsidR="00B000C0" w:rsidRPr="00573DEB" w:rsidRDefault="00B000C0" w:rsidP="004B4B73">
            <w:r w:rsidRPr="00573DEB">
              <w:rPr>
                <w:noProof/>
              </w:rPr>
              <w:drawing>
                <wp:inline distT="0" distB="0" distL="0" distR="0" wp14:anchorId="1F1FAF8A" wp14:editId="1D9DFFA0">
                  <wp:extent cx="2655570" cy="20199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5570" cy="2019935"/>
                          </a:xfrm>
                          <a:prstGeom prst="rect">
                            <a:avLst/>
                          </a:prstGeom>
                          <a:noFill/>
                          <a:ln>
                            <a:noFill/>
                          </a:ln>
                        </pic:spPr>
                      </pic:pic>
                    </a:graphicData>
                  </a:graphic>
                </wp:inline>
              </w:drawing>
            </w:r>
          </w:p>
        </w:tc>
      </w:tr>
    </w:tbl>
    <w:p w:rsidR="00B000C0" w:rsidRPr="00617175" w:rsidRDefault="00B000C0" w:rsidP="00E61339">
      <w:pPr>
        <w:pStyle w:val="Captionnotes"/>
        <w:rPr>
          <w:i w:val="0"/>
        </w:rPr>
      </w:pPr>
      <w:r w:rsidRPr="00617175">
        <w:rPr>
          <w:i w:val="0"/>
        </w:rPr>
        <w:t xml:space="preserve">Note: </w:t>
      </w:r>
      <w:r w:rsidR="00617175">
        <w:rPr>
          <w:i w:val="0"/>
        </w:rPr>
        <w:t xml:space="preserve"> </w:t>
      </w:r>
      <w:r w:rsidRPr="00617175">
        <w:rPr>
          <w:i w:val="0"/>
        </w:rPr>
        <w:t>2011 data for Argentina, Upper-middle income data, LAC data and World data are WIPO estimates</w:t>
      </w:r>
      <w:r w:rsidR="004B4B73" w:rsidRPr="00617175">
        <w:rPr>
          <w:i w:val="0"/>
        </w:rPr>
        <w:t xml:space="preserve">.  </w:t>
      </w:r>
      <w:r w:rsidRPr="00617175">
        <w:rPr>
          <w:i w:val="0"/>
        </w:rPr>
        <w:t>Geometric mean was used to determine the average annual growth.</w:t>
      </w:r>
      <w:r w:rsidR="00E61339" w:rsidRPr="00617175">
        <w:rPr>
          <w:i w:val="0"/>
        </w:rPr>
        <w:t xml:space="preserve"> </w:t>
      </w:r>
      <w:r w:rsidR="00617175">
        <w:rPr>
          <w:i w:val="0"/>
        </w:rPr>
        <w:t xml:space="preserve"> </w:t>
      </w:r>
      <w:r w:rsidRPr="00617175">
        <w:rPr>
          <w:i w:val="0"/>
        </w:rPr>
        <w:t xml:space="preserve">Source: </w:t>
      </w:r>
      <w:r w:rsidR="00617175">
        <w:rPr>
          <w:i w:val="0"/>
        </w:rPr>
        <w:t xml:space="preserve"> </w:t>
      </w:r>
      <w:r w:rsidRPr="00617175">
        <w:rPr>
          <w:i w:val="0"/>
        </w:rPr>
        <w:t>WIPO Statistical Database, January 2014</w:t>
      </w:r>
    </w:p>
    <w:p w:rsidR="00B000C0" w:rsidRPr="00573DEB" w:rsidRDefault="00B000C0" w:rsidP="004B4B73"/>
    <w:p w:rsidR="00B000C0" w:rsidRPr="00573DEB" w:rsidRDefault="00B000C0" w:rsidP="004B4B73">
      <w:r w:rsidRPr="00573DEB">
        <w:t>Even though Brazilian residents represent a small share of world total, the IP filing activity in Brazil markedly increased over time</w:t>
      </w:r>
      <w:r w:rsidR="004B4B73" w:rsidRPr="00573DEB">
        <w:t xml:space="preserve">.  </w:t>
      </w:r>
      <w:r w:rsidRPr="00573DEB">
        <w:t>Among LAC offices, INPI Brazil is not only the largest office in terms of filing activity but is also among the fastest growing offices in terms of filings</w:t>
      </w:r>
      <w:r w:rsidR="004B4B73" w:rsidRPr="00573DEB">
        <w:t xml:space="preserve">.  </w:t>
      </w:r>
    </w:p>
    <w:p w:rsidR="00B000C0" w:rsidRDefault="00B000C0" w:rsidP="004B4B73"/>
    <w:p w:rsidR="00E61339" w:rsidRDefault="00E61339" w:rsidP="00E61339">
      <w:bookmarkStart w:id="25" w:name="_Toc373369828"/>
      <w:bookmarkStart w:id="26" w:name="_Toc388619915"/>
    </w:p>
    <w:p w:rsidR="00F86B70" w:rsidRDefault="00F86B70">
      <w:pPr>
        <w:widowControl/>
        <w:spacing w:after="200" w:line="276" w:lineRule="auto"/>
      </w:pPr>
      <w:r>
        <w:br w:type="page"/>
      </w:r>
    </w:p>
    <w:p w:rsidR="00F86B70" w:rsidRPr="00573DEB" w:rsidRDefault="00F86B70" w:rsidP="00E61339"/>
    <w:p w:rsidR="00B000C0" w:rsidRPr="00573DEB" w:rsidRDefault="00617175" w:rsidP="004B4B73">
      <w:pPr>
        <w:pStyle w:val="Heading1"/>
      </w:pPr>
      <w:r>
        <w:t>4</w:t>
      </w:r>
      <w:r>
        <w:tab/>
      </w:r>
      <w:r w:rsidR="00B000C0" w:rsidRPr="00573DEB">
        <w:t>Patents and Utility Models</w:t>
      </w:r>
      <w:bookmarkEnd w:id="25"/>
      <w:bookmarkEnd w:id="26"/>
    </w:p>
    <w:p w:rsidR="00B000C0" w:rsidRPr="00573DEB" w:rsidRDefault="00B000C0" w:rsidP="00617175"/>
    <w:p w:rsidR="00B000C0" w:rsidRPr="00573DEB" w:rsidRDefault="00B000C0" w:rsidP="00617175">
      <w:r w:rsidRPr="00573DEB">
        <w:t>Over the period from 2000 to 2011, a number of policies and regulations were put in place in Brazil</w:t>
      </w:r>
      <w:r w:rsidR="004B4B73" w:rsidRPr="00573DEB">
        <w:t xml:space="preserve">.  </w:t>
      </w:r>
      <w:r w:rsidRPr="00573DEB">
        <w:t>Innovation was emphasized as playing an important role in the economic and industrial development</w:t>
      </w:r>
      <w:r w:rsidR="004B4B73" w:rsidRPr="00573DEB">
        <w:t xml:space="preserve">.  </w:t>
      </w:r>
      <w:r w:rsidRPr="00573DEB">
        <w:t>In light of that, improvements regarding intellectual property rights were undertaken through the restructuring of the INPI, investing in its infrastructure and human resources</w:t>
      </w:r>
      <w:r w:rsidR="004B4B73" w:rsidRPr="00573DEB">
        <w:t xml:space="preserve">.  </w:t>
      </w:r>
      <w:r w:rsidRPr="00573DEB">
        <w:t>The first subsection provides an overview of the filing trend for patents and utility models for INPI, the second subsection describes in details the patenting behavior of inventions and the third subsection presents specific aspects of the use of utility model protection.</w:t>
      </w:r>
    </w:p>
    <w:p w:rsidR="00B000C0" w:rsidRPr="00573DEB" w:rsidRDefault="00B000C0" w:rsidP="00617175"/>
    <w:p w:rsidR="00977154" w:rsidRPr="00573DEB" w:rsidRDefault="00977154" w:rsidP="00617175"/>
    <w:p w:rsidR="00977154" w:rsidRPr="00573DEB" w:rsidRDefault="00977154" w:rsidP="00617175"/>
    <w:p w:rsidR="00B000C0" w:rsidRPr="00573DEB" w:rsidRDefault="00B000C0" w:rsidP="00617175">
      <w:pPr>
        <w:pStyle w:val="Heading2"/>
      </w:pPr>
      <w:bookmarkStart w:id="27" w:name="_Toc388619916"/>
      <w:r w:rsidRPr="00573DEB">
        <w:t>Trend of total applications received by Brazilian IP Office (INPI)</w:t>
      </w:r>
      <w:bookmarkEnd w:id="27"/>
    </w:p>
    <w:p w:rsidR="00B000C0" w:rsidRPr="00573DEB" w:rsidRDefault="00B000C0" w:rsidP="00617175"/>
    <w:p w:rsidR="00B000C0" w:rsidRPr="00573DEB" w:rsidRDefault="00B000C0" w:rsidP="00617175">
      <w:r w:rsidRPr="00573DEB">
        <w:t>Figure 4.1 presents the trend of total applications received by the INPI, classified by patents and utility models, residents and non-residents, and also distinguishing the ones via the PCT route from those directly filed with INPI</w:t>
      </w:r>
      <w:r w:rsidR="004B4B73" w:rsidRPr="00573DEB">
        <w:t xml:space="preserve">.  </w:t>
      </w:r>
    </w:p>
    <w:p w:rsidR="00B000C0" w:rsidRPr="00573DEB" w:rsidRDefault="00B000C0" w:rsidP="00617175"/>
    <w:p w:rsidR="00B000C0" w:rsidRPr="00573DEB" w:rsidRDefault="00B000C0" w:rsidP="00617175">
      <w:r w:rsidRPr="00573DEB">
        <w:t>The main findings are: (</w:t>
      </w:r>
      <w:proofErr w:type="spellStart"/>
      <w:r w:rsidRPr="00573DEB">
        <w:t>i</w:t>
      </w:r>
      <w:proofErr w:type="spellEnd"/>
      <w:r w:rsidRPr="00573DEB">
        <w:t>) growth in patent applications from non-residents using the PCT route, was the main contributor to total growth of applications, (ii) residents also increased the number of patent applications, but far below from those from non-residents, (iii) the share of non-resident in total applications (patents and utility models) increased during the period, (iv) the participation of PCT applications in total applications increased, particularly from non-residents, (v) the share of utility models decreased, if considered only resident or total applications, and (vi) resident applications via PCT and non-resident UM applications were not representative.</w:t>
      </w:r>
    </w:p>
    <w:p w:rsidR="00B000C0" w:rsidRDefault="00B000C0" w:rsidP="00977154">
      <w:pPr>
        <w:rPr>
          <w:rStyle w:val="IntenseEmphasis2"/>
          <w:rFonts w:cs="Arial"/>
          <w:b w:val="0"/>
          <w:i w:val="0"/>
          <w:iCs w:val="0"/>
          <w:vanish/>
          <w:spacing w:val="13"/>
          <w:lang w:eastAsia="pt-BR"/>
        </w:rPr>
      </w:pPr>
      <w:bookmarkStart w:id="28" w:name="_Toc377053281"/>
      <w:bookmarkStart w:id="29" w:name="_Toc378267951"/>
    </w:p>
    <w:p w:rsidR="00173827" w:rsidRDefault="00173827" w:rsidP="00977154">
      <w:pPr>
        <w:rPr>
          <w:rStyle w:val="IntenseEmphasis2"/>
          <w:rFonts w:cs="Arial"/>
          <w:b w:val="0"/>
          <w:i w:val="0"/>
          <w:iCs w:val="0"/>
          <w:vanish/>
          <w:spacing w:val="13"/>
          <w:lang w:eastAsia="pt-BR"/>
        </w:rPr>
      </w:pPr>
    </w:p>
    <w:p w:rsidR="00173827" w:rsidRPr="00573DEB" w:rsidRDefault="00173827" w:rsidP="00977154">
      <w:pPr>
        <w:rPr>
          <w:rStyle w:val="IntenseEmphasis2"/>
          <w:rFonts w:cs="Arial"/>
          <w:b w:val="0"/>
          <w:i w:val="0"/>
          <w:iCs w:val="0"/>
          <w:vanish/>
          <w:spacing w:val="13"/>
          <w:lang w:eastAsia="pt-BR"/>
        </w:rPr>
      </w:pPr>
    </w:p>
    <w:p w:rsidR="00B000C0" w:rsidRPr="00573DEB" w:rsidRDefault="000C6B94" w:rsidP="00E61339">
      <w:pPr>
        <w:pStyle w:val="Caption"/>
        <w:rPr>
          <w:rStyle w:val="IntenseEmphasis2"/>
          <w:rFonts w:cs="Arial"/>
          <w:b/>
          <w:bCs/>
          <w:i w:val="0"/>
          <w:iCs w:val="0"/>
        </w:rPr>
      </w:pPr>
      <w:r>
        <w:rPr>
          <w:lang w:eastAsia="pt-BR"/>
        </w:rPr>
        <w:t xml:space="preserve">Figure 4.1:  </w:t>
      </w:r>
      <w:r w:rsidR="00B000C0" w:rsidRPr="00573DEB">
        <w:rPr>
          <w:rStyle w:val="IntenseEmphasis2"/>
          <w:rFonts w:cs="Arial"/>
          <w:b/>
          <w:bCs/>
          <w:i w:val="0"/>
          <w:iCs w:val="0"/>
        </w:rPr>
        <w:t>Patent and Utility model applications, 2000-2011</w:t>
      </w:r>
      <w:bookmarkEnd w:id="28"/>
      <w:bookmarkEnd w:id="29"/>
    </w:p>
    <w:p w:rsidR="00B000C0" w:rsidRPr="00573DEB" w:rsidRDefault="00B000C0" w:rsidP="004B4B73">
      <w:r w:rsidRPr="00573DEB">
        <w:rPr>
          <w:noProof/>
        </w:rPr>
        <w:drawing>
          <wp:inline distT="0" distB="0" distL="0" distR="0" wp14:anchorId="51646355" wp14:editId="1343954A">
            <wp:extent cx="5748655" cy="2465070"/>
            <wp:effectExtent l="0" t="0" r="4445"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8655" cy="2465070"/>
                    </a:xfrm>
                    <a:prstGeom prst="rect">
                      <a:avLst/>
                    </a:prstGeom>
                    <a:noFill/>
                    <a:ln>
                      <a:noFill/>
                    </a:ln>
                  </pic:spPr>
                </pic:pic>
              </a:graphicData>
            </a:graphic>
          </wp:inline>
        </w:drawing>
      </w:r>
    </w:p>
    <w:p w:rsidR="00B000C0" w:rsidRPr="00617175" w:rsidRDefault="00B000C0" w:rsidP="00E61339">
      <w:pPr>
        <w:pStyle w:val="Captionnotes"/>
        <w:rPr>
          <w:i w:val="0"/>
        </w:rPr>
      </w:pPr>
      <w:r w:rsidRPr="00617175">
        <w:rPr>
          <w:i w:val="0"/>
        </w:rPr>
        <w:t>Source: INPI’s Statistical database (BADEPI)</w:t>
      </w:r>
    </w:p>
    <w:p w:rsidR="00B000C0" w:rsidRPr="00573DEB" w:rsidRDefault="00B000C0" w:rsidP="00617175"/>
    <w:p w:rsidR="00977154" w:rsidRPr="00573DEB" w:rsidRDefault="00977154" w:rsidP="00617175"/>
    <w:p w:rsidR="00B000C0" w:rsidRPr="00573DEB" w:rsidRDefault="00B000C0" w:rsidP="00617175">
      <w:r w:rsidRPr="00573DEB">
        <w:t>The 20,773 applications filed in 2000 consisted of 14,319 non-resident and 6,449 resident applications</w:t>
      </w:r>
      <w:r w:rsidR="004B4B73" w:rsidRPr="00573DEB">
        <w:t xml:space="preserve">.  </w:t>
      </w:r>
      <w:r w:rsidRPr="00573DEB">
        <w:t>In 2011, with 31,652 applications filed, the number of non-resident applications grew sharply and reached 23,975 (67%), while resident applications also grew but by a more modest rate (19%), resulting in 7,677 applications</w:t>
      </w:r>
      <w:r w:rsidR="004B4B73" w:rsidRPr="00573DEB">
        <w:t xml:space="preserve">.  </w:t>
      </w:r>
      <w:r w:rsidRPr="00573DEB">
        <w:t>As a consequence, the resident share decreased from 31% to 24% of total applications filed at the Brazilian IP Office.</w:t>
      </w:r>
    </w:p>
    <w:p w:rsidR="00B000C0" w:rsidRPr="00573DEB" w:rsidRDefault="00B000C0" w:rsidP="00617175"/>
    <w:p w:rsidR="00B000C0" w:rsidRPr="00573DEB" w:rsidRDefault="00B000C0" w:rsidP="00617175">
      <w:r w:rsidRPr="00573DEB">
        <w:t>The number of patent applications was stable until 2004, when they started to experience fast yearly growth</w:t>
      </w:r>
      <w:r w:rsidR="004B4B73" w:rsidRPr="00573DEB">
        <w:t xml:space="preserve">.  </w:t>
      </w:r>
      <w:r w:rsidRPr="00573DEB">
        <w:t>Patent applications grew more than 60%, from 17,443 per year in 2000 to 28,547 in 2011</w:t>
      </w:r>
      <w:r w:rsidR="004B4B73" w:rsidRPr="00573DEB">
        <w:t xml:space="preserve">.  </w:t>
      </w:r>
      <w:r w:rsidRPr="00573DEB">
        <w:t xml:space="preserve">It contrasts with the trend for utility model applications in the same period, which registered </w:t>
      </w:r>
      <w:r w:rsidRPr="00573DEB">
        <w:lastRenderedPageBreak/>
        <w:t>a smooth fall of 6% less applications from 2000 to 2011</w:t>
      </w:r>
      <w:r w:rsidR="004B4B73" w:rsidRPr="00573DEB">
        <w:t xml:space="preserve">.  </w:t>
      </w:r>
      <w:r w:rsidRPr="00573DEB">
        <w:t>In 2000, 3,330 utility model applications were filed and, in 2011, approximately 3,100 applications</w:t>
      </w:r>
      <w:r w:rsidR="004B4B73" w:rsidRPr="00573DEB">
        <w:t xml:space="preserve">.  </w:t>
      </w:r>
      <w:r w:rsidRPr="00573DEB">
        <w:t>Consequently, the share of utility model dropped from 16% of total applications to only 10%</w:t>
      </w:r>
      <w:r w:rsidR="004B4B73" w:rsidRPr="00573DEB">
        <w:t xml:space="preserve">.  </w:t>
      </w:r>
      <w:r w:rsidRPr="00573DEB">
        <w:t xml:space="preserve">If we </w:t>
      </w:r>
      <w:r w:rsidR="00E61339" w:rsidRPr="00573DEB">
        <w:t xml:space="preserve">only </w:t>
      </w:r>
      <w:r w:rsidRPr="00573DEB">
        <w:t>take in</w:t>
      </w:r>
      <w:r w:rsidR="00E61339" w:rsidRPr="00573DEB">
        <w:t>to</w:t>
      </w:r>
      <w:r w:rsidRPr="00573DEB">
        <w:t xml:space="preserve"> consideration resident applications, UM </w:t>
      </w:r>
      <w:r w:rsidR="00E61339" w:rsidRPr="00573DEB">
        <w:t xml:space="preserve">filings have </w:t>
      </w:r>
      <w:r w:rsidRPr="00573DEB">
        <w:t xml:space="preserve">dropped from 50% to 39% of </w:t>
      </w:r>
      <w:r w:rsidR="00E61339" w:rsidRPr="00573DEB">
        <w:t xml:space="preserve">total </w:t>
      </w:r>
      <w:r w:rsidRPr="00573DEB">
        <w:t>patent and UM applications</w:t>
      </w:r>
      <w:r w:rsidR="004B4B73" w:rsidRPr="00573DEB">
        <w:t xml:space="preserve">.  </w:t>
      </w:r>
    </w:p>
    <w:p w:rsidR="00B000C0" w:rsidRPr="00573DEB" w:rsidRDefault="00B000C0" w:rsidP="00617175"/>
    <w:p w:rsidR="00B000C0" w:rsidRPr="00573DEB" w:rsidRDefault="00B000C0" w:rsidP="00617175">
      <w:r w:rsidRPr="00573DEB">
        <w:t>The applications through Patent Cooperation Treaty (PCT) have shown to be of great and growing importance to INPI</w:t>
      </w:r>
      <w:r w:rsidR="004B4B73" w:rsidRPr="00573DEB">
        <w:t xml:space="preserve">.  </w:t>
      </w:r>
      <w:r w:rsidRPr="00573DEB">
        <w:t>Between 2000 and 2011 the PCT patent applications more than doubled, from approximately 10,600 to 21,244 applications, while the trend of direct filings (patents and utility models) had a small and not continuous growth over this period</w:t>
      </w:r>
      <w:r w:rsidR="004B4B73" w:rsidRPr="00573DEB">
        <w:t xml:space="preserve">.  </w:t>
      </w:r>
      <w:r w:rsidRPr="00573DEB">
        <w:t>In 2011, PCT applications represented almost 75% of patent applications and 67% of total applications (patents and utility models).</w:t>
      </w:r>
    </w:p>
    <w:p w:rsidR="00B000C0" w:rsidRPr="00573DEB" w:rsidRDefault="00B000C0" w:rsidP="00617175"/>
    <w:p w:rsidR="00B000C0" w:rsidRPr="00573DEB" w:rsidRDefault="00B000C0" w:rsidP="00617175">
      <w:r w:rsidRPr="00573DEB">
        <w:t>It is important to point that the increased use of PCT is combined with a general increase in applications of patents by non-residents, whether PCT or Paris Convention applications, and with the fact that the INPI was indicated as an International Searching Authority (ISA) and International Preliminary Examination Authority (IPEA) under the PCT in September 2007</w:t>
      </w:r>
      <w:r w:rsidR="004B4B73" w:rsidRPr="00573DEB">
        <w:t xml:space="preserve">.  </w:t>
      </w:r>
      <w:r w:rsidRPr="00573DEB">
        <w:t>In August 2009, the Institute began operating as ISA-IPEA</w:t>
      </w:r>
      <w:r w:rsidR="004B4B73" w:rsidRPr="00573DEB">
        <w:t xml:space="preserve">.  </w:t>
      </w:r>
      <w:r w:rsidRPr="00573DEB">
        <w:t>This new condition affected the number of PCT applications for utility models</w:t>
      </w:r>
      <w:r w:rsidR="004B4B73" w:rsidRPr="00573DEB">
        <w:t xml:space="preserve">.  </w:t>
      </w:r>
      <w:r w:rsidRPr="00573DEB">
        <w:t>In 2009, there were 12 such applications</w:t>
      </w:r>
      <w:r w:rsidR="004B4B73" w:rsidRPr="00573DEB">
        <w:t xml:space="preserve">.  </w:t>
      </w:r>
      <w:r w:rsidRPr="00573DEB">
        <w:t>In 2010, these applications numbered 15 and, in 2011, 30 applications</w:t>
      </w:r>
      <w:r w:rsidR="004B4B73" w:rsidRPr="00573DEB">
        <w:t xml:space="preserve">.  </w:t>
      </w:r>
      <w:r w:rsidRPr="00573DEB">
        <w:t>Although in absolute terms they represent a small share of total applications, they experienced a significant growth (100%).</w:t>
      </w:r>
    </w:p>
    <w:p w:rsidR="00B000C0" w:rsidRPr="00573DEB" w:rsidRDefault="00B000C0" w:rsidP="00617175"/>
    <w:p w:rsidR="00B000C0" w:rsidRPr="00573DEB" w:rsidRDefault="00B000C0" w:rsidP="00617175">
      <w:r w:rsidRPr="00573DEB">
        <w:t>When considering countries’ origin for patent and utility model together, the share of Brazilian residents (30%) is superior to U.S</w:t>
      </w:r>
      <w:r w:rsidR="004B4B73" w:rsidRPr="00573DEB">
        <w:t xml:space="preserve">. </w:t>
      </w:r>
      <w:r w:rsidRPr="00573DEB">
        <w:t>residents (27%)</w:t>
      </w:r>
      <w:r w:rsidR="004B4B73" w:rsidRPr="00573DEB">
        <w:t xml:space="preserve">.  </w:t>
      </w:r>
      <w:r w:rsidRPr="00573DEB">
        <w:t>This highlights the significant use of utility model protection by Brazilian residents</w:t>
      </w:r>
      <w:r w:rsidR="004B4B73" w:rsidRPr="00573DEB">
        <w:t xml:space="preserve">.  </w:t>
      </w:r>
    </w:p>
    <w:p w:rsidR="00B000C0" w:rsidRPr="00573DEB" w:rsidRDefault="00B000C0" w:rsidP="004B4B73"/>
    <w:p w:rsidR="00B000C0" w:rsidRPr="00573DEB" w:rsidRDefault="00B000C0" w:rsidP="004B4B73"/>
    <w:p w:rsidR="00B000C0" w:rsidRPr="00573DEB" w:rsidRDefault="000C6B94" w:rsidP="00E61339">
      <w:pPr>
        <w:pStyle w:val="Caption"/>
      </w:pPr>
      <w:bookmarkStart w:id="30" w:name="_Toc377053282"/>
      <w:bookmarkStart w:id="31" w:name="_Toc378267952"/>
      <w:r>
        <w:rPr>
          <w:lang w:eastAsia="pt-BR"/>
        </w:rPr>
        <w:t xml:space="preserve">Figure 4.2:  </w:t>
      </w:r>
      <w:r w:rsidR="00B000C0" w:rsidRPr="00573DEB">
        <w:t>Patent and Utility model applications by country, 2000-201</w:t>
      </w:r>
      <w:bookmarkEnd w:id="30"/>
      <w:r w:rsidR="00B000C0" w:rsidRPr="00573DEB">
        <w:t>1</w:t>
      </w:r>
      <w:bookmarkEnd w:id="31"/>
    </w:p>
    <w:p w:rsidR="00B000C0" w:rsidRPr="00573DEB" w:rsidRDefault="00B000C0" w:rsidP="004B4B73">
      <w:r w:rsidRPr="00573DEB">
        <w:rPr>
          <w:noProof/>
        </w:rPr>
        <w:drawing>
          <wp:inline distT="0" distB="0" distL="0" distR="0" wp14:anchorId="22C2F075" wp14:editId="2B8F714D">
            <wp:extent cx="5741035" cy="2488565"/>
            <wp:effectExtent l="0" t="0" r="0" b="6985"/>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1035" cy="2488565"/>
                    </a:xfrm>
                    <a:prstGeom prst="rect">
                      <a:avLst/>
                    </a:prstGeom>
                    <a:noFill/>
                    <a:ln>
                      <a:noFill/>
                    </a:ln>
                  </pic:spPr>
                </pic:pic>
              </a:graphicData>
            </a:graphic>
          </wp:inline>
        </w:drawing>
      </w:r>
    </w:p>
    <w:p w:rsidR="00B000C0" w:rsidRPr="00617175" w:rsidRDefault="00B000C0" w:rsidP="00E61339">
      <w:pPr>
        <w:pStyle w:val="Captionnotes"/>
        <w:rPr>
          <w:i w:val="0"/>
        </w:rPr>
      </w:pPr>
      <w:r w:rsidRPr="00617175">
        <w:rPr>
          <w:i w:val="0"/>
        </w:rPr>
        <w:t>Source: INPI, BADEPI</w:t>
      </w:r>
    </w:p>
    <w:p w:rsidR="00B000C0" w:rsidRPr="00573DEB" w:rsidRDefault="00B000C0" w:rsidP="004B4B73"/>
    <w:p w:rsidR="00977154" w:rsidRPr="00573DEB" w:rsidRDefault="00977154" w:rsidP="004B4B73"/>
    <w:p w:rsidR="00B000C0" w:rsidRPr="00573DEB" w:rsidRDefault="00B000C0" w:rsidP="004B4B73">
      <w:r w:rsidRPr="00573DEB">
        <w:t>The distribution of patent applications by Brazilian residents according to their state is highly concentrated in São Paulo</w:t>
      </w:r>
      <w:r w:rsidR="004B4B73" w:rsidRPr="00573DEB">
        <w:t xml:space="preserve">.  </w:t>
      </w:r>
      <w:r w:rsidRPr="00573DEB">
        <w:t>In the period 2000-2011, it represented more than 40% of the total</w:t>
      </w:r>
      <w:r w:rsidR="004B4B73" w:rsidRPr="00573DEB">
        <w:t xml:space="preserve">.  </w:t>
      </w:r>
      <w:r w:rsidRPr="00573DEB">
        <w:t xml:space="preserve">Rio Grande </w:t>
      </w:r>
      <w:proofErr w:type="gramStart"/>
      <w:r w:rsidRPr="00573DEB">
        <w:t>do</w:t>
      </w:r>
      <w:proofErr w:type="gramEnd"/>
      <w:r w:rsidRPr="00573DEB">
        <w:t xml:space="preserve"> </w:t>
      </w:r>
      <w:proofErr w:type="spellStart"/>
      <w:r w:rsidRPr="00573DEB">
        <w:t>Sul</w:t>
      </w:r>
      <w:proofErr w:type="spellEnd"/>
      <w:r w:rsidRPr="00573DEB">
        <w:t xml:space="preserve"> (9.5%), Paraná (8.9%) and Minas </w:t>
      </w:r>
      <w:proofErr w:type="spellStart"/>
      <w:r w:rsidRPr="00573DEB">
        <w:t>Gerais</w:t>
      </w:r>
      <w:proofErr w:type="spellEnd"/>
      <w:r w:rsidRPr="00573DEB">
        <w:t xml:space="preserve"> (8.7%) follow</w:t>
      </w:r>
      <w:r w:rsidR="004B4B73" w:rsidRPr="00573DEB">
        <w:t xml:space="preserve">.  </w:t>
      </w:r>
      <w:r w:rsidRPr="00573DEB">
        <w:t>Rio de Janeiro and Santa Catarina have around 8% each.</w:t>
      </w:r>
    </w:p>
    <w:p w:rsidR="00B000C0" w:rsidRPr="00573DEB" w:rsidRDefault="00B000C0" w:rsidP="004B4B73"/>
    <w:p w:rsidR="00B000C0" w:rsidRPr="00573DEB" w:rsidRDefault="00B000C0" w:rsidP="004B4B73"/>
    <w:p w:rsidR="00B000C0" w:rsidRPr="00573DEB" w:rsidRDefault="000C6B94" w:rsidP="00E61339">
      <w:pPr>
        <w:pStyle w:val="Caption"/>
      </w:pPr>
      <w:bookmarkStart w:id="32" w:name="_Toc377053283"/>
      <w:bookmarkStart w:id="33" w:name="_Toc378267953"/>
      <w:r>
        <w:rPr>
          <w:lang w:eastAsia="pt-BR"/>
        </w:rPr>
        <w:lastRenderedPageBreak/>
        <w:t xml:space="preserve">Figure 4.3:  </w:t>
      </w:r>
      <w:r w:rsidR="00B000C0" w:rsidRPr="00573DEB">
        <w:t>Patent and Utility model applications by states (UFs), 2000-201</w:t>
      </w:r>
      <w:bookmarkEnd w:id="32"/>
      <w:r w:rsidR="00B000C0" w:rsidRPr="00573DEB">
        <w:t>1</w:t>
      </w:r>
      <w:bookmarkEnd w:id="33"/>
    </w:p>
    <w:p w:rsidR="00B000C0" w:rsidRPr="00573DEB" w:rsidRDefault="00B000C0" w:rsidP="004B4B73">
      <w:r w:rsidRPr="00573DEB">
        <w:rPr>
          <w:noProof/>
        </w:rPr>
        <w:drawing>
          <wp:inline distT="0" distB="0" distL="0" distR="0" wp14:anchorId="38FA64AD" wp14:editId="78F5022F">
            <wp:extent cx="5741035" cy="246507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0"/>
                    <pic:cNvPicPr>
                      <a:picLocks noChangeArrowheads="1"/>
                    </pic:cNvPicPr>
                  </pic:nvPicPr>
                  <pic:blipFill>
                    <a:blip r:embed="rId28">
                      <a:extLst>
                        <a:ext uri="{28A0092B-C50C-407E-A947-70E740481C1C}">
                          <a14:useLocalDpi xmlns:a14="http://schemas.microsoft.com/office/drawing/2010/main" val="0"/>
                        </a:ext>
                      </a:extLst>
                    </a:blip>
                    <a:srcRect b="-24"/>
                    <a:stretch>
                      <a:fillRect/>
                    </a:stretch>
                  </pic:blipFill>
                  <pic:spPr bwMode="auto">
                    <a:xfrm>
                      <a:off x="0" y="0"/>
                      <a:ext cx="5741035" cy="2465070"/>
                    </a:xfrm>
                    <a:prstGeom prst="rect">
                      <a:avLst/>
                    </a:prstGeom>
                    <a:noFill/>
                    <a:ln>
                      <a:noFill/>
                    </a:ln>
                  </pic:spPr>
                </pic:pic>
              </a:graphicData>
            </a:graphic>
          </wp:inline>
        </w:drawing>
      </w:r>
    </w:p>
    <w:p w:rsidR="00B000C0" w:rsidRPr="00617175" w:rsidRDefault="00B000C0" w:rsidP="00E61339">
      <w:pPr>
        <w:pStyle w:val="Captionnotes"/>
        <w:rPr>
          <w:i w:val="0"/>
        </w:rPr>
      </w:pPr>
      <w:r w:rsidRPr="00617175">
        <w:rPr>
          <w:i w:val="0"/>
        </w:rPr>
        <w:t xml:space="preserve">Source: </w:t>
      </w:r>
      <w:r w:rsidR="00CE7631">
        <w:rPr>
          <w:i w:val="0"/>
        </w:rPr>
        <w:t xml:space="preserve"> </w:t>
      </w:r>
      <w:r w:rsidRPr="00617175">
        <w:rPr>
          <w:i w:val="0"/>
        </w:rPr>
        <w:t>INPI’s Statistical database (BADEPI)</w:t>
      </w:r>
    </w:p>
    <w:p w:rsidR="00B000C0" w:rsidRPr="00573DEB" w:rsidRDefault="00B000C0" w:rsidP="004B4B73"/>
    <w:p w:rsidR="00B000C0" w:rsidRPr="00573DEB" w:rsidRDefault="00B000C0" w:rsidP="004B4B73"/>
    <w:p w:rsidR="00B000C0" w:rsidRPr="00573DEB" w:rsidRDefault="00B000C0" w:rsidP="004B4B73">
      <w:pPr>
        <w:pStyle w:val="Heading2"/>
      </w:pPr>
      <w:bookmarkStart w:id="34" w:name="_Toc388619917"/>
      <w:r w:rsidRPr="00573DEB">
        <w:t>Patent</w:t>
      </w:r>
      <w:r w:rsidR="0050316E" w:rsidRPr="00573DEB">
        <w:t xml:space="preserve"> applications</w:t>
      </w:r>
      <w:bookmarkEnd w:id="34"/>
      <w:r w:rsidRPr="00573DEB">
        <w:t xml:space="preserve"> </w:t>
      </w:r>
    </w:p>
    <w:p w:rsidR="00B000C0" w:rsidRPr="00573DEB" w:rsidRDefault="00B000C0" w:rsidP="004B4B73"/>
    <w:p w:rsidR="00B000C0" w:rsidRPr="00573DEB" w:rsidRDefault="00B000C0" w:rsidP="004B4B73">
      <w:r w:rsidRPr="00573DEB">
        <w:t>Figure 4.4 presents the trend for patents application, by residents and non-residents, using the PCT route or directly filed with INPI</w:t>
      </w:r>
      <w:r w:rsidR="004B4B73" w:rsidRPr="00573DEB">
        <w:t xml:space="preserve">.  </w:t>
      </w:r>
      <w:r w:rsidRPr="00573DEB">
        <w:t>It shows that: (</w:t>
      </w:r>
      <w:proofErr w:type="spellStart"/>
      <w:r w:rsidRPr="00573DEB">
        <w:t>i</w:t>
      </w:r>
      <w:proofErr w:type="spellEnd"/>
      <w:r w:rsidRPr="00573DEB">
        <w:t>) growth in non-resident (using PCT route) applications was the main contributor to total growth, (ii) continuation of the share of non-resident applications by around 80% during the period, and (iii) non-resident applicants represent 99% of all PCT applications</w:t>
      </w:r>
      <w:r w:rsidR="004B4B73" w:rsidRPr="00573DEB">
        <w:t xml:space="preserve">.  </w:t>
      </w:r>
    </w:p>
    <w:p w:rsidR="00B000C0" w:rsidRPr="00573DEB" w:rsidRDefault="00B000C0" w:rsidP="004B4B73"/>
    <w:p w:rsidR="00977154" w:rsidRPr="00573DEB" w:rsidRDefault="00977154" w:rsidP="004B4B73"/>
    <w:p w:rsidR="00B000C0" w:rsidRPr="00573DEB" w:rsidRDefault="000C6B94" w:rsidP="00E61339">
      <w:pPr>
        <w:pStyle w:val="Caption"/>
      </w:pPr>
      <w:bookmarkStart w:id="35" w:name="_Toc377053284"/>
      <w:bookmarkStart w:id="36" w:name="_Toc378267954"/>
      <w:r>
        <w:rPr>
          <w:lang w:eastAsia="pt-BR"/>
        </w:rPr>
        <w:t xml:space="preserve">Figure 4.4:  </w:t>
      </w:r>
      <w:r w:rsidR="00B000C0" w:rsidRPr="00573DEB">
        <w:t>Patents, PCT route or direct filings, by residents and non-residents, 2000-2011</w:t>
      </w:r>
      <w:bookmarkEnd w:id="35"/>
      <w:bookmarkEnd w:id="36"/>
    </w:p>
    <w:p w:rsidR="00B000C0" w:rsidRPr="00573DEB" w:rsidRDefault="00B000C0" w:rsidP="004B4B73">
      <w:r w:rsidRPr="00573DEB">
        <w:rPr>
          <w:noProof/>
        </w:rPr>
        <w:drawing>
          <wp:inline distT="0" distB="0" distL="0" distR="0" wp14:anchorId="6A61ADE6" wp14:editId="40592EE4">
            <wp:extent cx="5715000" cy="2372360"/>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2372360"/>
                    </a:xfrm>
                    <a:prstGeom prst="rect">
                      <a:avLst/>
                    </a:prstGeom>
                    <a:noFill/>
                  </pic:spPr>
                </pic:pic>
              </a:graphicData>
            </a:graphic>
          </wp:inline>
        </w:drawing>
      </w:r>
    </w:p>
    <w:p w:rsidR="00B000C0" w:rsidRPr="00617175" w:rsidRDefault="00B000C0" w:rsidP="00E61339">
      <w:pPr>
        <w:pStyle w:val="Captionnotes"/>
        <w:rPr>
          <w:i w:val="0"/>
        </w:rPr>
      </w:pPr>
      <w:r w:rsidRPr="00617175">
        <w:rPr>
          <w:i w:val="0"/>
        </w:rPr>
        <w:t>Source: INPI’s statistical database (BADEPI)</w:t>
      </w:r>
    </w:p>
    <w:p w:rsidR="00B000C0" w:rsidRPr="00573DEB" w:rsidRDefault="00B000C0" w:rsidP="00617175"/>
    <w:p w:rsidR="00B000C0" w:rsidRPr="00573DEB" w:rsidRDefault="00B000C0" w:rsidP="00617175">
      <w:r w:rsidRPr="00573DEB">
        <w:t>PCT applications from non-resident were at a relatively low level until 2004, when it started growing consistently until 2011 (except in 2009)</w:t>
      </w:r>
      <w:r w:rsidR="004B4B73" w:rsidRPr="00573DEB">
        <w:t xml:space="preserve">.  </w:t>
      </w:r>
      <w:r w:rsidRPr="00573DEB">
        <w:t>On the other hand, the number of non-resident applications filed directly with INPI followed a downward trend, falling almost 30% from 2000 to 2011.</w:t>
      </w:r>
    </w:p>
    <w:p w:rsidR="00B000C0" w:rsidRPr="00573DEB" w:rsidRDefault="00B000C0" w:rsidP="00617175"/>
    <w:p w:rsidR="00B000C0" w:rsidRPr="00573DEB" w:rsidRDefault="00B000C0" w:rsidP="00617175">
      <w:r w:rsidRPr="00573DEB">
        <w:t>Resident patent applications (99% filed directly with INPI)</w:t>
      </w:r>
      <w:proofErr w:type="gramStart"/>
      <w:r w:rsidRPr="00573DEB">
        <w:t>,</w:t>
      </w:r>
      <w:proofErr w:type="gramEnd"/>
      <w:r w:rsidRPr="00573DEB">
        <w:t xml:space="preserve"> have grown over 40%, from 3,181 per year in 2000 to 4,627 in 2011</w:t>
      </w:r>
      <w:r w:rsidR="004B4B73" w:rsidRPr="00573DEB">
        <w:t xml:space="preserve">.  </w:t>
      </w:r>
      <w:r w:rsidRPr="00573DEB">
        <w:t>It should be noted that since 2009, when INPI started to operate as ISA-IPEA, PCT applications from residents also increased, from 29 applications in 2008, to more than 60 applications per year in the period 2009-2011.</w:t>
      </w:r>
    </w:p>
    <w:p w:rsidR="00E61339" w:rsidRPr="00573DEB" w:rsidRDefault="00E61339" w:rsidP="004B4B73"/>
    <w:p w:rsidR="00B000C0" w:rsidRPr="00573DEB" w:rsidRDefault="0050316E" w:rsidP="0050316E">
      <w:pPr>
        <w:pStyle w:val="Heading2"/>
      </w:pPr>
      <w:bookmarkStart w:id="37" w:name="_Toc366751035"/>
      <w:bookmarkStart w:id="38" w:name="_Toc373369829"/>
      <w:bookmarkStart w:id="39" w:name="_Toc388619918"/>
      <w:r w:rsidRPr="00573DEB">
        <w:t>Patents a</w:t>
      </w:r>
      <w:r w:rsidR="0092578F" w:rsidRPr="00573DEB">
        <w:t>pplications</w:t>
      </w:r>
      <w:r w:rsidR="00E61339" w:rsidRPr="00573DEB">
        <w:t xml:space="preserve"> b</w:t>
      </w:r>
      <w:r w:rsidR="00B000C0" w:rsidRPr="00573DEB">
        <w:t>y origin</w:t>
      </w:r>
      <w:bookmarkEnd w:id="37"/>
      <w:bookmarkEnd w:id="38"/>
      <w:bookmarkEnd w:id="39"/>
    </w:p>
    <w:p w:rsidR="00B000C0" w:rsidRPr="00573DEB" w:rsidRDefault="00B000C0" w:rsidP="004B4B73"/>
    <w:p w:rsidR="00B000C0" w:rsidRPr="00573DEB" w:rsidRDefault="00E61339" w:rsidP="00617175">
      <w:r w:rsidRPr="00573DEB">
        <w:t xml:space="preserve">As in WIPO statistical reporting, we use </w:t>
      </w:r>
      <w:r w:rsidR="00B000C0" w:rsidRPr="00573DEB">
        <w:t xml:space="preserve">the residence of the first-named applicant </w:t>
      </w:r>
      <w:r w:rsidRPr="00573DEB">
        <w:t xml:space="preserve">to determine the country of origin, which </w:t>
      </w:r>
      <w:r w:rsidR="00B000C0" w:rsidRPr="00573DEB">
        <w:t>facilitates international comparisons</w:t>
      </w:r>
      <w:r w:rsidRPr="00573DEB">
        <w:t>.</w:t>
      </w:r>
      <w:r w:rsidR="00B000C0" w:rsidRPr="00573DEB">
        <w:rPr>
          <w:vertAlign w:val="superscript"/>
        </w:rPr>
        <w:footnoteReference w:id="21"/>
      </w:r>
      <w:r w:rsidR="004B4B73" w:rsidRPr="00573DEB">
        <w:t xml:space="preserve">  </w:t>
      </w:r>
      <w:r w:rsidR="00B000C0" w:rsidRPr="00573DEB">
        <w:t xml:space="preserve">This is </w:t>
      </w:r>
      <w:r w:rsidR="000B0092" w:rsidRPr="00573DEB">
        <w:t xml:space="preserve">also </w:t>
      </w:r>
      <w:r w:rsidR="00B000C0" w:rsidRPr="00573DEB">
        <w:t>justified due to the fact that 98% of all patents filed in Brazil were by applicants from the same country of origin</w:t>
      </w:r>
      <w:r w:rsidR="004B4B73" w:rsidRPr="00573DEB">
        <w:t xml:space="preserve">.  </w:t>
      </w:r>
      <w:r w:rsidR="00B000C0" w:rsidRPr="00573DEB">
        <w:t xml:space="preserve">This means that only 2% of total patent applications were filed jointly by applicants from different countries, and, among them, only a very small number of patents were </w:t>
      </w:r>
      <w:r w:rsidR="000B0092" w:rsidRPr="00573DEB">
        <w:t xml:space="preserve">filed jointly </w:t>
      </w:r>
      <w:r w:rsidR="00B000C0" w:rsidRPr="00573DEB">
        <w:t>by residents and non-residents.</w:t>
      </w:r>
    </w:p>
    <w:p w:rsidR="00B000C0" w:rsidRPr="00573DEB" w:rsidRDefault="00B000C0" w:rsidP="00617175"/>
    <w:p w:rsidR="00B000C0" w:rsidRPr="00573DEB" w:rsidRDefault="00B000C0" w:rsidP="00617175">
      <w:r w:rsidRPr="00573DEB">
        <w:t>Figure 4.5 shows that few countries were responsible for most of the applications</w:t>
      </w:r>
      <w:r w:rsidR="004B4B73" w:rsidRPr="00573DEB">
        <w:t xml:space="preserve">.  </w:t>
      </w:r>
      <w:r w:rsidRPr="00573DEB">
        <w:t>The United States represented around 30% of the patents in 2011, followed by Brazil and Germany, with 16.4% and 10%, respectively</w:t>
      </w:r>
      <w:r w:rsidR="004B4B73" w:rsidRPr="00573DEB">
        <w:t xml:space="preserve">.  </w:t>
      </w:r>
      <w:r w:rsidRPr="00573DEB">
        <w:t xml:space="preserve">At a level below </w:t>
      </w:r>
      <w:proofErr w:type="gramStart"/>
      <w:r w:rsidRPr="00573DEB">
        <w:t>are</w:t>
      </w:r>
      <w:proofErr w:type="gramEnd"/>
      <w:r w:rsidRPr="00573DEB">
        <w:t xml:space="preserve"> Japan, with 9%, France (6%), Switzerland (4.4%) and Netherlands (4%).</w:t>
      </w:r>
    </w:p>
    <w:p w:rsidR="00B000C0" w:rsidRPr="00573DEB" w:rsidRDefault="00B000C0" w:rsidP="004B4B73"/>
    <w:p w:rsidR="00B000C0" w:rsidRPr="00573DEB" w:rsidRDefault="00B000C0" w:rsidP="004B4B73"/>
    <w:p w:rsidR="00B000C0" w:rsidRPr="00573DEB" w:rsidRDefault="000C6B94" w:rsidP="0092578F">
      <w:pPr>
        <w:pStyle w:val="Caption"/>
      </w:pPr>
      <w:bookmarkStart w:id="40" w:name="_Toc377053285"/>
      <w:bookmarkStart w:id="41" w:name="_Toc378267955"/>
      <w:r>
        <w:rPr>
          <w:lang w:eastAsia="pt-BR"/>
        </w:rPr>
        <w:t xml:space="preserve">Figure 4.5:  </w:t>
      </w:r>
      <w:r w:rsidR="00B000C0" w:rsidRPr="00573DEB">
        <w:t>Patents by country of origin, 2000/2011</w:t>
      </w:r>
      <w:bookmarkEnd w:id="40"/>
      <w:bookmarkEnd w:id="41"/>
    </w:p>
    <w:p w:rsidR="00B000C0" w:rsidRPr="00573DEB" w:rsidRDefault="00B000C0" w:rsidP="004B4B73">
      <w:r w:rsidRPr="00573DEB">
        <w:rPr>
          <w:noProof/>
        </w:rPr>
        <w:drawing>
          <wp:inline distT="0" distB="0" distL="0" distR="0" wp14:anchorId="3868AE9B" wp14:editId="22FF389E">
            <wp:extent cx="5716905" cy="320421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6905" cy="3204210"/>
                    </a:xfrm>
                    <a:prstGeom prst="rect">
                      <a:avLst/>
                    </a:prstGeom>
                    <a:noFill/>
                    <a:ln>
                      <a:noFill/>
                    </a:ln>
                  </pic:spPr>
                </pic:pic>
              </a:graphicData>
            </a:graphic>
          </wp:inline>
        </w:drawing>
      </w:r>
    </w:p>
    <w:p w:rsidR="00B000C0" w:rsidRPr="00617175" w:rsidRDefault="00B000C0" w:rsidP="0092578F">
      <w:pPr>
        <w:pStyle w:val="Captionnotes"/>
        <w:rPr>
          <w:i w:val="0"/>
        </w:rPr>
      </w:pPr>
      <w:r w:rsidRPr="00617175">
        <w:rPr>
          <w:i w:val="0"/>
        </w:rPr>
        <w:t>Source:</w:t>
      </w:r>
      <w:r w:rsidR="00617175" w:rsidRPr="00617175">
        <w:rPr>
          <w:i w:val="0"/>
        </w:rPr>
        <w:t xml:space="preserve"> </w:t>
      </w:r>
      <w:r w:rsidRPr="00617175">
        <w:rPr>
          <w:i w:val="0"/>
        </w:rPr>
        <w:t xml:space="preserve"> INPI’s statistical database (BADEPI)</w:t>
      </w:r>
    </w:p>
    <w:p w:rsidR="00B000C0" w:rsidRPr="00573DEB" w:rsidRDefault="00B000C0" w:rsidP="00F65AD8"/>
    <w:p w:rsidR="00977154" w:rsidRPr="00573DEB" w:rsidRDefault="00977154" w:rsidP="00F65AD8"/>
    <w:p w:rsidR="00B000C0" w:rsidRPr="00573DEB" w:rsidRDefault="00B000C0" w:rsidP="00F65AD8">
      <w:r w:rsidRPr="00573DEB">
        <w:t>The evolution of the main countries of origin of patent applications is shown by the growth bubbles between 2000</w:t>
      </w:r>
      <w:r w:rsidR="0092578F" w:rsidRPr="00573DEB">
        <w:t xml:space="preserve"> and </w:t>
      </w:r>
      <w:r w:rsidRPr="00573DEB">
        <w:t>2011</w:t>
      </w:r>
      <w:r w:rsidR="004B4B73" w:rsidRPr="00573DEB">
        <w:t xml:space="preserve">.  </w:t>
      </w:r>
      <w:r w:rsidRPr="00573DEB">
        <w:t>Applications from the USA grew by 31%: it had around 6,200 applications in 2000 and more than 8,200 in 2011</w:t>
      </w:r>
      <w:r w:rsidR="004B4B73" w:rsidRPr="00573DEB">
        <w:t xml:space="preserve">.  </w:t>
      </w:r>
      <w:r w:rsidRPr="00573DEB">
        <w:t xml:space="preserve">Brazil had a higher growth rate of 46% </w:t>
      </w:r>
      <w:r w:rsidR="0092578F" w:rsidRPr="00573DEB">
        <w:t xml:space="preserve">– </w:t>
      </w:r>
      <w:r w:rsidRPr="00573DEB">
        <w:t xml:space="preserve">from 3,200 to 4,700 applications </w:t>
      </w:r>
      <w:r w:rsidR="0092578F" w:rsidRPr="00573DEB">
        <w:t xml:space="preserve">– </w:t>
      </w:r>
      <w:r w:rsidRPr="00573DEB">
        <w:t xml:space="preserve">while Germany grew by 36% </w:t>
      </w:r>
      <w:r w:rsidR="0092578F" w:rsidRPr="00573DEB">
        <w:t>–</w:t>
      </w:r>
      <w:r w:rsidRPr="00573DEB">
        <w:t xml:space="preserve"> from 2,000 to 2,800 applications.</w:t>
      </w:r>
    </w:p>
    <w:p w:rsidR="00B000C0" w:rsidRPr="00573DEB" w:rsidRDefault="00B000C0" w:rsidP="00F65AD8"/>
    <w:p w:rsidR="00B000C0" w:rsidRPr="00573DEB" w:rsidRDefault="00B000C0" w:rsidP="00F65AD8">
      <w:r w:rsidRPr="00573DEB">
        <w:t>In relation to countries that showed significant growth in the period, Japan jumped from 700 applications in 2000 to 2,600 in 2011, surpassing France</w:t>
      </w:r>
      <w:r w:rsidR="004B4B73" w:rsidRPr="00573DEB">
        <w:t xml:space="preserve">.  </w:t>
      </w:r>
      <w:r w:rsidRPr="00573DEB">
        <w:t>China also experienced strong growth, although from a much lower level</w:t>
      </w:r>
      <w:r w:rsidR="004B4B73" w:rsidRPr="00573DEB">
        <w:t xml:space="preserve">.  </w:t>
      </w:r>
      <w:r w:rsidRPr="00573DEB">
        <w:t>In 2000, it had filed 25 applications, while in 2011 it rose to almost 550, surpassing countries such as Sweden, Canada, Korea and Spain, that respectively filed 513, 438, 285 and 261 applications in that same year.</w:t>
      </w:r>
    </w:p>
    <w:p w:rsidR="0092578F" w:rsidRPr="00573DEB" w:rsidRDefault="0092578F" w:rsidP="004B4B73"/>
    <w:p w:rsidR="00B000C0" w:rsidRPr="00573DEB" w:rsidRDefault="0050316E" w:rsidP="00CE7631">
      <w:pPr>
        <w:pStyle w:val="Heading2"/>
      </w:pPr>
      <w:bookmarkStart w:id="42" w:name="_Toc388619919"/>
      <w:r w:rsidRPr="00573DEB">
        <w:lastRenderedPageBreak/>
        <w:t>Patents a</w:t>
      </w:r>
      <w:r w:rsidR="00B000C0" w:rsidRPr="00573DEB">
        <w:t>pplications by technological fields</w:t>
      </w:r>
      <w:bookmarkEnd w:id="42"/>
    </w:p>
    <w:p w:rsidR="00B000C0" w:rsidRPr="00573DEB" w:rsidRDefault="00B000C0" w:rsidP="00CE7631">
      <w:pPr>
        <w:keepNext/>
      </w:pPr>
    </w:p>
    <w:p w:rsidR="00B000C0" w:rsidRPr="00573DEB" w:rsidRDefault="00B000C0" w:rsidP="00CE7631">
      <w:pPr>
        <w:keepNext/>
      </w:pPr>
      <w:r w:rsidRPr="00573DEB">
        <w:t>Figure 4.6 provides an overview of patent applications, from residents and non-residents, by technological sectors</w:t>
      </w:r>
      <w:r w:rsidRPr="00573DEB">
        <w:rPr>
          <w:vertAlign w:val="superscript"/>
        </w:rPr>
        <w:footnoteReference w:id="22"/>
      </w:r>
      <w:r w:rsidR="004B4B73" w:rsidRPr="00573DEB">
        <w:t xml:space="preserve">.  </w:t>
      </w:r>
      <w:r w:rsidRPr="00573DEB">
        <w:t>It is interesting to note that the distribution didn’t experience relevant changes in the period of 2000-2011</w:t>
      </w:r>
      <w:r w:rsidR="004B4B73" w:rsidRPr="00573DEB">
        <w:t xml:space="preserve">.  </w:t>
      </w:r>
      <w:r w:rsidRPr="00573DEB">
        <w:t xml:space="preserve">The chemistry sector accounted for the highest share in total applications </w:t>
      </w:r>
      <w:r w:rsidR="00334CC6" w:rsidRPr="00573DEB">
        <w:t>(</w:t>
      </w:r>
      <w:r w:rsidRPr="00573DEB">
        <w:t>over 40%)</w:t>
      </w:r>
      <w:r w:rsidR="004B4B73" w:rsidRPr="00573DEB">
        <w:t xml:space="preserve">.  </w:t>
      </w:r>
      <w:r w:rsidRPr="00573DEB">
        <w:t xml:space="preserve">It was followed by mechanical engineering, which accounted for more than 20% of total applications, electrical engineering </w:t>
      </w:r>
      <w:r w:rsidR="00334CC6" w:rsidRPr="00573DEB">
        <w:t>(</w:t>
      </w:r>
      <w:r w:rsidRPr="00573DEB">
        <w:t xml:space="preserve">14%), instruments </w:t>
      </w:r>
      <w:r w:rsidR="00334CC6" w:rsidRPr="00573DEB">
        <w:t>(</w:t>
      </w:r>
      <w:r w:rsidRPr="00573DEB">
        <w:t xml:space="preserve">11%) and other fields </w:t>
      </w:r>
      <w:r w:rsidR="00334CC6" w:rsidRPr="00573DEB">
        <w:t>(</w:t>
      </w:r>
      <w:r w:rsidRPr="00573DEB">
        <w:t>7%)</w:t>
      </w:r>
      <w:r w:rsidR="004B4B73" w:rsidRPr="00573DEB">
        <w:t xml:space="preserve">.  </w:t>
      </w:r>
      <w:r w:rsidRPr="00573DEB">
        <w:t>This distribution is largely determined by technological fields with a major participation of non-residents, as they were responsible for 80% of applications.</w:t>
      </w:r>
    </w:p>
    <w:p w:rsidR="00B000C0" w:rsidRPr="00573DEB" w:rsidRDefault="00B000C0" w:rsidP="004B4B73"/>
    <w:p w:rsidR="00B000C0" w:rsidRPr="00573DEB" w:rsidRDefault="00B000C0" w:rsidP="004B4B73"/>
    <w:p w:rsidR="00B000C0" w:rsidRPr="00573DEB" w:rsidRDefault="000C6B94" w:rsidP="0092578F">
      <w:pPr>
        <w:pStyle w:val="Caption"/>
      </w:pPr>
      <w:bookmarkStart w:id="43" w:name="_Toc377053286"/>
      <w:bookmarkStart w:id="44" w:name="_Toc378267956"/>
      <w:r>
        <w:rPr>
          <w:lang w:eastAsia="pt-BR"/>
        </w:rPr>
        <w:t xml:space="preserve">Figure 4.6:  </w:t>
      </w:r>
      <w:r w:rsidR="00B000C0" w:rsidRPr="00573DEB">
        <w:t>Patents by technological sectors, 2000-2011</w:t>
      </w:r>
      <w:bookmarkEnd w:id="43"/>
      <w:bookmarkEnd w:id="44"/>
    </w:p>
    <w:p w:rsidR="00B000C0" w:rsidRPr="00573DEB" w:rsidRDefault="00B000C0" w:rsidP="004B4B73">
      <w:r w:rsidRPr="00573DEB">
        <w:rPr>
          <w:noProof/>
        </w:rPr>
        <w:drawing>
          <wp:inline distT="0" distB="0" distL="0" distR="0" wp14:anchorId="342BC3BD" wp14:editId="0E01084C">
            <wp:extent cx="5709285" cy="2313940"/>
            <wp:effectExtent l="0" t="0" r="5715"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9"/>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9285" cy="2313940"/>
                    </a:xfrm>
                    <a:prstGeom prst="rect">
                      <a:avLst/>
                    </a:prstGeom>
                    <a:noFill/>
                    <a:ln>
                      <a:noFill/>
                    </a:ln>
                  </pic:spPr>
                </pic:pic>
              </a:graphicData>
            </a:graphic>
          </wp:inline>
        </w:drawing>
      </w:r>
    </w:p>
    <w:p w:rsidR="00B000C0" w:rsidRPr="00F65AD8" w:rsidRDefault="00B000C0" w:rsidP="0092578F">
      <w:pPr>
        <w:pStyle w:val="Captionnotes"/>
        <w:rPr>
          <w:i w:val="0"/>
        </w:rPr>
      </w:pPr>
      <w:r w:rsidRPr="00F65AD8">
        <w:rPr>
          <w:i w:val="0"/>
        </w:rPr>
        <w:t xml:space="preserve">Source: </w:t>
      </w:r>
      <w:r w:rsidR="00F65AD8">
        <w:rPr>
          <w:i w:val="0"/>
        </w:rPr>
        <w:t xml:space="preserve"> </w:t>
      </w:r>
      <w:r w:rsidRPr="00F65AD8">
        <w:rPr>
          <w:i w:val="0"/>
        </w:rPr>
        <w:t>INPI’s Statistical database (BADEPI)</w:t>
      </w:r>
    </w:p>
    <w:p w:rsidR="00B000C0" w:rsidRPr="00573DEB" w:rsidRDefault="00B000C0" w:rsidP="00F65AD8"/>
    <w:p w:rsidR="00977154" w:rsidRPr="00573DEB" w:rsidRDefault="00977154" w:rsidP="00F65AD8"/>
    <w:p w:rsidR="00B000C0" w:rsidRPr="00573DEB" w:rsidRDefault="00B000C0" w:rsidP="00F65AD8">
      <w:r w:rsidRPr="00573DEB">
        <w:t xml:space="preserve">As the distribution didn’t experience relevant changes over the period 2000-2011, Figure 4.7 shows how the technological fields differ according to the origin of </w:t>
      </w:r>
      <w:r w:rsidR="009A0235" w:rsidRPr="00573DEB">
        <w:t>applicants.</w:t>
      </w:r>
      <w:r w:rsidR="004B4B73" w:rsidRPr="00573DEB">
        <w:t xml:space="preserve">  </w:t>
      </w:r>
      <w:r w:rsidRPr="00573DEB">
        <w:t>It indicates the contrast between the internal technological capabilities and the areas under protection by non-residents applications</w:t>
      </w:r>
      <w:r w:rsidR="004B4B73" w:rsidRPr="00573DEB">
        <w:t xml:space="preserve">.  </w:t>
      </w:r>
      <w:r w:rsidRPr="00573DEB">
        <w:t>Comparing the distribution of applications from residents and non-residents, chemistry appears as the largest sector in both cases, but it accounts for a smaller share for the residents as compared to non-residents (around 30% against 43%, respectively)</w:t>
      </w:r>
      <w:r w:rsidR="004B4B73" w:rsidRPr="00573DEB">
        <w:t xml:space="preserve">.  </w:t>
      </w:r>
      <w:r w:rsidRPr="00573DEB">
        <w:t xml:space="preserve">The mechanical engineering sector and “other fields” account for bigger shares (around 28% and 15%) for residents than non-residents </w:t>
      </w:r>
      <w:r w:rsidR="00334CC6" w:rsidRPr="00573DEB">
        <w:t>(</w:t>
      </w:r>
      <w:r w:rsidRPr="00573DEB">
        <w:t>21% and 6% respectively)</w:t>
      </w:r>
      <w:r w:rsidR="004B4B73" w:rsidRPr="00573DEB">
        <w:t xml:space="preserve">.  </w:t>
      </w:r>
    </w:p>
    <w:p w:rsidR="00B000C0" w:rsidRPr="00573DEB" w:rsidRDefault="00B000C0" w:rsidP="00F65AD8"/>
    <w:p w:rsidR="00F86B70" w:rsidRPr="00573DEB" w:rsidRDefault="00F86B70" w:rsidP="00F65AD8">
      <w:r w:rsidRPr="00573DEB">
        <w:t>In the analysis of the top-10 sectors of patent applications, non-resident applications clearly concentrate in the chemistry sector: pharmaceuticals (9%), organic fine chemistry (7%), basic materials chemistry (6%), medical technology (5%) and biotechnology (5%).  Resident applications, on the other hand, are concentrated in other sectors, such as: civil engineering (7%), other special machines (7%), medical technology (5%), transport (5%) and basic materials chemistry (5%).  It is interesting to note that sectors associated with the most dynamic technologies (Information and Communication Technologies - ICT) are relevant to both residents and non-residents.</w:t>
      </w:r>
    </w:p>
    <w:p w:rsidR="0092578F" w:rsidRDefault="0092578F" w:rsidP="00F65AD8"/>
    <w:p w:rsidR="009A0235" w:rsidRPr="00573DEB" w:rsidRDefault="009A0235" w:rsidP="004B4B73"/>
    <w:p w:rsidR="00CE7631" w:rsidRDefault="00CE7631" w:rsidP="0092578F">
      <w:pPr>
        <w:pStyle w:val="Caption"/>
        <w:rPr>
          <w:lang w:eastAsia="pt-BR"/>
        </w:rPr>
      </w:pPr>
      <w:bookmarkStart w:id="45" w:name="_Toc377053287"/>
      <w:bookmarkStart w:id="46" w:name="_Toc378267957"/>
    </w:p>
    <w:p w:rsidR="00B000C0" w:rsidRPr="00573DEB" w:rsidRDefault="000C6B94" w:rsidP="0092578F">
      <w:pPr>
        <w:pStyle w:val="Caption"/>
      </w:pPr>
      <w:r>
        <w:rPr>
          <w:lang w:eastAsia="pt-BR"/>
        </w:rPr>
        <w:t xml:space="preserve">Figure 4.7:  </w:t>
      </w:r>
      <w:r w:rsidR="00B000C0" w:rsidRPr="00573DEB">
        <w:t>Patents by technological sectors and applicant origin, 2011</w:t>
      </w:r>
      <w:bookmarkEnd w:id="45"/>
      <w:bookmarkEnd w:id="46"/>
    </w:p>
    <w:p w:rsidR="00B000C0" w:rsidRPr="00573DEB" w:rsidRDefault="00B000C0" w:rsidP="004B4B73">
      <w:r w:rsidRPr="00573DEB">
        <w:rPr>
          <w:noProof/>
        </w:rPr>
        <w:drawing>
          <wp:inline distT="0" distB="0" distL="0" distR="0" wp14:anchorId="58A80EE5" wp14:editId="42504560">
            <wp:extent cx="5748655" cy="2576195"/>
            <wp:effectExtent l="0" t="0" r="4445"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8655" cy="2576195"/>
                    </a:xfrm>
                    <a:prstGeom prst="rect">
                      <a:avLst/>
                    </a:prstGeom>
                    <a:noFill/>
                    <a:ln>
                      <a:noFill/>
                    </a:ln>
                  </pic:spPr>
                </pic:pic>
              </a:graphicData>
            </a:graphic>
          </wp:inline>
        </w:drawing>
      </w:r>
    </w:p>
    <w:p w:rsidR="00B000C0" w:rsidRPr="00F65AD8" w:rsidRDefault="00B000C0" w:rsidP="0092578F">
      <w:pPr>
        <w:pStyle w:val="Captionnotes"/>
        <w:rPr>
          <w:i w:val="0"/>
        </w:rPr>
      </w:pPr>
      <w:r w:rsidRPr="00F65AD8">
        <w:rPr>
          <w:i w:val="0"/>
        </w:rPr>
        <w:t>Source:</w:t>
      </w:r>
      <w:r w:rsidR="00F65AD8">
        <w:rPr>
          <w:i w:val="0"/>
        </w:rPr>
        <w:t xml:space="preserve"> </w:t>
      </w:r>
      <w:r w:rsidRPr="00F65AD8">
        <w:rPr>
          <w:i w:val="0"/>
        </w:rPr>
        <w:t xml:space="preserve"> INPI’s Statistical database (BADEPI)</w:t>
      </w:r>
    </w:p>
    <w:p w:rsidR="00B000C0" w:rsidRPr="00573DEB" w:rsidRDefault="00B000C0" w:rsidP="00F65AD8"/>
    <w:p w:rsidR="00977154" w:rsidRPr="00573DEB" w:rsidRDefault="00977154" w:rsidP="00F65AD8"/>
    <w:p w:rsidR="00B000C0" w:rsidRPr="00573DEB" w:rsidRDefault="00B000C0" w:rsidP="00F65AD8">
      <w:r w:rsidRPr="00573DEB">
        <w:t>Table 4.1 shows patent applications classified by the top 10 non-resident applicants, while Table 4.2 shows patent applications classified by the top 10 resident applicants</w:t>
      </w:r>
      <w:r w:rsidR="004B4B73" w:rsidRPr="00573DEB">
        <w:t xml:space="preserve">.  </w:t>
      </w:r>
      <w:r w:rsidRPr="00573DEB">
        <w:t>In the case of non-resident applicants, the top 10 applicants accounted for 8.5% of all patent applications from non-residents during the period of 2000 to 2011, suggesting a relatively low concentration of applicants</w:t>
      </w:r>
      <w:r w:rsidR="004B4B73" w:rsidRPr="00573DEB">
        <w:t xml:space="preserve">.  </w:t>
      </w:r>
      <w:r w:rsidRPr="00573DEB">
        <w:t>If resident applications are also included, the top 10 non-resident applicants account for only 6.7% of all patent applications</w:t>
      </w:r>
      <w:r w:rsidR="004B4B73" w:rsidRPr="00573DEB">
        <w:t xml:space="preserve">.  </w:t>
      </w:r>
      <w:r w:rsidRPr="00573DEB">
        <w:t>Among non-resident applicants, other relevant companies are from the sectors pf consumer goods, information and communications technology (ICT), chemicals and pharmaceuticals, most of which are multinationals with subsidiaries in Brazil.</w:t>
      </w:r>
    </w:p>
    <w:p w:rsidR="0092578F" w:rsidRPr="00573DEB" w:rsidRDefault="0092578F" w:rsidP="0092578F">
      <w:bookmarkStart w:id="47" w:name="_Toc377374689"/>
    </w:p>
    <w:p w:rsidR="00B000C0" w:rsidRPr="00573DEB" w:rsidRDefault="00B000C0" w:rsidP="0092578F"/>
    <w:p w:rsidR="00B000C0" w:rsidRPr="00573DEB" w:rsidRDefault="000C6B94" w:rsidP="0092578F">
      <w:pPr>
        <w:pStyle w:val="Caption"/>
      </w:pPr>
      <w:bookmarkStart w:id="48" w:name="_Toc378267993"/>
      <w:r>
        <w:t xml:space="preserve">Table 4.1:  </w:t>
      </w:r>
      <w:r w:rsidR="00B000C0" w:rsidRPr="00573DEB">
        <w:t>Top 10 non-resident applicants - Patents, 2000-2011</w:t>
      </w:r>
      <w:bookmarkEnd w:id="47"/>
      <w:bookmarkEnd w:id="48"/>
    </w:p>
    <w:tbl>
      <w:tblPr>
        <w:tblW w:w="9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8"/>
        <w:gridCol w:w="3496"/>
        <w:gridCol w:w="2876"/>
        <w:gridCol w:w="1289"/>
        <w:gridCol w:w="928"/>
      </w:tblGrid>
      <w:tr w:rsidR="00B000C0" w:rsidRPr="00573DEB" w:rsidTr="00977154">
        <w:trPr>
          <w:trHeight w:val="510"/>
        </w:trPr>
        <w:tc>
          <w:tcPr>
            <w:tcW w:w="738" w:type="dxa"/>
            <w:tcBorders>
              <w:top w:val="single" w:sz="4" w:space="0" w:color="auto"/>
              <w:left w:val="single" w:sz="4" w:space="0" w:color="auto"/>
              <w:bottom w:val="single" w:sz="4" w:space="0" w:color="auto"/>
              <w:right w:val="single" w:sz="4" w:space="0" w:color="auto"/>
            </w:tcBorders>
            <w:shd w:val="clear" w:color="000000" w:fill="00B050"/>
            <w:vAlign w:val="center"/>
          </w:tcPr>
          <w:p w:rsidR="00B000C0" w:rsidRPr="00573DEB" w:rsidRDefault="00B000C0" w:rsidP="00977154">
            <w:pPr>
              <w:jc w:val="center"/>
              <w:rPr>
                <w:rFonts w:ascii="Arial Narrow" w:hAnsi="Arial Narrow"/>
              </w:rPr>
            </w:pPr>
            <w:r w:rsidRPr="00573DEB">
              <w:rPr>
                <w:rFonts w:ascii="Arial Narrow" w:hAnsi="Arial Narrow"/>
              </w:rPr>
              <w:t>Rank</w:t>
            </w:r>
          </w:p>
        </w:tc>
        <w:tc>
          <w:tcPr>
            <w:tcW w:w="3496" w:type="dxa"/>
            <w:tcBorders>
              <w:top w:val="single" w:sz="4" w:space="0" w:color="auto"/>
              <w:left w:val="single" w:sz="4" w:space="0" w:color="auto"/>
              <w:bottom w:val="single" w:sz="4" w:space="0" w:color="auto"/>
              <w:right w:val="single" w:sz="4" w:space="0" w:color="auto"/>
            </w:tcBorders>
            <w:shd w:val="clear" w:color="000000" w:fill="00B050"/>
            <w:vAlign w:val="center"/>
          </w:tcPr>
          <w:p w:rsidR="00B000C0" w:rsidRPr="00573DEB" w:rsidRDefault="00B000C0" w:rsidP="00977154">
            <w:pPr>
              <w:jc w:val="center"/>
              <w:rPr>
                <w:rFonts w:ascii="Arial Narrow" w:hAnsi="Arial Narrow"/>
              </w:rPr>
            </w:pPr>
            <w:r w:rsidRPr="00573DEB">
              <w:rPr>
                <w:rFonts w:ascii="Arial Narrow" w:hAnsi="Arial Narrow"/>
              </w:rPr>
              <w:t>Name</w:t>
            </w:r>
          </w:p>
        </w:tc>
        <w:tc>
          <w:tcPr>
            <w:tcW w:w="2876" w:type="dxa"/>
            <w:tcBorders>
              <w:top w:val="single" w:sz="4" w:space="0" w:color="auto"/>
              <w:left w:val="single" w:sz="4" w:space="0" w:color="auto"/>
              <w:bottom w:val="single" w:sz="4" w:space="0" w:color="auto"/>
              <w:right w:val="single" w:sz="4" w:space="0" w:color="auto"/>
            </w:tcBorders>
            <w:shd w:val="clear" w:color="000000" w:fill="00B050"/>
            <w:vAlign w:val="center"/>
          </w:tcPr>
          <w:p w:rsidR="00B000C0" w:rsidRPr="00573DEB" w:rsidRDefault="00B000C0" w:rsidP="00977154">
            <w:pPr>
              <w:jc w:val="center"/>
              <w:rPr>
                <w:rFonts w:ascii="Arial Narrow" w:hAnsi="Arial Narrow"/>
              </w:rPr>
            </w:pPr>
            <w:r w:rsidRPr="00573DEB">
              <w:rPr>
                <w:rFonts w:ascii="Arial Narrow" w:hAnsi="Arial Narrow"/>
              </w:rPr>
              <w:t>Sector</w:t>
            </w:r>
          </w:p>
        </w:tc>
        <w:tc>
          <w:tcPr>
            <w:tcW w:w="1289" w:type="dxa"/>
            <w:tcBorders>
              <w:top w:val="single" w:sz="4" w:space="0" w:color="auto"/>
              <w:left w:val="single" w:sz="4" w:space="0" w:color="auto"/>
              <w:bottom w:val="single" w:sz="4" w:space="0" w:color="auto"/>
              <w:right w:val="single" w:sz="4" w:space="0" w:color="auto"/>
            </w:tcBorders>
            <w:shd w:val="clear" w:color="000000" w:fill="00B050"/>
            <w:vAlign w:val="center"/>
          </w:tcPr>
          <w:p w:rsidR="00B000C0" w:rsidRPr="00573DEB" w:rsidRDefault="00B000C0" w:rsidP="00977154">
            <w:pPr>
              <w:jc w:val="center"/>
              <w:rPr>
                <w:rFonts w:ascii="Arial Narrow" w:hAnsi="Arial Narrow"/>
              </w:rPr>
            </w:pPr>
            <w:r w:rsidRPr="00573DEB">
              <w:rPr>
                <w:rFonts w:ascii="Arial Narrow" w:hAnsi="Arial Narrow"/>
              </w:rPr>
              <w:t xml:space="preserve">Number of </w:t>
            </w:r>
            <w:r w:rsidR="00977154" w:rsidRPr="00573DEB">
              <w:rPr>
                <w:rFonts w:ascii="Arial Narrow" w:hAnsi="Arial Narrow"/>
              </w:rPr>
              <w:br/>
            </w:r>
            <w:r w:rsidRPr="00573DEB">
              <w:rPr>
                <w:rFonts w:ascii="Arial Narrow" w:hAnsi="Arial Narrow"/>
              </w:rPr>
              <w:t>applications</w:t>
            </w:r>
          </w:p>
        </w:tc>
        <w:tc>
          <w:tcPr>
            <w:tcW w:w="928" w:type="dxa"/>
            <w:tcBorders>
              <w:top w:val="single" w:sz="4" w:space="0" w:color="auto"/>
              <w:left w:val="single" w:sz="4" w:space="0" w:color="auto"/>
              <w:bottom w:val="single" w:sz="4" w:space="0" w:color="auto"/>
              <w:right w:val="single" w:sz="4" w:space="0" w:color="auto"/>
            </w:tcBorders>
            <w:shd w:val="clear" w:color="000000" w:fill="00B050"/>
            <w:vAlign w:val="center"/>
          </w:tcPr>
          <w:p w:rsidR="00B000C0" w:rsidRPr="00573DEB" w:rsidRDefault="00B000C0" w:rsidP="00977154">
            <w:pPr>
              <w:jc w:val="center"/>
              <w:rPr>
                <w:rFonts w:ascii="Arial Narrow" w:hAnsi="Arial Narrow"/>
              </w:rPr>
            </w:pPr>
            <w:r w:rsidRPr="00573DEB">
              <w:rPr>
                <w:rFonts w:ascii="Arial Narrow" w:hAnsi="Arial Narrow"/>
              </w:rPr>
              <w:t xml:space="preserve">Share </w:t>
            </w:r>
            <w:r w:rsidR="00977154" w:rsidRPr="00573DEB">
              <w:rPr>
                <w:rFonts w:ascii="Arial Narrow" w:hAnsi="Arial Narrow"/>
              </w:rPr>
              <w:br/>
            </w:r>
            <w:r w:rsidRPr="00573DEB">
              <w:rPr>
                <w:rFonts w:ascii="Arial Narrow" w:hAnsi="Arial Narrow"/>
              </w:rPr>
              <w:t>of Total</w:t>
            </w:r>
          </w:p>
        </w:tc>
      </w:tr>
      <w:tr w:rsidR="00B000C0" w:rsidRPr="00573DEB" w:rsidTr="00977154">
        <w:trPr>
          <w:trHeight w:val="255"/>
        </w:trPr>
        <w:tc>
          <w:tcPr>
            <w:tcW w:w="738"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w:t>
            </w:r>
          </w:p>
        </w:tc>
        <w:tc>
          <w:tcPr>
            <w:tcW w:w="349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00C0" w:rsidRPr="00573DEB" w:rsidRDefault="00B000C0" w:rsidP="004B4B73">
            <w:pPr>
              <w:rPr>
                <w:rFonts w:ascii="Arial Narrow" w:hAnsi="Arial Narrow"/>
              </w:rPr>
            </w:pPr>
            <w:r w:rsidRPr="00573DEB">
              <w:rPr>
                <w:rFonts w:ascii="Arial Narrow" w:hAnsi="Arial Narrow"/>
              </w:rPr>
              <w:t>Qualcomm Incorporated</w:t>
            </w:r>
          </w:p>
        </w:tc>
        <w:tc>
          <w:tcPr>
            <w:tcW w:w="2876" w:type="dxa"/>
            <w:tcBorders>
              <w:top w:val="single" w:sz="4" w:space="0" w:color="auto"/>
              <w:left w:val="single" w:sz="4" w:space="0" w:color="auto"/>
              <w:bottom w:val="single" w:sz="4" w:space="0" w:color="auto"/>
              <w:right w:val="single" w:sz="4" w:space="0" w:color="auto"/>
            </w:tcBorders>
            <w:vAlign w:val="center"/>
          </w:tcPr>
          <w:p w:rsidR="00B000C0" w:rsidRPr="00573DEB" w:rsidRDefault="00B000C0" w:rsidP="004B4B73">
            <w:pPr>
              <w:rPr>
                <w:rFonts w:ascii="Arial Narrow" w:hAnsi="Arial Narrow"/>
              </w:rPr>
            </w:pPr>
            <w:r w:rsidRPr="00573DEB">
              <w:rPr>
                <w:rFonts w:ascii="Arial Narrow" w:hAnsi="Arial Narrow"/>
              </w:rPr>
              <w:t>information and communications technology (ICT)</w:t>
            </w:r>
          </w:p>
        </w:tc>
        <w:tc>
          <w:tcPr>
            <w:tcW w:w="1289"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3,092</w:t>
            </w:r>
          </w:p>
        </w:tc>
        <w:tc>
          <w:tcPr>
            <w:tcW w:w="928"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1.38%</w:t>
            </w:r>
          </w:p>
        </w:tc>
      </w:tr>
      <w:tr w:rsidR="00B000C0" w:rsidRPr="00573DEB" w:rsidTr="00977154">
        <w:trPr>
          <w:trHeight w:val="255"/>
        </w:trPr>
        <w:tc>
          <w:tcPr>
            <w:tcW w:w="738"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2</w:t>
            </w:r>
          </w:p>
        </w:tc>
        <w:tc>
          <w:tcPr>
            <w:tcW w:w="349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00C0" w:rsidRPr="00573DEB" w:rsidRDefault="00B000C0" w:rsidP="004B4B73">
            <w:pPr>
              <w:rPr>
                <w:rFonts w:ascii="Arial Narrow" w:hAnsi="Arial Narrow"/>
              </w:rPr>
            </w:pPr>
            <w:r w:rsidRPr="00573DEB">
              <w:rPr>
                <w:rFonts w:ascii="Arial Narrow" w:hAnsi="Arial Narrow"/>
              </w:rPr>
              <w:t xml:space="preserve">BASF </w:t>
            </w:r>
            <w:proofErr w:type="spellStart"/>
            <w:r w:rsidRPr="00573DEB">
              <w:rPr>
                <w:rFonts w:ascii="Arial Narrow" w:hAnsi="Arial Narrow"/>
              </w:rPr>
              <w:t>aktiengesellschaft</w:t>
            </w:r>
            <w:proofErr w:type="spellEnd"/>
          </w:p>
        </w:tc>
        <w:tc>
          <w:tcPr>
            <w:tcW w:w="2876" w:type="dxa"/>
            <w:tcBorders>
              <w:top w:val="single" w:sz="4" w:space="0" w:color="auto"/>
              <w:left w:val="single" w:sz="4" w:space="0" w:color="auto"/>
              <w:bottom w:val="single" w:sz="4" w:space="0" w:color="auto"/>
              <w:right w:val="single" w:sz="4" w:space="0" w:color="auto"/>
            </w:tcBorders>
            <w:vAlign w:val="center"/>
          </w:tcPr>
          <w:p w:rsidR="00B000C0" w:rsidRPr="00573DEB" w:rsidRDefault="00B000C0" w:rsidP="004B4B73">
            <w:pPr>
              <w:rPr>
                <w:rFonts w:ascii="Arial Narrow" w:hAnsi="Arial Narrow"/>
              </w:rPr>
            </w:pPr>
            <w:r w:rsidRPr="00573DEB">
              <w:rPr>
                <w:rFonts w:ascii="Arial Narrow" w:hAnsi="Arial Narrow"/>
              </w:rPr>
              <w:t>Chemicals</w:t>
            </w:r>
          </w:p>
        </w:tc>
        <w:tc>
          <w:tcPr>
            <w:tcW w:w="1289"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2,894</w:t>
            </w:r>
          </w:p>
        </w:tc>
        <w:tc>
          <w:tcPr>
            <w:tcW w:w="928"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1.29%</w:t>
            </w:r>
          </w:p>
        </w:tc>
      </w:tr>
      <w:tr w:rsidR="00B000C0" w:rsidRPr="00573DEB" w:rsidTr="00977154">
        <w:trPr>
          <w:trHeight w:val="255"/>
        </w:trPr>
        <w:tc>
          <w:tcPr>
            <w:tcW w:w="738"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3</w:t>
            </w:r>
          </w:p>
        </w:tc>
        <w:tc>
          <w:tcPr>
            <w:tcW w:w="349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00C0" w:rsidRPr="00573DEB" w:rsidRDefault="00B000C0" w:rsidP="004B4B73">
            <w:pPr>
              <w:rPr>
                <w:rFonts w:ascii="Arial Narrow" w:hAnsi="Arial Narrow"/>
              </w:rPr>
            </w:pPr>
            <w:r w:rsidRPr="00573DEB">
              <w:rPr>
                <w:rFonts w:ascii="Arial Narrow" w:hAnsi="Arial Narrow"/>
              </w:rPr>
              <w:t>The Procter &amp; Gamble Company</w:t>
            </w:r>
          </w:p>
        </w:tc>
        <w:tc>
          <w:tcPr>
            <w:tcW w:w="2876" w:type="dxa"/>
            <w:tcBorders>
              <w:top w:val="single" w:sz="4" w:space="0" w:color="auto"/>
              <w:left w:val="single" w:sz="4" w:space="0" w:color="auto"/>
              <w:bottom w:val="single" w:sz="4" w:space="0" w:color="auto"/>
              <w:right w:val="single" w:sz="4" w:space="0" w:color="auto"/>
            </w:tcBorders>
            <w:vAlign w:val="center"/>
          </w:tcPr>
          <w:p w:rsidR="00B000C0" w:rsidRPr="00573DEB" w:rsidRDefault="00B000C0" w:rsidP="004B4B73">
            <w:pPr>
              <w:rPr>
                <w:rFonts w:ascii="Arial Narrow" w:hAnsi="Arial Narrow"/>
              </w:rPr>
            </w:pPr>
            <w:r w:rsidRPr="00573DEB">
              <w:rPr>
                <w:rFonts w:ascii="Arial Narrow" w:hAnsi="Arial Narrow"/>
              </w:rPr>
              <w:t>Consumer goods</w:t>
            </w:r>
          </w:p>
        </w:tc>
        <w:tc>
          <w:tcPr>
            <w:tcW w:w="1289"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2,359</w:t>
            </w:r>
          </w:p>
        </w:tc>
        <w:tc>
          <w:tcPr>
            <w:tcW w:w="928"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1.05%</w:t>
            </w:r>
          </w:p>
        </w:tc>
      </w:tr>
      <w:tr w:rsidR="00B000C0" w:rsidRPr="00573DEB" w:rsidTr="00977154">
        <w:trPr>
          <w:trHeight w:val="255"/>
        </w:trPr>
        <w:tc>
          <w:tcPr>
            <w:tcW w:w="738"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4</w:t>
            </w:r>
          </w:p>
        </w:tc>
        <w:tc>
          <w:tcPr>
            <w:tcW w:w="349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00C0" w:rsidRPr="00573DEB" w:rsidRDefault="00B000C0" w:rsidP="004B4B73">
            <w:pPr>
              <w:rPr>
                <w:rFonts w:ascii="Arial Narrow" w:hAnsi="Arial Narrow"/>
              </w:rPr>
            </w:pPr>
            <w:r w:rsidRPr="00573DEB">
              <w:rPr>
                <w:rFonts w:ascii="Arial Narrow" w:hAnsi="Arial Narrow"/>
              </w:rPr>
              <w:t>Unilever</w:t>
            </w:r>
          </w:p>
        </w:tc>
        <w:tc>
          <w:tcPr>
            <w:tcW w:w="2876" w:type="dxa"/>
            <w:tcBorders>
              <w:top w:val="single" w:sz="4" w:space="0" w:color="auto"/>
              <w:left w:val="single" w:sz="4" w:space="0" w:color="auto"/>
              <w:bottom w:val="single" w:sz="4" w:space="0" w:color="auto"/>
              <w:right w:val="single" w:sz="4" w:space="0" w:color="auto"/>
            </w:tcBorders>
            <w:vAlign w:val="center"/>
          </w:tcPr>
          <w:p w:rsidR="00B000C0" w:rsidRPr="00573DEB" w:rsidRDefault="00B000C0" w:rsidP="004B4B73">
            <w:pPr>
              <w:rPr>
                <w:rFonts w:ascii="Arial Narrow" w:hAnsi="Arial Narrow"/>
              </w:rPr>
            </w:pPr>
            <w:r w:rsidRPr="00573DEB">
              <w:rPr>
                <w:rFonts w:ascii="Arial Narrow" w:hAnsi="Arial Narrow"/>
              </w:rPr>
              <w:t>Consumer goods</w:t>
            </w:r>
          </w:p>
        </w:tc>
        <w:tc>
          <w:tcPr>
            <w:tcW w:w="1289"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1,753</w:t>
            </w:r>
          </w:p>
        </w:tc>
        <w:tc>
          <w:tcPr>
            <w:tcW w:w="928"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0.78%</w:t>
            </w:r>
          </w:p>
        </w:tc>
      </w:tr>
      <w:tr w:rsidR="00B000C0" w:rsidRPr="00573DEB" w:rsidTr="00977154">
        <w:trPr>
          <w:trHeight w:val="255"/>
        </w:trPr>
        <w:tc>
          <w:tcPr>
            <w:tcW w:w="738"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5</w:t>
            </w:r>
          </w:p>
        </w:tc>
        <w:tc>
          <w:tcPr>
            <w:tcW w:w="349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00C0" w:rsidRPr="00573DEB" w:rsidRDefault="00B000C0" w:rsidP="004B4B73">
            <w:pPr>
              <w:rPr>
                <w:rFonts w:ascii="Arial Narrow" w:hAnsi="Arial Narrow"/>
              </w:rPr>
            </w:pPr>
            <w:r w:rsidRPr="00573DEB">
              <w:rPr>
                <w:rFonts w:ascii="Arial Narrow" w:hAnsi="Arial Narrow"/>
              </w:rPr>
              <w:t>3M Innovative Properties Company</w:t>
            </w:r>
          </w:p>
        </w:tc>
        <w:tc>
          <w:tcPr>
            <w:tcW w:w="2876" w:type="dxa"/>
            <w:tcBorders>
              <w:top w:val="single" w:sz="4" w:space="0" w:color="auto"/>
              <w:left w:val="single" w:sz="4" w:space="0" w:color="auto"/>
              <w:bottom w:val="single" w:sz="4" w:space="0" w:color="auto"/>
              <w:right w:val="single" w:sz="4" w:space="0" w:color="auto"/>
            </w:tcBorders>
            <w:vAlign w:val="center"/>
          </w:tcPr>
          <w:p w:rsidR="00B000C0" w:rsidRPr="00573DEB" w:rsidRDefault="00B000C0" w:rsidP="004B4B73">
            <w:pPr>
              <w:rPr>
                <w:rFonts w:ascii="Arial Narrow" w:hAnsi="Arial Narrow"/>
              </w:rPr>
            </w:pPr>
            <w:r w:rsidRPr="00573DEB">
              <w:rPr>
                <w:rFonts w:ascii="Arial Narrow" w:hAnsi="Arial Narrow"/>
              </w:rPr>
              <w:t>Several sectors</w:t>
            </w:r>
          </w:p>
        </w:tc>
        <w:tc>
          <w:tcPr>
            <w:tcW w:w="1289"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1,656</w:t>
            </w:r>
          </w:p>
        </w:tc>
        <w:tc>
          <w:tcPr>
            <w:tcW w:w="928"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0.74%</w:t>
            </w:r>
          </w:p>
        </w:tc>
      </w:tr>
      <w:tr w:rsidR="00B000C0" w:rsidRPr="00573DEB" w:rsidTr="00977154">
        <w:trPr>
          <w:trHeight w:val="255"/>
        </w:trPr>
        <w:tc>
          <w:tcPr>
            <w:tcW w:w="738"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6</w:t>
            </w:r>
          </w:p>
        </w:tc>
        <w:tc>
          <w:tcPr>
            <w:tcW w:w="349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00C0" w:rsidRPr="00573DEB" w:rsidRDefault="00B000C0" w:rsidP="004B4B73">
            <w:pPr>
              <w:rPr>
                <w:rFonts w:ascii="Arial Narrow" w:hAnsi="Arial Narrow"/>
              </w:rPr>
            </w:pPr>
            <w:r w:rsidRPr="00573DEB">
              <w:rPr>
                <w:rFonts w:ascii="Arial Narrow" w:hAnsi="Arial Narrow"/>
              </w:rPr>
              <w:t>Novartis</w:t>
            </w:r>
          </w:p>
        </w:tc>
        <w:tc>
          <w:tcPr>
            <w:tcW w:w="2876" w:type="dxa"/>
            <w:tcBorders>
              <w:top w:val="single" w:sz="4" w:space="0" w:color="auto"/>
              <w:left w:val="single" w:sz="4" w:space="0" w:color="auto"/>
              <w:bottom w:val="single" w:sz="4" w:space="0" w:color="auto"/>
              <w:right w:val="single" w:sz="4" w:space="0" w:color="auto"/>
            </w:tcBorders>
            <w:vAlign w:val="center"/>
          </w:tcPr>
          <w:p w:rsidR="00B000C0" w:rsidRPr="00573DEB" w:rsidRDefault="009A0235" w:rsidP="004B4B73">
            <w:pPr>
              <w:rPr>
                <w:rFonts w:ascii="Arial Narrow" w:hAnsi="Arial Narrow"/>
              </w:rPr>
            </w:pPr>
            <w:r w:rsidRPr="00573DEB">
              <w:rPr>
                <w:rFonts w:ascii="Arial Narrow" w:hAnsi="Arial Narrow"/>
              </w:rPr>
              <w:t>Pharmaceutical</w:t>
            </w:r>
          </w:p>
        </w:tc>
        <w:tc>
          <w:tcPr>
            <w:tcW w:w="1289"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1,585</w:t>
            </w:r>
          </w:p>
        </w:tc>
        <w:tc>
          <w:tcPr>
            <w:tcW w:w="928"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0.71%</w:t>
            </w:r>
          </w:p>
        </w:tc>
      </w:tr>
      <w:tr w:rsidR="00B000C0" w:rsidRPr="00573DEB" w:rsidTr="00977154">
        <w:trPr>
          <w:trHeight w:val="255"/>
        </w:trPr>
        <w:tc>
          <w:tcPr>
            <w:tcW w:w="738"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7</w:t>
            </w:r>
          </w:p>
        </w:tc>
        <w:tc>
          <w:tcPr>
            <w:tcW w:w="349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00C0" w:rsidRPr="00573DEB" w:rsidRDefault="00B000C0" w:rsidP="004B4B73">
            <w:pPr>
              <w:rPr>
                <w:rFonts w:ascii="Arial Narrow" w:hAnsi="Arial Narrow"/>
              </w:rPr>
            </w:pPr>
            <w:proofErr w:type="spellStart"/>
            <w:r w:rsidRPr="00573DEB">
              <w:rPr>
                <w:rFonts w:ascii="Arial Narrow" w:hAnsi="Arial Narrow"/>
              </w:rPr>
              <w:t>Koninklijke</w:t>
            </w:r>
            <w:proofErr w:type="spellEnd"/>
            <w:r w:rsidRPr="00573DEB">
              <w:rPr>
                <w:rFonts w:ascii="Arial Narrow" w:hAnsi="Arial Narrow"/>
              </w:rPr>
              <w:t xml:space="preserve"> Philips Electronics</w:t>
            </w:r>
          </w:p>
        </w:tc>
        <w:tc>
          <w:tcPr>
            <w:tcW w:w="2876" w:type="dxa"/>
            <w:tcBorders>
              <w:top w:val="single" w:sz="4" w:space="0" w:color="auto"/>
              <w:left w:val="single" w:sz="4" w:space="0" w:color="auto"/>
              <w:bottom w:val="single" w:sz="4" w:space="0" w:color="auto"/>
              <w:right w:val="single" w:sz="4" w:space="0" w:color="auto"/>
            </w:tcBorders>
            <w:vAlign w:val="center"/>
          </w:tcPr>
          <w:p w:rsidR="00B000C0" w:rsidRPr="00573DEB" w:rsidRDefault="00B000C0" w:rsidP="004B4B73">
            <w:pPr>
              <w:rPr>
                <w:rFonts w:ascii="Arial Narrow" w:hAnsi="Arial Narrow"/>
              </w:rPr>
            </w:pPr>
            <w:r w:rsidRPr="00573DEB">
              <w:rPr>
                <w:rFonts w:ascii="Arial Narrow" w:hAnsi="Arial Narrow"/>
              </w:rPr>
              <w:t>information and communications technology (ICT)</w:t>
            </w:r>
          </w:p>
        </w:tc>
        <w:tc>
          <w:tcPr>
            <w:tcW w:w="1289"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1,493</w:t>
            </w:r>
          </w:p>
        </w:tc>
        <w:tc>
          <w:tcPr>
            <w:tcW w:w="928"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0.67%</w:t>
            </w:r>
          </w:p>
        </w:tc>
      </w:tr>
      <w:tr w:rsidR="00B000C0" w:rsidRPr="00573DEB" w:rsidTr="00977154">
        <w:trPr>
          <w:trHeight w:val="255"/>
        </w:trPr>
        <w:tc>
          <w:tcPr>
            <w:tcW w:w="738"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8</w:t>
            </w:r>
          </w:p>
        </w:tc>
        <w:tc>
          <w:tcPr>
            <w:tcW w:w="349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00C0" w:rsidRPr="00573DEB" w:rsidRDefault="00B000C0" w:rsidP="004B4B73">
            <w:pPr>
              <w:rPr>
                <w:rFonts w:ascii="Arial Narrow" w:hAnsi="Arial Narrow"/>
              </w:rPr>
            </w:pPr>
            <w:r w:rsidRPr="00573DEB">
              <w:rPr>
                <w:rFonts w:ascii="Arial Narrow" w:hAnsi="Arial Narrow"/>
              </w:rPr>
              <w:t>Microsoft Corporation</w:t>
            </w:r>
          </w:p>
        </w:tc>
        <w:tc>
          <w:tcPr>
            <w:tcW w:w="2876" w:type="dxa"/>
            <w:tcBorders>
              <w:top w:val="single" w:sz="4" w:space="0" w:color="auto"/>
              <w:left w:val="single" w:sz="4" w:space="0" w:color="auto"/>
              <w:bottom w:val="single" w:sz="4" w:space="0" w:color="auto"/>
              <w:right w:val="single" w:sz="4" w:space="0" w:color="auto"/>
            </w:tcBorders>
            <w:vAlign w:val="center"/>
          </w:tcPr>
          <w:p w:rsidR="00B000C0" w:rsidRPr="00573DEB" w:rsidRDefault="00B000C0" w:rsidP="004B4B73">
            <w:pPr>
              <w:rPr>
                <w:rFonts w:ascii="Arial Narrow" w:hAnsi="Arial Narrow"/>
              </w:rPr>
            </w:pPr>
            <w:r w:rsidRPr="00573DEB">
              <w:rPr>
                <w:rFonts w:ascii="Arial Narrow" w:hAnsi="Arial Narrow"/>
              </w:rPr>
              <w:t>information and communications technology (ICT)</w:t>
            </w:r>
          </w:p>
        </w:tc>
        <w:tc>
          <w:tcPr>
            <w:tcW w:w="1289"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1,469</w:t>
            </w:r>
          </w:p>
        </w:tc>
        <w:tc>
          <w:tcPr>
            <w:tcW w:w="928"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0.66%</w:t>
            </w:r>
          </w:p>
        </w:tc>
      </w:tr>
      <w:tr w:rsidR="00B000C0" w:rsidRPr="00573DEB" w:rsidTr="00977154">
        <w:trPr>
          <w:trHeight w:val="255"/>
        </w:trPr>
        <w:tc>
          <w:tcPr>
            <w:tcW w:w="738"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9</w:t>
            </w:r>
          </w:p>
        </w:tc>
        <w:tc>
          <w:tcPr>
            <w:tcW w:w="349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00C0" w:rsidRPr="00DA2C07" w:rsidRDefault="00B000C0" w:rsidP="004B4B73">
            <w:pPr>
              <w:rPr>
                <w:rFonts w:ascii="Arial Narrow" w:hAnsi="Arial Narrow"/>
                <w:lang w:val="fr-CH"/>
              </w:rPr>
            </w:pPr>
            <w:r w:rsidRPr="00DA2C07">
              <w:rPr>
                <w:rFonts w:ascii="Arial Narrow" w:hAnsi="Arial Narrow"/>
                <w:lang w:val="fr-CH"/>
              </w:rPr>
              <w:t xml:space="preserve">E, I, du Pont de Nemours and </w:t>
            </w:r>
            <w:proofErr w:type="spellStart"/>
            <w:r w:rsidRPr="00DA2C07">
              <w:rPr>
                <w:rFonts w:ascii="Arial Narrow" w:hAnsi="Arial Narrow"/>
                <w:lang w:val="fr-CH"/>
              </w:rPr>
              <w:t>Company</w:t>
            </w:r>
            <w:proofErr w:type="spellEnd"/>
          </w:p>
        </w:tc>
        <w:tc>
          <w:tcPr>
            <w:tcW w:w="2876" w:type="dxa"/>
            <w:tcBorders>
              <w:top w:val="single" w:sz="4" w:space="0" w:color="auto"/>
              <w:left w:val="single" w:sz="4" w:space="0" w:color="auto"/>
              <w:bottom w:val="single" w:sz="4" w:space="0" w:color="auto"/>
              <w:right w:val="single" w:sz="4" w:space="0" w:color="auto"/>
            </w:tcBorders>
            <w:vAlign w:val="center"/>
          </w:tcPr>
          <w:p w:rsidR="00B000C0" w:rsidRPr="00573DEB" w:rsidRDefault="00B000C0" w:rsidP="004B4B73">
            <w:pPr>
              <w:rPr>
                <w:rFonts w:ascii="Arial Narrow" w:hAnsi="Arial Narrow"/>
              </w:rPr>
            </w:pPr>
            <w:r w:rsidRPr="00573DEB">
              <w:rPr>
                <w:rFonts w:ascii="Arial Narrow" w:hAnsi="Arial Narrow"/>
              </w:rPr>
              <w:t>Chemicals</w:t>
            </w:r>
          </w:p>
        </w:tc>
        <w:tc>
          <w:tcPr>
            <w:tcW w:w="1289"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1,386</w:t>
            </w:r>
          </w:p>
        </w:tc>
        <w:tc>
          <w:tcPr>
            <w:tcW w:w="928"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0.62%</w:t>
            </w:r>
          </w:p>
        </w:tc>
      </w:tr>
      <w:tr w:rsidR="00B000C0" w:rsidRPr="00573DEB" w:rsidTr="00977154">
        <w:trPr>
          <w:trHeight w:val="255"/>
        </w:trPr>
        <w:tc>
          <w:tcPr>
            <w:tcW w:w="738"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10</w:t>
            </w:r>
          </w:p>
        </w:tc>
        <w:tc>
          <w:tcPr>
            <w:tcW w:w="349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00C0" w:rsidRPr="00573DEB" w:rsidRDefault="00B000C0" w:rsidP="004B4B73">
            <w:pPr>
              <w:rPr>
                <w:rFonts w:ascii="Arial Narrow" w:hAnsi="Arial Narrow"/>
              </w:rPr>
            </w:pPr>
            <w:r w:rsidRPr="00573DEB">
              <w:rPr>
                <w:rFonts w:ascii="Arial Narrow" w:hAnsi="Arial Narrow"/>
              </w:rPr>
              <w:t xml:space="preserve">Kimberly Clark Worldwide </w:t>
            </w:r>
            <w:proofErr w:type="spellStart"/>
            <w:r w:rsidRPr="00573DEB">
              <w:rPr>
                <w:rFonts w:ascii="Arial Narrow" w:hAnsi="Arial Narrow"/>
              </w:rPr>
              <w:t>Inc</w:t>
            </w:r>
            <w:proofErr w:type="spellEnd"/>
            <w:r w:rsidRPr="00573DEB">
              <w:rPr>
                <w:rFonts w:ascii="Arial Narrow" w:hAnsi="Arial Narrow"/>
              </w:rPr>
              <w:t>,</w:t>
            </w:r>
          </w:p>
        </w:tc>
        <w:tc>
          <w:tcPr>
            <w:tcW w:w="2876" w:type="dxa"/>
            <w:tcBorders>
              <w:top w:val="single" w:sz="4" w:space="0" w:color="auto"/>
              <w:left w:val="single" w:sz="4" w:space="0" w:color="auto"/>
              <w:bottom w:val="single" w:sz="4" w:space="0" w:color="auto"/>
              <w:right w:val="single" w:sz="4" w:space="0" w:color="auto"/>
            </w:tcBorders>
            <w:vAlign w:val="center"/>
          </w:tcPr>
          <w:p w:rsidR="00B000C0" w:rsidRPr="00573DEB" w:rsidRDefault="00B000C0" w:rsidP="004B4B73">
            <w:pPr>
              <w:rPr>
                <w:rFonts w:ascii="Arial Narrow" w:hAnsi="Arial Narrow"/>
              </w:rPr>
            </w:pPr>
            <w:r w:rsidRPr="00573DEB">
              <w:rPr>
                <w:rFonts w:ascii="Arial Narrow" w:hAnsi="Arial Narrow"/>
              </w:rPr>
              <w:t>Cleaning and personal hygiene products</w:t>
            </w:r>
          </w:p>
        </w:tc>
        <w:tc>
          <w:tcPr>
            <w:tcW w:w="1289"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1,356</w:t>
            </w:r>
          </w:p>
        </w:tc>
        <w:tc>
          <w:tcPr>
            <w:tcW w:w="928"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0.61%</w:t>
            </w:r>
          </w:p>
        </w:tc>
      </w:tr>
      <w:tr w:rsidR="00B000C0" w:rsidRPr="00573DEB" w:rsidTr="00977154">
        <w:trPr>
          <w:trHeight w:val="255"/>
        </w:trPr>
        <w:tc>
          <w:tcPr>
            <w:tcW w:w="7110" w:type="dxa"/>
            <w:gridSpan w:val="3"/>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Top 10 total</w:t>
            </w:r>
          </w:p>
        </w:tc>
        <w:tc>
          <w:tcPr>
            <w:tcW w:w="1289"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19,043</w:t>
            </w:r>
          </w:p>
        </w:tc>
        <w:tc>
          <w:tcPr>
            <w:tcW w:w="928"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8.50%</w:t>
            </w:r>
          </w:p>
        </w:tc>
      </w:tr>
      <w:tr w:rsidR="00B000C0" w:rsidRPr="00573DEB" w:rsidTr="00977154">
        <w:trPr>
          <w:trHeight w:val="270"/>
        </w:trPr>
        <w:tc>
          <w:tcPr>
            <w:tcW w:w="7110" w:type="dxa"/>
            <w:gridSpan w:val="3"/>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Total non-resident applications</w:t>
            </w:r>
          </w:p>
        </w:tc>
        <w:tc>
          <w:tcPr>
            <w:tcW w:w="1289"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224,037</w:t>
            </w:r>
          </w:p>
        </w:tc>
        <w:tc>
          <w:tcPr>
            <w:tcW w:w="928"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100%</w:t>
            </w:r>
          </w:p>
        </w:tc>
      </w:tr>
      <w:tr w:rsidR="00B000C0" w:rsidRPr="00573DEB" w:rsidTr="00977154">
        <w:trPr>
          <w:trHeight w:val="270"/>
        </w:trPr>
        <w:tc>
          <w:tcPr>
            <w:tcW w:w="7110" w:type="dxa"/>
            <w:gridSpan w:val="3"/>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Total applications (including residents)</w:t>
            </w:r>
          </w:p>
        </w:tc>
        <w:tc>
          <w:tcPr>
            <w:tcW w:w="1289"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282,820</w:t>
            </w:r>
          </w:p>
        </w:tc>
        <w:tc>
          <w:tcPr>
            <w:tcW w:w="928"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p>
        </w:tc>
      </w:tr>
    </w:tbl>
    <w:p w:rsidR="00B000C0" w:rsidRPr="00573DEB" w:rsidRDefault="00B000C0" w:rsidP="004B4B73"/>
    <w:p w:rsidR="009A0235" w:rsidRDefault="009A0235" w:rsidP="009A0235"/>
    <w:p w:rsidR="00CE7631" w:rsidRPr="00573DEB" w:rsidRDefault="00CE7631" w:rsidP="009A0235"/>
    <w:p w:rsidR="009A0235" w:rsidRPr="00573DEB" w:rsidRDefault="009A0235" w:rsidP="009A0235">
      <w:r w:rsidRPr="00573DEB">
        <w:lastRenderedPageBreak/>
        <w:t xml:space="preserve">Table 4.2 shows patent applications distributed according to the top 10 resident applicants, with only two companies appearing in the list: </w:t>
      </w:r>
      <w:r w:rsidR="00F65AD8">
        <w:t xml:space="preserve"> </w:t>
      </w:r>
      <w:proofErr w:type="spellStart"/>
      <w:r w:rsidRPr="00573DEB">
        <w:t>Petrobras</w:t>
      </w:r>
      <w:proofErr w:type="spellEnd"/>
      <w:r w:rsidRPr="00573DEB">
        <w:t xml:space="preserve"> and </w:t>
      </w:r>
      <w:proofErr w:type="spellStart"/>
      <w:r w:rsidRPr="00573DEB">
        <w:t>Whirpool</w:t>
      </w:r>
      <w:proofErr w:type="spellEnd"/>
      <w:r w:rsidRPr="00573DEB">
        <w:t xml:space="preserve"> S.A., with 696 and 652 applications respectively.  It is important to highlight that </w:t>
      </w:r>
      <w:proofErr w:type="spellStart"/>
      <w:r w:rsidRPr="00573DEB">
        <w:t>Whirpool</w:t>
      </w:r>
      <w:proofErr w:type="spellEnd"/>
      <w:r w:rsidRPr="00573DEB">
        <w:t xml:space="preserve"> S.A. and </w:t>
      </w:r>
      <w:proofErr w:type="spellStart"/>
      <w:r w:rsidRPr="00573DEB">
        <w:t>Multibras</w:t>
      </w:r>
      <w:proofErr w:type="spellEnd"/>
      <w:r w:rsidRPr="00573DEB">
        <w:t xml:space="preserve"> are associated companies.  </w:t>
      </w:r>
      <w:proofErr w:type="spellStart"/>
      <w:r w:rsidRPr="00573DEB">
        <w:t>Whirpool</w:t>
      </w:r>
      <w:proofErr w:type="spellEnd"/>
      <w:r w:rsidRPr="00573DEB">
        <w:t xml:space="preserve"> S.A. was established in 2006 with the reorganization of </w:t>
      </w:r>
      <w:proofErr w:type="spellStart"/>
      <w:r w:rsidRPr="00573DEB">
        <w:t>Multibrás</w:t>
      </w:r>
      <w:proofErr w:type="spellEnd"/>
      <w:r w:rsidRPr="00573DEB">
        <w:t xml:space="preserve"> SA and </w:t>
      </w:r>
      <w:proofErr w:type="spellStart"/>
      <w:r w:rsidRPr="00573DEB">
        <w:t>Empresa</w:t>
      </w:r>
      <w:proofErr w:type="spellEnd"/>
      <w:r w:rsidRPr="00573DEB">
        <w:t xml:space="preserve"> </w:t>
      </w:r>
      <w:proofErr w:type="spellStart"/>
      <w:r w:rsidRPr="00573DEB">
        <w:t>Brasileira</w:t>
      </w:r>
      <w:proofErr w:type="spellEnd"/>
      <w:r w:rsidRPr="00573DEB">
        <w:t xml:space="preserve"> Compressor SA – </w:t>
      </w:r>
      <w:proofErr w:type="spellStart"/>
      <w:r w:rsidRPr="00573DEB">
        <w:t>Embraco</w:t>
      </w:r>
      <w:proofErr w:type="spellEnd"/>
      <w:r w:rsidRPr="00573DEB">
        <w:t xml:space="preserve">.  Table 4.2 also shows the strong presence of universities and public foundations, particularly those from São Paulo and Minas </w:t>
      </w:r>
      <w:proofErr w:type="spellStart"/>
      <w:r w:rsidRPr="00573DEB">
        <w:t>Gerais</w:t>
      </w:r>
      <w:proofErr w:type="spellEnd"/>
      <w:r w:rsidRPr="00573DEB">
        <w:t>.  Such institutions have the mission of fostering research and the scientific and technological development of the states.</w:t>
      </w:r>
    </w:p>
    <w:p w:rsidR="0092578F" w:rsidRDefault="0092578F" w:rsidP="004B4B73"/>
    <w:p w:rsidR="009A0235" w:rsidRPr="00573DEB" w:rsidRDefault="009A0235" w:rsidP="004B4B73"/>
    <w:p w:rsidR="00B000C0" w:rsidRPr="00573DEB" w:rsidRDefault="000C6B94" w:rsidP="0092578F">
      <w:pPr>
        <w:pStyle w:val="Caption"/>
      </w:pPr>
      <w:bookmarkStart w:id="49" w:name="_Toc377374690"/>
      <w:bookmarkStart w:id="50" w:name="_Toc378267994"/>
      <w:r>
        <w:t xml:space="preserve">Table 4.2:  </w:t>
      </w:r>
      <w:r w:rsidR="00B000C0" w:rsidRPr="00573DEB">
        <w:t>Top 10 resident applicants - Patents, 2000-2011</w:t>
      </w:r>
      <w:bookmarkEnd w:id="49"/>
      <w:bookmarkEnd w:id="50"/>
    </w:p>
    <w:tbl>
      <w:tblPr>
        <w:tblW w:w="9290" w:type="dxa"/>
        <w:tblInd w:w="108" w:type="dxa"/>
        <w:tblLayout w:type="fixed"/>
        <w:tblLook w:val="00A0" w:firstRow="1" w:lastRow="0" w:firstColumn="1" w:lastColumn="0" w:noHBand="0" w:noVBand="0"/>
      </w:tblPr>
      <w:tblGrid>
        <w:gridCol w:w="738"/>
        <w:gridCol w:w="6234"/>
        <w:gridCol w:w="1289"/>
        <w:gridCol w:w="1029"/>
      </w:tblGrid>
      <w:tr w:rsidR="00B000C0" w:rsidRPr="00573DEB" w:rsidTr="00625608">
        <w:trPr>
          <w:trHeight w:val="510"/>
        </w:trPr>
        <w:tc>
          <w:tcPr>
            <w:tcW w:w="738" w:type="dxa"/>
            <w:tcBorders>
              <w:top w:val="single" w:sz="4" w:space="0" w:color="auto"/>
              <w:left w:val="single" w:sz="4" w:space="0" w:color="auto"/>
              <w:bottom w:val="single" w:sz="4" w:space="0" w:color="auto"/>
              <w:right w:val="single" w:sz="4" w:space="0" w:color="auto"/>
            </w:tcBorders>
            <w:shd w:val="clear" w:color="000000" w:fill="00B050"/>
            <w:vAlign w:val="center"/>
          </w:tcPr>
          <w:p w:rsidR="00B000C0" w:rsidRPr="00573DEB" w:rsidRDefault="00B000C0" w:rsidP="004B4B73">
            <w:pPr>
              <w:rPr>
                <w:rFonts w:ascii="Arial Narrow" w:hAnsi="Arial Narrow"/>
              </w:rPr>
            </w:pPr>
            <w:r w:rsidRPr="00573DEB">
              <w:rPr>
                <w:rFonts w:ascii="Arial Narrow" w:hAnsi="Arial Narrow"/>
              </w:rPr>
              <w:t>Rank</w:t>
            </w:r>
          </w:p>
        </w:tc>
        <w:tc>
          <w:tcPr>
            <w:tcW w:w="6234" w:type="dxa"/>
            <w:tcBorders>
              <w:top w:val="single" w:sz="4" w:space="0" w:color="auto"/>
              <w:left w:val="nil"/>
              <w:bottom w:val="single" w:sz="4" w:space="0" w:color="auto"/>
              <w:right w:val="single" w:sz="4" w:space="0" w:color="auto"/>
            </w:tcBorders>
            <w:shd w:val="clear" w:color="000000" w:fill="00B050"/>
            <w:vAlign w:val="center"/>
          </w:tcPr>
          <w:p w:rsidR="00B000C0" w:rsidRPr="00573DEB" w:rsidRDefault="00B000C0" w:rsidP="004B4B73">
            <w:pPr>
              <w:rPr>
                <w:rFonts w:ascii="Arial Narrow" w:hAnsi="Arial Narrow"/>
              </w:rPr>
            </w:pPr>
            <w:r w:rsidRPr="00573DEB">
              <w:rPr>
                <w:rFonts w:ascii="Arial Narrow" w:hAnsi="Arial Narrow"/>
              </w:rPr>
              <w:t>Name</w:t>
            </w:r>
          </w:p>
        </w:tc>
        <w:tc>
          <w:tcPr>
            <w:tcW w:w="1289" w:type="dxa"/>
            <w:tcBorders>
              <w:top w:val="single" w:sz="4" w:space="0" w:color="auto"/>
              <w:left w:val="nil"/>
              <w:bottom w:val="single" w:sz="4" w:space="0" w:color="auto"/>
              <w:right w:val="single" w:sz="4" w:space="0" w:color="auto"/>
            </w:tcBorders>
            <w:shd w:val="clear" w:color="000000" w:fill="00B050"/>
            <w:vAlign w:val="center"/>
          </w:tcPr>
          <w:p w:rsidR="00B000C0" w:rsidRPr="00573DEB" w:rsidRDefault="00B000C0" w:rsidP="004B4B73">
            <w:pPr>
              <w:rPr>
                <w:rFonts w:ascii="Arial Narrow" w:hAnsi="Arial Narrow"/>
              </w:rPr>
            </w:pPr>
            <w:r w:rsidRPr="00573DEB">
              <w:rPr>
                <w:rFonts w:ascii="Arial Narrow" w:hAnsi="Arial Narrow"/>
              </w:rPr>
              <w:t xml:space="preserve">Number of </w:t>
            </w:r>
            <w:r w:rsidR="00977154" w:rsidRPr="00573DEB">
              <w:rPr>
                <w:rFonts w:ascii="Arial Narrow" w:hAnsi="Arial Narrow"/>
              </w:rPr>
              <w:br/>
            </w:r>
            <w:r w:rsidRPr="00573DEB">
              <w:rPr>
                <w:rFonts w:ascii="Arial Narrow" w:hAnsi="Arial Narrow"/>
              </w:rPr>
              <w:t>applications</w:t>
            </w:r>
          </w:p>
        </w:tc>
        <w:tc>
          <w:tcPr>
            <w:tcW w:w="1029" w:type="dxa"/>
            <w:tcBorders>
              <w:top w:val="single" w:sz="4" w:space="0" w:color="auto"/>
              <w:left w:val="nil"/>
              <w:bottom w:val="single" w:sz="4" w:space="0" w:color="auto"/>
              <w:right w:val="single" w:sz="4" w:space="0" w:color="auto"/>
            </w:tcBorders>
            <w:shd w:val="clear" w:color="000000" w:fill="00B050"/>
            <w:vAlign w:val="center"/>
          </w:tcPr>
          <w:p w:rsidR="00B000C0" w:rsidRPr="00573DEB" w:rsidRDefault="00B000C0" w:rsidP="004B4B73">
            <w:pPr>
              <w:rPr>
                <w:rFonts w:ascii="Arial Narrow" w:hAnsi="Arial Narrow"/>
              </w:rPr>
            </w:pPr>
            <w:r w:rsidRPr="00573DEB">
              <w:rPr>
                <w:rFonts w:ascii="Arial Narrow" w:hAnsi="Arial Narrow"/>
              </w:rPr>
              <w:t xml:space="preserve">Share </w:t>
            </w:r>
            <w:r w:rsidR="00977154" w:rsidRPr="00573DEB">
              <w:rPr>
                <w:rFonts w:ascii="Arial Narrow" w:hAnsi="Arial Narrow"/>
              </w:rPr>
              <w:br/>
            </w:r>
            <w:r w:rsidRPr="00573DEB">
              <w:rPr>
                <w:rFonts w:ascii="Arial Narrow" w:hAnsi="Arial Narrow"/>
              </w:rPr>
              <w:t xml:space="preserve">Total </w:t>
            </w:r>
          </w:p>
        </w:tc>
      </w:tr>
      <w:tr w:rsidR="00B000C0" w:rsidRPr="00573DEB" w:rsidTr="00625608">
        <w:trPr>
          <w:trHeight w:val="255"/>
        </w:trPr>
        <w:tc>
          <w:tcPr>
            <w:tcW w:w="738" w:type="dxa"/>
            <w:tcBorders>
              <w:top w:val="nil"/>
              <w:left w:val="single" w:sz="4" w:space="0" w:color="auto"/>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1</w:t>
            </w:r>
          </w:p>
        </w:tc>
        <w:tc>
          <w:tcPr>
            <w:tcW w:w="6234" w:type="dxa"/>
            <w:tcBorders>
              <w:top w:val="nil"/>
              <w:left w:val="nil"/>
              <w:bottom w:val="single" w:sz="4" w:space="0" w:color="auto"/>
              <w:right w:val="single" w:sz="4" w:space="0" w:color="auto"/>
            </w:tcBorders>
            <w:noWrap/>
            <w:vAlign w:val="bottom"/>
          </w:tcPr>
          <w:p w:rsidR="00B000C0" w:rsidRPr="00DA2C07" w:rsidRDefault="00B000C0" w:rsidP="004B4B73">
            <w:pPr>
              <w:rPr>
                <w:rFonts w:ascii="Arial Narrow" w:hAnsi="Arial Narrow"/>
                <w:lang w:val="es-ES_tradnl"/>
              </w:rPr>
            </w:pPr>
            <w:r w:rsidRPr="00DA2C07">
              <w:rPr>
                <w:rFonts w:ascii="Arial Narrow" w:hAnsi="Arial Narrow"/>
                <w:lang w:val="es-ES_tradnl"/>
              </w:rPr>
              <w:t>Petróleo Brasileiro S.A</w:t>
            </w:r>
            <w:r w:rsidR="004B4B73" w:rsidRPr="00DA2C07">
              <w:rPr>
                <w:rFonts w:ascii="Arial Narrow" w:hAnsi="Arial Narrow"/>
                <w:lang w:val="es-ES_tradnl"/>
              </w:rPr>
              <w:t xml:space="preserve">.  </w:t>
            </w:r>
            <w:r w:rsidRPr="00DA2C07">
              <w:rPr>
                <w:rFonts w:ascii="Arial Narrow" w:hAnsi="Arial Narrow"/>
                <w:lang w:val="es-ES_tradnl"/>
              </w:rPr>
              <w:t>– Petrobras</w:t>
            </w:r>
          </w:p>
        </w:tc>
        <w:tc>
          <w:tcPr>
            <w:tcW w:w="1289"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696</w:t>
            </w:r>
          </w:p>
        </w:tc>
        <w:tc>
          <w:tcPr>
            <w:tcW w:w="1029"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1,18%</w:t>
            </w:r>
          </w:p>
        </w:tc>
      </w:tr>
      <w:tr w:rsidR="00B000C0" w:rsidRPr="00573DEB" w:rsidTr="00625608">
        <w:trPr>
          <w:trHeight w:val="255"/>
        </w:trPr>
        <w:tc>
          <w:tcPr>
            <w:tcW w:w="738" w:type="dxa"/>
            <w:tcBorders>
              <w:top w:val="nil"/>
              <w:left w:val="single" w:sz="4" w:space="0" w:color="auto"/>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w:t>
            </w:r>
          </w:p>
        </w:tc>
        <w:tc>
          <w:tcPr>
            <w:tcW w:w="6234" w:type="dxa"/>
            <w:tcBorders>
              <w:top w:val="nil"/>
              <w:left w:val="nil"/>
              <w:bottom w:val="single" w:sz="4" w:space="0" w:color="auto"/>
              <w:right w:val="single" w:sz="4" w:space="0" w:color="auto"/>
            </w:tcBorders>
            <w:noWrap/>
            <w:vAlign w:val="bottom"/>
          </w:tcPr>
          <w:p w:rsidR="00B000C0" w:rsidRPr="00DA2C07" w:rsidRDefault="00B000C0" w:rsidP="004B4B73">
            <w:pPr>
              <w:rPr>
                <w:rFonts w:ascii="Arial Narrow" w:hAnsi="Arial Narrow"/>
                <w:lang w:val="es-ES_tradnl"/>
              </w:rPr>
            </w:pPr>
            <w:proofErr w:type="spellStart"/>
            <w:r w:rsidRPr="00DA2C07">
              <w:rPr>
                <w:rFonts w:ascii="Arial Narrow" w:hAnsi="Arial Narrow"/>
                <w:lang w:val="es-ES_tradnl"/>
              </w:rPr>
              <w:t>Universidade</w:t>
            </w:r>
            <w:proofErr w:type="spellEnd"/>
            <w:r w:rsidRPr="00DA2C07">
              <w:rPr>
                <w:rFonts w:ascii="Arial Narrow" w:hAnsi="Arial Narrow"/>
                <w:lang w:val="es-ES_tradnl"/>
              </w:rPr>
              <w:t xml:space="preserve"> Estadual de </w:t>
            </w:r>
            <w:proofErr w:type="spellStart"/>
            <w:r w:rsidRPr="00DA2C07">
              <w:rPr>
                <w:rFonts w:ascii="Arial Narrow" w:hAnsi="Arial Narrow"/>
                <w:lang w:val="es-ES_tradnl"/>
              </w:rPr>
              <w:t>Campinas</w:t>
            </w:r>
            <w:proofErr w:type="spellEnd"/>
            <w:r w:rsidRPr="00DA2C07">
              <w:rPr>
                <w:rFonts w:ascii="Arial Narrow" w:hAnsi="Arial Narrow"/>
                <w:lang w:val="es-ES_tradnl"/>
              </w:rPr>
              <w:t xml:space="preserve"> – </w:t>
            </w:r>
            <w:proofErr w:type="spellStart"/>
            <w:r w:rsidRPr="00DA2C07">
              <w:rPr>
                <w:rFonts w:ascii="Arial Narrow" w:hAnsi="Arial Narrow"/>
                <w:lang w:val="es-ES_tradnl"/>
              </w:rPr>
              <w:t>Unicamp</w:t>
            </w:r>
            <w:proofErr w:type="spellEnd"/>
          </w:p>
        </w:tc>
        <w:tc>
          <w:tcPr>
            <w:tcW w:w="1289"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595</w:t>
            </w:r>
          </w:p>
        </w:tc>
        <w:tc>
          <w:tcPr>
            <w:tcW w:w="1029"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1,01%</w:t>
            </w:r>
          </w:p>
        </w:tc>
      </w:tr>
      <w:tr w:rsidR="00B000C0" w:rsidRPr="00573DEB" w:rsidTr="00625608">
        <w:trPr>
          <w:trHeight w:val="255"/>
        </w:trPr>
        <w:tc>
          <w:tcPr>
            <w:tcW w:w="738" w:type="dxa"/>
            <w:tcBorders>
              <w:top w:val="nil"/>
              <w:left w:val="single" w:sz="4" w:space="0" w:color="auto"/>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3</w:t>
            </w:r>
          </w:p>
        </w:tc>
        <w:tc>
          <w:tcPr>
            <w:tcW w:w="6234" w:type="dxa"/>
            <w:tcBorders>
              <w:top w:val="nil"/>
              <w:left w:val="nil"/>
              <w:bottom w:val="single" w:sz="4" w:space="0" w:color="auto"/>
              <w:right w:val="single" w:sz="4" w:space="0" w:color="auto"/>
            </w:tcBorders>
            <w:noWrap/>
            <w:vAlign w:val="bottom"/>
          </w:tcPr>
          <w:p w:rsidR="00B000C0" w:rsidRPr="00DA2C07" w:rsidRDefault="00B000C0" w:rsidP="004B4B73">
            <w:pPr>
              <w:rPr>
                <w:rFonts w:ascii="Arial Narrow" w:hAnsi="Arial Narrow"/>
                <w:lang w:val="es-ES_tradnl"/>
              </w:rPr>
            </w:pPr>
            <w:proofErr w:type="spellStart"/>
            <w:r w:rsidRPr="00DA2C07">
              <w:rPr>
                <w:rFonts w:ascii="Arial Narrow" w:hAnsi="Arial Narrow"/>
                <w:lang w:val="es-ES_tradnl"/>
              </w:rPr>
              <w:t>Universidade</w:t>
            </w:r>
            <w:proofErr w:type="spellEnd"/>
            <w:r w:rsidRPr="00DA2C07">
              <w:rPr>
                <w:rFonts w:ascii="Arial Narrow" w:hAnsi="Arial Narrow"/>
                <w:lang w:val="es-ES_tradnl"/>
              </w:rPr>
              <w:t xml:space="preserve"> de São Paulo – USP</w:t>
            </w:r>
          </w:p>
        </w:tc>
        <w:tc>
          <w:tcPr>
            <w:tcW w:w="1289"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534</w:t>
            </w:r>
          </w:p>
        </w:tc>
        <w:tc>
          <w:tcPr>
            <w:tcW w:w="1029"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0,91%</w:t>
            </w:r>
          </w:p>
        </w:tc>
      </w:tr>
      <w:tr w:rsidR="00B000C0" w:rsidRPr="00573DEB" w:rsidTr="00625608">
        <w:trPr>
          <w:trHeight w:val="255"/>
        </w:trPr>
        <w:tc>
          <w:tcPr>
            <w:tcW w:w="738" w:type="dxa"/>
            <w:tcBorders>
              <w:top w:val="nil"/>
              <w:left w:val="single" w:sz="4" w:space="0" w:color="auto"/>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4</w:t>
            </w:r>
          </w:p>
        </w:tc>
        <w:tc>
          <w:tcPr>
            <w:tcW w:w="6234"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Whirlpool S.A.</w:t>
            </w:r>
          </w:p>
        </w:tc>
        <w:tc>
          <w:tcPr>
            <w:tcW w:w="1289"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492</w:t>
            </w:r>
          </w:p>
        </w:tc>
        <w:tc>
          <w:tcPr>
            <w:tcW w:w="1029"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0,84%</w:t>
            </w:r>
          </w:p>
        </w:tc>
      </w:tr>
      <w:tr w:rsidR="00B000C0" w:rsidRPr="00573DEB" w:rsidTr="00625608">
        <w:trPr>
          <w:trHeight w:val="255"/>
        </w:trPr>
        <w:tc>
          <w:tcPr>
            <w:tcW w:w="738" w:type="dxa"/>
            <w:tcBorders>
              <w:top w:val="nil"/>
              <w:left w:val="single" w:sz="4" w:space="0" w:color="auto"/>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5</w:t>
            </w:r>
          </w:p>
        </w:tc>
        <w:tc>
          <w:tcPr>
            <w:tcW w:w="6234" w:type="dxa"/>
            <w:tcBorders>
              <w:top w:val="nil"/>
              <w:left w:val="nil"/>
              <w:bottom w:val="single" w:sz="4" w:space="0" w:color="auto"/>
              <w:right w:val="single" w:sz="4" w:space="0" w:color="auto"/>
            </w:tcBorders>
            <w:noWrap/>
            <w:vAlign w:val="bottom"/>
          </w:tcPr>
          <w:p w:rsidR="00B000C0" w:rsidRPr="00DA2C07" w:rsidRDefault="00B000C0" w:rsidP="004B4B73">
            <w:pPr>
              <w:rPr>
                <w:rFonts w:ascii="Arial Narrow" w:hAnsi="Arial Narrow"/>
                <w:lang w:val="es-ES_tradnl"/>
              </w:rPr>
            </w:pPr>
            <w:proofErr w:type="spellStart"/>
            <w:r w:rsidRPr="00DA2C07">
              <w:rPr>
                <w:rFonts w:ascii="Arial Narrow" w:hAnsi="Arial Narrow"/>
                <w:lang w:val="es-ES_tradnl"/>
              </w:rPr>
              <w:t>Universidade</w:t>
            </w:r>
            <w:proofErr w:type="spellEnd"/>
            <w:r w:rsidRPr="00DA2C07">
              <w:rPr>
                <w:rFonts w:ascii="Arial Narrow" w:hAnsi="Arial Narrow"/>
                <w:lang w:val="es-ES_tradnl"/>
              </w:rPr>
              <w:t xml:space="preserve"> Federal de Minas Gerais – UFMG</w:t>
            </w:r>
          </w:p>
        </w:tc>
        <w:tc>
          <w:tcPr>
            <w:tcW w:w="1289"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385</w:t>
            </w:r>
          </w:p>
        </w:tc>
        <w:tc>
          <w:tcPr>
            <w:tcW w:w="1029"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0,65%</w:t>
            </w:r>
          </w:p>
        </w:tc>
      </w:tr>
      <w:tr w:rsidR="00B000C0" w:rsidRPr="00573DEB" w:rsidTr="00625608">
        <w:trPr>
          <w:trHeight w:val="255"/>
        </w:trPr>
        <w:tc>
          <w:tcPr>
            <w:tcW w:w="738" w:type="dxa"/>
            <w:tcBorders>
              <w:top w:val="nil"/>
              <w:left w:val="single" w:sz="4" w:space="0" w:color="auto"/>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6</w:t>
            </w:r>
          </w:p>
        </w:tc>
        <w:tc>
          <w:tcPr>
            <w:tcW w:w="6234" w:type="dxa"/>
            <w:tcBorders>
              <w:top w:val="nil"/>
              <w:left w:val="nil"/>
              <w:bottom w:val="single" w:sz="4" w:space="0" w:color="auto"/>
              <w:right w:val="single" w:sz="4" w:space="0" w:color="auto"/>
            </w:tcBorders>
            <w:noWrap/>
            <w:vAlign w:val="bottom"/>
          </w:tcPr>
          <w:p w:rsidR="00B000C0" w:rsidRPr="00DA2C07" w:rsidRDefault="00B000C0" w:rsidP="004B4B73">
            <w:pPr>
              <w:rPr>
                <w:rFonts w:ascii="Arial Narrow" w:hAnsi="Arial Narrow"/>
                <w:lang w:val="es-ES_tradnl"/>
              </w:rPr>
            </w:pPr>
            <w:proofErr w:type="spellStart"/>
            <w:r w:rsidRPr="00DA2C07">
              <w:rPr>
                <w:rFonts w:ascii="Arial Narrow" w:hAnsi="Arial Narrow"/>
                <w:lang w:val="es-ES_tradnl"/>
              </w:rPr>
              <w:t>Fundação</w:t>
            </w:r>
            <w:proofErr w:type="spellEnd"/>
            <w:r w:rsidRPr="00DA2C07">
              <w:rPr>
                <w:rFonts w:ascii="Arial Narrow" w:hAnsi="Arial Narrow"/>
                <w:lang w:val="es-ES_tradnl"/>
              </w:rPr>
              <w:t xml:space="preserve"> de Amparo à Pesquisa do Estado de São Paulo – FAPESP</w:t>
            </w:r>
          </w:p>
        </w:tc>
        <w:tc>
          <w:tcPr>
            <w:tcW w:w="1289"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342</w:t>
            </w:r>
          </w:p>
        </w:tc>
        <w:tc>
          <w:tcPr>
            <w:tcW w:w="1029"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0,58%</w:t>
            </w:r>
          </w:p>
        </w:tc>
      </w:tr>
      <w:tr w:rsidR="00B000C0" w:rsidRPr="00573DEB" w:rsidTr="00625608">
        <w:trPr>
          <w:trHeight w:val="255"/>
        </w:trPr>
        <w:tc>
          <w:tcPr>
            <w:tcW w:w="738" w:type="dxa"/>
            <w:tcBorders>
              <w:top w:val="nil"/>
              <w:left w:val="single" w:sz="4" w:space="0" w:color="auto"/>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7</w:t>
            </w:r>
          </w:p>
        </w:tc>
        <w:tc>
          <w:tcPr>
            <w:tcW w:w="6234" w:type="dxa"/>
            <w:tcBorders>
              <w:top w:val="nil"/>
              <w:left w:val="nil"/>
              <w:bottom w:val="single" w:sz="4" w:space="0" w:color="auto"/>
              <w:right w:val="single" w:sz="4" w:space="0" w:color="auto"/>
            </w:tcBorders>
            <w:noWrap/>
            <w:vAlign w:val="bottom"/>
          </w:tcPr>
          <w:p w:rsidR="00B000C0" w:rsidRPr="00DA2C07" w:rsidRDefault="00B000C0" w:rsidP="004B4B73">
            <w:pPr>
              <w:rPr>
                <w:rFonts w:ascii="Arial Narrow" w:hAnsi="Arial Narrow"/>
                <w:lang w:val="es-ES_tradnl"/>
              </w:rPr>
            </w:pPr>
            <w:proofErr w:type="spellStart"/>
            <w:r w:rsidRPr="00DA2C07">
              <w:rPr>
                <w:rFonts w:ascii="Arial Narrow" w:hAnsi="Arial Narrow"/>
                <w:lang w:val="es-ES_tradnl"/>
              </w:rPr>
              <w:t>Universidade</w:t>
            </w:r>
            <w:proofErr w:type="spellEnd"/>
            <w:r w:rsidRPr="00DA2C07">
              <w:rPr>
                <w:rFonts w:ascii="Arial Narrow" w:hAnsi="Arial Narrow"/>
                <w:lang w:val="es-ES_tradnl"/>
              </w:rPr>
              <w:t xml:space="preserve"> Federal do Rio de  Janeiro – UFRJ</w:t>
            </w:r>
          </w:p>
        </w:tc>
        <w:tc>
          <w:tcPr>
            <w:tcW w:w="1289"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279</w:t>
            </w:r>
          </w:p>
        </w:tc>
        <w:tc>
          <w:tcPr>
            <w:tcW w:w="1029"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0,47%</w:t>
            </w:r>
          </w:p>
        </w:tc>
      </w:tr>
      <w:tr w:rsidR="00B000C0" w:rsidRPr="00573DEB" w:rsidTr="00625608">
        <w:trPr>
          <w:trHeight w:val="255"/>
        </w:trPr>
        <w:tc>
          <w:tcPr>
            <w:tcW w:w="738" w:type="dxa"/>
            <w:tcBorders>
              <w:top w:val="nil"/>
              <w:left w:val="single" w:sz="4" w:space="0" w:color="auto"/>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8</w:t>
            </w:r>
          </w:p>
        </w:tc>
        <w:tc>
          <w:tcPr>
            <w:tcW w:w="6234" w:type="dxa"/>
            <w:tcBorders>
              <w:top w:val="nil"/>
              <w:left w:val="nil"/>
              <w:bottom w:val="single" w:sz="4" w:space="0" w:color="auto"/>
              <w:right w:val="single" w:sz="4" w:space="0" w:color="auto"/>
            </w:tcBorders>
            <w:noWrap/>
            <w:vAlign w:val="bottom"/>
          </w:tcPr>
          <w:p w:rsidR="00B000C0" w:rsidRPr="00DA2C07" w:rsidRDefault="00B000C0" w:rsidP="004B4B73">
            <w:pPr>
              <w:rPr>
                <w:rFonts w:ascii="Arial Narrow" w:hAnsi="Arial Narrow"/>
                <w:lang w:val="es-ES_tradnl"/>
              </w:rPr>
            </w:pPr>
            <w:proofErr w:type="spellStart"/>
            <w:r w:rsidRPr="00DA2C07">
              <w:rPr>
                <w:rFonts w:ascii="Arial Narrow" w:hAnsi="Arial Narrow"/>
                <w:lang w:val="es-ES_tradnl"/>
              </w:rPr>
              <w:t>Fundação</w:t>
            </w:r>
            <w:proofErr w:type="spellEnd"/>
            <w:r w:rsidRPr="00DA2C07">
              <w:rPr>
                <w:rFonts w:ascii="Arial Narrow" w:hAnsi="Arial Narrow"/>
                <w:lang w:val="es-ES_tradnl"/>
              </w:rPr>
              <w:t xml:space="preserve"> de Amparo à Pesquisa do Estado de Minas Gerais – FAPEMIG</w:t>
            </w:r>
          </w:p>
        </w:tc>
        <w:tc>
          <w:tcPr>
            <w:tcW w:w="1289"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169</w:t>
            </w:r>
          </w:p>
        </w:tc>
        <w:tc>
          <w:tcPr>
            <w:tcW w:w="1029"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0,29%</w:t>
            </w:r>
          </w:p>
        </w:tc>
      </w:tr>
      <w:tr w:rsidR="00B000C0" w:rsidRPr="00573DEB" w:rsidTr="00625608">
        <w:trPr>
          <w:trHeight w:val="255"/>
        </w:trPr>
        <w:tc>
          <w:tcPr>
            <w:tcW w:w="738" w:type="dxa"/>
            <w:tcBorders>
              <w:top w:val="nil"/>
              <w:left w:val="single" w:sz="4" w:space="0" w:color="auto"/>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9</w:t>
            </w:r>
          </w:p>
        </w:tc>
        <w:tc>
          <w:tcPr>
            <w:tcW w:w="6234" w:type="dxa"/>
            <w:tcBorders>
              <w:top w:val="nil"/>
              <w:left w:val="nil"/>
              <w:bottom w:val="single" w:sz="4" w:space="0" w:color="auto"/>
              <w:right w:val="single" w:sz="4" w:space="0" w:color="auto"/>
            </w:tcBorders>
            <w:noWrap/>
            <w:vAlign w:val="bottom"/>
          </w:tcPr>
          <w:p w:rsidR="00B000C0" w:rsidRPr="00DA2C07" w:rsidRDefault="00B000C0" w:rsidP="004B4B73">
            <w:pPr>
              <w:rPr>
                <w:rFonts w:ascii="Arial Narrow" w:hAnsi="Arial Narrow"/>
                <w:lang w:val="es-ES_tradnl"/>
              </w:rPr>
            </w:pPr>
            <w:proofErr w:type="spellStart"/>
            <w:r w:rsidRPr="00DA2C07">
              <w:rPr>
                <w:rFonts w:ascii="Arial Narrow" w:hAnsi="Arial Narrow"/>
                <w:lang w:val="es-ES_tradnl"/>
              </w:rPr>
              <w:t>Universidade</w:t>
            </w:r>
            <w:proofErr w:type="spellEnd"/>
            <w:r w:rsidRPr="00DA2C07">
              <w:rPr>
                <w:rFonts w:ascii="Arial Narrow" w:hAnsi="Arial Narrow"/>
                <w:lang w:val="es-ES_tradnl"/>
              </w:rPr>
              <w:t xml:space="preserve"> Federal do Rio Grande do Sul – UFRGS</w:t>
            </w:r>
          </w:p>
        </w:tc>
        <w:tc>
          <w:tcPr>
            <w:tcW w:w="1289"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162</w:t>
            </w:r>
          </w:p>
        </w:tc>
        <w:tc>
          <w:tcPr>
            <w:tcW w:w="1029"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0,28%</w:t>
            </w:r>
          </w:p>
        </w:tc>
      </w:tr>
      <w:tr w:rsidR="00B000C0" w:rsidRPr="00573DEB" w:rsidTr="00625608">
        <w:trPr>
          <w:trHeight w:val="255"/>
        </w:trPr>
        <w:tc>
          <w:tcPr>
            <w:tcW w:w="738" w:type="dxa"/>
            <w:tcBorders>
              <w:top w:val="nil"/>
              <w:left w:val="single" w:sz="4" w:space="0" w:color="auto"/>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10</w:t>
            </w:r>
          </w:p>
        </w:tc>
        <w:tc>
          <w:tcPr>
            <w:tcW w:w="6234"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proofErr w:type="spellStart"/>
            <w:r w:rsidRPr="00573DEB">
              <w:rPr>
                <w:rFonts w:ascii="Arial Narrow" w:hAnsi="Arial Narrow"/>
              </w:rPr>
              <w:t>Multibrás</w:t>
            </w:r>
            <w:proofErr w:type="spellEnd"/>
            <w:r w:rsidRPr="00573DEB">
              <w:rPr>
                <w:rFonts w:ascii="Arial Narrow" w:hAnsi="Arial Narrow"/>
              </w:rPr>
              <w:t xml:space="preserve"> S.A</w:t>
            </w:r>
            <w:r w:rsidR="004B4B73" w:rsidRPr="00573DEB">
              <w:rPr>
                <w:rFonts w:ascii="Arial Narrow" w:hAnsi="Arial Narrow"/>
              </w:rPr>
              <w:t xml:space="preserve">.  </w:t>
            </w:r>
            <w:proofErr w:type="spellStart"/>
            <w:r w:rsidRPr="00573DEB">
              <w:rPr>
                <w:rFonts w:ascii="Arial Narrow" w:hAnsi="Arial Narrow"/>
              </w:rPr>
              <w:t>Eletrodomésticos</w:t>
            </w:r>
            <w:proofErr w:type="spellEnd"/>
          </w:p>
        </w:tc>
        <w:tc>
          <w:tcPr>
            <w:tcW w:w="1289"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160</w:t>
            </w:r>
          </w:p>
        </w:tc>
        <w:tc>
          <w:tcPr>
            <w:tcW w:w="1029"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0,27%</w:t>
            </w:r>
          </w:p>
        </w:tc>
      </w:tr>
      <w:tr w:rsidR="00B000C0" w:rsidRPr="00573DEB" w:rsidTr="00625608">
        <w:trPr>
          <w:trHeight w:val="255"/>
        </w:trPr>
        <w:tc>
          <w:tcPr>
            <w:tcW w:w="6972" w:type="dxa"/>
            <w:gridSpan w:val="2"/>
            <w:tcBorders>
              <w:top w:val="nil"/>
              <w:left w:val="single" w:sz="4" w:space="0" w:color="auto"/>
              <w:bottom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Top 10 total</w:t>
            </w:r>
          </w:p>
        </w:tc>
        <w:tc>
          <w:tcPr>
            <w:tcW w:w="1289" w:type="dxa"/>
            <w:tcBorders>
              <w:top w:val="nil"/>
              <w:left w:val="single" w:sz="4" w:space="0" w:color="auto"/>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3.814</w:t>
            </w:r>
          </w:p>
        </w:tc>
        <w:tc>
          <w:tcPr>
            <w:tcW w:w="1029"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6,49%</w:t>
            </w:r>
          </w:p>
        </w:tc>
      </w:tr>
      <w:tr w:rsidR="00B000C0" w:rsidRPr="00573DEB" w:rsidTr="00625608">
        <w:trPr>
          <w:trHeight w:val="255"/>
        </w:trPr>
        <w:tc>
          <w:tcPr>
            <w:tcW w:w="6972" w:type="dxa"/>
            <w:gridSpan w:val="2"/>
            <w:tcBorders>
              <w:top w:val="nil"/>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Total resident applications</w:t>
            </w:r>
          </w:p>
        </w:tc>
        <w:tc>
          <w:tcPr>
            <w:tcW w:w="1289"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58.783</w:t>
            </w:r>
          </w:p>
        </w:tc>
        <w:tc>
          <w:tcPr>
            <w:tcW w:w="1029"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100,00%</w:t>
            </w:r>
          </w:p>
        </w:tc>
      </w:tr>
      <w:tr w:rsidR="00B000C0" w:rsidRPr="00573DEB" w:rsidTr="00625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6972" w:type="dxa"/>
            <w:gridSpan w:val="2"/>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Total applications (including non-residents)</w:t>
            </w:r>
          </w:p>
        </w:tc>
        <w:tc>
          <w:tcPr>
            <w:tcW w:w="1289"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282,820</w:t>
            </w:r>
          </w:p>
        </w:tc>
        <w:tc>
          <w:tcPr>
            <w:tcW w:w="1029" w:type="dxa"/>
            <w:tcBorders>
              <w:top w:val="single" w:sz="4" w:space="0" w:color="auto"/>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p>
        </w:tc>
      </w:tr>
    </w:tbl>
    <w:p w:rsidR="00B000C0" w:rsidRPr="00573DEB" w:rsidRDefault="00B000C0" w:rsidP="004B4B73"/>
    <w:p w:rsidR="00B000C0" w:rsidRDefault="00B000C0" w:rsidP="004B4B73"/>
    <w:p w:rsidR="00F86B70" w:rsidRPr="00573DEB" w:rsidRDefault="00F86B70" w:rsidP="004B4B73"/>
    <w:p w:rsidR="00B000C0" w:rsidRPr="00573DEB" w:rsidRDefault="0050316E" w:rsidP="0050316E">
      <w:pPr>
        <w:pStyle w:val="Heading2"/>
      </w:pPr>
      <w:r w:rsidRPr="00573DEB">
        <w:t>Patents applications by r</w:t>
      </w:r>
      <w:r w:rsidR="00B000C0" w:rsidRPr="00573DEB">
        <w:t>esident</w:t>
      </w:r>
      <w:r w:rsidRPr="00573DEB">
        <w:t>s</w:t>
      </w:r>
    </w:p>
    <w:p w:rsidR="00B000C0" w:rsidRPr="00573DEB" w:rsidRDefault="00B000C0" w:rsidP="0050316E"/>
    <w:p w:rsidR="00B000C0" w:rsidRPr="00573DEB" w:rsidRDefault="00B000C0" w:rsidP="004B4B73">
      <w:r w:rsidRPr="00573DEB">
        <w:t>Brazilian resident applications can be classified in three types of applicants: companies, universities and individuals</w:t>
      </w:r>
      <w:r w:rsidRPr="00573DEB">
        <w:rPr>
          <w:vertAlign w:val="superscript"/>
        </w:rPr>
        <w:footnoteReference w:id="23"/>
      </w:r>
      <w:r w:rsidR="004B4B73" w:rsidRPr="00573DEB">
        <w:t xml:space="preserve">.  </w:t>
      </w:r>
      <w:r w:rsidRPr="00573DEB">
        <w:t>Figure 4.8 shows that individuals are the main applicants but companies and universities also increased their participation during the period</w:t>
      </w:r>
      <w:r w:rsidR="004B4B73" w:rsidRPr="00573DEB">
        <w:t xml:space="preserve">.  </w:t>
      </w:r>
    </w:p>
    <w:p w:rsidR="00B000C0" w:rsidRPr="00573DEB" w:rsidRDefault="00B000C0" w:rsidP="004B4B73"/>
    <w:p w:rsidR="00B000C0" w:rsidRPr="00573DEB" w:rsidRDefault="00B000C0" w:rsidP="004B4B73">
      <w:r w:rsidRPr="00573DEB">
        <w:t xml:space="preserve">In 2000, individuals concentrated more than 70% of total patent applications </w:t>
      </w:r>
      <w:r w:rsidR="00334CC6" w:rsidRPr="00573DEB">
        <w:t>(</w:t>
      </w:r>
      <w:r w:rsidRPr="00573DEB">
        <w:t xml:space="preserve">2,286 applications), while companies accounted for 26.8% </w:t>
      </w:r>
      <w:r w:rsidR="00334CC6" w:rsidRPr="00573DEB">
        <w:t>(</w:t>
      </w:r>
      <w:r w:rsidRPr="00573DEB">
        <w:t>861 applications) and universities had a very small participation of 2.0%</w:t>
      </w:r>
      <w:r w:rsidR="004B4B73" w:rsidRPr="00573DEB">
        <w:t xml:space="preserve">.  </w:t>
      </w:r>
      <w:r w:rsidRPr="00573DEB">
        <w:t>During the period, the number of patent applications from universities had a relevant increase, with 13.8% of total applications in 2011 (or 652 applications), while the number of patent applications from companies almost duplicated and reached 34.2% of total applications in 2011 (1,619)</w:t>
      </w:r>
      <w:r w:rsidR="004B4B73" w:rsidRPr="00573DEB">
        <w:t xml:space="preserve">.  </w:t>
      </w:r>
      <w:r w:rsidRPr="00573DEB">
        <w:t>Individuals also increased (7.5%) their number of patent applications (to 2,459 applications in 2011) but their participation dropped to 52%.</w:t>
      </w:r>
    </w:p>
    <w:p w:rsidR="00B000C0" w:rsidRPr="00573DEB" w:rsidRDefault="00B000C0" w:rsidP="004B4B73"/>
    <w:p w:rsidR="009A0235" w:rsidRPr="00573DEB" w:rsidRDefault="009A0235" w:rsidP="009A0235">
      <w:r w:rsidRPr="00573DEB">
        <w:t>It is necessary to further investigate the reasons behind the fact that the majority of patent applications are from individuals and identify whether they are inventors and applicants at the same time or if the owners of companies prefer to have patents in their names.  In addition to that, Figure 4.8 shows that the composition of applicants has changed.  This could be a result of the several incentives implement by recent industrial and innovation policies or a result of internal changes at INPI-Brazil, who became more active in its efforts for the national dissemination of the use of intellectual property at universities and companies.</w:t>
      </w:r>
    </w:p>
    <w:p w:rsidR="00B000C0" w:rsidRDefault="00B000C0" w:rsidP="004B4B73"/>
    <w:p w:rsidR="009A0235" w:rsidRPr="00573DEB" w:rsidRDefault="009A0235" w:rsidP="004B4B73"/>
    <w:p w:rsidR="00B000C0" w:rsidRPr="00573DEB" w:rsidRDefault="000C6B94" w:rsidP="00E06D92">
      <w:pPr>
        <w:pStyle w:val="Caption"/>
      </w:pPr>
      <w:bookmarkStart w:id="51" w:name="_Toc377053288"/>
      <w:bookmarkStart w:id="52" w:name="_Toc378267958"/>
      <w:r>
        <w:rPr>
          <w:lang w:eastAsia="pt-BR"/>
        </w:rPr>
        <w:t xml:space="preserve">Figure 4.8:  </w:t>
      </w:r>
      <w:r w:rsidR="00B000C0" w:rsidRPr="00573DEB">
        <w:t>Patent from residents, by type of applicant, 2000-2011</w:t>
      </w:r>
      <w:bookmarkEnd w:id="51"/>
      <w:bookmarkEnd w:id="52"/>
    </w:p>
    <w:p w:rsidR="00B000C0" w:rsidRPr="00573DEB" w:rsidRDefault="00B000C0" w:rsidP="004B4B73">
      <w:r w:rsidRPr="00573DEB">
        <w:rPr>
          <w:noProof/>
        </w:rPr>
        <w:drawing>
          <wp:inline distT="0" distB="0" distL="0" distR="0" wp14:anchorId="1C825A14" wp14:editId="4FC681D0">
            <wp:extent cx="5741035" cy="2337435"/>
            <wp:effectExtent l="0" t="0" r="0" b="5715"/>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8"/>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1035" cy="2337435"/>
                    </a:xfrm>
                    <a:prstGeom prst="rect">
                      <a:avLst/>
                    </a:prstGeom>
                    <a:noFill/>
                    <a:ln>
                      <a:noFill/>
                    </a:ln>
                  </pic:spPr>
                </pic:pic>
              </a:graphicData>
            </a:graphic>
          </wp:inline>
        </w:drawing>
      </w:r>
    </w:p>
    <w:p w:rsidR="00B000C0" w:rsidRPr="00F65AD8" w:rsidRDefault="00B000C0" w:rsidP="00E06D92">
      <w:pPr>
        <w:pStyle w:val="Captionnotes"/>
        <w:rPr>
          <w:i w:val="0"/>
        </w:rPr>
      </w:pPr>
      <w:r w:rsidRPr="00F65AD8">
        <w:rPr>
          <w:i w:val="0"/>
        </w:rPr>
        <w:t xml:space="preserve">Source: </w:t>
      </w:r>
      <w:r w:rsidR="00F65AD8">
        <w:rPr>
          <w:i w:val="0"/>
        </w:rPr>
        <w:t xml:space="preserve"> </w:t>
      </w:r>
      <w:r w:rsidRPr="00F65AD8">
        <w:rPr>
          <w:i w:val="0"/>
        </w:rPr>
        <w:t>INPI’s Statistical database (BADEPI)</w:t>
      </w:r>
    </w:p>
    <w:p w:rsidR="00B000C0" w:rsidRPr="00573DEB" w:rsidRDefault="00B000C0" w:rsidP="004B4B73"/>
    <w:p w:rsidR="00625608" w:rsidRPr="00573DEB" w:rsidRDefault="00625608" w:rsidP="004B4B73"/>
    <w:p w:rsidR="00E06D92" w:rsidRPr="00573DEB" w:rsidRDefault="00E06D92" w:rsidP="004B4B73"/>
    <w:p w:rsidR="00B000C0" w:rsidRPr="00573DEB" w:rsidRDefault="0050316E" w:rsidP="0050316E">
      <w:pPr>
        <w:pStyle w:val="Heading2"/>
      </w:pPr>
      <w:bookmarkStart w:id="53" w:name="_Toc388619921"/>
      <w:r w:rsidRPr="00573DEB">
        <w:t xml:space="preserve">Resident patents </w:t>
      </w:r>
      <w:r w:rsidR="00B000C0" w:rsidRPr="00573DEB">
        <w:t>applications by economic sector</w:t>
      </w:r>
      <w:bookmarkEnd w:id="53"/>
    </w:p>
    <w:p w:rsidR="00B000C0" w:rsidRPr="00573DEB" w:rsidRDefault="00B000C0" w:rsidP="004B4B73"/>
    <w:p w:rsidR="00B000C0" w:rsidRPr="00573DEB" w:rsidRDefault="00B000C0" w:rsidP="004B4B73">
      <w:r w:rsidRPr="00573DEB">
        <w:t>With regard only to resident companies, applications can be broken down by economic sectors, which refers to the 87 activities (from agriculture, industry and services) of the "National Classification of Economic Activities" (CNAE)</w:t>
      </w:r>
      <w:r w:rsidR="004B4B73" w:rsidRPr="00573DEB">
        <w:t xml:space="preserve">.  </w:t>
      </w:r>
      <w:r w:rsidRPr="00573DEB">
        <w:t>The CNAE follows the same methodology of the International Standard Industrial Classification of all Economic Activities (ISIC Rev.4)</w:t>
      </w:r>
      <w:r w:rsidR="004B4B73" w:rsidRPr="00573DEB">
        <w:t xml:space="preserve">.  </w:t>
      </w:r>
      <w:r w:rsidRPr="00573DEB">
        <w:t>In this report, references to an economic sector use the CNAE classification (2-digits level)</w:t>
      </w:r>
      <w:r w:rsidR="004B4B73" w:rsidRPr="00573DEB">
        <w:t xml:space="preserve">.  </w:t>
      </w:r>
      <w:r w:rsidRPr="00573DEB">
        <w:t>Data, however, are not available for all resident companies</w:t>
      </w:r>
      <w:r w:rsidRPr="00573DEB">
        <w:rPr>
          <w:vertAlign w:val="superscript"/>
        </w:rPr>
        <w:footnoteReference w:id="24"/>
      </w:r>
      <w:r w:rsidRPr="00573DEB">
        <w:t>.</w:t>
      </w:r>
    </w:p>
    <w:p w:rsidR="00B000C0" w:rsidRPr="00573DEB" w:rsidRDefault="00B000C0" w:rsidP="004B4B73"/>
    <w:p w:rsidR="00B000C0" w:rsidRPr="00573DEB" w:rsidRDefault="00B000C0" w:rsidP="004B4B73"/>
    <w:p w:rsidR="00B000C0" w:rsidRPr="00573DEB" w:rsidRDefault="000C6B94" w:rsidP="00E06D92">
      <w:pPr>
        <w:pStyle w:val="Caption"/>
      </w:pPr>
      <w:bookmarkStart w:id="54" w:name="_Toc377374691"/>
      <w:bookmarkStart w:id="55" w:name="_Toc378267995"/>
      <w:r>
        <w:t xml:space="preserve">Table 4.3:  </w:t>
      </w:r>
      <w:r w:rsidR="00B000C0" w:rsidRPr="00573DEB">
        <w:t>Patent applications by economic sectors (ISIC Rev.4)</w:t>
      </w:r>
      <w:bookmarkEnd w:id="54"/>
      <w:r w:rsidR="00B000C0" w:rsidRPr="00573DEB">
        <w:t>, 2006/2011</w:t>
      </w:r>
      <w:bookmarkEnd w:id="55"/>
    </w:p>
    <w:tbl>
      <w:tblPr>
        <w:tblW w:w="8720" w:type="dxa"/>
        <w:jc w:val="center"/>
        <w:tblLook w:val="00A0" w:firstRow="1" w:lastRow="0" w:firstColumn="1" w:lastColumn="0" w:noHBand="0" w:noVBand="0"/>
      </w:tblPr>
      <w:tblGrid>
        <w:gridCol w:w="5260"/>
        <w:gridCol w:w="767"/>
        <w:gridCol w:w="963"/>
        <w:gridCol w:w="767"/>
        <w:gridCol w:w="963"/>
      </w:tblGrid>
      <w:tr w:rsidR="00B000C0" w:rsidRPr="00573DEB" w:rsidTr="004B4B73">
        <w:trPr>
          <w:trHeight w:val="300"/>
          <w:jc w:val="center"/>
        </w:trPr>
        <w:tc>
          <w:tcPr>
            <w:tcW w:w="5260" w:type="dxa"/>
            <w:tcBorders>
              <w:top w:val="single" w:sz="4" w:space="0" w:color="auto"/>
              <w:left w:val="single" w:sz="4" w:space="0" w:color="auto"/>
              <w:bottom w:val="single" w:sz="4" w:space="0" w:color="auto"/>
              <w:right w:val="single" w:sz="4" w:space="0" w:color="auto"/>
            </w:tcBorders>
            <w:shd w:val="clear" w:color="auto" w:fill="C6D9F1"/>
            <w:noWrap/>
            <w:vAlign w:val="bottom"/>
          </w:tcPr>
          <w:p w:rsidR="00B000C0" w:rsidRPr="00573DEB" w:rsidRDefault="00B000C0" w:rsidP="004B4B73">
            <w:r w:rsidRPr="00573DEB">
              <w:t> </w:t>
            </w:r>
          </w:p>
        </w:tc>
        <w:tc>
          <w:tcPr>
            <w:tcW w:w="767" w:type="dxa"/>
            <w:tcBorders>
              <w:top w:val="single" w:sz="4" w:space="0" w:color="auto"/>
              <w:left w:val="nil"/>
              <w:bottom w:val="single" w:sz="4" w:space="0" w:color="auto"/>
              <w:right w:val="single" w:sz="4" w:space="0" w:color="auto"/>
            </w:tcBorders>
            <w:shd w:val="clear" w:color="auto" w:fill="C6D9F1"/>
            <w:noWrap/>
            <w:vAlign w:val="bottom"/>
          </w:tcPr>
          <w:p w:rsidR="00B000C0" w:rsidRPr="00573DEB" w:rsidRDefault="00B000C0" w:rsidP="004B4B73">
            <w:r w:rsidRPr="00573DEB">
              <w:t>2006</w:t>
            </w:r>
          </w:p>
        </w:tc>
        <w:tc>
          <w:tcPr>
            <w:tcW w:w="963" w:type="dxa"/>
            <w:tcBorders>
              <w:top w:val="single" w:sz="4" w:space="0" w:color="auto"/>
              <w:left w:val="nil"/>
              <w:bottom w:val="single" w:sz="4" w:space="0" w:color="auto"/>
              <w:right w:val="single" w:sz="4" w:space="0" w:color="auto"/>
            </w:tcBorders>
            <w:shd w:val="clear" w:color="auto" w:fill="C6D9F1"/>
            <w:noWrap/>
            <w:vAlign w:val="bottom"/>
          </w:tcPr>
          <w:p w:rsidR="00B000C0" w:rsidRPr="00573DEB" w:rsidRDefault="00B000C0" w:rsidP="004B4B73">
            <w:r w:rsidRPr="00573DEB">
              <w:t>2006</w:t>
            </w:r>
          </w:p>
        </w:tc>
        <w:tc>
          <w:tcPr>
            <w:tcW w:w="767" w:type="dxa"/>
            <w:tcBorders>
              <w:top w:val="single" w:sz="4" w:space="0" w:color="auto"/>
              <w:left w:val="nil"/>
              <w:bottom w:val="single" w:sz="4" w:space="0" w:color="auto"/>
              <w:right w:val="single" w:sz="4" w:space="0" w:color="auto"/>
            </w:tcBorders>
            <w:shd w:val="clear" w:color="auto" w:fill="C6D9F1"/>
            <w:noWrap/>
            <w:vAlign w:val="bottom"/>
          </w:tcPr>
          <w:p w:rsidR="00B000C0" w:rsidRPr="00573DEB" w:rsidRDefault="00B000C0" w:rsidP="004B4B73">
            <w:r w:rsidRPr="00573DEB">
              <w:t>2011</w:t>
            </w:r>
          </w:p>
        </w:tc>
        <w:tc>
          <w:tcPr>
            <w:tcW w:w="963" w:type="dxa"/>
            <w:tcBorders>
              <w:top w:val="single" w:sz="4" w:space="0" w:color="auto"/>
              <w:left w:val="nil"/>
              <w:bottom w:val="single" w:sz="4" w:space="0" w:color="auto"/>
              <w:right w:val="single" w:sz="4" w:space="0" w:color="auto"/>
            </w:tcBorders>
            <w:shd w:val="clear" w:color="auto" w:fill="C6D9F1"/>
            <w:noWrap/>
            <w:vAlign w:val="bottom"/>
          </w:tcPr>
          <w:p w:rsidR="00B000C0" w:rsidRPr="00573DEB" w:rsidRDefault="00B000C0" w:rsidP="004B4B73">
            <w:r w:rsidRPr="00573DEB">
              <w:t>2011</w:t>
            </w:r>
          </w:p>
        </w:tc>
      </w:tr>
      <w:tr w:rsidR="00B000C0" w:rsidRPr="00573DEB" w:rsidTr="004B4B73">
        <w:trPr>
          <w:trHeight w:val="300"/>
          <w:jc w:val="center"/>
        </w:trPr>
        <w:tc>
          <w:tcPr>
            <w:tcW w:w="5260" w:type="dxa"/>
            <w:tcBorders>
              <w:top w:val="nil"/>
              <w:left w:val="single" w:sz="4" w:space="0" w:color="auto"/>
              <w:bottom w:val="single" w:sz="4" w:space="0" w:color="auto"/>
              <w:right w:val="single" w:sz="4" w:space="0" w:color="auto"/>
            </w:tcBorders>
            <w:noWrap/>
            <w:vAlign w:val="bottom"/>
          </w:tcPr>
          <w:p w:rsidR="00B000C0" w:rsidRPr="00573DEB" w:rsidRDefault="00B000C0" w:rsidP="004B4B73">
            <w:r w:rsidRPr="00573DEB">
              <w:t>Total </w:t>
            </w:r>
          </w:p>
        </w:tc>
        <w:tc>
          <w:tcPr>
            <w:tcW w:w="767" w:type="dxa"/>
            <w:tcBorders>
              <w:top w:val="nil"/>
              <w:left w:val="nil"/>
              <w:bottom w:val="single" w:sz="4" w:space="0" w:color="auto"/>
              <w:right w:val="single" w:sz="4" w:space="0" w:color="auto"/>
            </w:tcBorders>
            <w:noWrap/>
            <w:vAlign w:val="bottom"/>
          </w:tcPr>
          <w:p w:rsidR="00B000C0" w:rsidRPr="00573DEB" w:rsidRDefault="00B000C0" w:rsidP="004B4B73">
            <w:r w:rsidRPr="00573DEB">
              <w:t>1.488</w:t>
            </w:r>
          </w:p>
        </w:tc>
        <w:tc>
          <w:tcPr>
            <w:tcW w:w="963"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r w:rsidRPr="00573DEB">
              <w:t>100,0%</w:t>
            </w:r>
          </w:p>
        </w:tc>
        <w:tc>
          <w:tcPr>
            <w:tcW w:w="767" w:type="dxa"/>
            <w:tcBorders>
              <w:top w:val="nil"/>
              <w:left w:val="nil"/>
              <w:bottom w:val="single" w:sz="4" w:space="0" w:color="auto"/>
              <w:right w:val="single" w:sz="4" w:space="0" w:color="auto"/>
            </w:tcBorders>
            <w:noWrap/>
            <w:vAlign w:val="bottom"/>
          </w:tcPr>
          <w:p w:rsidR="00B000C0" w:rsidRPr="00573DEB" w:rsidRDefault="00B000C0" w:rsidP="004B4B73">
            <w:r w:rsidRPr="00573DEB">
              <w:t>2.274</w:t>
            </w:r>
          </w:p>
        </w:tc>
        <w:tc>
          <w:tcPr>
            <w:tcW w:w="963"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r w:rsidRPr="00573DEB">
              <w:t>100,0%</w:t>
            </w:r>
          </w:p>
        </w:tc>
      </w:tr>
      <w:tr w:rsidR="00B000C0" w:rsidRPr="00573DEB" w:rsidTr="004B4B73">
        <w:trPr>
          <w:trHeight w:val="300"/>
          <w:jc w:val="center"/>
        </w:trPr>
        <w:tc>
          <w:tcPr>
            <w:tcW w:w="5260" w:type="dxa"/>
            <w:tcBorders>
              <w:top w:val="nil"/>
              <w:left w:val="single" w:sz="4" w:space="0" w:color="auto"/>
              <w:bottom w:val="single" w:sz="4" w:space="0" w:color="auto"/>
              <w:right w:val="single" w:sz="4" w:space="0" w:color="auto"/>
            </w:tcBorders>
            <w:noWrap/>
            <w:vAlign w:val="bottom"/>
          </w:tcPr>
          <w:p w:rsidR="00B000C0" w:rsidRPr="00573DEB" w:rsidRDefault="00B000C0" w:rsidP="004B4B73">
            <w:r w:rsidRPr="00573DEB">
              <w:t>Education</w:t>
            </w:r>
          </w:p>
        </w:tc>
        <w:tc>
          <w:tcPr>
            <w:tcW w:w="767" w:type="dxa"/>
            <w:tcBorders>
              <w:top w:val="nil"/>
              <w:left w:val="nil"/>
              <w:bottom w:val="single" w:sz="4" w:space="0" w:color="auto"/>
              <w:right w:val="single" w:sz="4" w:space="0" w:color="auto"/>
            </w:tcBorders>
            <w:noWrap/>
            <w:vAlign w:val="bottom"/>
          </w:tcPr>
          <w:p w:rsidR="00B000C0" w:rsidRPr="00573DEB" w:rsidRDefault="00B000C0" w:rsidP="004B4B73">
            <w:r w:rsidRPr="00573DEB">
              <w:t>207</w:t>
            </w:r>
          </w:p>
        </w:tc>
        <w:tc>
          <w:tcPr>
            <w:tcW w:w="963"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r w:rsidRPr="00573DEB">
              <w:t>13,9%</w:t>
            </w:r>
          </w:p>
        </w:tc>
        <w:tc>
          <w:tcPr>
            <w:tcW w:w="767" w:type="dxa"/>
            <w:tcBorders>
              <w:top w:val="nil"/>
              <w:left w:val="nil"/>
              <w:bottom w:val="single" w:sz="4" w:space="0" w:color="auto"/>
              <w:right w:val="single" w:sz="4" w:space="0" w:color="auto"/>
            </w:tcBorders>
            <w:noWrap/>
            <w:vAlign w:val="bottom"/>
          </w:tcPr>
          <w:p w:rsidR="00B000C0" w:rsidRPr="00573DEB" w:rsidRDefault="00B000C0" w:rsidP="004B4B73">
            <w:r w:rsidRPr="00573DEB">
              <w:t>499</w:t>
            </w:r>
          </w:p>
        </w:tc>
        <w:tc>
          <w:tcPr>
            <w:tcW w:w="963"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r w:rsidRPr="00573DEB">
              <w:t>21,9%</w:t>
            </w:r>
          </w:p>
        </w:tc>
      </w:tr>
      <w:tr w:rsidR="00B000C0" w:rsidRPr="00573DEB" w:rsidTr="004B4B73">
        <w:trPr>
          <w:trHeight w:val="300"/>
          <w:jc w:val="center"/>
        </w:trPr>
        <w:tc>
          <w:tcPr>
            <w:tcW w:w="5260" w:type="dxa"/>
            <w:tcBorders>
              <w:top w:val="nil"/>
              <w:left w:val="single" w:sz="4" w:space="0" w:color="auto"/>
              <w:bottom w:val="single" w:sz="4" w:space="0" w:color="auto"/>
              <w:right w:val="single" w:sz="4" w:space="0" w:color="auto"/>
            </w:tcBorders>
            <w:noWrap/>
            <w:vAlign w:val="bottom"/>
          </w:tcPr>
          <w:p w:rsidR="00B000C0" w:rsidRPr="00573DEB" w:rsidRDefault="00B000C0" w:rsidP="004B4B73">
            <w:r w:rsidRPr="00573DEB">
              <w:t>Manufacture of electrical equipment</w:t>
            </w:r>
          </w:p>
        </w:tc>
        <w:tc>
          <w:tcPr>
            <w:tcW w:w="767" w:type="dxa"/>
            <w:tcBorders>
              <w:top w:val="nil"/>
              <w:left w:val="nil"/>
              <w:bottom w:val="single" w:sz="4" w:space="0" w:color="auto"/>
              <w:right w:val="single" w:sz="4" w:space="0" w:color="auto"/>
            </w:tcBorders>
            <w:noWrap/>
            <w:vAlign w:val="bottom"/>
          </w:tcPr>
          <w:p w:rsidR="00B000C0" w:rsidRPr="00573DEB" w:rsidRDefault="00B000C0" w:rsidP="004B4B73">
            <w:r w:rsidRPr="00573DEB">
              <w:t>66</w:t>
            </w:r>
          </w:p>
        </w:tc>
        <w:tc>
          <w:tcPr>
            <w:tcW w:w="963"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r w:rsidRPr="00573DEB">
              <w:t>4,4%</w:t>
            </w:r>
          </w:p>
        </w:tc>
        <w:tc>
          <w:tcPr>
            <w:tcW w:w="767" w:type="dxa"/>
            <w:tcBorders>
              <w:top w:val="nil"/>
              <w:left w:val="nil"/>
              <w:bottom w:val="single" w:sz="4" w:space="0" w:color="auto"/>
              <w:right w:val="single" w:sz="4" w:space="0" w:color="auto"/>
            </w:tcBorders>
            <w:noWrap/>
            <w:vAlign w:val="bottom"/>
          </w:tcPr>
          <w:p w:rsidR="00B000C0" w:rsidRPr="00573DEB" w:rsidRDefault="00B000C0" w:rsidP="004B4B73">
            <w:r w:rsidRPr="00573DEB">
              <w:t>194</w:t>
            </w:r>
          </w:p>
        </w:tc>
        <w:tc>
          <w:tcPr>
            <w:tcW w:w="963"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r w:rsidRPr="00573DEB">
              <w:t>8,5%</w:t>
            </w:r>
          </w:p>
        </w:tc>
      </w:tr>
      <w:tr w:rsidR="00B000C0" w:rsidRPr="00573DEB" w:rsidTr="004B4B73">
        <w:trPr>
          <w:trHeight w:val="300"/>
          <w:jc w:val="center"/>
        </w:trPr>
        <w:tc>
          <w:tcPr>
            <w:tcW w:w="5260" w:type="dxa"/>
            <w:tcBorders>
              <w:top w:val="nil"/>
              <w:left w:val="single" w:sz="4" w:space="0" w:color="auto"/>
              <w:bottom w:val="single" w:sz="4" w:space="0" w:color="auto"/>
              <w:right w:val="single" w:sz="4" w:space="0" w:color="auto"/>
            </w:tcBorders>
            <w:noWrap/>
            <w:vAlign w:val="bottom"/>
          </w:tcPr>
          <w:p w:rsidR="00B000C0" w:rsidRPr="00573DEB" w:rsidRDefault="00B000C0" w:rsidP="004B4B73">
            <w:r w:rsidRPr="00573DEB">
              <w:t xml:space="preserve">Manufacture of machinery and equipment </w:t>
            </w:r>
            <w:proofErr w:type="spellStart"/>
            <w:r w:rsidRPr="00573DEB">
              <w:t>n.e.c</w:t>
            </w:r>
            <w:proofErr w:type="spellEnd"/>
            <w:r w:rsidRPr="00573DEB">
              <w:t>.</w:t>
            </w:r>
          </w:p>
        </w:tc>
        <w:tc>
          <w:tcPr>
            <w:tcW w:w="767" w:type="dxa"/>
            <w:tcBorders>
              <w:top w:val="nil"/>
              <w:left w:val="nil"/>
              <w:bottom w:val="single" w:sz="4" w:space="0" w:color="auto"/>
              <w:right w:val="single" w:sz="4" w:space="0" w:color="auto"/>
            </w:tcBorders>
            <w:noWrap/>
            <w:vAlign w:val="bottom"/>
          </w:tcPr>
          <w:p w:rsidR="00B000C0" w:rsidRPr="00573DEB" w:rsidRDefault="00B000C0" w:rsidP="004B4B73">
            <w:r w:rsidRPr="00573DEB">
              <w:t>108</w:t>
            </w:r>
          </w:p>
        </w:tc>
        <w:tc>
          <w:tcPr>
            <w:tcW w:w="963"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r w:rsidRPr="00573DEB">
              <w:t>7,3%</w:t>
            </w:r>
          </w:p>
        </w:tc>
        <w:tc>
          <w:tcPr>
            <w:tcW w:w="767" w:type="dxa"/>
            <w:tcBorders>
              <w:top w:val="nil"/>
              <w:left w:val="nil"/>
              <w:bottom w:val="single" w:sz="4" w:space="0" w:color="auto"/>
              <w:right w:val="single" w:sz="4" w:space="0" w:color="auto"/>
            </w:tcBorders>
            <w:noWrap/>
            <w:vAlign w:val="bottom"/>
          </w:tcPr>
          <w:p w:rsidR="00B000C0" w:rsidRPr="00573DEB" w:rsidRDefault="00B000C0" w:rsidP="004B4B73">
            <w:r w:rsidRPr="00573DEB">
              <w:t>140</w:t>
            </w:r>
          </w:p>
        </w:tc>
        <w:tc>
          <w:tcPr>
            <w:tcW w:w="963"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r w:rsidRPr="00573DEB">
              <w:t>6,2%</w:t>
            </w:r>
          </w:p>
        </w:tc>
      </w:tr>
      <w:tr w:rsidR="00B000C0" w:rsidRPr="00573DEB" w:rsidTr="004B4B73">
        <w:trPr>
          <w:trHeight w:val="300"/>
          <w:jc w:val="center"/>
        </w:trPr>
        <w:tc>
          <w:tcPr>
            <w:tcW w:w="5260" w:type="dxa"/>
            <w:tcBorders>
              <w:top w:val="nil"/>
              <w:left w:val="single" w:sz="4" w:space="0" w:color="auto"/>
              <w:bottom w:val="single" w:sz="4" w:space="0" w:color="auto"/>
              <w:right w:val="single" w:sz="4" w:space="0" w:color="auto"/>
            </w:tcBorders>
            <w:noWrap/>
            <w:vAlign w:val="bottom"/>
          </w:tcPr>
          <w:p w:rsidR="00B000C0" w:rsidRPr="00573DEB" w:rsidRDefault="00B000C0" w:rsidP="004B4B73">
            <w:r w:rsidRPr="00573DEB">
              <w:t>Public administration and defense; compulsory social security</w:t>
            </w:r>
          </w:p>
        </w:tc>
        <w:tc>
          <w:tcPr>
            <w:tcW w:w="767" w:type="dxa"/>
            <w:tcBorders>
              <w:top w:val="nil"/>
              <w:left w:val="nil"/>
              <w:bottom w:val="single" w:sz="4" w:space="0" w:color="auto"/>
              <w:right w:val="single" w:sz="4" w:space="0" w:color="auto"/>
            </w:tcBorders>
            <w:noWrap/>
            <w:vAlign w:val="bottom"/>
          </w:tcPr>
          <w:p w:rsidR="00B000C0" w:rsidRPr="00573DEB" w:rsidRDefault="00B000C0" w:rsidP="004B4B73">
            <w:r w:rsidRPr="00573DEB">
              <w:t>46</w:t>
            </w:r>
          </w:p>
        </w:tc>
        <w:tc>
          <w:tcPr>
            <w:tcW w:w="963"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r w:rsidRPr="00573DEB">
              <w:t>3,1%</w:t>
            </w:r>
          </w:p>
        </w:tc>
        <w:tc>
          <w:tcPr>
            <w:tcW w:w="767" w:type="dxa"/>
            <w:tcBorders>
              <w:top w:val="nil"/>
              <w:left w:val="nil"/>
              <w:bottom w:val="single" w:sz="4" w:space="0" w:color="auto"/>
              <w:right w:val="single" w:sz="4" w:space="0" w:color="auto"/>
            </w:tcBorders>
            <w:noWrap/>
            <w:vAlign w:val="bottom"/>
          </w:tcPr>
          <w:p w:rsidR="00B000C0" w:rsidRPr="00573DEB" w:rsidRDefault="00B000C0" w:rsidP="004B4B73">
            <w:r w:rsidRPr="00573DEB">
              <w:t>121</w:t>
            </w:r>
          </w:p>
        </w:tc>
        <w:tc>
          <w:tcPr>
            <w:tcW w:w="963"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r w:rsidRPr="00573DEB">
              <w:t>5,3%</w:t>
            </w:r>
          </w:p>
        </w:tc>
      </w:tr>
      <w:tr w:rsidR="00B000C0" w:rsidRPr="00573DEB" w:rsidTr="004B4B73">
        <w:trPr>
          <w:trHeight w:val="300"/>
          <w:jc w:val="center"/>
        </w:trPr>
        <w:tc>
          <w:tcPr>
            <w:tcW w:w="5260" w:type="dxa"/>
            <w:tcBorders>
              <w:top w:val="nil"/>
              <w:left w:val="single" w:sz="4" w:space="0" w:color="auto"/>
              <w:bottom w:val="single" w:sz="4" w:space="0" w:color="auto"/>
              <w:right w:val="single" w:sz="4" w:space="0" w:color="auto"/>
            </w:tcBorders>
            <w:noWrap/>
            <w:vAlign w:val="bottom"/>
          </w:tcPr>
          <w:p w:rsidR="00B000C0" w:rsidRPr="00573DEB" w:rsidRDefault="00B000C0" w:rsidP="004B4B73">
            <w:r w:rsidRPr="00573DEB">
              <w:t>Manufacture of chemicals and chemical products</w:t>
            </w:r>
          </w:p>
        </w:tc>
        <w:tc>
          <w:tcPr>
            <w:tcW w:w="767" w:type="dxa"/>
            <w:tcBorders>
              <w:top w:val="nil"/>
              <w:left w:val="nil"/>
              <w:bottom w:val="single" w:sz="4" w:space="0" w:color="auto"/>
              <w:right w:val="single" w:sz="4" w:space="0" w:color="auto"/>
            </w:tcBorders>
            <w:noWrap/>
            <w:vAlign w:val="bottom"/>
          </w:tcPr>
          <w:p w:rsidR="00B000C0" w:rsidRPr="00573DEB" w:rsidRDefault="00B000C0" w:rsidP="004B4B73">
            <w:r w:rsidRPr="00573DEB">
              <w:t>81</w:t>
            </w:r>
          </w:p>
        </w:tc>
        <w:tc>
          <w:tcPr>
            <w:tcW w:w="963"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r w:rsidRPr="00573DEB">
              <w:t>5,4%</w:t>
            </w:r>
          </w:p>
        </w:tc>
        <w:tc>
          <w:tcPr>
            <w:tcW w:w="767" w:type="dxa"/>
            <w:tcBorders>
              <w:top w:val="nil"/>
              <w:left w:val="nil"/>
              <w:bottom w:val="single" w:sz="4" w:space="0" w:color="auto"/>
              <w:right w:val="single" w:sz="4" w:space="0" w:color="auto"/>
            </w:tcBorders>
            <w:noWrap/>
            <w:vAlign w:val="bottom"/>
          </w:tcPr>
          <w:p w:rsidR="00B000C0" w:rsidRPr="00573DEB" w:rsidRDefault="00B000C0" w:rsidP="004B4B73">
            <w:r w:rsidRPr="00573DEB">
              <w:t>88</w:t>
            </w:r>
          </w:p>
        </w:tc>
        <w:tc>
          <w:tcPr>
            <w:tcW w:w="963"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r w:rsidRPr="00573DEB">
              <w:t>3,9%</w:t>
            </w:r>
          </w:p>
        </w:tc>
      </w:tr>
      <w:tr w:rsidR="00B000C0" w:rsidRPr="00573DEB" w:rsidTr="004B4B73">
        <w:trPr>
          <w:trHeight w:val="300"/>
          <w:jc w:val="center"/>
        </w:trPr>
        <w:tc>
          <w:tcPr>
            <w:tcW w:w="5260" w:type="dxa"/>
            <w:tcBorders>
              <w:top w:val="nil"/>
              <w:left w:val="single" w:sz="4" w:space="0" w:color="auto"/>
              <w:bottom w:val="single" w:sz="4" w:space="0" w:color="auto"/>
              <w:right w:val="single" w:sz="4" w:space="0" w:color="auto"/>
            </w:tcBorders>
            <w:noWrap/>
            <w:vAlign w:val="bottom"/>
          </w:tcPr>
          <w:p w:rsidR="00B000C0" w:rsidRPr="00573DEB" w:rsidRDefault="00B000C0" w:rsidP="004B4B73">
            <w:r w:rsidRPr="00573DEB">
              <w:t>Scientific research and development</w:t>
            </w:r>
          </w:p>
        </w:tc>
        <w:tc>
          <w:tcPr>
            <w:tcW w:w="767" w:type="dxa"/>
            <w:tcBorders>
              <w:top w:val="nil"/>
              <w:left w:val="nil"/>
              <w:bottom w:val="single" w:sz="4" w:space="0" w:color="auto"/>
              <w:right w:val="single" w:sz="4" w:space="0" w:color="auto"/>
            </w:tcBorders>
            <w:noWrap/>
            <w:vAlign w:val="bottom"/>
          </w:tcPr>
          <w:p w:rsidR="00B000C0" w:rsidRPr="00573DEB" w:rsidRDefault="00B000C0" w:rsidP="004B4B73">
            <w:r w:rsidRPr="00573DEB">
              <w:t>27</w:t>
            </w:r>
          </w:p>
        </w:tc>
        <w:tc>
          <w:tcPr>
            <w:tcW w:w="963"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r w:rsidRPr="00573DEB">
              <w:t>1,8%</w:t>
            </w:r>
          </w:p>
        </w:tc>
        <w:tc>
          <w:tcPr>
            <w:tcW w:w="767" w:type="dxa"/>
            <w:tcBorders>
              <w:top w:val="nil"/>
              <w:left w:val="nil"/>
              <w:bottom w:val="single" w:sz="4" w:space="0" w:color="auto"/>
              <w:right w:val="single" w:sz="4" w:space="0" w:color="auto"/>
            </w:tcBorders>
            <w:noWrap/>
            <w:vAlign w:val="bottom"/>
          </w:tcPr>
          <w:p w:rsidR="00B000C0" w:rsidRPr="00573DEB" w:rsidRDefault="00B000C0" w:rsidP="004B4B73">
            <w:r w:rsidRPr="00573DEB">
              <w:t>81</w:t>
            </w:r>
          </w:p>
        </w:tc>
        <w:tc>
          <w:tcPr>
            <w:tcW w:w="963"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r w:rsidRPr="00573DEB">
              <w:t>3,6%</w:t>
            </w:r>
          </w:p>
        </w:tc>
      </w:tr>
      <w:tr w:rsidR="00B000C0" w:rsidRPr="00573DEB" w:rsidTr="004B4B73">
        <w:trPr>
          <w:trHeight w:val="300"/>
          <w:jc w:val="center"/>
        </w:trPr>
        <w:tc>
          <w:tcPr>
            <w:tcW w:w="5260" w:type="dxa"/>
            <w:tcBorders>
              <w:top w:val="nil"/>
              <w:left w:val="single" w:sz="4" w:space="0" w:color="auto"/>
              <w:bottom w:val="single" w:sz="4" w:space="0" w:color="auto"/>
              <w:right w:val="single" w:sz="4" w:space="0" w:color="auto"/>
            </w:tcBorders>
            <w:noWrap/>
            <w:vAlign w:val="bottom"/>
          </w:tcPr>
          <w:p w:rsidR="00B000C0" w:rsidRPr="00573DEB" w:rsidRDefault="00B000C0" w:rsidP="004B4B73">
            <w:r w:rsidRPr="00573DEB">
              <w:t>Manufacture of computer, electronic and optical products</w:t>
            </w:r>
          </w:p>
        </w:tc>
        <w:tc>
          <w:tcPr>
            <w:tcW w:w="767" w:type="dxa"/>
            <w:tcBorders>
              <w:top w:val="nil"/>
              <w:left w:val="nil"/>
              <w:bottom w:val="single" w:sz="4" w:space="0" w:color="auto"/>
              <w:right w:val="single" w:sz="4" w:space="0" w:color="auto"/>
            </w:tcBorders>
            <w:noWrap/>
            <w:vAlign w:val="bottom"/>
          </w:tcPr>
          <w:p w:rsidR="00B000C0" w:rsidRPr="00573DEB" w:rsidRDefault="00B000C0" w:rsidP="004B4B73">
            <w:r w:rsidRPr="00573DEB">
              <w:t>51</w:t>
            </w:r>
          </w:p>
        </w:tc>
        <w:tc>
          <w:tcPr>
            <w:tcW w:w="963"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r w:rsidRPr="00573DEB">
              <w:t>3,4%</w:t>
            </w:r>
          </w:p>
        </w:tc>
        <w:tc>
          <w:tcPr>
            <w:tcW w:w="767" w:type="dxa"/>
            <w:tcBorders>
              <w:top w:val="nil"/>
              <w:left w:val="nil"/>
              <w:bottom w:val="single" w:sz="4" w:space="0" w:color="auto"/>
              <w:right w:val="single" w:sz="4" w:space="0" w:color="auto"/>
            </w:tcBorders>
            <w:noWrap/>
            <w:vAlign w:val="bottom"/>
          </w:tcPr>
          <w:p w:rsidR="00B000C0" w:rsidRPr="00573DEB" w:rsidRDefault="00B000C0" w:rsidP="004B4B73">
            <w:r w:rsidRPr="00573DEB">
              <w:t>64</w:t>
            </w:r>
          </w:p>
        </w:tc>
        <w:tc>
          <w:tcPr>
            <w:tcW w:w="963"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r w:rsidRPr="00573DEB">
              <w:t>2,8%</w:t>
            </w:r>
          </w:p>
        </w:tc>
      </w:tr>
      <w:tr w:rsidR="00B000C0" w:rsidRPr="00573DEB" w:rsidTr="004B4B73">
        <w:trPr>
          <w:trHeight w:val="300"/>
          <w:jc w:val="center"/>
        </w:trPr>
        <w:tc>
          <w:tcPr>
            <w:tcW w:w="5260" w:type="dxa"/>
            <w:tcBorders>
              <w:top w:val="nil"/>
              <w:left w:val="single" w:sz="4" w:space="0" w:color="auto"/>
              <w:bottom w:val="single" w:sz="4" w:space="0" w:color="auto"/>
              <w:right w:val="single" w:sz="4" w:space="0" w:color="auto"/>
            </w:tcBorders>
            <w:noWrap/>
            <w:vAlign w:val="bottom"/>
          </w:tcPr>
          <w:p w:rsidR="00B000C0" w:rsidRPr="00573DEB" w:rsidRDefault="00B000C0" w:rsidP="004B4B73">
            <w:r w:rsidRPr="00573DEB">
              <w:t>Wholesale trade, except motor vehicles and motorcycles</w:t>
            </w:r>
          </w:p>
        </w:tc>
        <w:tc>
          <w:tcPr>
            <w:tcW w:w="767" w:type="dxa"/>
            <w:tcBorders>
              <w:top w:val="nil"/>
              <w:left w:val="nil"/>
              <w:bottom w:val="single" w:sz="4" w:space="0" w:color="auto"/>
              <w:right w:val="single" w:sz="4" w:space="0" w:color="auto"/>
            </w:tcBorders>
            <w:noWrap/>
            <w:vAlign w:val="bottom"/>
          </w:tcPr>
          <w:p w:rsidR="00B000C0" w:rsidRPr="00573DEB" w:rsidRDefault="00B000C0" w:rsidP="004B4B73">
            <w:r w:rsidRPr="00573DEB">
              <w:t>44</w:t>
            </w:r>
          </w:p>
        </w:tc>
        <w:tc>
          <w:tcPr>
            <w:tcW w:w="963"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r w:rsidRPr="00573DEB">
              <w:t>3,0%</w:t>
            </w:r>
          </w:p>
        </w:tc>
        <w:tc>
          <w:tcPr>
            <w:tcW w:w="767" w:type="dxa"/>
            <w:tcBorders>
              <w:top w:val="nil"/>
              <w:left w:val="nil"/>
              <w:bottom w:val="single" w:sz="4" w:space="0" w:color="auto"/>
              <w:right w:val="single" w:sz="4" w:space="0" w:color="auto"/>
            </w:tcBorders>
            <w:noWrap/>
            <w:vAlign w:val="bottom"/>
          </w:tcPr>
          <w:p w:rsidR="00B000C0" w:rsidRPr="00573DEB" w:rsidRDefault="00B000C0" w:rsidP="004B4B73">
            <w:r w:rsidRPr="00573DEB">
              <w:t>62</w:t>
            </w:r>
          </w:p>
        </w:tc>
        <w:tc>
          <w:tcPr>
            <w:tcW w:w="963"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r w:rsidRPr="00573DEB">
              <w:t>2,7%</w:t>
            </w:r>
          </w:p>
        </w:tc>
      </w:tr>
      <w:tr w:rsidR="00B000C0" w:rsidRPr="00573DEB" w:rsidTr="004B4B73">
        <w:trPr>
          <w:trHeight w:val="300"/>
          <w:jc w:val="center"/>
        </w:trPr>
        <w:tc>
          <w:tcPr>
            <w:tcW w:w="5260" w:type="dxa"/>
            <w:tcBorders>
              <w:top w:val="nil"/>
              <w:left w:val="single" w:sz="4" w:space="0" w:color="auto"/>
              <w:bottom w:val="single" w:sz="4" w:space="0" w:color="auto"/>
              <w:right w:val="single" w:sz="4" w:space="0" w:color="auto"/>
            </w:tcBorders>
            <w:noWrap/>
            <w:vAlign w:val="bottom"/>
          </w:tcPr>
          <w:p w:rsidR="00B000C0" w:rsidRPr="00573DEB" w:rsidRDefault="00B000C0" w:rsidP="004B4B73">
            <w:r w:rsidRPr="00573DEB">
              <w:t>Manufacture of motor vehicles, trailers and semi-trailers</w:t>
            </w:r>
          </w:p>
        </w:tc>
        <w:tc>
          <w:tcPr>
            <w:tcW w:w="767" w:type="dxa"/>
            <w:tcBorders>
              <w:top w:val="nil"/>
              <w:left w:val="nil"/>
              <w:bottom w:val="single" w:sz="4" w:space="0" w:color="auto"/>
              <w:right w:val="single" w:sz="4" w:space="0" w:color="auto"/>
            </w:tcBorders>
            <w:noWrap/>
            <w:vAlign w:val="bottom"/>
          </w:tcPr>
          <w:p w:rsidR="00B000C0" w:rsidRPr="00573DEB" w:rsidRDefault="00B000C0" w:rsidP="004B4B73">
            <w:r w:rsidRPr="00573DEB">
              <w:t>35</w:t>
            </w:r>
          </w:p>
        </w:tc>
        <w:tc>
          <w:tcPr>
            <w:tcW w:w="963"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r w:rsidRPr="00573DEB">
              <w:t>2,4%</w:t>
            </w:r>
          </w:p>
        </w:tc>
        <w:tc>
          <w:tcPr>
            <w:tcW w:w="767" w:type="dxa"/>
            <w:tcBorders>
              <w:top w:val="nil"/>
              <w:left w:val="nil"/>
              <w:bottom w:val="single" w:sz="4" w:space="0" w:color="auto"/>
              <w:right w:val="single" w:sz="4" w:space="0" w:color="auto"/>
            </w:tcBorders>
            <w:noWrap/>
            <w:vAlign w:val="bottom"/>
          </w:tcPr>
          <w:p w:rsidR="00B000C0" w:rsidRPr="00573DEB" w:rsidRDefault="00B000C0" w:rsidP="004B4B73">
            <w:r w:rsidRPr="00573DEB">
              <w:t>43</w:t>
            </w:r>
          </w:p>
        </w:tc>
        <w:tc>
          <w:tcPr>
            <w:tcW w:w="963"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r w:rsidRPr="00573DEB">
              <w:t>1,9%</w:t>
            </w:r>
          </w:p>
        </w:tc>
      </w:tr>
      <w:tr w:rsidR="00B000C0" w:rsidRPr="00573DEB" w:rsidTr="004B4B73">
        <w:trPr>
          <w:trHeight w:val="300"/>
          <w:jc w:val="center"/>
        </w:trPr>
        <w:tc>
          <w:tcPr>
            <w:tcW w:w="5260" w:type="dxa"/>
            <w:tcBorders>
              <w:top w:val="nil"/>
              <w:left w:val="single" w:sz="4" w:space="0" w:color="auto"/>
              <w:bottom w:val="single" w:sz="4" w:space="0" w:color="auto"/>
              <w:right w:val="single" w:sz="4" w:space="0" w:color="auto"/>
            </w:tcBorders>
            <w:noWrap/>
            <w:vAlign w:val="bottom"/>
          </w:tcPr>
          <w:p w:rsidR="00B000C0" w:rsidRPr="00573DEB" w:rsidRDefault="00B000C0" w:rsidP="004B4B73">
            <w:r w:rsidRPr="00573DEB">
              <w:t>Manufacture of fabricated metal products, except machinery and equipment</w:t>
            </w:r>
          </w:p>
        </w:tc>
        <w:tc>
          <w:tcPr>
            <w:tcW w:w="767" w:type="dxa"/>
            <w:tcBorders>
              <w:top w:val="nil"/>
              <w:left w:val="nil"/>
              <w:bottom w:val="single" w:sz="4" w:space="0" w:color="auto"/>
              <w:right w:val="single" w:sz="4" w:space="0" w:color="auto"/>
            </w:tcBorders>
            <w:noWrap/>
            <w:vAlign w:val="bottom"/>
          </w:tcPr>
          <w:p w:rsidR="00B000C0" w:rsidRPr="00573DEB" w:rsidRDefault="00B000C0" w:rsidP="004B4B73">
            <w:r w:rsidRPr="00573DEB">
              <w:t>35</w:t>
            </w:r>
          </w:p>
        </w:tc>
        <w:tc>
          <w:tcPr>
            <w:tcW w:w="963"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r w:rsidRPr="00573DEB">
              <w:t>2,4%</w:t>
            </w:r>
          </w:p>
        </w:tc>
        <w:tc>
          <w:tcPr>
            <w:tcW w:w="767" w:type="dxa"/>
            <w:tcBorders>
              <w:top w:val="nil"/>
              <w:left w:val="nil"/>
              <w:bottom w:val="single" w:sz="4" w:space="0" w:color="auto"/>
              <w:right w:val="single" w:sz="4" w:space="0" w:color="auto"/>
            </w:tcBorders>
            <w:noWrap/>
            <w:vAlign w:val="bottom"/>
          </w:tcPr>
          <w:p w:rsidR="00B000C0" w:rsidRPr="00573DEB" w:rsidRDefault="00B000C0" w:rsidP="004B4B73">
            <w:r w:rsidRPr="00573DEB">
              <w:t>40</w:t>
            </w:r>
          </w:p>
        </w:tc>
        <w:tc>
          <w:tcPr>
            <w:tcW w:w="963"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r w:rsidRPr="00573DEB">
              <w:t>1,8%</w:t>
            </w:r>
          </w:p>
        </w:tc>
      </w:tr>
    </w:tbl>
    <w:p w:rsidR="00B000C0" w:rsidRPr="00F65AD8" w:rsidRDefault="00B000C0" w:rsidP="00E06D92">
      <w:pPr>
        <w:pStyle w:val="Captionnotes"/>
        <w:rPr>
          <w:i w:val="0"/>
        </w:rPr>
      </w:pPr>
      <w:r w:rsidRPr="00F65AD8">
        <w:rPr>
          <w:i w:val="0"/>
        </w:rPr>
        <w:t xml:space="preserve">Source: </w:t>
      </w:r>
      <w:r w:rsidR="00F65AD8">
        <w:rPr>
          <w:i w:val="0"/>
        </w:rPr>
        <w:t xml:space="preserve"> </w:t>
      </w:r>
      <w:r w:rsidRPr="00F65AD8">
        <w:rPr>
          <w:i w:val="0"/>
        </w:rPr>
        <w:t>INPI’s Statistical database (BADEPI)</w:t>
      </w:r>
    </w:p>
    <w:p w:rsidR="00625608" w:rsidRPr="00573DEB" w:rsidRDefault="00625608" w:rsidP="004B4B73"/>
    <w:p w:rsidR="009A0235" w:rsidRDefault="009A0235" w:rsidP="009A0235"/>
    <w:p w:rsidR="009A0235" w:rsidRPr="00573DEB" w:rsidRDefault="009A0235" w:rsidP="009A0235"/>
    <w:p w:rsidR="009A0235" w:rsidRPr="00573DEB" w:rsidRDefault="009A0235" w:rsidP="008B28EC">
      <w:r w:rsidRPr="00573DEB">
        <w:t>For the companies with available data, Table 4.3 shows a strong participation of universities and government research institutes that are classified in the following sectors: “education”, “public administration, defense and social security” (which includes Government research institutes and the Institutes of Technological Research from the Army and the Air Force) and “Scientific research and development” (which includes private and public foundations that fund research).  Jointly they represented 19% in 2006 and reached 31% of the total applications of resident legal entities in 2011.</w:t>
      </w:r>
    </w:p>
    <w:p w:rsidR="009A0235" w:rsidRDefault="009A0235" w:rsidP="008B28EC"/>
    <w:p w:rsidR="00B000C0" w:rsidRPr="00573DEB" w:rsidRDefault="00B000C0" w:rsidP="008B28EC">
      <w:r w:rsidRPr="00573DEB">
        <w:t>Industrial activities have a significant share of resident patent applications in Brazil</w:t>
      </w:r>
      <w:r w:rsidR="004B4B73" w:rsidRPr="00573DEB">
        <w:t xml:space="preserve">.  </w:t>
      </w:r>
      <w:r w:rsidRPr="00573DEB">
        <w:t>The manufacture of electrical equipment more than doubled the number of patent applications in the period under consideration, increasing its relative share from 4.4% to 8.5%</w:t>
      </w:r>
      <w:r w:rsidR="004B4B73" w:rsidRPr="00573DEB">
        <w:t xml:space="preserve">.  </w:t>
      </w:r>
      <w:r w:rsidRPr="00573DEB">
        <w:t>The manufacture of machinery and equipment, although it has lost relative importance in the period 2006-11, continues as one of the most important sectors in 2011 (6.2%).</w:t>
      </w:r>
    </w:p>
    <w:p w:rsidR="00B000C0" w:rsidRPr="00573DEB" w:rsidRDefault="00B000C0" w:rsidP="008B28EC"/>
    <w:p w:rsidR="00B000C0" w:rsidRPr="00573DEB" w:rsidRDefault="00B000C0" w:rsidP="008B28EC">
      <w:r w:rsidRPr="00573DEB">
        <w:t>The remaining sectors – manufacture of chemicals and chemical products, manufacture of computer, electronic and optical products, wholesale trade, except motor vehicles and motorcycles, and manufacture of computer, electronic and optical products – despite of an increased number of applications, have experienced a relative decline.</w:t>
      </w:r>
    </w:p>
    <w:p w:rsidR="00B000C0" w:rsidRPr="00573DEB" w:rsidRDefault="00B000C0" w:rsidP="008B28EC"/>
    <w:p w:rsidR="00E06D92" w:rsidRPr="00573DEB" w:rsidRDefault="00E06D92" w:rsidP="008B28EC"/>
    <w:p w:rsidR="00E06D92" w:rsidRPr="00573DEB" w:rsidRDefault="00E06D92" w:rsidP="008B28EC"/>
    <w:p w:rsidR="00B000C0" w:rsidRPr="00573DEB" w:rsidRDefault="00B000C0" w:rsidP="008B28EC">
      <w:pPr>
        <w:pStyle w:val="Heading2"/>
      </w:pPr>
      <w:bookmarkStart w:id="56" w:name="_Toc388619922"/>
      <w:r w:rsidRPr="00573DEB">
        <w:t>Patent Grants</w:t>
      </w:r>
      <w:bookmarkEnd w:id="56"/>
    </w:p>
    <w:p w:rsidR="00B000C0" w:rsidRPr="00573DEB" w:rsidRDefault="00B000C0" w:rsidP="008B28EC"/>
    <w:p w:rsidR="00B000C0" w:rsidRPr="00573DEB" w:rsidRDefault="00B000C0" w:rsidP="008B28EC">
      <w:r w:rsidRPr="00573DEB">
        <w:t>In the period 2000-2011, Brazil granted over 38,000 patents</w:t>
      </w:r>
      <w:r w:rsidR="004B4B73" w:rsidRPr="00573DEB">
        <w:t xml:space="preserve">.  </w:t>
      </w:r>
      <w:r w:rsidRPr="00573DEB">
        <w:t>Out of this total, 34,291 were granted to non-resident and 3,985 to residents</w:t>
      </w:r>
      <w:r w:rsidR="004B4B73" w:rsidRPr="00573DEB">
        <w:t xml:space="preserve">.  </w:t>
      </w:r>
      <w:r w:rsidRPr="00573DEB">
        <w:t>Considering the distribution by year, INPI granted 6,006 patents in 2000, falling to a level of 2,100 grants in 2004, when it begins a process of recovery that reaches 3,437 grants in 2011.</w:t>
      </w:r>
    </w:p>
    <w:p w:rsidR="00B000C0" w:rsidRPr="00573DEB" w:rsidRDefault="00B000C0" w:rsidP="008B28EC"/>
    <w:p w:rsidR="00B000C0" w:rsidRPr="00573DEB" w:rsidRDefault="00B000C0" w:rsidP="008B28EC">
      <w:r w:rsidRPr="00573DEB">
        <w:t>Among the main foreign countries that received a patent in the period are: the United States of America with 34% of the non-resident total, Germany with 14%, France with 7% and Japan with 5%.</w:t>
      </w:r>
    </w:p>
    <w:p w:rsidR="00B000C0" w:rsidRPr="00573DEB" w:rsidRDefault="00B000C0" w:rsidP="008B28EC"/>
    <w:p w:rsidR="00B000C0" w:rsidRPr="00573DEB" w:rsidRDefault="000C6B94" w:rsidP="00E06D92">
      <w:pPr>
        <w:pStyle w:val="Caption"/>
      </w:pPr>
      <w:bookmarkStart w:id="57" w:name="_Toc377374692"/>
      <w:bookmarkStart w:id="58" w:name="_Toc378267996"/>
      <w:r>
        <w:t xml:space="preserve">Table 4.4:  </w:t>
      </w:r>
      <w:r w:rsidR="00B000C0" w:rsidRPr="00573DEB">
        <w:t>Patent Grants, 2000-2011</w:t>
      </w:r>
      <w:bookmarkEnd w:id="57"/>
      <w:bookmarkEnd w:id="58"/>
    </w:p>
    <w:tbl>
      <w:tblPr>
        <w:tblW w:w="4693" w:type="dxa"/>
        <w:tblLayout w:type="fixed"/>
        <w:tblCellMar>
          <w:left w:w="70" w:type="dxa"/>
          <w:right w:w="70" w:type="dxa"/>
        </w:tblCellMar>
        <w:tblLook w:val="00A0" w:firstRow="1" w:lastRow="0" w:firstColumn="1" w:lastColumn="0" w:noHBand="0" w:noVBand="0"/>
      </w:tblPr>
      <w:tblGrid>
        <w:gridCol w:w="866"/>
        <w:gridCol w:w="1276"/>
        <w:gridCol w:w="1417"/>
        <w:gridCol w:w="1134"/>
      </w:tblGrid>
      <w:tr w:rsidR="00B000C0" w:rsidRPr="00573DEB" w:rsidTr="00E06D92">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8DB3E2"/>
            <w:vAlign w:val="center"/>
          </w:tcPr>
          <w:p w:rsidR="00B000C0" w:rsidRPr="00573DEB" w:rsidRDefault="00B000C0" w:rsidP="004B4B73">
            <w:r w:rsidRPr="00573DEB">
              <w:t>Year</w:t>
            </w:r>
          </w:p>
        </w:tc>
        <w:tc>
          <w:tcPr>
            <w:tcW w:w="1276" w:type="dxa"/>
            <w:tcBorders>
              <w:top w:val="single" w:sz="4" w:space="0" w:color="auto"/>
              <w:left w:val="nil"/>
              <w:bottom w:val="single" w:sz="4" w:space="0" w:color="auto"/>
              <w:right w:val="single" w:sz="4" w:space="0" w:color="auto"/>
            </w:tcBorders>
            <w:shd w:val="clear" w:color="auto" w:fill="8DB3E2"/>
            <w:noWrap/>
            <w:vAlign w:val="center"/>
          </w:tcPr>
          <w:p w:rsidR="00B000C0" w:rsidRPr="00573DEB" w:rsidRDefault="00B000C0" w:rsidP="004B4B73">
            <w:r w:rsidRPr="00573DEB">
              <w:t>Resident</w:t>
            </w:r>
          </w:p>
        </w:tc>
        <w:tc>
          <w:tcPr>
            <w:tcW w:w="1417" w:type="dxa"/>
            <w:tcBorders>
              <w:top w:val="single" w:sz="4" w:space="0" w:color="auto"/>
              <w:left w:val="nil"/>
              <w:bottom w:val="single" w:sz="4" w:space="0" w:color="auto"/>
              <w:right w:val="single" w:sz="4" w:space="0" w:color="auto"/>
            </w:tcBorders>
            <w:shd w:val="clear" w:color="auto" w:fill="8DB3E2"/>
            <w:noWrap/>
            <w:vAlign w:val="center"/>
          </w:tcPr>
          <w:p w:rsidR="00B000C0" w:rsidRPr="00573DEB" w:rsidRDefault="00B000C0" w:rsidP="004B4B73">
            <w:r w:rsidRPr="00573DEB">
              <w:t>Non-Resident</w:t>
            </w:r>
          </w:p>
        </w:tc>
        <w:tc>
          <w:tcPr>
            <w:tcW w:w="1134" w:type="dxa"/>
            <w:tcBorders>
              <w:top w:val="single" w:sz="4" w:space="0" w:color="auto"/>
              <w:left w:val="nil"/>
              <w:bottom w:val="single" w:sz="4" w:space="0" w:color="auto"/>
              <w:right w:val="single" w:sz="4" w:space="0" w:color="auto"/>
            </w:tcBorders>
            <w:shd w:val="clear" w:color="auto" w:fill="8DB3E2"/>
            <w:noWrap/>
            <w:vAlign w:val="center"/>
          </w:tcPr>
          <w:p w:rsidR="00B000C0" w:rsidRPr="00573DEB" w:rsidRDefault="00B000C0" w:rsidP="004B4B73">
            <w:r w:rsidRPr="00573DEB">
              <w:t>Total</w:t>
            </w:r>
          </w:p>
        </w:tc>
      </w:tr>
      <w:tr w:rsidR="00B000C0" w:rsidRPr="00573DEB" w:rsidTr="00E06D92">
        <w:trPr>
          <w:trHeight w:val="300"/>
        </w:trPr>
        <w:tc>
          <w:tcPr>
            <w:tcW w:w="866" w:type="dxa"/>
            <w:tcBorders>
              <w:top w:val="single" w:sz="4" w:space="0" w:color="auto"/>
              <w:left w:val="single" w:sz="4" w:space="0" w:color="auto"/>
              <w:bottom w:val="nil"/>
              <w:right w:val="single" w:sz="4" w:space="0" w:color="auto"/>
            </w:tcBorders>
            <w:noWrap/>
            <w:vAlign w:val="bottom"/>
          </w:tcPr>
          <w:p w:rsidR="00B000C0" w:rsidRPr="00573DEB" w:rsidRDefault="00B000C0" w:rsidP="004B4B73">
            <w:r w:rsidRPr="00573DEB">
              <w:t>2000</w:t>
            </w:r>
          </w:p>
        </w:tc>
        <w:tc>
          <w:tcPr>
            <w:tcW w:w="1276" w:type="dxa"/>
            <w:tcBorders>
              <w:top w:val="single" w:sz="4" w:space="0" w:color="auto"/>
              <w:left w:val="nil"/>
              <w:bottom w:val="nil"/>
              <w:right w:val="single" w:sz="4" w:space="0" w:color="auto"/>
            </w:tcBorders>
            <w:noWrap/>
            <w:vAlign w:val="bottom"/>
          </w:tcPr>
          <w:p w:rsidR="00B000C0" w:rsidRPr="00573DEB" w:rsidRDefault="00B000C0" w:rsidP="004B4B73">
            <w:r w:rsidRPr="00573DEB">
              <w:t>651</w:t>
            </w:r>
          </w:p>
        </w:tc>
        <w:tc>
          <w:tcPr>
            <w:tcW w:w="1417" w:type="dxa"/>
            <w:tcBorders>
              <w:top w:val="single" w:sz="4" w:space="0" w:color="auto"/>
              <w:left w:val="nil"/>
              <w:bottom w:val="nil"/>
              <w:right w:val="single" w:sz="4" w:space="0" w:color="auto"/>
            </w:tcBorders>
            <w:noWrap/>
            <w:vAlign w:val="center"/>
          </w:tcPr>
          <w:p w:rsidR="00B000C0" w:rsidRPr="00573DEB" w:rsidRDefault="00B000C0" w:rsidP="004B4B73">
            <w:r w:rsidRPr="00573DEB">
              <w:t>5,355</w:t>
            </w:r>
          </w:p>
        </w:tc>
        <w:tc>
          <w:tcPr>
            <w:tcW w:w="1134" w:type="dxa"/>
            <w:tcBorders>
              <w:top w:val="single" w:sz="4" w:space="0" w:color="auto"/>
              <w:left w:val="nil"/>
              <w:bottom w:val="nil"/>
              <w:right w:val="single" w:sz="4" w:space="0" w:color="auto"/>
            </w:tcBorders>
            <w:noWrap/>
            <w:vAlign w:val="center"/>
          </w:tcPr>
          <w:p w:rsidR="00B000C0" w:rsidRPr="00573DEB" w:rsidRDefault="00B000C0" w:rsidP="004B4B73">
            <w:r w:rsidRPr="00573DEB">
              <w:t>6,006</w:t>
            </w:r>
          </w:p>
        </w:tc>
      </w:tr>
      <w:tr w:rsidR="00B000C0" w:rsidRPr="00573DEB" w:rsidTr="00E06D92">
        <w:trPr>
          <w:trHeight w:val="300"/>
        </w:trPr>
        <w:tc>
          <w:tcPr>
            <w:tcW w:w="866" w:type="dxa"/>
            <w:tcBorders>
              <w:top w:val="nil"/>
              <w:left w:val="single" w:sz="4" w:space="0" w:color="auto"/>
              <w:bottom w:val="nil"/>
              <w:right w:val="single" w:sz="4" w:space="0" w:color="auto"/>
            </w:tcBorders>
            <w:noWrap/>
            <w:vAlign w:val="bottom"/>
          </w:tcPr>
          <w:p w:rsidR="00B000C0" w:rsidRPr="00573DEB" w:rsidRDefault="00B000C0" w:rsidP="004B4B73">
            <w:r w:rsidRPr="00573DEB">
              <w:t>2001</w:t>
            </w:r>
          </w:p>
        </w:tc>
        <w:tc>
          <w:tcPr>
            <w:tcW w:w="1276" w:type="dxa"/>
            <w:tcBorders>
              <w:top w:val="nil"/>
              <w:left w:val="nil"/>
              <w:bottom w:val="nil"/>
              <w:right w:val="single" w:sz="4" w:space="0" w:color="auto"/>
            </w:tcBorders>
            <w:noWrap/>
            <w:vAlign w:val="bottom"/>
          </w:tcPr>
          <w:p w:rsidR="00B000C0" w:rsidRPr="00573DEB" w:rsidRDefault="00B000C0" w:rsidP="004B4B73">
            <w:r w:rsidRPr="00573DEB">
              <w:t>383</w:t>
            </w:r>
          </w:p>
        </w:tc>
        <w:tc>
          <w:tcPr>
            <w:tcW w:w="1417" w:type="dxa"/>
            <w:tcBorders>
              <w:top w:val="nil"/>
              <w:left w:val="nil"/>
              <w:bottom w:val="nil"/>
              <w:right w:val="single" w:sz="4" w:space="0" w:color="auto"/>
            </w:tcBorders>
            <w:noWrap/>
            <w:vAlign w:val="center"/>
          </w:tcPr>
          <w:p w:rsidR="00B000C0" w:rsidRPr="00573DEB" w:rsidRDefault="00B000C0" w:rsidP="004B4B73">
            <w:r w:rsidRPr="00573DEB">
              <w:t>2,865</w:t>
            </w:r>
          </w:p>
        </w:tc>
        <w:tc>
          <w:tcPr>
            <w:tcW w:w="1134" w:type="dxa"/>
            <w:tcBorders>
              <w:top w:val="nil"/>
              <w:left w:val="nil"/>
              <w:bottom w:val="nil"/>
              <w:right w:val="single" w:sz="4" w:space="0" w:color="auto"/>
            </w:tcBorders>
            <w:noWrap/>
            <w:vAlign w:val="center"/>
          </w:tcPr>
          <w:p w:rsidR="00B000C0" w:rsidRPr="00573DEB" w:rsidRDefault="00B000C0" w:rsidP="004B4B73">
            <w:r w:rsidRPr="00573DEB">
              <w:t>3,248</w:t>
            </w:r>
          </w:p>
        </w:tc>
      </w:tr>
      <w:tr w:rsidR="00B000C0" w:rsidRPr="00573DEB" w:rsidTr="00E06D92">
        <w:trPr>
          <w:trHeight w:val="300"/>
        </w:trPr>
        <w:tc>
          <w:tcPr>
            <w:tcW w:w="866" w:type="dxa"/>
            <w:tcBorders>
              <w:top w:val="nil"/>
              <w:left w:val="single" w:sz="4" w:space="0" w:color="auto"/>
              <w:bottom w:val="nil"/>
              <w:right w:val="single" w:sz="4" w:space="0" w:color="auto"/>
            </w:tcBorders>
            <w:noWrap/>
            <w:vAlign w:val="bottom"/>
          </w:tcPr>
          <w:p w:rsidR="00B000C0" w:rsidRPr="00573DEB" w:rsidRDefault="00B000C0" w:rsidP="004B4B73">
            <w:r w:rsidRPr="00573DEB">
              <w:t>2002</w:t>
            </w:r>
          </w:p>
        </w:tc>
        <w:tc>
          <w:tcPr>
            <w:tcW w:w="1276" w:type="dxa"/>
            <w:tcBorders>
              <w:top w:val="nil"/>
              <w:left w:val="nil"/>
              <w:bottom w:val="nil"/>
              <w:right w:val="single" w:sz="4" w:space="0" w:color="auto"/>
            </w:tcBorders>
            <w:noWrap/>
            <w:vAlign w:val="bottom"/>
          </w:tcPr>
          <w:p w:rsidR="00B000C0" w:rsidRPr="00573DEB" w:rsidRDefault="00B000C0" w:rsidP="004B4B73">
            <w:r w:rsidRPr="00573DEB">
              <w:t>338</w:t>
            </w:r>
          </w:p>
        </w:tc>
        <w:tc>
          <w:tcPr>
            <w:tcW w:w="1417" w:type="dxa"/>
            <w:tcBorders>
              <w:top w:val="nil"/>
              <w:left w:val="nil"/>
              <w:bottom w:val="nil"/>
              <w:right w:val="single" w:sz="4" w:space="0" w:color="auto"/>
            </w:tcBorders>
            <w:noWrap/>
            <w:vAlign w:val="center"/>
          </w:tcPr>
          <w:p w:rsidR="00B000C0" w:rsidRPr="00573DEB" w:rsidRDefault="00B000C0" w:rsidP="004B4B73">
            <w:r w:rsidRPr="00573DEB">
              <w:t>3,958</w:t>
            </w:r>
          </w:p>
        </w:tc>
        <w:tc>
          <w:tcPr>
            <w:tcW w:w="1134" w:type="dxa"/>
            <w:tcBorders>
              <w:top w:val="nil"/>
              <w:left w:val="nil"/>
              <w:bottom w:val="nil"/>
              <w:right w:val="single" w:sz="4" w:space="0" w:color="auto"/>
            </w:tcBorders>
            <w:noWrap/>
            <w:vAlign w:val="center"/>
          </w:tcPr>
          <w:p w:rsidR="00B000C0" w:rsidRPr="00573DEB" w:rsidRDefault="00B000C0" w:rsidP="004B4B73">
            <w:r w:rsidRPr="00573DEB">
              <w:t>4,296</w:t>
            </w:r>
          </w:p>
        </w:tc>
      </w:tr>
      <w:tr w:rsidR="00B000C0" w:rsidRPr="00573DEB" w:rsidTr="00E06D92">
        <w:trPr>
          <w:trHeight w:val="300"/>
        </w:trPr>
        <w:tc>
          <w:tcPr>
            <w:tcW w:w="866" w:type="dxa"/>
            <w:tcBorders>
              <w:top w:val="nil"/>
              <w:left w:val="single" w:sz="4" w:space="0" w:color="auto"/>
              <w:bottom w:val="nil"/>
              <w:right w:val="single" w:sz="4" w:space="0" w:color="auto"/>
            </w:tcBorders>
            <w:noWrap/>
            <w:vAlign w:val="bottom"/>
          </w:tcPr>
          <w:p w:rsidR="00B000C0" w:rsidRPr="00573DEB" w:rsidRDefault="00B000C0" w:rsidP="004B4B73">
            <w:r w:rsidRPr="00573DEB">
              <w:t>2003</w:t>
            </w:r>
          </w:p>
        </w:tc>
        <w:tc>
          <w:tcPr>
            <w:tcW w:w="1276" w:type="dxa"/>
            <w:tcBorders>
              <w:top w:val="nil"/>
              <w:left w:val="nil"/>
              <w:bottom w:val="nil"/>
              <w:right w:val="single" w:sz="4" w:space="0" w:color="auto"/>
            </w:tcBorders>
            <w:noWrap/>
            <w:vAlign w:val="bottom"/>
          </w:tcPr>
          <w:p w:rsidR="00B000C0" w:rsidRPr="00573DEB" w:rsidRDefault="00B000C0" w:rsidP="004B4B73">
            <w:r w:rsidRPr="00573DEB">
              <w:t>400</w:t>
            </w:r>
          </w:p>
        </w:tc>
        <w:tc>
          <w:tcPr>
            <w:tcW w:w="1417" w:type="dxa"/>
            <w:tcBorders>
              <w:top w:val="nil"/>
              <w:left w:val="nil"/>
              <w:bottom w:val="nil"/>
              <w:right w:val="single" w:sz="4" w:space="0" w:color="auto"/>
            </w:tcBorders>
            <w:noWrap/>
            <w:vAlign w:val="center"/>
          </w:tcPr>
          <w:p w:rsidR="00B000C0" w:rsidRPr="00573DEB" w:rsidRDefault="00B000C0" w:rsidP="004B4B73">
            <w:r w:rsidRPr="00573DEB">
              <w:t>3,689</w:t>
            </w:r>
          </w:p>
        </w:tc>
        <w:tc>
          <w:tcPr>
            <w:tcW w:w="1134" w:type="dxa"/>
            <w:tcBorders>
              <w:top w:val="nil"/>
              <w:left w:val="nil"/>
              <w:bottom w:val="nil"/>
              <w:right w:val="single" w:sz="4" w:space="0" w:color="auto"/>
            </w:tcBorders>
            <w:noWrap/>
            <w:vAlign w:val="center"/>
          </w:tcPr>
          <w:p w:rsidR="00B000C0" w:rsidRPr="00573DEB" w:rsidRDefault="00B000C0" w:rsidP="004B4B73">
            <w:r w:rsidRPr="00573DEB">
              <w:t>4,089</w:t>
            </w:r>
          </w:p>
        </w:tc>
      </w:tr>
      <w:tr w:rsidR="00B000C0" w:rsidRPr="00573DEB" w:rsidTr="00E06D92">
        <w:trPr>
          <w:trHeight w:val="300"/>
        </w:trPr>
        <w:tc>
          <w:tcPr>
            <w:tcW w:w="866" w:type="dxa"/>
            <w:tcBorders>
              <w:top w:val="nil"/>
              <w:left w:val="single" w:sz="4" w:space="0" w:color="auto"/>
              <w:bottom w:val="nil"/>
              <w:right w:val="single" w:sz="4" w:space="0" w:color="auto"/>
            </w:tcBorders>
            <w:noWrap/>
            <w:vAlign w:val="bottom"/>
          </w:tcPr>
          <w:p w:rsidR="00B000C0" w:rsidRPr="00573DEB" w:rsidRDefault="00B000C0" w:rsidP="004B4B73">
            <w:r w:rsidRPr="00573DEB">
              <w:t>2004</w:t>
            </w:r>
          </w:p>
        </w:tc>
        <w:tc>
          <w:tcPr>
            <w:tcW w:w="1276" w:type="dxa"/>
            <w:tcBorders>
              <w:top w:val="nil"/>
              <w:left w:val="nil"/>
              <w:bottom w:val="nil"/>
              <w:right w:val="single" w:sz="4" w:space="0" w:color="auto"/>
            </w:tcBorders>
            <w:noWrap/>
            <w:vAlign w:val="bottom"/>
          </w:tcPr>
          <w:p w:rsidR="00B000C0" w:rsidRPr="00573DEB" w:rsidRDefault="00B000C0" w:rsidP="004B4B73">
            <w:r w:rsidRPr="00573DEB">
              <w:t>270</w:t>
            </w:r>
          </w:p>
        </w:tc>
        <w:tc>
          <w:tcPr>
            <w:tcW w:w="1417" w:type="dxa"/>
            <w:tcBorders>
              <w:top w:val="nil"/>
              <w:left w:val="nil"/>
              <w:bottom w:val="nil"/>
              <w:right w:val="single" w:sz="4" w:space="0" w:color="auto"/>
            </w:tcBorders>
            <w:noWrap/>
            <w:vAlign w:val="center"/>
          </w:tcPr>
          <w:p w:rsidR="00B000C0" w:rsidRPr="00573DEB" w:rsidRDefault="00B000C0" w:rsidP="004B4B73">
            <w:r w:rsidRPr="00573DEB">
              <w:t>1,896</w:t>
            </w:r>
          </w:p>
        </w:tc>
        <w:tc>
          <w:tcPr>
            <w:tcW w:w="1134" w:type="dxa"/>
            <w:tcBorders>
              <w:top w:val="nil"/>
              <w:left w:val="nil"/>
              <w:bottom w:val="nil"/>
              <w:right w:val="single" w:sz="4" w:space="0" w:color="auto"/>
            </w:tcBorders>
            <w:noWrap/>
            <w:vAlign w:val="center"/>
          </w:tcPr>
          <w:p w:rsidR="00B000C0" w:rsidRPr="00573DEB" w:rsidRDefault="00B000C0" w:rsidP="004B4B73">
            <w:r w:rsidRPr="00573DEB">
              <w:t>2,166</w:t>
            </w:r>
          </w:p>
        </w:tc>
      </w:tr>
      <w:tr w:rsidR="00B000C0" w:rsidRPr="00573DEB" w:rsidTr="00E06D92">
        <w:trPr>
          <w:trHeight w:val="300"/>
        </w:trPr>
        <w:tc>
          <w:tcPr>
            <w:tcW w:w="866" w:type="dxa"/>
            <w:tcBorders>
              <w:top w:val="nil"/>
              <w:left w:val="single" w:sz="4" w:space="0" w:color="auto"/>
              <w:bottom w:val="nil"/>
              <w:right w:val="single" w:sz="4" w:space="0" w:color="auto"/>
            </w:tcBorders>
            <w:noWrap/>
            <w:vAlign w:val="bottom"/>
          </w:tcPr>
          <w:p w:rsidR="00B000C0" w:rsidRPr="00573DEB" w:rsidRDefault="00B000C0" w:rsidP="004B4B73">
            <w:r w:rsidRPr="00573DEB">
              <w:t>2005</w:t>
            </w:r>
          </w:p>
        </w:tc>
        <w:tc>
          <w:tcPr>
            <w:tcW w:w="1276" w:type="dxa"/>
            <w:tcBorders>
              <w:top w:val="nil"/>
              <w:left w:val="nil"/>
              <w:bottom w:val="nil"/>
              <w:right w:val="single" w:sz="4" w:space="0" w:color="auto"/>
            </w:tcBorders>
            <w:noWrap/>
            <w:vAlign w:val="bottom"/>
          </w:tcPr>
          <w:p w:rsidR="00B000C0" w:rsidRPr="00573DEB" w:rsidRDefault="00B000C0" w:rsidP="004B4B73">
            <w:r w:rsidRPr="00573DEB">
              <w:t>246</w:t>
            </w:r>
          </w:p>
        </w:tc>
        <w:tc>
          <w:tcPr>
            <w:tcW w:w="1417" w:type="dxa"/>
            <w:tcBorders>
              <w:top w:val="nil"/>
              <w:left w:val="nil"/>
              <w:bottom w:val="nil"/>
              <w:right w:val="single" w:sz="4" w:space="0" w:color="auto"/>
            </w:tcBorders>
            <w:noWrap/>
            <w:vAlign w:val="center"/>
          </w:tcPr>
          <w:p w:rsidR="00B000C0" w:rsidRPr="00573DEB" w:rsidRDefault="00B000C0" w:rsidP="004B4B73">
            <w:r w:rsidRPr="00573DEB">
              <w:t>2,182</w:t>
            </w:r>
          </w:p>
        </w:tc>
        <w:tc>
          <w:tcPr>
            <w:tcW w:w="1134" w:type="dxa"/>
            <w:tcBorders>
              <w:top w:val="nil"/>
              <w:left w:val="nil"/>
              <w:bottom w:val="nil"/>
              <w:right w:val="single" w:sz="4" w:space="0" w:color="auto"/>
            </w:tcBorders>
            <w:noWrap/>
            <w:vAlign w:val="center"/>
          </w:tcPr>
          <w:p w:rsidR="00B000C0" w:rsidRPr="00573DEB" w:rsidRDefault="00B000C0" w:rsidP="004B4B73">
            <w:r w:rsidRPr="00573DEB">
              <w:t>2,428</w:t>
            </w:r>
          </w:p>
        </w:tc>
      </w:tr>
      <w:tr w:rsidR="00B000C0" w:rsidRPr="00573DEB" w:rsidTr="00E06D92">
        <w:trPr>
          <w:trHeight w:val="300"/>
        </w:trPr>
        <w:tc>
          <w:tcPr>
            <w:tcW w:w="866" w:type="dxa"/>
            <w:tcBorders>
              <w:top w:val="nil"/>
              <w:left w:val="single" w:sz="4" w:space="0" w:color="auto"/>
              <w:bottom w:val="nil"/>
              <w:right w:val="single" w:sz="4" w:space="0" w:color="auto"/>
            </w:tcBorders>
            <w:noWrap/>
            <w:vAlign w:val="bottom"/>
          </w:tcPr>
          <w:p w:rsidR="00B000C0" w:rsidRPr="00573DEB" w:rsidRDefault="00B000C0" w:rsidP="004B4B73">
            <w:r w:rsidRPr="00573DEB">
              <w:t>2006</w:t>
            </w:r>
          </w:p>
        </w:tc>
        <w:tc>
          <w:tcPr>
            <w:tcW w:w="1276" w:type="dxa"/>
            <w:tcBorders>
              <w:top w:val="nil"/>
              <w:left w:val="nil"/>
              <w:bottom w:val="nil"/>
              <w:right w:val="single" w:sz="4" w:space="0" w:color="auto"/>
            </w:tcBorders>
            <w:noWrap/>
            <w:vAlign w:val="bottom"/>
          </w:tcPr>
          <w:p w:rsidR="00B000C0" w:rsidRPr="00573DEB" w:rsidRDefault="00B000C0" w:rsidP="004B4B73">
            <w:r w:rsidRPr="00573DEB">
              <w:t>231</w:t>
            </w:r>
          </w:p>
        </w:tc>
        <w:tc>
          <w:tcPr>
            <w:tcW w:w="1417" w:type="dxa"/>
            <w:tcBorders>
              <w:top w:val="nil"/>
              <w:left w:val="nil"/>
              <w:bottom w:val="nil"/>
              <w:right w:val="single" w:sz="4" w:space="0" w:color="auto"/>
            </w:tcBorders>
            <w:noWrap/>
            <w:vAlign w:val="center"/>
          </w:tcPr>
          <w:p w:rsidR="00B000C0" w:rsidRPr="00573DEB" w:rsidRDefault="00B000C0" w:rsidP="004B4B73">
            <w:r w:rsidRPr="00573DEB">
              <w:t>2,226</w:t>
            </w:r>
          </w:p>
        </w:tc>
        <w:tc>
          <w:tcPr>
            <w:tcW w:w="1134" w:type="dxa"/>
            <w:tcBorders>
              <w:top w:val="nil"/>
              <w:left w:val="nil"/>
              <w:bottom w:val="nil"/>
              <w:right w:val="single" w:sz="4" w:space="0" w:color="auto"/>
            </w:tcBorders>
            <w:noWrap/>
            <w:vAlign w:val="center"/>
          </w:tcPr>
          <w:p w:rsidR="00B000C0" w:rsidRPr="00573DEB" w:rsidRDefault="00B000C0" w:rsidP="004B4B73">
            <w:r w:rsidRPr="00573DEB">
              <w:t>2,457</w:t>
            </w:r>
          </w:p>
        </w:tc>
      </w:tr>
      <w:tr w:rsidR="00B000C0" w:rsidRPr="00573DEB" w:rsidTr="00E06D92">
        <w:trPr>
          <w:trHeight w:val="300"/>
        </w:trPr>
        <w:tc>
          <w:tcPr>
            <w:tcW w:w="866" w:type="dxa"/>
            <w:tcBorders>
              <w:top w:val="nil"/>
              <w:left w:val="single" w:sz="4" w:space="0" w:color="auto"/>
              <w:bottom w:val="nil"/>
              <w:right w:val="single" w:sz="4" w:space="0" w:color="auto"/>
            </w:tcBorders>
            <w:noWrap/>
            <w:vAlign w:val="bottom"/>
          </w:tcPr>
          <w:p w:rsidR="00B000C0" w:rsidRPr="00573DEB" w:rsidRDefault="00B000C0" w:rsidP="004B4B73">
            <w:r w:rsidRPr="00573DEB">
              <w:t>2007</w:t>
            </w:r>
          </w:p>
        </w:tc>
        <w:tc>
          <w:tcPr>
            <w:tcW w:w="1276" w:type="dxa"/>
            <w:tcBorders>
              <w:top w:val="nil"/>
              <w:left w:val="nil"/>
              <w:bottom w:val="nil"/>
              <w:right w:val="single" w:sz="4" w:space="0" w:color="auto"/>
            </w:tcBorders>
            <w:noWrap/>
            <w:vAlign w:val="bottom"/>
          </w:tcPr>
          <w:p w:rsidR="00B000C0" w:rsidRPr="00573DEB" w:rsidRDefault="00B000C0" w:rsidP="004B4B73">
            <w:r w:rsidRPr="00573DEB">
              <w:t>197</w:t>
            </w:r>
          </w:p>
        </w:tc>
        <w:tc>
          <w:tcPr>
            <w:tcW w:w="1417" w:type="dxa"/>
            <w:tcBorders>
              <w:top w:val="nil"/>
              <w:left w:val="nil"/>
              <w:bottom w:val="nil"/>
              <w:right w:val="single" w:sz="4" w:space="0" w:color="auto"/>
            </w:tcBorders>
            <w:noWrap/>
            <w:vAlign w:val="center"/>
          </w:tcPr>
          <w:p w:rsidR="00B000C0" w:rsidRPr="00573DEB" w:rsidRDefault="00B000C0" w:rsidP="004B4B73">
            <w:r w:rsidRPr="00573DEB">
              <w:t>1,434</w:t>
            </w:r>
          </w:p>
        </w:tc>
        <w:tc>
          <w:tcPr>
            <w:tcW w:w="1134" w:type="dxa"/>
            <w:tcBorders>
              <w:top w:val="nil"/>
              <w:left w:val="nil"/>
              <w:bottom w:val="nil"/>
              <w:right w:val="single" w:sz="4" w:space="0" w:color="auto"/>
            </w:tcBorders>
            <w:noWrap/>
            <w:vAlign w:val="center"/>
          </w:tcPr>
          <w:p w:rsidR="00B000C0" w:rsidRPr="00573DEB" w:rsidRDefault="00B000C0" w:rsidP="004B4B73">
            <w:r w:rsidRPr="00573DEB">
              <w:t>1,631</w:t>
            </w:r>
          </w:p>
        </w:tc>
      </w:tr>
      <w:tr w:rsidR="00B000C0" w:rsidRPr="00573DEB" w:rsidTr="00E06D92">
        <w:trPr>
          <w:trHeight w:val="300"/>
        </w:trPr>
        <w:tc>
          <w:tcPr>
            <w:tcW w:w="866" w:type="dxa"/>
            <w:tcBorders>
              <w:top w:val="nil"/>
              <w:left w:val="single" w:sz="4" w:space="0" w:color="auto"/>
              <w:bottom w:val="nil"/>
              <w:right w:val="single" w:sz="4" w:space="0" w:color="auto"/>
            </w:tcBorders>
            <w:noWrap/>
            <w:vAlign w:val="bottom"/>
          </w:tcPr>
          <w:p w:rsidR="00B000C0" w:rsidRPr="00573DEB" w:rsidRDefault="00B000C0" w:rsidP="004B4B73">
            <w:r w:rsidRPr="00573DEB">
              <w:t>2008</w:t>
            </w:r>
          </w:p>
        </w:tc>
        <w:tc>
          <w:tcPr>
            <w:tcW w:w="1276" w:type="dxa"/>
            <w:tcBorders>
              <w:top w:val="nil"/>
              <w:left w:val="nil"/>
              <w:bottom w:val="nil"/>
              <w:right w:val="single" w:sz="4" w:space="0" w:color="auto"/>
            </w:tcBorders>
            <w:noWrap/>
            <w:vAlign w:val="bottom"/>
          </w:tcPr>
          <w:p w:rsidR="00B000C0" w:rsidRPr="00573DEB" w:rsidRDefault="00B000C0" w:rsidP="004B4B73">
            <w:r w:rsidRPr="00573DEB">
              <w:t>234</w:t>
            </w:r>
          </w:p>
        </w:tc>
        <w:tc>
          <w:tcPr>
            <w:tcW w:w="1417" w:type="dxa"/>
            <w:tcBorders>
              <w:top w:val="nil"/>
              <w:left w:val="nil"/>
              <w:bottom w:val="nil"/>
              <w:right w:val="single" w:sz="4" w:space="0" w:color="auto"/>
            </w:tcBorders>
            <w:noWrap/>
            <w:vAlign w:val="center"/>
          </w:tcPr>
          <w:p w:rsidR="00B000C0" w:rsidRPr="00573DEB" w:rsidRDefault="00B000C0" w:rsidP="004B4B73">
            <w:r w:rsidRPr="00573DEB">
              <w:t>2,276</w:t>
            </w:r>
          </w:p>
        </w:tc>
        <w:tc>
          <w:tcPr>
            <w:tcW w:w="1134" w:type="dxa"/>
            <w:tcBorders>
              <w:top w:val="nil"/>
              <w:left w:val="nil"/>
              <w:bottom w:val="nil"/>
              <w:right w:val="single" w:sz="4" w:space="0" w:color="auto"/>
            </w:tcBorders>
            <w:noWrap/>
            <w:vAlign w:val="center"/>
          </w:tcPr>
          <w:p w:rsidR="00B000C0" w:rsidRPr="00573DEB" w:rsidRDefault="00B000C0" w:rsidP="004B4B73">
            <w:r w:rsidRPr="00573DEB">
              <w:t>2,510</w:t>
            </w:r>
          </w:p>
        </w:tc>
      </w:tr>
      <w:tr w:rsidR="00B000C0" w:rsidRPr="00573DEB" w:rsidTr="00E06D92">
        <w:trPr>
          <w:trHeight w:val="300"/>
        </w:trPr>
        <w:tc>
          <w:tcPr>
            <w:tcW w:w="866" w:type="dxa"/>
            <w:tcBorders>
              <w:top w:val="nil"/>
              <w:left w:val="single" w:sz="4" w:space="0" w:color="auto"/>
              <w:bottom w:val="nil"/>
              <w:right w:val="single" w:sz="4" w:space="0" w:color="auto"/>
            </w:tcBorders>
            <w:noWrap/>
            <w:vAlign w:val="bottom"/>
          </w:tcPr>
          <w:p w:rsidR="00B000C0" w:rsidRPr="00573DEB" w:rsidRDefault="00B000C0" w:rsidP="004B4B73">
            <w:r w:rsidRPr="00573DEB">
              <w:t>2009</w:t>
            </w:r>
          </w:p>
        </w:tc>
        <w:tc>
          <w:tcPr>
            <w:tcW w:w="1276" w:type="dxa"/>
            <w:tcBorders>
              <w:top w:val="nil"/>
              <w:left w:val="nil"/>
              <w:bottom w:val="nil"/>
              <w:right w:val="single" w:sz="4" w:space="0" w:color="auto"/>
            </w:tcBorders>
            <w:noWrap/>
            <w:vAlign w:val="bottom"/>
          </w:tcPr>
          <w:p w:rsidR="00B000C0" w:rsidRPr="00573DEB" w:rsidRDefault="00B000C0" w:rsidP="004B4B73">
            <w:r w:rsidRPr="00573DEB">
              <w:t>342</w:t>
            </w:r>
          </w:p>
        </w:tc>
        <w:tc>
          <w:tcPr>
            <w:tcW w:w="1417" w:type="dxa"/>
            <w:tcBorders>
              <w:top w:val="nil"/>
              <w:left w:val="nil"/>
              <w:bottom w:val="nil"/>
              <w:right w:val="single" w:sz="4" w:space="0" w:color="auto"/>
            </w:tcBorders>
            <w:noWrap/>
            <w:vAlign w:val="center"/>
          </w:tcPr>
          <w:p w:rsidR="00B000C0" w:rsidRPr="00573DEB" w:rsidRDefault="00B000C0" w:rsidP="004B4B73">
            <w:r w:rsidRPr="00573DEB">
              <w:t>2,428</w:t>
            </w:r>
          </w:p>
        </w:tc>
        <w:tc>
          <w:tcPr>
            <w:tcW w:w="1134" w:type="dxa"/>
            <w:tcBorders>
              <w:top w:val="nil"/>
              <w:left w:val="nil"/>
              <w:bottom w:val="nil"/>
              <w:right w:val="single" w:sz="4" w:space="0" w:color="auto"/>
            </w:tcBorders>
            <w:noWrap/>
            <w:vAlign w:val="center"/>
          </w:tcPr>
          <w:p w:rsidR="00B000C0" w:rsidRPr="00573DEB" w:rsidRDefault="00B000C0" w:rsidP="004B4B73">
            <w:r w:rsidRPr="00573DEB">
              <w:t>2,770</w:t>
            </w:r>
          </w:p>
        </w:tc>
      </w:tr>
      <w:tr w:rsidR="00B000C0" w:rsidRPr="00573DEB" w:rsidTr="00E06D92">
        <w:trPr>
          <w:trHeight w:val="300"/>
        </w:trPr>
        <w:tc>
          <w:tcPr>
            <w:tcW w:w="866" w:type="dxa"/>
            <w:tcBorders>
              <w:top w:val="nil"/>
              <w:left w:val="single" w:sz="4" w:space="0" w:color="auto"/>
              <w:bottom w:val="nil"/>
              <w:right w:val="single" w:sz="4" w:space="0" w:color="auto"/>
            </w:tcBorders>
            <w:noWrap/>
            <w:vAlign w:val="bottom"/>
          </w:tcPr>
          <w:p w:rsidR="00B000C0" w:rsidRPr="00573DEB" w:rsidRDefault="00B000C0" w:rsidP="004B4B73">
            <w:r w:rsidRPr="00573DEB">
              <w:t>2010</w:t>
            </w:r>
          </w:p>
        </w:tc>
        <w:tc>
          <w:tcPr>
            <w:tcW w:w="1276" w:type="dxa"/>
            <w:tcBorders>
              <w:top w:val="nil"/>
              <w:left w:val="nil"/>
              <w:bottom w:val="nil"/>
              <w:right w:val="single" w:sz="4" w:space="0" w:color="auto"/>
            </w:tcBorders>
            <w:noWrap/>
            <w:vAlign w:val="bottom"/>
          </w:tcPr>
          <w:p w:rsidR="00B000C0" w:rsidRPr="00573DEB" w:rsidRDefault="00B000C0" w:rsidP="004B4B73">
            <w:r w:rsidRPr="00573DEB">
              <w:t>313</w:t>
            </w:r>
          </w:p>
        </w:tc>
        <w:tc>
          <w:tcPr>
            <w:tcW w:w="1417" w:type="dxa"/>
            <w:tcBorders>
              <w:top w:val="nil"/>
              <w:left w:val="nil"/>
              <w:bottom w:val="nil"/>
              <w:right w:val="single" w:sz="4" w:space="0" w:color="auto"/>
            </w:tcBorders>
            <w:noWrap/>
            <w:vAlign w:val="center"/>
          </w:tcPr>
          <w:p w:rsidR="00B000C0" w:rsidRPr="00573DEB" w:rsidRDefault="00B000C0" w:rsidP="004B4B73">
            <w:r w:rsidRPr="00573DEB">
              <w:t>2,925</w:t>
            </w:r>
          </w:p>
        </w:tc>
        <w:tc>
          <w:tcPr>
            <w:tcW w:w="1134" w:type="dxa"/>
            <w:tcBorders>
              <w:top w:val="nil"/>
              <w:left w:val="nil"/>
              <w:bottom w:val="nil"/>
              <w:right w:val="single" w:sz="4" w:space="0" w:color="auto"/>
            </w:tcBorders>
            <w:noWrap/>
            <w:vAlign w:val="center"/>
          </w:tcPr>
          <w:p w:rsidR="00B000C0" w:rsidRPr="00573DEB" w:rsidRDefault="00B000C0" w:rsidP="004B4B73">
            <w:r w:rsidRPr="00573DEB">
              <w:t>3,238</w:t>
            </w:r>
          </w:p>
        </w:tc>
      </w:tr>
      <w:tr w:rsidR="00B000C0" w:rsidRPr="00573DEB" w:rsidTr="00E06D92">
        <w:trPr>
          <w:trHeight w:val="300"/>
        </w:trPr>
        <w:tc>
          <w:tcPr>
            <w:tcW w:w="866" w:type="dxa"/>
            <w:tcBorders>
              <w:top w:val="nil"/>
              <w:left w:val="single" w:sz="4" w:space="0" w:color="auto"/>
              <w:bottom w:val="single" w:sz="4" w:space="0" w:color="auto"/>
              <w:right w:val="single" w:sz="4" w:space="0" w:color="auto"/>
            </w:tcBorders>
            <w:noWrap/>
            <w:vAlign w:val="bottom"/>
          </w:tcPr>
          <w:p w:rsidR="00B000C0" w:rsidRPr="00573DEB" w:rsidRDefault="00B000C0" w:rsidP="004B4B73">
            <w:r w:rsidRPr="00573DEB">
              <w:t>2011</w:t>
            </w:r>
          </w:p>
        </w:tc>
        <w:tc>
          <w:tcPr>
            <w:tcW w:w="1276" w:type="dxa"/>
            <w:tcBorders>
              <w:top w:val="nil"/>
              <w:left w:val="nil"/>
              <w:bottom w:val="single" w:sz="4" w:space="0" w:color="auto"/>
              <w:right w:val="single" w:sz="4" w:space="0" w:color="auto"/>
            </w:tcBorders>
            <w:noWrap/>
            <w:vAlign w:val="bottom"/>
          </w:tcPr>
          <w:p w:rsidR="00B000C0" w:rsidRPr="00573DEB" w:rsidRDefault="00B000C0" w:rsidP="004B4B73">
            <w:r w:rsidRPr="00573DEB">
              <w:t>380</w:t>
            </w:r>
          </w:p>
        </w:tc>
        <w:tc>
          <w:tcPr>
            <w:tcW w:w="1417" w:type="dxa"/>
            <w:tcBorders>
              <w:top w:val="nil"/>
              <w:left w:val="nil"/>
              <w:bottom w:val="single" w:sz="4" w:space="0" w:color="auto"/>
              <w:right w:val="single" w:sz="4" w:space="0" w:color="auto"/>
            </w:tcBorders>
            <w:noWrap/>
            <w:vAlign w:val="center"/>
          </w:tcPr>
          <w:p w:rsidR="00B000C0" w:rsidRPr="00573DEB" w:rsidRDefault="00B000C0" w:rsidP="004B4B73">
            <w:r w:rsidRPr="00573DEB">
              <w:t>3,057</w:t>
            </w:r>
          </w:p>
        </w:tc>
        <w:tc>
          <w:tcPr>
            <w:tcW w:w="1134" w:type="dxa"/>
            <w:tcBorders>
              <w:top w:val="nil"/>
              <w:left w:val="nil"/>
              <w:bottom w:val="single" w:sz="4" w:space="0" w:color="auto"/>
              <w:right w:val="single" w:sz="4" w:space="0" w:color="auto"/>
            </w:tcBorders>
            <w:noWrap/>
            <w:vAlign w:val="center"/>
          </w:tcPr>
          <w:p w:rsidR="00B000C0" w:rsidRPr="00573DEB" w:rsidRDefault="00B000C0" w:rsidP="004B4B73">
            <w:r w:rsidRPr="00573DEB">
              <w:t>3,437</w:t>
            </w:r>
          </w:p>
        </w:tc>
      </w:tr>
    </w:tbl>
    <w:p w:rsidR="00B000C0" w:rsidRPr="008B28EC" w:rsidRDefault="00B000C0" w:rsidP="00E06D92">
      <w:pPr>
        <w:pStyle w:val="Captionnotes"/>
        <w:rPr>
          <w:i w:val="0"/>
        </w:rPr>
      </w:pPr>
      <w:r w:rsidRPr="008B28EC">
        <w:rPr>
          <w:i w:val="0"/>
        </w:rPr>
        <w:t xml:space="preserve">Source: </w:t>
      </w:r>
      <w:r w:rsidR="008B28EC">
        <w:rPr>
          <w:i w:val="0"/>
        </w:rPr>
        <w:t xml:space="preserve"> </w:t>
      </w:r>
      <w:r w:rsidRPr="008B28EC">
        <w:rPr>
          <w:i w:val="0"/>
        </w:rPr>
        <w:t>INPI’s Statistical database (BADEPI)</w:t>
      </w:r>
    </w:p>
    <w:p w:rsidR="00B000C0" w:rsidRPr="00573DEB" w:rsidRDefault="00B000C0" w:rsidP="004B4B73"/>
    <w:p w:rsidR="00B000C0" w:rsidRPr="00573DEB" w:rsidRDefault="00B000C0" w:rsidP="004B4B73"/>
    <w:p w:rsidR="00B000C0" w:rsidRDefault="00B000C0" w:rsidP="004B4B73"/>
    <w:p w:rsidR="009A0235" w:rsidRPr="00573DEB" w:rsidRDefault="009A0235" w:rsidP="004B4B73"/>
    <w:p w:rsidR="00B000C0" w:rsidRPr="00573DEB" w:rsidRDefault="00B000C0" w:rsidP="008B28EC">
      <w:pPr>
        <w:pStyle w:val="Heading2"/>
      </w:pPr>
      <w:bookmarkStart w:id="59" w:name="_Toc388619923"/>
      <w:r w:rsidRPr="00573DEB">
        <w:lastRenderedPageBreak/>
        <w:t>Utility Model</w:t>
      </w:r>
      <w:r w:rsidR="0050316E" w:rsidRPr="00573DEB">
        <w:t xml:space="preserve"> application</w:t>
      </w:r>
      <w:r w:rsidRPr="00573DEB">
        <w:t>s</w:t>
      </w:r>
      <w:bookmarkEnd w:id="59"/>
      <w:r w:rsidRPr="00573DEB">
        <w:t xml:space="preserve"> </w:t>
      </w:r>
    </w:p>
    <w:p w:rsidR="00B000C0" w:rsidRPr="00573DEB" w:rsidRDefault="00B000C0" w:rsidP="008B28EC"/>
    <w:p w:rsidR="00B000C0" w:rsidRPr="00573DEB" w:rsidRDefault="00B000C0" w:rsidP="008B28EC">
      <w:r w:rsidRPr="00573DEB">
        <w:t>Over the period 2000-2011, the number of utility model applications in Brazil had a decrease of almost 7%, albeit not continuously</w:t>
      </w:r>
      <w:r w:rsidR="004B4B73" w:rsidRPr="00573DEB">
        <w:t xml:space="preserve">.  </w:t>
      </w:r>
      <w:r w:rsidRPr="00573DEB">
        <w:t>Between 2000</w:t>
      </w:r>
      <w:r w:rsidR="00E06D92" w:rsidRPr="00573DEB">
        <w:t xml:space="preserve"> and </w:t>
      </w:r>
      <w:r w:rsidRPr="00573DEB">
        <w:t>2004, UM applications followed an upward trend, when applications increased from 3,300 to 3,600</w:t>
      </w:r>
      <w:r w:rsidR="004B4B73" w:rsidRPr="00573DEB">
        <w:t xml:space="preserve">.  </w:t>
      </w:r>
      <w:r w:rsidRPr="00573DEB">
        <w:t>Since then, the total number of UM applications filed in Brazil fell between 2004 and 2007 (-15%) followed by a recovery in 2008-2009 (11%) and then, in 2010-2011, declined yet again (-11%), reaching a lower level when compared to the beginning of the period</w:t>
      </w:r>
      <w:r w:rsidR="004B4B73" w:rsidRPr="00573DEB">
        <w:t xml:space="preserve">.  </w:t>
      </w:r>
      <w:r w:rsidRPr="00573DEB">
        <w:t xml:space="preserve">This was mainly due to resident applications, </w:t>
      </w:r>
      <w:r w:rsidR="00E06D92" w:rsidRPr="00573DEB">
        <w:t xml:space="preserve">which </w:t>
      </w:r>
      <w:r w:rsidRPr="00573DEB">
        <w:t>accounted for around 98% of total UM applications</w:t>
      </w:r>
      <w:r w:rsidR="004B4B73" w:rsidRPr="00573DEB">
        <w:t xml:space="preserve">.  </w:t>
      </w:r>
      <w:r w:rsidRPr="00573DEB">
        <w:t>Unlike patents, utility models are a type of protection typically used by residents, considering that (the subsidiary of a multinational corporation is considered resident</w:t>
      </w:r>
      <w:r w:rsidR="004B4B73" w:rsidRPr="00573DEB">
        <w:t xml:space="preserve">.  </w:t>
      </w:r>
      <w:r w:rsidRPr="00573DEB">
        <w:t>In this scenario, such companies are able to implement adjustments to their products in order to adapt them to the Brazilian market</w:t>
      </w:r>
      <w:r w:rsidR="004B4B73" w:rsidRPr="00573DEB">
        <w:t xml:space="preserve">.  </w:t>
      </w:r>
      <w:r w:rsidRPr="00573DEB">
        <w:t>If complying with the substantive criteria, such products are protectable as UMs and are considered resident applications.</w:t>
      </w:r>
    </w:p>
    <w:p w:rsidR="00B000C0" w:rsidRPr="00573DEB" w:rsidRDefault="00B000C0" w:rsidP="008B28EC"/>
    <w:p w:rsidR="00B000C0" w:rsidRPr="00573DEB" w:rsidRDefault="00B000C0" w:rsidP="008B28EC">
      <w:r w:rsidRPr="00573DEB">
        <w:t>Non-resident participation increased in 2010 and 2011, even though the reasons for this growth are not clear</w:t>
      </w:r>
      <w:r w:rsidR="004B4B73" w:rsidRPr="00573DEB">
        <w:t xml:space="preserve">.  </w:t>
      </w:r>
      <w:r w:rsidRPr="00573DEB">
        <w:t>Considering the origin of the non-resident applications, more than 50% of them originated in Taiwan</w:t>
      </w:r>
      <w:r w:rsidR="009D5BE0">
        <w:t xml:space="preserve"> (Province of China)</w:t>
      </w:r>
      <w:bookmarkStart w:id="60" w:name="_GoBack"/>
      <w:bookmarkEnd w:id="60"/>
      <w:r w:rsidRPr="00573DEB">
        <w:t xml:space="preserve"> (21%), Argentina, United States and China (11% each).</w:t>
      </w:r>
    </w:p>
    <w:p w:rsidR="00E06D92" w:rsidRPr="00573DEB" w:rsidRDefault="00E06D92">
      <w:pPr>
        <w:widowControl/>
        <w:spacing w:after="200" w:line="276" w:lineRule="auto"/>
      </w:pPr>
    </w:p>
    <w:p w:rsidR="00E06D92" w:rsidRPr="00573DEB" w:rsidRDefault="00E06D92" w:rsidP="004B4B73"/>
    <w:p w:rsidR="00B000C0" w:rsidRPr="00573DEB" w:rsidRDefault="000C6B94" w:rsidP="00E06D92">
      <w:pPr>
        <w:pStyle w:val="Caption"/>
      </w:pPr>
      <w:bookmarkStart w:id="61" w:name="_Toc377053289"/>
      <w:bookmarkStart w:id="62" w:name="_Toc378267959"/>
      <w:r>
        <w:rPr>
          <w:lang w:eastAsia="pt-BR"/>
        </w:rPr>
        <w:t xml:space="preserve">Figure 4.9:  </w:t>
      </w:r>
      <w:r w:rsidR="00B000C0" w:rsidRPr="00573DEB">
        <w:t>Utility models by origin of applicants, 2000-2011</w:t>
      </w:r>
      <w:bookmarkEnd w:id="61"/>
      <w:bookmarkEnd w:id="62"/>
    </w:p>
    <w:p w:rsidR="00B000C0" w:rsidRPr="00573DEB" w:rsidRDefault="00B000C0" w:rsidP="004B4B73">
      <w:r w:rsidRPr="00573DEB">
        <w:rPr>
          <w:noProof/>
        </w:rPr>
        <w:drawing>
          <wp:inline distT="0" distB="0" distL="0" distR="0" wp14:anchorId="0D6EEC85" wp14:editId="737469A1">
            <wp:extent cx="5741035" cy="2146935"/>
            <wp:effectExtent l="0" t="0" r="0" b="5715"/>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4"/>
                    <pic:cNvPicPr>
                      <a:picLocks noChangeArrowheads="1"/>
                    </pic:cNvPicPr>
                  </pic:nvPicPr>
                  <pic:blipFill>
                    <a:blip r:embed="rId34">
                      <a:extLst>
                        <a:ext uri="{28A0092B-C50C-407E-A947-70E740481C1C}">
                          <a14:useLocalDpi xmlns:a14="http://schemas.microsoft.com/office/drawing/2010/main" val="0"/>
                        </a:ext>
                      </a:extLst>
                    </a:blip>
                    <a:srcRect b="-58"/>
                    <a:stretch>
                      <a:fillRect/>
                    </a:stretch>
                  </pic:blipFill>
                  <pic:spPr bwMode="auto">
                    <a:xfrm>
                      <a:off x="0" y="0"/>
                      <a:ext cx="5741035" cy="2146935"/>
                    </a:xfrm>
                    <a:prstGeom prst="rect">
                      <a:avLst/>
                    </a:prstGeom>
                    <a:noFill/>
                    <a:ln>
                      <a:noFill/>
                    </a:ln>
                  </pic:spPr>
                </pic:pic>
              </a:graphicData>
            </a:graphic>
          </wp:inline>
        </w:drawing>
      </w:r>
    </w:p>
    <w:p w:rsidR="00B000C0" w:rsidRPr="008B28EC" w:rsidRDefault="00B000C0" w:rsidP="00E06D92">
      <w:pPr>
        <w:pStyle w:val="Captionnotes"/>
        <w:rPr>
          <w:i w:val="0"/>
        </w:rPr>
      </w:pPr>
      <w:r w:rsidRPr="008B28EC">
        <w:rPr>
          <w:i w:val="0"/>
        </w:rPr>
        <w:t>Source:</w:t>
      </w:r>
      <w:r w:rsidR="008B28EC">
        <w:rPr>
          <w:i w:val="0"/>
        </w:rPr>
        <w:t xml:space="preserve"> </w:t>
      </w:r>
      <w:r w:rsidRPr="008B28EC">
        <w:rPr>
          <w:i w:val="0"/>
        </w:rPr>
        <w:t xml:space="preserve"> INPI’s Statistical database (BADEPI)</w:t>
      </w:r>
    </w:p>
    <w:p w:rsidR="00B000C0" w:rsidRPr="00573DEB" w:rsidRDefault="00B000C0" w:rsidP="004B4B73"/>
    <w:p w:rsidR="0050316E" w:rsidRPr="00573DEB" w:rsidRDefault="0050316E" w:rsidP="004B4B73"/>
    <w:p w:rsidR="00B000C0" w:rsidRPr="00573DEB" w:rsidRDefault="00B000C0" w:rsidP="004B4B73"/>
    <w:p w:rsidR="00B000C0" w:rsidRPr="00573DEB" w:rsidRDefault="0050316E" w:rsidP="008B28EC">
      <w:pPr>
        <w:pStyle w:val="Heading2"/>
      </w:pPr>
      <w:bookmarkStart w:id="63" w:name="_Toc388619924"/>
      <w:r w:rsidRPr="00573DEB">
        <w:t xml:space="preserve">Utility Model applications </w:t>
      </w:r>
      <w:r w:rsidR="00B000C0" w:rsidRPr="00573DEB">
        <w:t>by technological fields</w:t>
      </w:r>
      <w:bookmarkEnd w:id="63"/>
    </w:p>
    <w:p w:rsidR="00B000C0" w:rsidRPr="00573DEB" w:rsidRDefault="00B000C0" w:rsidP="008B28EC"/>
    <w:p w:rsidR="00B000C0" w:rsidRPr="00573DEB" w:rsidRDefault="00B000C0" w:rsidP="008B28EC">
      <w:r w:rsidRPr="00573DEB">
        <w:t>Figure 4.10 shows total utility model applications, during the period of 2000-2011, broken down by technological sectors</w:t>
      </w:r>
      <w:r w:rsidRPr="00573DEB">
        <w:rPr>
          <w:vertAlign w:val="superscript"/>
        </w:rPr>
        <w:footnoteReference w:id="25"/>
      </w:r>
      <w:r w:rsidR="004B4B73" w:rsidRPr="00573DEB">
        <w:t xml:space="preserve">.  </w:t>
      </w:r>
      <w:r w:rsidRPr="00573DEB">
        <w:t>It shows that, together, the sectors of mechanical engineering and of other fields accounted for the highest shares in total applications, with almost 75%</w:t>
      </w:r>
      <w:r w:rsidR="004B4B73" w:rsidRPr="00573DEB">
        <w:t xml:space="preserve">.  </w:t>
      </w:r>
      <w:r w:rsidRPr="00573DEB">
        <w:t>The areas in which residents predominate in patents differ from areas in which utility models are more expressive</w:t>
      </w:r>
      <w:r w:rsidR="004B4B73" w:rsidRPr="00573DEB">
        <w:t xml:space="preserve">.  </w:t>
      </w:r>
      <w:r w:rsidRPr="00573DEB">
        <w:t>In other words, the form of protection is specific to the characteristics of the sector</w:t>
      </w:r>
      <w:r w:rsidR="004B4B73" w:rsidRPr="00573DEB">
        <w:t xml:space="preserve">.  </w:t>
      </w:r>
      <w:r w:rsidRPr="00573DEB">
        <w:t xml:space="preserve">For example, the chemistry sector has an important concentration in patents </w:t>
      </w:r>
      <w:r w:rsidR="00334CC6" w:rsidRPr="00573DEB">
        <w:t>(</w:t>
      </w:r>
      <w:r w:rsidRPr="00573DEB">
        <w:t>30% of the total)</w:t>
      </w:r>
      <w:proofErr w:type="gramStart"/>
      <w:r w:rsidRPr="00573DEB">
        <w:t>,</w:t>
      </w:r>
      <w:proofErr w:type="gramEnd"/>
      <w:r w:rsidRPr="00573DEB">
        <w:t xml:space="preserve"> while in terms of utility models it represents only 6%</w:t>
      </w:r>
      <w:r w:rsidR="004B4B73" w:rsidRPr="00573DEB">
        <w:t xml:space="preserve">.  </w:t>
      </w:r>
    </w:p>
    <w:p w:rsidR="00B000C0" w:rsidRPr="00573DEB" w:rsidRDefault="00B000C0" w:rsidP="008B28EC"/>
    <w:p w:rsidR="00B000C0" w:rsidRPr="00573DEB" w:rsidRDefault="00B000C0" w:rsidP="008B28EC">
      <w:r w:rsidRPr="00573DEB">
        <w:t>When looking at the fields separately, the five most important fields were “furniture, games”, “handling”, “other consumer goods”, “civil engineering” and “transport”.</w:t>
      </w:r>
    </w:p>
    <w:p w:rsidR="00B000C0" w:rsidRPr="00573DEB" w:rsidRDefault="00B000C0" w:rsidP="008B28EC"/>
    <w:p w:rsidR="00625608" w:rsidRPr="00573DEB" w:rsidRDefault="00625608" w:rsidP="004B4B73"/>
    <w:p w:rsidR="00B000C0" w:rsidRPr="00573DEB" w:rsidRDefault="000C6B94" w:rsidP="00E06D92">
      <w:pPr>
        <w:pStyle w:val="Caption"/>
      </w:pPr>
      <w:bookmarkStart w:id="64" w:name="_Toc377053290"/>
      <w:bookmarkStart w:id="65" w:name="_Toc378267960"/>
      <w:r>
        <w:rPr>
          <w:lang w:eastAsia="pt-BR"/>
        </w:rPr>
        <w:lastRenderedPageBreak/>
        <w:t xml:space="preserve">Figure 4.10:  </w:t>
      </w:r>
      <w:r w:rsidR="00B000C0" w:rsidRPr="00573DEB">
        <w:t>Utility models by technological sectors, 2000-2011</w:t>
      </w:r>
      <w:bookmarkEnd w:id="64"/>
      <w:bookmarkEnd w:id="65"/>
    </w:p>
    <w:p w:rsidR="00B000C0" w:rsidRPr="00573DEB" w:rsidRDefault="00B000C0" w:rsidP="004B4B73">
      <w:r w:rsidRPr="00573DEB">
        <w:rPr>
          <w:noProof/>
        </w:rPr>
        <w:drawing>
          <wp:inline distT="0" distB="0" distL="0" distR="0" wp14:anchorId="540531FC" wp14:editId="665B6AFC">
            <wp:extent cx="5732780" cy="2544445"/>
            <wp:effectExtent l="0" t="0" r="1270" b="8255"/>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4"/>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2780" cy="2544445"/>
                    </a:xfrm>
                    <a:prstGeom prst="rect">
                      <a:avLst/>
                    </a:prstGeom>
                    <a:noFill/>
                    <a:ln>
                      <a:noFill/>
                    </a:ln>
                  </pic:spPr>
                </pic:pic>
              </a:graphicData>
            </a:graphic>
          </wp:inline>
        </w:drawing>
      </w:r>
    </w:p>
    <w:p w:rsidR="00B000C0" w:rsidRPr="008B28EC" w:rsidRDefault="00B000C0" w:rsidP="00E06D92">
      <w:pPr>
        <w:pStyle w:val="Captionnotes"/>
        <w:rPr>
          <w:i w:val="0"/>
        </w:rPr>
      </w:pPr>
      <w:r w:rsidRPr="008B28EC">
        <w:rPr>
          <w:i w:val="0"/>
        </w:rPr>
        <w:t>Source:</w:t>
      </w:r>
      <w:r w:rsidR="008B28EC">
        <w:rPr>
          <w:i w:val="0"/>
        </w:rPr>
        <w:t xml:space="preserve"> </w:t>
      </w:r>
      <w:r w:rsidRPr="008B28EC">
        <w:rPr>
          <w:i w:val="0"/>
        </w:rPr>
        <w:t xml:space="preserve"> INPI’s Statistical database (BADEPI)</w:t>
      </w:r>
    </w:p>
    <w:p w:rsidR="00B000C0" w:rsidRPr="00573DEB" w:rsidRDefault="00B000C0" w:rsidP="004B4B73"/>
    <w:p w:rsidR="00E06D92" w:rsidRPr="00573DEB" w:rsidRDefault="00E06D92" w:rsidP="004B4B73"/>
    <w:p w:rsidR="00E06D92" w:rsidRPr="00573DEB" w:rsidRDefault="00E06D92" w:rsidP="004B4B73"/>
    <w:p w:rsidR="00B000C0" w:rsidRPr="00573DEB" w:rsidRDefault="0050316E" w:rsidP="0050316E">
      <w:pPr>
        <w:pStyle w:val="Heading2"/>
      </w:pPr>
      <w:bookmarkStart w:id="66" w:name="_Toc388619925"/>
      <w:r w:rsidRPr="00573DEB">
        <w:t>Utility Model applications b</w:t>
      </w:r>
      <w:r w:rsidR="00B000C0" w:rsidRPr="00573DEB">
        <w:t>y applicants' type</w:t>
      </w:r>
      <w:bookmarkEnd w:id="66"/>
    </w:p>
    <w:p w:rsidR="00B000C0" w:rsidRPr="00573DEB" w:rsidRDefault="00B000C0" w:rsidP="004B4B73"/>
    <w:p w:rsidR="00B000C0" w:rsidRPr="00573DEB" w:rsidRDefault="00B000C0" w:rsidP="004B4B73">
      <w:r w:rsidRPr="00573DEB">
        <w:t>Figure 4.11 presents Brazilian applications classified according to the type of applicant: companies, universities and individuals</w:t>
      </w:r>
      <w:r w:rsidRPr="00573DEB">
        <w:rPr>
          <w:vertAlign w:val="superscript"/>
        </w:rPr>
        <w:footnoteReference w:id="26"/>
      </w:r>
      <w:r w:rsidR="004B4B73" w:rsidRPr="00573DEB">
        <w:t xml:space="preserve">.  </w:t>
      </w:r>
      <w:r w:rsidRPr="00573DEB">
        <w:t>It shows that individuals play an important role in UM applications; companies, however, have increased their participation during the period</w:t>
      </w:r>
      <w:r w:rsidR="004B4B73" w:rsidRPr="00573DEB">
        <w:t xml:space="preserve">.  </w:t>
      </w:r>
      <w:r w:rsidRPr="00573DEB">
        <w:t>Since utility models are used primarily as an instrument to protect adjustments made ​​into products to adapt them to the Brazilian market, universities are not representative</w:t>
      </w:r>
      <w:r w:rsidR="004B4B73" w:rsidRPr="00573DEB">
        <w:t xml:space="preserve">.  </w:t>
      </w:r>
      <w:r w:rsidRPr="00573DEB">
        <w:t>However, individuals account for larger shares than in patent applications as showed before</w:t>
      </w:r>
      <w:r w:rsidR="004B4B73" w:rsidRPr="00573DEB">
        <w:t xml:space="preserve">.  </w:t>
      </w:r>
      <w:r w:rsidRPr="00573DEB">
        <w:t>This may be an indicative of the fact that UM applications, comparing to patent applications, are more used by micro, small and medium enterprises, the owners of which usually prefer to register the UM in their own name.</w:t>
      </w:r>
    </w:p>
    <w:p w:rsidR="00B000C0" w:rsidRPr="00573DEB" w:rsidRDefault="00B000C0" w:rsidP="004B4B73"/>
    <w:p w:rsidR="00B000C0" w:rsidRPr="00573DEB" w:rsidRDefault="00B000C0" w:rsidP="004B4B73"/>
    <w:p w:rsidR="00B000C0" w:rsidRPr="00573DEB" w:rsidRDefault="000C6B94" w:rsidP="0050316E">
      <w:pPr>
        <w:pStyle w:val="Caption"/>
      </w:pPr>
      <w:bookmarkStart w:id="67" w:name="_Toc377053291"/>
      <w:bookmarkStart w:id="68" w:name="_Toc378267961"/>
      <w:r>
        <w:rPr>
          <w:lang w:eastAsia="pt-BR"/>
        </w:rPr>
        <w:t xml:space="preserve">Figure 4.10:  </w:t>
      </w:r>
      <w:r w:rsidR="00B000C0" w:rsidRPr="00573DEB">
        <w:t>Utility models by type of applicant, 2000-2011</w:t>
      </w:r>
      <w:bookmarkEnd w:id="67"/>
      <w:bookmarkEnd w:id="68"/>
    </w:p>
    <w:p w:rsidR="00B000C0" w:rsidRPr="00573DEB" w:rsidRDefault="00B000C0" w:rsidP="004B4B73">
      <w:r w:rsidRPr="00573DEB">
        <w:rPr>
          <w:noProof/>
        </w:rPr>
        <w:drawing>
          <wp:inline distT="0" distB="0" distL="0" distR="0" wp14:anchorId="5C24289A" wp14:editId="72367ABA">
            <wp:extent cx="5748655" cy="2305685"/>
            <wp:effectExtent l="0" t="0" r="4445"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56"/>
                    <pic:cNvPicPr>
                      <a:picLocks noChangeArrowheads="1"/>
                    </pic:cNvPicPr>
                  </pic:nvPicPr>
                  <pic:blipFill>
                    <a:blip r:embed="rId36">
                      <a:extLst>
                        <a:ext uri="{28A0092B-C50C-407E-A947-70E740481C1C}">
                          <a14:useLocalDpi xmlns:a14="http://schemas.microsoft.com/office/drawing/2010/main" val="0"/>
                        </a:ext>
                      </a:extLst>
                    </a:blip>
                    <a:srcRect b="-55"/>
                    <a:stretch>
                      <a:fillRect/>
                    </a:stretch>
                  </pic:blipFill>
                  <pic:spPr bwMode="auto">
                    <a:xfrm>
                      <a:off x="0" y="0"/>
                      <a:ext cx="5748655" cy="2305685"/>
                    </a:xfrm>
                    <a:prstGeom prst="rect">
                      <a:avLst/>
                    </a:prstGeom>
                    <a:noFill/>
                    <a:ln>
                      <a:noFill/>
                    </a:ln>
                  </pic:spPr>
                </pic:pic>
              </a:graphicData>
            </a:graphic>
          </wp:inline>
        </w:drawing>
      </w:r>
    </w:p>
    <w:p w:rsidR="00B000C0" w:rsidRPr="0062748E" w:rsidRDefault="00B000C0" w:rsidP="0050316E">
      <w:pPr>
        <w:pStyle w:val="Captionnotes"/>
        <w:rPr>
          <w:i w:val="0"/>
        </w:rPr>
      </w:pPr>
      <w:r w:rsidRPr="0062748E">
        <w:rPr>
          <w:i w:val="0"/>
        </w:rPr>
        <w:t>Source:</w:t>
      </w:r>
      <w:r w:rsidR="0062748E">
        <w:rPr>
          <w:i w:val="0"/>
        </w:rPr>
        <w:t xml:space="preserve"> </w:t>
      </w:r>
      <w:r w:rsidRPr="0062748E">
        <w:rPr>
          <w:i w:val="0"/>
        </w:rPr>
        <w:t xml:space="preserve"> INPI’s Statistical database (BADEPI)</w:t>
      </w:r>
    </w:p>
    <w:p w:rsidR="00B000C0" w:rsidRPr="00573DEB" w:rsidRDefault="00B000C0" w:rsidP="004B4B73"/>
    <w:p w:rsidR="00B000C0" w:rsidRPr="00573DEB" w:rsidRDefault="00B000C0" w:rsidP="004B4B73"/>
    <w:p w:rsidR="0050316E" w:rsidRPr="00573DEB" w:rsidRDefault="0050316E" w:rsidP="004B4B73"/>
    <w:p w:rsidR="00B000C0" w:rsidRPr="00573DEB" w:rsidRDefault="0050316E" w:rsidP="00855F62">
      <w:pPr>
        <w:pStyle w:val="Heading2"/>
      </w:pPr>
      <w:bookmarkStart w:id="69" w:name="_Toc388619926"/>
      <w:bookmarkStart w:id="70" w:name="_Toc373369833"/>
      <w:r w:rsidRPr="00573DEB">
        <w:lastRenderedPageBreak/>
        <w:t xml:space="preserve">Resident utility model </w:t>
      </w:r>
      <w:r w:rsidR="00B000C0" w:rsidRPr="00573DEB">
        <w:t>applications by economic sector</w:t>
      </w:r>
      <w:bookmarkEnd w:id="69"/>
    </w:p>
    <w:p w:rsidR="00B000C0" w:rsidRPr="00573DEB" w:rsidRDefault="00B000C0" w:rsidP="00855F62"/>
    <w:p w:rsidR="00B000C0" w:rsidRPr="00573DEB" w:rsidRDefault="00B000C0" w:rsidP="00855F62">
      <w:r w:rsidRPr="00573DEB">
        <w:t>Concerning only resident companies, utility model applications can be broken down by economic sectors according to version 2.0 of the National Classification of Economic Activities (CNAE), which follows the same methodology as International Standard Industrial Classification of all Economic Activities (ISIC Rev.4)</w:t>
      </w:r>
      <w:r w:rsidR="004B4B73" w:rsidRPr="00573DEB">
        <w:t xml:space="preserve">.  </w:t>
      </w:r>
      <w:r w:rsidRPr="00573DEB">
        <w:t>Data, however, are not available for all resident companies</w:t>
      </w:r>
      <w:r w:rsidRPr="00573DEB">
        <w:rPr>
          <w:vertAlign w:val="superscript"/>
        </w:rPr>
        <w:footnoteReference w:id="27"/>
      </w:r>
      <w:r w:rsidRPr="00573DEB">
        <w:t>.</w:t>
      </w:r>
    </w:p>
    <w:p w:rsidR="00B000C0" w:rsidRPr="00573DEB" w:rsidRDefault="00B000C0" w:rsidP="00855F62"/>
    <w:p w:rsidR="00B000C0" w:rsidRPr="00573DEB" w:rsidRDefault="00B000C0" w:rsidP="00855F62">
      <w:r w:rsidRPr="00573DEB">
        <w:t>Table 4.5 shows that most of the utility model applications are related to industrial sectors, such as: “manufacture of machinery and equipment”, “manufacture of fabricated metal products”, “manufacture of rubber and plastics products”, “manufacture of electrical equipment” and “manufacture of motor vehicles, trailers and semi-trailers”.</w:t>
      </w:r>
    </w:p>
    <w:p w:rsidR="00B000C0" w:rsidRPr="00573DEB" w:rsidRDefault="00B000C0" w:rsidP="004B4B73"/>
    <w:p w:rsidR="00F86B70" w:rsidRPr="00573DEB" w:rsidRDefault="00F86B70" w:rsidP="004B4B73"/>
    <w:p w:rsidR="00B000C0" w:rsidRPr="00573DEB" w:rsidRDefault="000C6B94" w:rsidP="0050316E">
      <w:pPr>
        <w:pStyle w:val="Caption"/>
      </w:pPr>
      <w:bookmarkStart w:id="71" w:name="_Toc377374693"/>
      <w:bookmarkStart w:id="72" w:name="_Toc378267997"/>
      <w:r>
        <w:t xml:space="preserve">Table 4.5:  </w:t>
      </w:r>
      <w:r w:rsidR="00B000C0" w:rsidRPr="00573DEB">
        <w:t>Utility model applications by economic sector (ISIC Rev.4</w:t>
      </w:r>
      <w:proofErr w:type="gramStart"/>
      <w:r w:rsidR="00B000C0" w:rsidRPr="00573DEB">
        <w:t>)</w:t>
      </w:r>
      <w:bookmarkEnd w:id="71"/>
      <w:r w:rsidR="00B000C0" w:rsidRPr="00573DEB">
        <w:t xml:space="preserve"> ,</w:t>
      </w:r>
      <w:proofErr w:type="gramEnd"/>
      <w:r w:rsidR="00B000C0" w:rsidRPr="00573DEB">
        <w:t xml:space="preserve"> 2006/2011</w:t>
      </w:r>
      <w:bookmarkEnd w:id="72"/>
    </w:p>
    <w:tbl>
      <w:tblPr>
        <w:tblW w:w="8966" w:type="dxa"/>
        <w:tblLayout w:type="fixed"/>
        <w:tblLook w:val="00A0" w:firstRow="1" w:lastRow="0" w:firstColumn="1" w:lastColumn="0" w:noHBand="0" w:noVBand="0"/>
      </w:tblPr>
      <w:tblGrid>
        <w:gridCol w:w="5260"/>
        <w:gridCol w:w="768"/>
        <w:gridCol w:w="1085"/>
        <w:gridCol w:w="768"/>
        <w:gridCol w:w="1085"/>
      </w:tblGrid>
      <w:tr w:rsidR="00B000C0" w:rsidRPr="00573DEB" w:rsidTr="0050316E">
        <w:trPr>
          <w:trHeight w:val="300"/>
        </w:trPr>
        <w:tc>
          <w:tcPr>
            <w:tcW w:w="5260" w:type="dxa"/>
            <w:tcBorders>
              <w:top w:val="single" w:sz="4" w:space="0" w:color="auto"/>
              <w:left w:val="single" w:sz="4" w:space="0" w:color="auto"/>
              <w:bottom w:val="single" w:sz="4" w:space="0" w:color="auto"/>
              <w:right w:val="single" w:sz="4" w:space="0" w:color="auto"/>
            </w:tcBorders>
            <w:shd w:val="clear" w:color="000000" w:fill="00B050"/>
            <w:noWrap/>
            <w:vAlign w:val="bottom"/>
          </w:tcPr>
          <w:p w:rsidR="00B000C0" w:rsidRPr="00573DEB" w:rsidRDefault="00625608" w:rsidP="00625608">
            <w:pPr>
              <w:jc w:val="center"/>
              <w:rPr>
                <w:rFonts w:ascii="Arial Narrow" w:hAnsi="Arial Narrow"/>
                <w:b/>
              </w:rPr>
            </w:pPr>
            <w:r w:rsidRPr="00573DEB">
              <w:rPr>
                <w:rFonts w:ascii="Arial Narrow" w:hAnsi="Arial Narrow"/>
                <w:b/>
              </w:rPr>
              <w:t>Economic sector</w:t>
            </w:r>
          </w:p>
        </w:tc>
        <w:tc>
          <w:tcPr>
            <w:tcW w:w="768" w:type="dxa"/>
            <w:tcBorders>
              <w:top w:val="single" w:sz="4" w:space="0" w:color="auto"/>
              <w:left w:val="nil"/>
              <w:bottom w:val="single" w:sz="4" w:space="0" w:color="auto"/>
              <w:right w:val="single" w:sz="4" w:space="0" w:color="auto"/>
            </w:tcBorders>
            <w:shd w:val="clear" w:color="000000" w:fill="00B050"/>
            <w:noWrap/>
            <w:vAlign w:val="bottom"/>
          </w:tcPr>
          <w:p w:rsidR="00B000C0" w:rsidRPr="00573DEB" w:rsidRDefault="00B000C0" w:rsidP="00625608">
            <w:pPr>
              <w:jc w:val="center"/>
              <w:rPr>
                <w:rFonts w:ascii="Arial Narrow" w:hAnsi="Arial Narrow"/>
                <w:b/>
              </w:rPr>
            </w:pPr>
            <w:r w:rsidRPr="00573DEB">
              <w:rPr>
                <w:rFonts w:ascii="Arial Narrow" w:hAnsi="Arial Narrow"/>
                <w:b/>
              </w:rPr>
              <w:t>2006</w:t>
            </w:r>
          </w:p>
        </w:tc>
        <w:tc>
          <w:tcPr>
            <w:tcW w:w="1085" w:type="dxa"/>
            <w:tcBorders>
              <w:top w:val="single" w:sz="4" w:space="0" w:color="auto"/>
              <w:left w:val="nil"/>
              <w:bottom w:val="single" w:sz="4" w:space="0" w:color="auto"/>
              <w:right w:val="single" w:sz="4" w:space="0" w:color="auto"/>
            </w:tcBorders>
            <w:shd w:val="clear" w:color="000000" w:fill="00B050"/>
            <w:noWrap/>
            <w:vAlign w:val="bottom"/>
          </w:tcPr>
          <w:p w:rsidR="00B000C0" w:rsidRPr="00573DEB" w:rsidRDefault="00625608" w:rsidP="00625608">
            <w:pPr>
              <w:jc w:val="center"/>
              <w:rPr>
                <w:rFonts w:ascii="Arial Narrow" w:hAnsi="Arial Narrow"/>
                <w:b/>
              </w:rPr>
            </w:pPr>
            <w:r w:rsidRPr="00573DEB">
              <w:rPr>
                <w:rFonts w:ascii="Arial Narrow" w:hAnsi="Arial Narrow"/>
                <w:b/>
              </w:rPr>
              <w:t>%</w:t>
            </w:r>
          </w:p>
        </w:tc>
        <w:tc>
          <w:tcPr>
            <w:tcW w:w="768" w:type="dxa"/>
            <w:tcBorders>
              <w:top w:val="single" w:sz="4" w:space="0" w:color="auto"/>
              <w:left w:val="nil"/>
              <w:bottom w:val="single" w:sz="4" w:space="0" w:color="auto"/>
              <w:right w:val="single" w:sz="4" w:space="0" w:color="auto"/>
            </w:tcBorders>
            <w:shd w:val="clear" w:color="000000" w:fill="00B050"/>
            <w:noWrap/>
            <w:vAlign w:val="bottom"/>
          </w:tcPr>
          <w:p w:rsidR="00B000C0" w:rsidRPr="00573DEB" w:rsidRDefault="00B000C0" w:rsidP="00625608">
            <w:pPr>
              <w:jc w:val="center"/>
              <w:rPr>
                <w:rFonts w:ascii="Arial Narrow" w:hAnsi="Arial Narrow"/>
                <w:b/>
              </w:rPr>
            </w:pPr>
            <w:r w:rsidRPr="00573DEB">
              <w:rPr>
                <w:rFonts w:ascii="Arial Narrow" w:hAnsi="Arial Narrow"/>
                <w:b/>
              </w:rPr>
              <w:t>2011</w:t>
            </w:r>
          </w:p>
        </w:tc>
        <w:tc>
          <w:tcPr>
            <w:tcW w:w="1085" w:type="dxa"/>
            <w:tcBorders>
              <w:top w:val="single" w:sz="4" w:space="0" w:color="auto"/>
              <w:left w:val="nil"/>
              <w:bottom w:val="single" w:sz="4" w:space="0" w:color="auto"/>
              <w:right w:val="single" w:sz="4" w:space="0" w:color="auto"/>
            </w:tcBorders>
            <w:shd w:val="clear" w:color="000000" w:fill="00B050"/>
            <w:noWrap/>
            <w:vAlign w:val="bottom"/>
          </w:tcPr>
          <w:p w:rsidR="00B000C0" w:rsidRPr="00573DEB" w:rsidRDefault="00625608" w:rsidP="00625608">
            <w:pPr>
              <w:jc w:val="center"/>
              <w:rPr>
                <w:rFonts w:ascii="Arial Narrow" w:hAnsi="Arial Narrow"/>
                <w:b/>
              </w:rPr>
            </w:pPr>
            <w:r w:rsidRPr="00573DEB">
              <w:rPr>
                <w:rFonts w:ascii="Arial Narrow" w:hAnsi="Arial Narrow"/>
                <w:b/>
              </w:rPr>
              <w:t>%</w:t>
            </w:r>
          </w:p>
        </w:tc>
      </w:tr>
      <w:tr w:rsidR="00B000C0" w:rsidRPr="00573DEB" w:rsidTr="0050316E">
        <w:trPr>
          <w:trHeight w:val="300"/>
        </w:trPr>
        <w:tc>
          <w:tcPr>
            <w:tcW w:w="5260" w:type="dxa"/>
            <w:tcBorders>
              <w:top w:val="nil"/>
              <w:left w:val="single" w:sz="4" w:space="0" w:color="auto"/>
              <w:bottom w:val="single" w:sz="4" w:space="0" w:color="auto"/>
              <w:right w:val="single" w:sz="4" w:space="0" w:color="auto"/>
            </w:tcBorders>
            <w:noWrap/>
            <w:vAlign w:val="bottom"/>
          </w:tcPr>
          <w:p w:rsidR="00B000C0" w:rsidRPr="00573DEB" w:rsidRDefault="00625608" w:rsidP="004B4B73">
            <w:pPr>
              <w:rPr>
                <w:rFonts w:ascii="Arial Narrow" w:hAnsi="Arial Narrow"/>
                <w:b/>
              </w:rPr>
            </w:pPr>
            <w:r w:rsidRPr="00573DEB">
              <w:rPr>
                <w:rFonts w:ascii="Arial Narrow" w:hAnsi="Arial Narrow"/>
                <w:b/>
              </w:rPr>
              <w:t>Total</w:t>
            </w:r>
          </w:p>
        </w:tc>
        <w:tc>
          <w:tcPr>
            <w:tcW w:w="768"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650</w:t>
            </w:r>
          </w:p>
        </w:tc>
        <w:tc>
          <w:tcPr>
            <w:tcW w:w="1085"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pPr>
              <w:rPr>
                <w:rFonts w:ascii="Arial Narrow" w:hAnsi="Arial Narrow"/>
              </w:rPr>
            </w:pPr>
            <w:r w:rsidRPr="00573DEB">
              <w:rPr>
                <w:rFonts w:ascii="Arial Narrow" w:hAnsi="Arial Narrow"/>
              </w:rPr>
              <w:t>100,0%</w:t>
            </w:r>
          </w:p>
        </w:tc>
        <w:tc>
          <w:tcPr>
            <w:tcW w:w="768"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737</w:t>
            </w:r>
          </w:p>
        </w:tc>
        <w:tc>
          <w:tcPr>
            <w:tcW w:w="1085"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pPr>
              <w:rPr>
                <w:rFonts w:ascii="Arial Narrow" w:hAnsi="Arial Narrow"/>
              </w:rPr>
            </w:pPr>
            <w:r w:rsidRPr="00573DEB">
              <w:rPr>
                <w:rFonts w:ascii="Arial Narrow" w:hAnsi="Arial Narrow"/>
              </w:rPr>
              <w:t>100,0%</w:t>
            </w:r>
          </w:p>
        </w:tc>
      </w:tr>
      <w:tr w:rsidR="00B000C0" w:rsidRPr="00573DEB" w:rsidTr="0050316E">
        <w:trPr>
          <w:trHeight w:val="300"/>
        </w:trPr>
        <w:tc>
          <w:tcPr>
            <w:tcW w:w="5260" w:type="dxa"/>
            <w:tcBorders>
              <w:top w:val="nil"/>
              <w:left w:val="single" w:sz="4" w:space="0" w:color="auto"/>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 xml:space="preserve">Manufacture of machinery and equipment </w:t>
            </w:r>
            <w:proofErr w:type="spellStart"/>
            <w:r w:rsidRPr="00573DEB">
              <w:rPr>
                <w:rFonts w:ascii="Arial Narrow" w:hAnsi="Arial Narrow"/>
              </w:rPr>
              <w:t>n.e.c</w:t>
            </w:r>
            <w:proofErr w:type="spellEnd"/>
            <w:r w:rsidRPr="00573DEB">
              <w:rPr>
                <w:rFonts w:ascii="Arial Narrow" w:hAnsi="Arial Narrow"/>
              </w:rPr>
              <w:t>.</w:t>
            </w:r>
          </w:p>
        </w:tc>
        <w:tc>
          <w:tcPr>
            <w:tcW w:w="768"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71</w:t>
            </w:r>
          </w:p>
        </w:tc>
        <w:tc>
          <w:tcPr>
            <w:tcW w:w="1085"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pPr>
              <w:rPr>
                <w:rFonts w:ascii="Arial Narrow" w:hAnsi="Arial Narrow"/>
              </w:rPr>
            </w:pPr>
            <w:r w:rsidRPr="00573DEB">
              <w:rPr>
                <w:rFonts w:ascii="Arial Narrow" w:hAnsi="Arial Narrow"/>
              </w:rPr>
              <w:t>10,9%</w:t>
            </w:r>
          </w:p>
        </w:tc>
        <w:tc>
          <w:tcPr>
            <w:tcW w:w="768"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94</w:t>
            </w:r>
          </w:p>
        </w:tc>
        <w:tc>
          <w:tcPr>
            <w:tcW w:w="1085"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pPr>
              <w:rPr>
                <w:rFonts w:ascii="Arial Narrow" w:hAnsi="Arial Narrow"/>
              </w:rPr>
            </w:pPr>
            <w:r w:rsidRPr="00573DEB">
              <w:rPr>
                <w:rFonts w:ascii="Arial Narrow" w:hAnsi="Arial Narrow"/>
              </w:rPr>
              <w:t>12,8%</w:t>
            </w:r>
          </w:p>
        </w:tc>
      </w:tr>
      <w:tr w:rsidR="00B000C0" w:rsidRPr="00573DEB" w:rsidTr="0050316E">
        <w:trPr>
          <w:trHeight w:val="300"/>
        </w:trPr>
        <w:tc>
          <w:tcPr>
            <w:tcW w:w="5260" w:type="dxa"/>
            <w:tcBorders>
              <w:top w:val="nil"/>
              <w:left w:val="single" w:sz="4" w:space="0" w:color="auto"/>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Manufacture of fabricated metal products, except machinery and equipment</w:t>
            </w:r>
          </w:p>
        </w:tc>
        <w:tc>
          <w:tcPr>
            <w:tcW w:w="768"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66</w:t>
            </w:r>
          </w:p>
        </w:tc>
        <w:tc>
          <w:tcPr>
            <w:tcW w:w="1085"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pPr>
              <w:rPr>
                <w:rFonts w:ascii="Arial Narrow" w:hAnsi="Arial Narrow"/>
              </w:rPr>
            </w:pPr>
            <w:r w:rsidRPr="00573DEB">
              <w:rPr>
                <w:rFonts w:ascii="Arial Narrow" w:hAnsi="Arial Narrow"/>
              </w:rPr>
              <w:t>10,2%</w:t>
            </w:r>
          </w:p>
        </w:tc>
        <w:tc>
          <w:tcPr>
            <w:tcW w:w="768"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42</w:t>
            </w:r>
          </w:p>
        </w:tc>
        <w:tc>
          <w:tcPr>
            <w:tcW w:w="1085"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pPr>
              <w:rPr>
                <w:rFonts w:ascii="Arial Narrow" w:hAnsi="Arial Narrow"/>
              </w:rPr>
            </w:pPr>
            <w:r w:rsidRPr="00573DEB">
              <w:rPr>
                <w:rFonts w:ascii="Arial Narrow" w:hAnsi="Arial Narrow"/>
              </w:rPr>
              <w:t>5,7%</w:t>
            </w:r>
          </w:p>
        </w:tc>
      </w:tr>
      <w:tr w:rsidR="00B000C0" w:rsidRPr="00573DEB" w:rsidTr="0050316E">
        <w:trPr>
          <w:trHeight w:val="300"/>
        </w:trPr>
        <w:tc>
          <w:tcPr>
            <w:tcW w:w="5260" w:type="dxa"/>
            <w:tcBorders>
              <w:top w:val="nil"/>
              <w:left w:val="single" w:sz="4" w:space="0" w:color="auto"/>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Manufacture of rubber and plastics products</w:t>
            </w:r>
          </w:p>
        </w:tc>
        <w:tc>
          <w:tcPr>
            <w:tcW w:w="768"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45</w:t>
            </w:r>
          </w:p>
        </w:tc>
        <w:tc>
          <w:tcPr>
            <w:tcW w:w="1085"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pPr>
              <w:rPr>
                <w:rFonts w:ascii="Arial Narrow" w:hAnsi="Arial Narrow"/>
              </w:rPr>
            </w:pPr>
            <w:r w:rsidRPr="00573DEB">
              <w:rPr>
                <w:rFonts w:ascii="Arial Narrow" w:hAnsi="Arial Narrow"/>
              </w:rPr>
              <w:t>6,9%</w:t>
            </w:r>
          </w:p>
        </w:tc>
        <w:tc>
          <w:tcPr>
            <w:tcW w:w="768"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40</w:t>
            </w:r>
          </w:p>
        </w:tc>
        <w:tc>
          <w:tcPr>
            <w:tcW w:w="1085"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pPr>
              <w:rPr>
                <w:rFonts w:ascii="Arial Narrow" w:hAnsi="Arial Narrow"/>
              </w:rPr>
            </w:pPr>
            <w:r w:rsidRPr="00573DEB">
              <w:rPr>
                <w:rFonts w:ascii="Arial Narrow" w:hAnsi="Arial Narrow"/>
              </w:rPr>
              <w:t>5,4%</w:t>
            </w:r>
          </w:p>
        </w:tc>
      </w:tr>
      <w:tr w:rsidR="00B000C0" w:rsidRPr="00573DEB" w:rsidTr="0050316E">
        <w:trPr>
          <w:trHeight w:val="300"/>
        </w:trPr>
        <w:tc>
          <w:tcPr>
            <w:tcW w:w="5260" w:type="dxa"/>
            <w:tcBorders>
              <w:top w:val="nil"/>
              <w:left w:val="single" w:sz="4" w:space="0" w:color="auto"/>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Manufacture of electrical equipment</w:t>
            </w:r>
          </w:p>
        </w:tc>
        <w:tc>
          <w:tcPr>
            <w:tcW w:w="768"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37</w:t>
            </w:r>
          </w:p>
        </w:tc>
        <w:tc>
          <w:tcPr>
            <w:tcW w:w="1085"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pPr>
              <w:rPr>
                <w:rFonts w:ascii="Arial Narrow" w:hAnsi="Arial Narrow"/>
              </w:rPr>
            </w:pPr>
            <w:r w:rsidRPr="00573DEB">
              <w:rPr>
                <w:rFonts w:ascii="Arial Narrow" w:hAnsi="Arial Narrow"/>
              </w:rPr>
              <w:t>5,7%</w:t>
            </w:r>
          </w:p>
        </w:tc>
        <w:tc>
          <w:tcPr>
            <w:tcW w:w="768"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34</w:t>
            </w:r>
          </w:p>
        </w:tc>
        <w:tc>
          <w:tcPr>
            <w:tcW w:w="1085"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pPr>
              <w:rPr>
                <w:rFonts w:ascii="Arial Narrow" w:hAnsi="Arial Narrow"/>
              </w:rPr>
            </w:pPr>
            <w:r w:rsidRPr="00573DEB">
              <w:rPr>
                <w:rFonts w:ascii="Arial Narrow" w:hAnsi="Arial Narrow"/>
              </w:rPr>
              <w:t>4,6%</w:t>
            </w:r>
          </w:p>
        </w:tc>
      </w:tr>
      <w:tr w:rsidR="00B000C0" w:rsidRPr="00573DEB" w:rsidTr="0050316E">
        <w:trPr>
          <w:trHeight w:val="300"/>
        </w:trPr>
        <w:tc>
          <w:tcPr>
            <w:tcW w:w="5260" w:type="dxa"/>
            <w:tcBorders>
              <w:top w:val="nil"/>
              <w:left w:val="single" w:sz="4" w:space="0" w:color="auto"/>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Manufacture of motor vehicles, trailers and semi-trailers</w:t>
            </w:r>
          </w:p>
        </w:tc>
        <w:tc>
          <w:tcPr>
            <w:tcW w:w="768"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26</w:t>
            </w:r>
          </w:p>
        </w:tc>
        <w:tc>
          <w:tcPr>
            <w:tcW w:w="1085"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pPr>
              <w:rPr>
                <w:rFonts w:ascii="Arial Narrow" w:hAnsi="Arial Narrow"/>
              </w:rPr>
            </w:pPr>
            <w:r w:rsidRPr="00573DEB">
              <w:rPr>
                <w:rFonts w:ascii="Arial Narrow" w:hAnsi="Arial Narrow"/>
              </w:rPr>
              <w:t>4,0%</w:t>
            </w:r>
          </w:p>
        </w:tc>
        <w:tc>
          <w:tcPr>
            <w:tcW w:w="768"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31</w:t>
            </w:r>
          </w:p>
        </w:tc>
        <w:tc>
          <w:tcPr>
            <w:tcW w:w="1085"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pPr>
              <w:rPr>
                <w:rFonts w:ascii="Arial Narrow" w:hAnsi="Arial Narrow"/>
              </w:rPr>
            </w:pPr>
            <w:r w:rsidRPr="00573DEB">
              <w:rPr>
                <w:rFonts w:ascii="Arial Narrow" w:hAnsi="Arial Narrow"/>
              </w:rPr>
              <w:t>4,2%</w:t>
            </w:r>
          </w:p>
        </w:tc>
      </w:tr>
      <w:tr w:rsidR="00B000C0" w:rsidRPr="00573DEB" w:rsidTr="0050316E">
        <w:trPr>
          <w:trHeight w:val="300"/>
        </w:trPr>
        <w:tc>
          <w:tcPr>
            <w:tcW w:w="5260" w:type="dxa"/>
            <w:tcBorders>
              <w:top w:val="nil"/>
              <w:left w:val="single" w:sz="4" w:space="0" w:color="auto"/>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Wholesale trade, except of motor vehicles and motorcycles</w:t>
            </w:r>
          </w:p>
        </w:tc>
        <w:tc>
          <w:tcPr>
            <w:tcW w:w="768"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29</w:t>
            </w:r>
          </w:p>
        </w:tc>
        <w:tc>
          <w:tcPr>
            <w:tcW w:w="1085"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pPr>
              <w:rPr>
                <w:rFonts w:ascii="Arial Narrow" w:hAnsi="Arial Narrow"/>
              </w:rPr>
            </w:pPr>
            <w:r w:rsidRPr="00573DEB">
              <w:rPr>
                <w:rFonts w:ascii="Arial Narrow" w:hAnsi="Arial Narrow"/>
              </w:rPr>
              <w:t>4,5%</w:t>
            </w:r>
          </w:p>
        </w:tc>
        <w:tc>
          <w:tcPr>
            <w:tcW w:w="768"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28</w:t>
            </w:r>
          </w:p>
        </w:tc>
        <w:tc>
          <w:tcPr>
            <w:tcW w:w="1085"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pPr>
              <w:rPr>
                <w:rFonts w:ascii="Arial Narrow" w:hAnsi="Arial Narrow"/>
              </w:rPr>
            </w:pPr>
            <w:r w:rsidRPr="00573DEB">
              <w:rPr>
                <w:rFonts w:ascii="Arial Narrow" w:hAnsi="Arial Narrow"/>
              </w:rPr>
              <w:t>3,8%</w:t>
            </w:r>
          </w:p>
        </w:tc>
      </w:tr>
      <w:tr w:rsidR="00B000C0" w:rsidRPr="00573DEB" w:rsidTr="0050316E">
        <w:trPr>
          <w:trHeight w:val="300"/>
        </w:trPr>
        <w:tc>
          <w:tcPr>
            <w:tcW w:w="5260" w:type="dxa"/>
            <w:tcBorders>
              <w:top w:val="nil"/>
              <w:left w:val="single" w:sz="4" w:space="0" w:color="auto"/>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Other manufacturing</w:t>
            </w:r>
          </w:p>
        </w:tc>
        <w:tc>
          <w:tcPr>
            <w:tcW w:w="768"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45</w:t>
            </w:r>
          </w:p>
        </w:tc>
        <w:tc>
          <w:tcPr>
            <w:tcW w:w="1085"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pPr>
              <w:rPr>
                <w:rFonts w:ascii="Arial Narrow" w:hAnsi="Arial Narrow"/>
              </w:rPr>
            </w:pPr>
            <w:r w:rsidRPr="00573DEB">
              <w:rPr>
                <w:rFonts w:ascii="Arial Narrow" w:hAnsi="Arial Narrow"/>
              </w:rPr>
              <w:t>6,9%</w:t>
            </w:r>
          </w:p>
        </w:tc>
        <w:tc>
          <w:tcPr>
            <w:tcW w:w="768"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26</w:t>
            </w:r>
          </w:p>
        </w:tc>
        <w:tc>
          <w:tcPr>
            <w:tcW w:w="1085"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pPr>
              <w:rPr>
                <w:rFonts w:ascii="Arial Narrow" w:hAnsi="Arial Narrow"/>
              </w:rPr>
            </w:pPr>
            <w:r w:rsidRPr="00573DEB">
              <w:rPr>
                <w:rFonts w:ascii="Arial Narrow" w:hAnsi="Arial Narrow"/>
              </w:rPr>
              <w:t>3,5%</w:t>
            </w:r>
          </w:p>
        </w:tc>
      </w:tr>
      <w:tr w:rsidR="00B000C0" w:rsidRPr="00573DEB" w:rsidTr="0050316E">
        <w:trPr>
          <w:trHeight w:val="300"/>
        </w:trPr>
        <w:tc>
          <w:tcPr>
            <w:tcW w:w="5260" w:type="dxa"/>
            <w:tcBorders>
              <w:top w:val="nil"/>
              <w:left w:val="single" w:sz="4" w:space="0" w:color="auto"/>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Education</w:t>
            </w:r>
          </w:p>
        </w:tc>
        <w:tc>
          <w:tcPr>
            <w:tcW w:w="768"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10</w:t>
            </w:r>
          </w:p>
        </w:tc>
        <w:tc>
          <w:tcPr>
            <w:tcW w:w="1085"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pPr>
              <w:rPr>
                <w:rFonts w:ascii="Arial Narrow" w:hAnsi="Arial Narrow"/>
              </w:rPr>
            </w:pPr>
            <w:r w:rsidRPr="00573DEB">
              <w:rPr>
                <w:rFonts w:ascii="Arial Narrow" w:hAnsi="Arial Narrow"/>
              </w:rPr>
              <w:t>1,5%</w:t>
            </w:r>
          </w:p>
        </w:tc>
        <w:tc>
          <w:tcPr>
            <w:tcW w:w="768"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25</w:t>
            </w:r>
          </w:p>
        </w:tc>
        <w:tc>
          <w:tcPr>
            <w:tcW w:w="1085"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pPr>
              <w:rPr>
                <w:rFonts w:ascii="Arial Narrow" w:hAnsi="Arial Narrow"/>
              </w:rPr>
            </w:pPr>
            <w:r w:rsidRPr="00573DEB">
              <w:rPr>
                <w:rFonts w:ascii="Arial Narrow" w:hAnsi="Arial Narrow"/>
              </w:rPr>
              <w:t>3,4%</w:t>
            </w:r>
          </w:p>
        </w:tc>
      </w:tr>
      <w:tr w:rsidR="00B000C0" w:rsidRPr="00573DEB" w:rsidTr="0050316E">
        <w:trPr>
          <w:trHeight w:val="300"/>
        </w:trPr>
        <w:tc>
          <w:tcPr>
            <w:tcW w:w="5260" w:type="dxa"/>
            <w:tcBorders>
              <w:top w:val="nil"/>
              <w:left w:val="single" w:sz="4" w:space="0" w:color="auto"/>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Manufacture of furniture</w:t>
            </w:r>
          </w:p>
        </w:tc>
        <w:tc>
          <w:tcPr>
            <w:tcW w:w="768"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17</w:t>
            </w:r>
          </w:p>
        </w:tc>
        <w:tc>
          <w:tcPr>
            <w:tcW w:w="1085"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pPr>
              <w:rPr>
                <w:rFonts w:ascii="Arial Narrow" w:hAnsi="Arial Narrow"/>
              </w:rPr>
            </w:pPr>
            <w:r w:rsidRPr="00573DEB">
              <w:rPr>
                <w:rFonts w:ascii="Arial Narrow" w:hAnsi="Arial Narrow"/>
              </w:rPr>
              <w:t>2,6%</w:t>
            </w:r>
          </w:p>
        </w:tc>
        <w:tc>
          <w:tcPr>
            <w:tcW w:w="768"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17</w:t>
            </w:r>
          </w:p>
        </w:tc>
        <w:tc>
          <w:tcPr>
            <w:tcW w:w="1085"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pPr>
              <w:rPr>
                <w:rFonts w:ascii="Arial Narrow" w:hAnsi="Arial Narrow"/>
              </w:rPr>
            </w:pPr>
            <w:r w:rsidRPr="00573DEB">
              <w:rPr>
                <w:rFonts w:ascii="Arial Narrow" w:hAnsi="Arial Narrow"/>
              </w:rPr>
              <w:t>2,3%</w:t>
            </w:r>
          </w:p>
        </w:tc>
      </w:tr>
      <w:tr w:rsidR="00B000C0" w:rsidRPr="00573DEB" w:rsidTr="0050316E">
        <w:trPr>
          <w:trHeight w:val="300"/>
        </w:trPr>
        <w:tc>
          <w:tcPr>
            <w:tcW w:w="5260" w:type="dxa"/>
            <w:tcBorders>
              <w:top w:val="nil"/>
              <w:left w:val="single" w:sz="4" w:space="0" w:color="auto"/>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Retail trade, except of motor vehicles and motorcycles</w:t>
            </w:r>
          </w:p>
        </w:tc>
        <w:tc>
          <w:tcPr>
            <w:tcW w:w="768"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27</w:t>
            </w:r>
          </w:p>
        </w:tc>
        <w:tc>
          <w:tcPr>
            <w:tcW w:w="1085"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pPr>
              <w:rPr>
                <w:rFonts w:ascii="Arial Narrow" w:hAnsi="Arial Narrow"/>
              </w:rPr>
            </w:pPr>
            <w:r w:rsidRPr="00573DEB">
              <w:rPr>
                <w:rFonts w:ascii="Arial Narrow" w:hAnsi="Arial Narrow"/>
              </w:rPr>
              <w:t>4,2%</w:t>
            </w:r>
          </w:p>
        </w:tc>
        <w:tc>
          <w:tcPr>
            <w:tcW w:w="768"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14</w:t>
            </w:r>
          </w:p>
        </w:tc>
        <w:tc>
          <w:tcPr>
            <w:tcW w:w="1085" w:type="dxa"/>
            <w:tcBorders>
              <w:top w:val="nil"/>
              <w:left w:val="nil"/>
              <w:bottom w:val="single" w:sz="4" w:space="0" w:color="auto"/>
              <w:right w:val="single" w:sz="4" w:space="0" w:color="auto"/>
            </w:tcBorders>
            <w:shd w:val="clear" w:color="000000" w:fill="EBF1DE"/>
            <w:noWrap/>
            <w:vAlign w:val="bottom"/>
          </w:tcPr>
          <w:p w:rsidR="00B000C0" w:rsidRPr="00573DEB" w:rsidRDefault="00B000C0" w:rsidP="004B4B73">
            <w:pPr>
              <w:rPr>
                <w:rFonts w:ascii="Arial Narrow" w:hAnsi="Arial Narrow"/>
              </w:rPr>
            </w:pPr>
            <w:r w:rsidRPr="00573DEB">
              <w:rPr>
                <w:rFonts w:ascii="Arial Narrow" w:hAnsi="Arial Narrow"/>
              </w:rPr>
              <w:t>1,9%</w:t>
            </w:r>
          </w:p>
        </w:tc>
      </w:tr>
    </w:tbl>
    <w:p w:rsidR="00B000C0" w:rsidRPr="00855F62" w:rsidRDefault="00B000C0" w:rsidP="0050316E">
      <w:pPr>
        <w:pStyle w:val="Captionnotes"/>
        <w:rPr>
          <w:i w:val="0"/>
        </w:rPr>
      </w:pPr>
      <w:r w:rsidRPr="00855F62">
        <w:rPr>
          <w:i w:val="0"/>
        </w:rPr>
        <w:t xml:space="preserve">Source: </w:t>
      </w:r>
      <w:r w:rsidR="00855F62">
        <w:rPr>
          <w:i w:val="0"/>
        </w:rPr>
        <w:t xml:space="preserve"> </w:t>
      </w:r>
      <w:r w:rsidRPr="00855F62">
        <w:rPr>
          <w:i w:val="0"/>
        </w:rPr>
        <w:t xml:space="preserve">INPI, BADEPI </w:t>
      </w:r>
    </w:p>
    <w:bookmarkEnd w:id="70"/>
    <w:p w:rsidR="00B000C0" w:rsidRPr="00573DEB" w:rsidRDefault="00B000C0" w:rsidP="00855F62"/>
    <w:p w:rsidR="0050316E" w:rsidRPr="00573DEB" w:rsidRDefault="0050316E" w:rsidP="00855F62"/>
    <w:p w:rsidR="0050316E" w:rsidRPr="00573DEB" w:rsidRDefault="0050316E" w:rsidP="00855F62"/>
    <w:p w:rsidR="00B000C0" w:rsidRPr="00573DEB" w:rsidRDefault="00B000C0" w:rsidP="00855F62">
      <w:pPr>
        <w:pStyle w:val="Heading2"/>
      </w:pPr>
      <w:bookmarkStart w:id="73" w:name="_Toc373369834"/>
      <w:bookmarkStart w:id="74" w:name="_Toc388619927"/>
      <w:r w:rsidRPr="00573DEB">
        <w:t>Utility Model Grants</w:t>
      </w:r>
      <w:bookmarkEnd w:id="73"/>
      <w:bookmarkEnd w:id="74"/>
    </w:p>
    <w:p w:rsidR="00B000C0" w:rsidRPr="00573DEB" w:rsidRDefault="00B000C0" w:rsidP="00855F62"/>
    <w:p w:rsidR="00B000C0" w:rsidRPr="00573DEB" w:rsidRDefault="00B000C0" w:rsidP="00855F62">
      <w:r w:rsidRPr="00573DEB">
        <w:t>Brazil granted, in the period 2000-2011, 4,007 Utility Models, of which 3,799 for residents and 208 for non-residents</w:t>
      </w:r>
      <w:r w:rsidR="004B4B73" w:rsidRPr="00573DEB">
        <w:t xml:space="preserve">.  </w:t>
      </w:r>
      <w:r w:rsidRPr="00573DEB">
        <w:t>Their distribution in the period decreased from 427 grants in 2000 to 355 in 2002, recovering in 2003 with 465 grants</w:t>
      </w:r>
      <w:r w:rsidR="004B4B73" w:rsidRPr="00573DEB">
        <w:t xml:space="preserve">.  </w:t>
      </w:r>
      <w:r w:rsidRPr="00573DEB">
        <w:t>It oscillated until 2007, with 197 grants</w:t>
      </w:r>
      <w:r w:rsidR="004B4B73" w:rsidRPr="00573DEB">
        <w:t xml:space="preserve">.  </w:t>
      </w:r>
      <w:r w:rsidRPr="00573DEB">
        <w:t>Thereafter, grants rose to around 350 to 360 per year between 2008 and 2011</w:t>
      </w:r>
      <w:r w:rsidR="004B4B73" w:rsidRPr="00573DEB">
        <w:t xml:space="preserve">.  </w:t>
      </w:r>
      <w:r w:rsidRPr="00573DEB">
        <w:t>It is noteworthy that in this period resident applicants had a share of 95% of all granted utility models.</w:t>
      </w:r>
    </w:p>
    <w:p w:rsidR="00B000C0" w:rsidRDefault="00B000C0" w:rsidP="004B4B73"/>
    <w:p w:rsidR="009A0235" w:rsidRDefault="009A0235">
      <w:pPr>
        <w:widowControl/>
        <w:spacing w:after="200" w:line="276" w:lineRule="auto"/>
      </w:pPr>
      <w:r>
        <w:br w:type="page"/>
      </w:r>
    </w:p>
    <w:p w:rsidR="009A0235" w:rsidRPr="00573DEB" w:rsidRDefault="009A0235" w:rsidP="004B4B73"/>
    <w:p w:rsidR="00B000C0" w:rsidRPr="00573DEB" w:rsidRDefault="000C6B94" w:rsidP="0050316E">
      <w:pPr>
        <w:pStyle w:val="Caption"/>
      </w:pPr>
      <w:bookmarkStart w:id="75" w:name="_Toc377374694"/>
      <w:bookmarkStart w:id="76" w:name="_Toc378267998"/>
      <w:r>
        <w:t xml:space="preserve">Table 4.6:  </w:t>
      </w:r>
      <w:r w:rsidR="00B000C0" w:rsidRPr="00573DEB">
        <w:t>Utility Model Grants, 2000-2011</w:t>
      </w:r>
      <w:bookmarkEnd w:id="75"/>
      <w:bookmarkEnd w:id="76"/>
    </w:p>
    <w:tbl>
      <w:tblPr>
        <w:tblW w:w="4552" w:type="dxa"/>
        <w:tblLayout w:type="fixed"/>
        <w:tblCellMar>
          <w:left w:w="70" w:type="dxa"/>
          <w:right w:w="70" w:type="dxa"/>
        </w:tblCellMar>
        <w:tblLook w:val="00A0" w:firstRow="1" w:lastRow="0" w:firstColumn="1" w:lastColumn="0" w:noHBand="0" w:noVBand="0"/>
      </w:tblPr>
      <w:tblGrid>
        <w:gridCol w:w="866"/>
        <w:gridCol w:w="1277"/>
        <w:gridCol w:w="1276"/>
        <w:gridCol w:w="1133"/>
      </w:tblGrid>
      <w:tr w:rsidR="00B000C0" w:rsidRPr="00573DEB" w:rsidTr="0050316E">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8DB3E2"/>
            <w:vAlign w:val="center"/>
          </w:tcPr>
          <w:p w:rsidR="00B000C0" w:rsidRPr="00573DEB" w:rsidRDefault="00B000C0" w:rsidP="004B4B73">
            <w:pPr>
              <w:rPr>
                <w:rFonts w:ascii="Arial Narrow" w:hAnsi="Arial Narrow"/>
              </w:rPr>
            </w:pPr>
            <w:r w:rsidRPr="00573DEB">
              <w:rPr>
                <w:rFonts w:ascii="Arial Narrow" w:hAnsi="Arial Narrow"/>
              </w:rPr>
              <w:t>Year</w:t>
            </w:r>
          </w:p>
        </w:tc>
        <w:tc>
          <w:tcPr>
            <w:tcW w:w="1277" w:type="dxa"/>
            <w:tcBorders>
              <w:top w:val="single" w:sz="4" w:space="0" w:color="auto"/>
              <w:left w:val="nil"/>
              <w:bottom w:val="single" w:sz="4" w:space="0" w:color="auto"/>
              <w:right w:val="single" w:sz="4" w:space="0" w:color="auto"/>
            </w:tcBorders>
            <w:shd w:val="clear" w:color="auto" w:fill="8DB3E2"/>
            <w:noWrap/>
            <w:vAlign w:val="center"/>
          </w:tcPr>
          <w:p w:rsidR="00B000C0" w:rsidRPr="00573DEB" w:rsidRDefault="00B000C0" w:rsidP="004B4B73">
            <w:pPr>
              <w:rPr>
                <w:rFonts w:ascii="Arial Narrow" w:hAnsi="Arial Narrow"/>
              </w:rPr>
            </w:pPr>
            <w:r w:rsidRPr="00573DEB">
              <w:rPr>
                <w:rFonts w:ascii="Arial Narrow" w:hAnsi="Arial Narrow"/>
              </w:rPr>
              <w:t>Resident</w:t>
            </w:r>
          </w:p>
        </w:tc>
        <w:tc>
          <w:tcPr>
            <w:tcW w:w="1276" w:type="dxa"/>
            <w:tcBorders>
              <w:top w:val="single" w:sz="4" w:space="0" w:color="auto"/>
              <w:left w:val="nil"/>
              <w:bottom w:val="single" w:sz="4" w:space="0" w:color="auto"/>
              <w:right w:val="single" w:sz="4" w:space="0" w:color="auto"/>
            </w:tcBorders>
            <w:shd w:val="clear" w:color="auto" w:fill="8DB3E2"/>
            <w:noWrap/>
            <w:vAlign w:val="center"/>
          </w:tcPr>
          <w:p w:rsidR="00B000C0" w:rsidRPr="00573DEB" w:rsidRDefault="00B000C0" w:rsidP="004B4B73">
            <w:pPr>
              <w:rPr>
                <w:rFonts w:ascii="Arial Narrow" w:hAnsi="Arial Narrow"/>
              </w:rPr>
            </w:pPr>
            <w:r w:rsidRPr="00573DEB">
              <w:rPr>
                <w:rFonts w:ascii="Arial Narrow" w:hAnsi="Arial Narrow"/>
              </w:rPr>
              <w:t>Non-Resident</w:t>
            </w:r>
          </w:p>
        </w:tc>
        <w:tc>
          <w:tcPr>
            <w:tcW w:w="1133" w:type="dxa"/>
            <w:tcBorders>
              <w:top w:val="single" w:sz="4" w:space="0" w:color="auto"/>
              <w:left w:val="nil"/>
              <w:bottom w:val="single" w:sz="4" w:space="0" w:color="auto"/>
              <w:right w:val="single" w:sz="4" w:space="0" w:color="auto"/>
            </w:tcBorders>
            <w:shd w:val="clear" w:color="auto" w:fill="8DB3E2"/>
            <w:noWrap/>
            <w:vAlign w:val="center"/>
          </w:tcPr>
          <w:p w:rsidR="00B000C0" w:rsidRPr="00573DEB" w:rsidRDefault="00B000C0" w:rsidP="004B4B73">
            <w:pPr>
              <w:rPr>
                <w:rFonts w:ascii="Arial Narrow" w:hAnsi="Arial Narrow"/>
              </w:rPr>
            </w:pPr>
            <w:r w:rsidRPr="00573DEB">
              <w:rPr>
                <w:rFonts w:ascii="Arial Narrow" w:hAnsi="Arial Narrow"/>
              </w:rPr>
              <w:t>Total</w:t>
            </w:r>
          </w:p>
        </w:tc>
      </w:tr>
      <w:tr w:rsidR="00B000C0" w:rsidRPr="00573DEB" w:rsidTr="0050316E">
        <w:trPr>
          <w:trHeight w:val="300"/>
        </w:trPr>
        <w:tc>
          <w:tcPr>
            <w:tcW w:w="866" w:type="dxa"/>
            <w:tcBorders>
              <w:top w:val="single" w:sz="4" w:space="0" w:color="auto"/>
              <w:left w:val="single" w:sz="4" w:space="0" w:color="auto"/>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2000</w:t>
            </w:r>
          </w:p>
        </w:tc>
        <w:tc>
          <w:tcPr>
            <w:tcW w:w="1277" w:type="dxa"/>
            <w:tcBorders>
              <w:top w:val="single" w:sz="4" w:space="0" w:color="auto"/>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403</w:t>
            </w:r>
          </w:p>
        </w:tc>
        <w:tc>
          <w:tcPr>
            <w:tcW w:w="1276" w:type="dxa"/>
            <w:tcBorders>
              <w:top w:val="single" w:sz="4" w:space="0" w:color="auto"/>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24</w:t>
            </w:r>
          </w:p>
        </w:tc>
        <w:tc>
          <w:tcPr>
            <w:tcW w:w="1133" w:type="dxa"/>
            <w:tcBorders>
              <w:top w:val="single" w:sz="4" w:space="0" w:color="auto"/>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427</w:t>
            </w:r>
          </w:p>
        </w:tc>
      </w:tr>
      <w:tr w:rsidR="00B000C0" w:rsidRPr="00573DEB" w:rsidTr="0050316E">
        <w:trPr>
          <w:trHeight w:val="300"/>
        </w:trPr>
        <w:tc>
          <w:tcPr>
            <w:tcW w:w="866" w:type="dxa"/>
            <w:tcBorders>
              <w:top w:val="nil"/>
              <w:left w:val="single" w:sz="4" w:space="0" w:color="auto"/>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2001</w:t>
            </w:r>
          </w:p>
        </w:tc>
        <w:tc>
          <w:tcPr>
            <w:tcW w:w="1277"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310</w:t>
            </w:r>
          </w:p>
        </w:tc>
        <w:tc>
          <w:tcPr>
            <w:tcW w:w="1276"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12</w:t>
            </w:r>
          </w:p>
        </w:tc>
        <w:tc>
          <w:tcPr>
            <w:tcW w:w="1133"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322</w:t>
            </w:r>
          </w:p>
        </w:tc>
      </w:tr>
      <w:tr w:rsidR="00B000C0" w:rsidRPr="00573DEB" w:rsidTr="0050316E">
        <w:trPr>
          <w:trHeight w:val="300"/>
        </w:trPr>
        <w:tc>
          <w:tcPr>
            <w:tcW w:w="866" w:type="dxa"/>
            <w:tcBorders>
              <w:top w:val="nil"/>
              <w:left w:val="single" w:sz="4" w:space="0" w:color="auto"/>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2002</w:t>
            </w:r>
          </w:p>
        </w:tc>
        <w:tc>
          <w:tcPr>
            <w:tcW w:w="1277"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336</w:t>
            </w:r>
          </w:p>
        </w:tc>
        <w:tc>
          <w:tcPr>
            <w:tcW w:w="1276"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19</w:t>
            </w:r>
          </w:p>
        </w:tc>
        <w:tc>
          <w:tcPr>
            <w:tcW w:w="1133"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355</w:t>
            </w:r>
          </w:p>
        </w:tc>
      </w:tr>
      <w:tr w:rsidR="00B000C0" w:rsidRPr="00573DEB" w:rsidTr="0050316E">
        <w:trPr>
          <w:trHeight w:val="300"/>
        </w:trPr>
        <w:tc>
          <w:tcPr>
            <w:tcW w:w="866" w:type="dxa"/>
            <w:tcBorders>
              <w:top w:val="nil"/>
              <w:left w:val="single" w:sz="4" w:space="0" w:color="auto"/>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2003</w:t>
            </w:r>
          </w:p>
        </w:tc>
        <w:tc>
          <w:tcPr>
            <w:tcW w:w="1277"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437</w:t>
            </w:r>
          </w:p>
        </w:tc>
        <w:tc>
          <w:tcPr>
            <w:tcW w:w="1276"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28</w:t>
            </w:r>
          </w:p>
        </w:tc>
        <w:tc>
          <w:tcPr>
            <w:tcW w:w="1133"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465</w:t>
            </w:r>
          </w:p>
        </w:tc>
      </w:tr>
      <w:tr w:rsidR="00B000C0" w:rsidRPr="00573DEB" w:rsidTr="0050316E">
        <w:trPr>
          <w:trHeight w:val="300"/>
        </w:trPr>
        <w:tc>
          <w:tcPr>
            <w:tcW w:w="866" w:type="dxa"/>
            <w:tcBorders>
              <w:top w:val="nil"/>
              <w:left w:val="single" w:sz="4" w:space="0" w:color="auto"/>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2004</w:t>
            </w:r>
          </w:p>
        </w:tc>
        <w:tc>
          <w:tcPr>
            <w:tcW w:w="1277"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246</w:t>
            </w:r>
          </w:p>
        </w:tc>
        <w:tc>
          <w:tcPr>
            <w:tcW w:w="1276"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12</w:t>
            </w:r>
          </w:p>
        </w:tc>
        <w:tc>
          <w:tcPr>
            <w:tcW w:w="1133"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258</w:t>
            </w:r>
          </w:p>
        </w:tc>
      </w:tr>
      <w:tr w:rsidR="00B000C0" w:rsidRPr="00573DEB" w:rsidTr="0050316E">
        <w:trPr>
          <w:trHeight w:val="300"/>
        </w:trPr>
        <w:tc>
          <w:tcPr>
            <w:tcW w:w="866" w:type="dxa"/>
            <w:tcBorders>
              <w:top w:val="nil"/>
              <w:left w:val="single" w:sz="4" w:space="0" w:color="auto"/>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2005</w:t>
            </w:r>
          </w:p>
        </w:tc>
        <w:tc>
          <w:tcPr>
            <w:tcW w:w="1277"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339</w:t>
            </w:r>
          </w:p>
        </w:tc>
        <w:tc>
          <w:tcPr>
            <w:tcW w:w="1276"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21</w:t>
            </w:r>
          </w:p>
        </w:tc>
        <w:tc>
          <w:tcPr>
            <w:tcW w:w="1133"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360</w:t>
            </w:r>
          </w:p>
        </w:tc>
      </w:tr>
      <w:tr w:rsidR="00B000C0" w:rsidRPr="00573DEB" w:rsidTr="0050316E">
        <w:trPr>
          <w:trHeight w:val="300"/>
        </w:trPr>
        <w:tc>
          <w:tcPr>
            <w:tcW w:w="866" w:type="dxa"/>
            <w:tcBorders>
              <w:top w:val="nil"/>
              <w:left w:val="single" w:sz="4" w:space="0" w:color="auto"/>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2006</w:t>
            </w:r>
          </w:p>
        </w:tc>
        <w:tc>
          <w:tcPr>
            <w:tcW w:w="1277"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256</w:t>
            </w:r>
          </w:p>
        </w:tc>
        <w:tc>
          <w:tcPr>
            <w:tcW w:w="1276"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14</w:t>
            </w:r>
          </w:p>
        </w:tc>
        <w:tc>
          <w:tcPr>
            <w:tcW w:w="1133"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270</w:t>
            </w:r>
          </w:p>
        </w:tc>
      </w:tr>
      <w:tr w:rsidR="00B000C0" w:rsidRPr="00573DEB" w:rsidTr="0050316E">
        <w:trPr>
          <w:trHeight w:val="300"/>
        </w:trPr>
        <w:tc>
          <w:tcPr>
            <w:tcW w:w="866" w:type="dxa"/>
            <w:tcBorders>
              <w:top w:val="nil"/>
              <w:left w:val="single" w:sz="4" w:space="0" w:color="auto"/>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2007</w:t>
            </w:r>
          </w:p>
        </w:tc>
        <w:tc>
          <w:tcPr>
            <w:tcW w:w="1277"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185</w:t>
            </w:r>
          </w:p>
        </w:tc>
        <w:tc>
          <w:tcPr>
            <w:tcW w:w="1276"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12</w:t>
            </w:r>
          </w:p>
        </w:tc>
        <w:tc>
          <w:tcPr>
            <w:tcW w:w="1133"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197</w:t>
            </w:r>
          </w:p>
        </w:tc>
      </w:tr>
      <w:tr w:rsidR="00B000C0" w:rsidRPr="00573DEB" w:rsidTr="0050316E">
        <w:trPr>
          <w:trHeight w:val="300"/>
        </w:trPr>
        <w:tc>
          <w:tcPr>
            <w:tcW w:w="866" w:type="dxa"/>
            <w:tcBorders>
              <w:top w:val="nil"/>
              <w:left w:val="single" w:sz="4" w:space="0" w:color="auto"/>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2008</w:t>
            </w:r>
          </w:p>
        </w:tc>
        <w:tc>
          <w:tcPr>
            <w:tcW w:w="1277"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277</w:t>
            </w:r>
          </w:p>
        </w:tc>
        <w:tc>
          <w:tcPr>
            <w:tcW w:w="1276"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10</w:t>
            </w:r>
          </w:p>
        </w:tc>
        <w:tc>
          <w:tcPr>
            <w:tcW w:w="1133"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287</w:t>
            </w:r>
          </w:p>
        </w:tc>
      </w:tr>
      <w:tr w:rsidR="00B000C0" w:rsidRPr="00573DEB" w:rsidTr="0050316E">
        <w:trPr>
          <w:trHeight w:val="300"/>
        </w:trPr>
        <w:tc>
          <w:tcPr>
            <w:tcW w:w="866" w:type="dxa"/>
            <w:tcBorders>
              <w:top w:val="nil"/>
              <w:left w:val="single" w:sz="4" w:space="0" w:color="auto"/>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2009</w:t>
            </w:r>
          </w:p>
        </w:tc>
        <w:tc>
          <w:tcPr>
            <w:tcW w:w="1277"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335</w:t>
            </w:r>
          </w:p>
        </w:tc>
        <w:tc>
          <w:tcPr>
            <w:tcW w:w="1276"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21</w:t>
            </w:r>
          </w:p>
        </w:tc>
        <w:tc>
          <w:tcPr>
            <w:tcW w:w="1133"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356</w:t>
            </w:r>
          </w:p>
        </w:tc>
      </w:tr>
      <w:tr w:rsidR="00B000C0" w:rsidRPr="00573DEB" w:rsidTr="0050316E">
        <w:trPr>
          <w:trHeight w:val="300"/>
        </w:trPr>
        <w:tc>
          <w:tcPr>
            <w:tcW w:w="866" w:type="dxa"/>
            <w:tcBorders>
              <w:top w:val="nil"/>
              <w:left w:val="single" w:sz="4" w:space="0" w:color="auto"/>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2010</w:t>
            </w:r>
          </w:p>
        </w:tc>
        <w:tc>
          <w:tcPr>
            <w:tcW w:w="1277"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343</w:t>
            </w:r>
          </w:p>
        </w:tc>
        <w:tc>
          <w:tcPr>
            <w:tcW w:w="1276"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18</w:t>
            </w:r>
          </w:p>
        </w:tc>
        <w:tc>
          <w:tcPr>
            <w:tcW w:w="1133" w:type="dxa"/>
            <w:tcBorders>
              <w:top w:val="nil"/>
              <w:left w:val="nil"/>
              <w:bottom w:val="nil"/>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361</w:t>
            </w:r>
          </w:p>
        </w:tc>
      </w:tr>
      <w:tr w:rsidR="00B000C0" w:rsidRPr="00573DEB" w:rsidTr="0050316E">
        <w:trPr>
          <w:trHeight w:val="300"/>
        </w:trPr>
        <w:tc>
          <w:tcPr>
            <w:tcW w:w="866" w:type="dxa"/>
            <w:tcBorders>
              <w:top w:val="nil"/>
              <w:left w:val="single" w:sz="4" w:space="0" w:color="auto"/>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2011</w:t>
            </w:r>
          </w:p>
        </w:tc>
        <w:tc>
          <w:tcPr>
            <w:tcW w:w="1277"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332</w:t>
            </w:r>
          </w:p>
        </w:tc>
        <w:tc>
          <w:tcPr>
            <w:tcW w:w="1276"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17</w:t>
            </w:r>
          </w:p>
        </w:tc>
        <w:tc>
          <w:tcPr>
            <w:tcW w:w="1133" w:type="dxa"/>
            <w:tcBorders>
              <w:top w:val="nil"/>
              <w:left w:val="nil"/>
              <w:bottom w:val="single" w:sz="4" w:space="0" w:color="auto"/>
              <w:right w:val="single" w:sz="4" w:space="0" w:color="auto"/>
            </w:tcBorders>
            <w:noWrap/>
            <w:vAlign w:val="bottom"/>
          </w:tcPr>
          <w:p w:rsidR="00B000C0" w:rsidRPr="00573DEB" w:rsidRDefault="00B000C0" w:rsidP="004B4B73">
            <w:pPr>
              <w:rPr>
                <w:rFonts w:ascii="Arial Narrow" w:hAnsi="Arial Narrow"/>
              </w:rPr>
            </w:pPr>
            <w:r w:rsidRPr="00573DEB">
              <w:rPr>
                <w:rFonts w:ascii="Arial Narrow" w:hAnsi="Arial Narrow"/>
              </w:rPr>
              <w:t>349</w:t>
            </w:r>
          </w:p>
        </w:tc>
      </w:tr>
    </w:tbl>
    <w:p w:rsidR="00B000C0" w:rsidRPr="00855F62" w:rsidRDefault="00B000C0" w:rsidP="00625608">
      <w:pPr>
        <w:pStyle w:val="Captionnotes"/>
        <w:rPr>
          <w:i w:val="0"/>
        </w:rPr>
      </w:pPr>
      <w:r w:rsidRPr="00855F62">
        <w:rPr>
          <w:i w:val="0"/>
        </w:rPr>
        <w:t xml:space="preserve">Source: </w:t>
      </w:r>
      <w:r w:rsidR="00855F62">
        <w:rPr>
          <w:i w:val="0"/>
        </w:rPr>
        <w:t xml:space="preserve"> </w:t>
      </w:r>
      <w:r w:rsidRPr="00855F62">
        <w:rPr>
          <w:i w:val="0"/>
        </w:rPr>
        <w:t>INPI’s Statistical database (BADEPI)</w:t>
      </w:r>
    </w:p>
    <w:p w:rsidR="0050316E" w:rsidRPr="00573DEB" w:rsidRDefault="0050316E">
      <w:pPr>
        <w:widowControl/>
        <w:spacing w:after="200" w:line="276" w:lineRule="auto"/>
      </w:pPr>
    </w:p>
    <w:p w:rsidR="00B000C0" w:rsidRPr="00573DEB" w:rsidRDefault="00B000C0" w:rsidP="004B4B73"/>
    <w:p w:rsidR="00B000C0" w:rsidRPr="00573DEB" w:rsidRDefault="00143785" w:rsidP="00855F62">
      <w:pPr>
        <w:pStyle w:val="Heading1"/>
      </w:pPr>
      <w:bookmarkStart w:id="77" w:name="_Toc388619928"/>
      <w:bookmarkStart w:id="78" w:name="_Toc373369841"/>
      <w:bookmarkStart w:id="79" w:name="_Toc367700209"/>
      <w:bookmarkStart w:id="80" w:name="_Toc373369835"/>
      <w:r w:rsidRPr="00573DEB">
        <w:t xml:space="preserve">5 - </w:t>
      </w:r>
      <w:r w:rsidR="00B000C0" w:rsidRPr="00573DEB">
        <w:t>Industrial designs</w:t>
      </w:r>
      <w:bookmarkEnd w:id="77"/>
    </w:p>
    <w:p w:rsidR="00B000C0" w:rsidRPr="00573DEB" w:rsidRDefault="00B000C0" w:rsidP="00855F62"/>
    <w:p w:rsidR="00B000C0" w:rsidRPr="00573DEB" w:rsidRDefault="00B000C0" w:rsidP="00855F62">
      <w:r w:rsidRPr="00573DEB">
        <w:t>Data reported in this section refer to industrial design applications and registrations in Brazil</w:t>
      </w:r>
      <w:r w:rsidR="004B4B73" w:rsidRPr="00573DEB">
        <w:t xml:space="preserve">.  </w:t>
      </w:r>
      <w:r w:rsidRPr="00573DEB">
        <w:t>As an industrial design can have multiple applicants and multiple authors, data reported here take into consideration only the first applicant in order to determine the origin of the application.</w:t>
      </w:r>
    </w:p>
    <w:p w:rsidR="00B000C0" w:rsidRPr="00573DEB" w:rsidRDefault="00B000C0" w:rsidP="00855F62"/>
    <w:p w:rsidR="00B000C0" w:rsidRPr="00573DEB" w:rsidRDefault="00B000C0" w:rsidP="00855F62">
      <w:r w:rsidRPr="00573DEB">
        <w:t>Figure 5.1 shows the total number of industrial design applications filed in Brazil from 2000 to 2011</w:t>
      </w:r>
      <w:r w:rsidR="004B4B73" w:rsidRPr="00573DEB">
        <w:t xml:space="preserve">.  </w:t>
      </w:r>
      <w:r w:rsidRPr="00573DEB">
        <w:t>The long-term trend shows a significant growth in industrial design applications over this period</w:t>
      </w:r>
      <w:r w:rsidR="004B4B73" w:rsidRPr="00573DEB">
        <w:t xml:space="preserve">.  </w:t>
      </w:r>
      <w:r w:rsidRPr="00573DEB">
        <w:t>The number of applications increased 89%, from around 3,610 in 2000 to 6,835 in 2011.</w:t>
      </w:r>
    </w:p>
    <w:p w:rsidR="00B000C0" w:rsidRPr="00573DEB" w:rsidRDefault="00B000C0" w:rsidP="00855F62"/>
    <w:p w:rsidR="00B000C0" w:rsidRPr="00573DEB" w:rsidRDefault="00B000C0" w:rsidP="00855F62">
      <w:r w:rsidRPr="00573DEB">
        <w:t>However it is interesting to note that the growth was not continuous</w:t>
      </w:r>
      <w:r w:rsidR="004B4B73" w:rsidRPr="00573DEB">
        <w:t xml:space="preserve">.  </w:t>
      </w:r>
      <w:r w:rsidRPr="00573DEB">
        <w:t>The total number of industrial design applications filed in Brazil grew strongly between 2000 and 2003 (38.4%) than in the period between 2004 and 2007, when the increase was smaller (20%)</w:t>
      </w:r>
      <w:r w:rsidR="004B4B73" w:rsidRPr="00573DEB">
        <w:t xml:space="preserve">.  </w:t>
      </w:r>
      <w:r w:rsidRPr="00573DEB">
        <w:t>It was followed by a strong recovery in 2008 (11.7%)</w:t>
      </w:r>
      <w:r w:rsidR="004B4B73" w:rsidRPr="00573DEB">
        <w:t xml:space="preserve">.  </w:t>
      </w:r>
      <w:r w:rsidRPr="00573DEB">
        <w:t>In 2009, applications declined 10.8% and then, following a worldwide trend, rebounded strongly in 2010 (13.7%) and 2011 (13%)</w:t>
      </w:r>
      <w:r w:rsidR="004B4B73" w:rsidRPr="00573DEB">
        <w:t xml:space="preserve">.  </w:t>
      </w:r>
    </w:p>
    <w:p w:rsidR="00B000C0" w:rsidRPr="00573DEB" w:rsidRDefault="00B000C0" w:rsidP="00143785"/>
    <w:p w:rsidR="00B000C0" w:rsidRPr="00573DEB" w:rsidRDefault="00B000C0" w:rsidP="00143785">
      <w:bookmarkStart w:id="81" w:name="_Toc377053292"/>
    </w:p>
    <w:p w:rsidR="00B000C0" w:rsidRPr="00573DEB" w:rsidRDefault="000C6B94" w:rsidP="00143785">
      <w:pPr>
        <w:pStyle w:val="Caption"/>
      </w:pPr>
      <w:bookmarkStart w:id="82" w:name="_Toc378267962"/>
      <w:r>
        <w:t xml:space="preserve">Figure 5.1: </w:t>
      </w:r>
      <w:r w:rsidR="00143785" w:rsidRPr="00573DEB">
        <w:t xml:space="preserve"> </w:t>
      </w:r>
      <w:r w:rsidR="00B000C0" w:rsidRPr="00573DEB">
        <w:t>Industrial design applications, 2000-2011</w:t>
      </w:r>
      <w:bookmarkEnd w:id="81"/>
      <w:bookmarkEnd w:id="82"/>
    </w:p>
    <w:p w:rsidR="00B000C0" w:rsidRPr="00573DEB" w:rsidRDefault="00B000C0" w:rsidP="004B4B73">
      <w:r w:rsidRPr="00573DEB">
        <w:rPr>
          <w:noProof/>
        </w:rPr>
        <w:drawing>
          <wp:inline distT="0" distB="0" distL="0" distR="0" wp14:anchorId="7E5FD38C" wp14:editId="3D439998">
            <wp:extent cx="5748655" cy="2369185"/>
            <wp:effectExtent l="0" t="0" r="4445"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1"/>
                    <pic:cNvPicPr>
                      <a:picLocks noChangeArrowheads="1"/>
                    </pic:cNvPicPr>
                  </pic:nvPicPr>
                  <pic:blipFill>
                    <a:blip r:embed="rId37">
                      <a:extLst>
                        <a:ext uri="{28A0092B-C50C-407E-A947-70E740481C1C}">
                          <a14:useLocalDpi xmlns:a14="http://schemas.microsoft.com/office/drawing/2010/main" val="0"/>
                        </a:ext>
                      </a:extLst>
                    </a:blip>
                    <a:srcRect b="-79"/>
                    <a:stretch>
                      <a:fillRect/>
                    </a:stretch>
                  </pic:blipFill>
                  <pic:spPr bwMode="auto">
                    <a:xfrm>
                      <a:off x="0" y="0"/>
                      <a:ext cx="5748655" cy="2369185"/>
                    </a:xfrm>
                    <a:prstGeom prst="rect">
                      <a:avLst/>
                    </a:prstGeom>
                    <a:noFill/>
                    <a:ln>
                      <a:noFill/>
                    </a:ln>
                  </pic:spPr>
                </pic:pic>
              </a:graphicData>
            </a:graphic>
          </wp:inline>
        </w:drawing>
      </w:r>
    </w:p>
    <w:p w:rsidR="00B000C0" w:rsidRPr="00855F62" w:rsidRDefault="00B000C0" w:rsidP="00625608">
      <w:pPr>
        <w:pStyle w:val="Captionnotes"/>
        <w:rPr>
          <w:i w:val="0"/>
        </w:rPr>
      </w:pPr>
      <w:r w:rsidRPr="00855F62">
        <w:rPr>
          <w:i w:val="0"/>
        </w:rPr>
        <w:t>Source:</w:t>
      </w:r>
      <w:r w:rsidR="00855F62">
        <w:rPr>
          <w:i w:val="0"/>
        </w:rPr>
        <w:t xml:space="preserve"> </w:t>
      </w:r>
      <w:r w:rsidRPr="00855F62">
        <w:rPr>
          <w:i w:val="0"/>
        </w:rPr>
        <w:t xml:space="preserve"> INPI’s Statistical database (BADEPI)</w:t>
      </w:r>
    </w:p>
    <w:p w:rsidR="00143785" w:rsidRPr="00855F62" w:rsidRDefault="00143785" w:rsidP="004B4B73"/>
    <w:p w:rsidR="00B000C0" w:rsidRPr="00855F62" w:rsidRDefault="00143785" w:rsidP="004B4B73">
      <w:pPr>
        <w:pStyle w:val="Heading2"/>
        <w:rPr>
          <w:b w:val="0"/>
        </w:rPr>
      </w:pPr>
      <w:bookmarkStart w:id="83" w:name="_Toc373369836"/>
      <w:bookmarkStart w:id="84" w:name="_Toc388619929"/>
      <w:r w:rsidRPr="00855F62">
        <w:rPr>
          <w:b w:val="0"/>
        </w:rPr>
        <w:t>Industrial designs b</w:t>
      </w:r>
      <w:r w:rsidR="00B000C0" w:rsidRPr="00855F62">
        <w:rPr>
          <w:b w:val="0"/>
        </w:rPr>
        <w:t>y origin</w:t>
      </w:r>
      <w:bookmarkEnd w:id="83"/>
      <w:bookmarkEnd w:id="84"/>
    </w:p>
    <w:p w:rsidR="00B000C0" w:rsidRPr="00855F62" w:rsidRDefault="00B000C0" w:rsidP="004B4B73"/>
    <w:p w:rsidR="00B000C0" w:rsidRPr="00855F62" w:rsidRDefault="00B000C0" w:rsidP="004B4B73">
      <w:r w:rsidRPr="00855F62">
        <w:t>Figure 5.2 provides a breakdown of industrial design applications in Brazil by origin of the applicant</w:t>
      </w:r>
      <w:r w:rsidR="004B4B73" w:rsidRPr="00855F62">
        <w:t xml:space="preserve">.  </w:t>
      </w:r>
      <w:r w:rsidRPr="00855F62">
        <w:t>A resident application is defined here as an application filed at INPI by an applicant residing in Brazil when he is listed as the first applicant.</w:t>
      </w:r>
    </w:p>
    <w:p w:rsidR="00B000C0" w:rsidRPr="00855F62" w:rsidRDefault="00B000C0" w:rsidP="004B4B73"/>
    <w:p w:rsidR="00B000C0" w:rsidRPr="00855F62" w:rsidRDefault="00B000C0" w:rsidP="004B4B73">
      <w:r w:rsidRPr="00855F62">
        <w:t>The 6,835 applications filed in 2011 consisted of 4,364 resident and 2,471 non-resident applications</w:t>
      </w:r>
      <w:r w:rsidR="004B4B73" w:rsidRPr="00855F62">
        <w:t xml:space="preserve">.  </w:t>
      </w:r>
      <w:r w:rsidRPr="00855F62">
        <w:t>Compared to 2000, the number of non-resident applications grew strongly and almost tripled in 2011 (175%), while resident applications also grew but by a more modest rate (62%).</w:t>
      </w:r>
    </w:p>
    <w:p w:rsidR="00B000C0" w:rsidRPr="00573DEB" w:rsidRDefault="00B000C0" w:rsidP="004B4B73"/>
    <w:p w:rsidR="00143785" w:rsidRDefault="00143785" w:rsidP="004B4B73"/>
    <w:p w:rsidR="00F86B70" w:rsidRPr="00573DEB" w:rsidRDefault="00F86B70" w:rsidP="004B4B73"/>
    <w:p w:rsidR="00B000C0" w:rsidRPr="00573DEB" w:rsidRDefault="00B000C0" w:rsidP="00143785">
      <w:pPr>
        <w:pStyle w:val="Caption"/>
      </w:pPr>
      <w:r w:rsidRPr="00573DEB">
        <w:fldChar w:fldCharType="begin"/>
      </w:r>
      <w:r w:rsidRPr="00573DEB">
        <w:instrText xml:space="preserve"> DISPLAYNFC \l 8 </w:instrText>
      </w:r>
      <w:bookmarkStart w:id="85" w:name="_Toc377053293"/>
      <w:bookmarkStart w:id="86" w:name="_Toc378267963"/>
      <w:r w:rsidRPr="00573DEB">
        <w:fldChar w:fldCharType="end"/>
      </w:r>
      <w:r w:rsidR="000C6B94">
        <w:t xml:space="preserve">Figure 5.2:  </w:t>
      </w:r>
      <w:r w:rsidRPr="00573DEB">
        <w:t>Industrial design applications by origin, 2000-2011</w:t>
      </w:r>
      <w:bookmarkEnd w:id="85"/>
      <w:bookmarkEnd w:id="86"/>
    </w:p>
    <w:p w:rsidR="00B000C0" w:rsidRPr="00573DEB" w:rsidRDefault="00B000C0" w:rsidP="004B4B73">
      <w:pPr>
        <w:rPr>
          <w:noProof/>
        </w:rPr>
      </w:pPr>
      <w:r w:rsidRPr="00573DEB">
        <w:rPr>
          <w:noProof/>
        </w:rPr>
        <w:drawing>
          <wp:inline distT="0" distB="0" distL="0" distR="0" wp14:anchorId="6568403F" wp14:editId="6B759D88">
            <wp:extent cx="5574030" cy="2496820"/>
            <wp:effectExtent l="0" t="0" r="762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38">
                      <a:extLst>
                        <a:ext uri="{28A0092B-C50C-407E-A947-70E740481C1C}">
                          <a14:useLocalDpi xmlns:a14="http://schemas.microsoft.com/office/drawing/2010/main" val="0"/>
                        </a:ext>
                      </a:extLst>
                    </a:blip>
                    <a:srcRect b="-76"/>
                    <a:stretch>
                      <a:fillRect/>
                    </a:stretch>
                  </pic:blipFill>
                  <pic:spPr bwMode="auto">
                    <a:xfrm>
                      <a:off x="0" y="0"/>
                      <a:ext cx="5574030" cy="2496820"/>
                    </a:xfrm>
                    <a:prstGeom prst="rect">
                      <a:avLst/>
                    </a:prstGeom>
                    <a:noFill/>
                    <a:ln>
                      <a:noFill/>
                    </a:ln>
                  </pic:spPr>
                </pic:pic>
              </a:graphicData>
            </a:graphic>
          </wp:inline>
        </w:drawing>
      </w:r>
    </w:p>
    <w:p w:rsidR="00B000C0" w:rsidRPr="00855F62" w:rsidRDefault="00B000C0" w:rsidP="00625608">
      <w:pPr>
        <w:pStyle w:val="Captionnotes"/>
        <w:rPr>
          <w:i w:val="0"/>
        </w:rPr>
      </w:pPr>
      <w:r w:rsidRPr="00855F62">
        <w:rPr>
          <w:i w:val="0"/>
        </w:rPr>
        <w:t xml:space="preserve">Source: </w:t>
      </w:r>
      <w:r w:rsidR="00855F62" w:rsidRPr="00855F62">
        <w:rPr>
          <w:i w:val="0"/>
        </w:rPr>
        <w:t xml:space="preserve"> </w:t>
      </w:r>
      <w:r w:rsidRPr="00855F62">
        <w:rPr>
          <w:i w:val="0"/>
        </w:rPr>
        <w:t>INPI’s Statistical database (BADEPI)</w:t>
      </w:r>
    </w:p>
    <w:p w:rsidR="00B000C0" w:rsidRPr="00573DEB" w:rsidRDefault="00B000C0" w:rsidP="004B4B73"/>
    <w:p w:rsidR="00625608" w:rsidRPr="00573DEB" w:rsidRDefault="00625608" w:rsidP="00855F62"/>
    <w:p w:rsidR="00B000C0" w:rsidRPr="00573DEB" w:rsidRDefault="00B000C0" w:rsidP="00855F62">
      <w:r w:rsidRPr="00573DEB">
        <w:t>Figure 5.2 also shows that industrial design applications in Brazil had an increase of the non-resident's share during the period</w:t>
      </w:r>
      <w:r w:rsidR="004B4B73" w:rsidRPr="00573DEB">
        <w:t xml:space="preserve">.  </w:t>
      </w:r>
      <w:r w:rsidRPr="00573DEB">
        <w:t>The applications filed in 2000 consisted of 25% non-resident and 75% resident applications, while, in 2011, they consisted of 36% non-resident and 64% resident applications</w:t>
      </w:r>
      <w:r w:rsidR="004B4B73" w:rsidRPr="00573DEB">
        <w:t xml:space="preserve">.  </w:t>
      </w:r>
      <w:r w:rsidRPr="00573DEB">
        <w:t>Comparing to World Intellectual Property Indicators 2012</w:t>
      </w:r>
      <w:r w:rsidRPr="00573DEB">
        <w:rPr>
          <w:rStyle w:val="FootnoteReference"/>
        </w:rPr>
        <w:footnoteReference w:id="28"/>
      </w:r>
      <w:r w:rsidRPr="00573DEB">
        <w:t>, the share of applications for non-residents in Brazil in 2011 was above the world average of 10.9%, and below that occurred in offices such as Australia, Mexico and Russia, where non-resident applications accounted for the majority of industrial designs</w:t>
      </w:r>
      <w:r w:rsidR="004B4B73" w:rsidRPr="00573DEB">
        <w:t xml:space="preserve">.  </w:t>
      </w:r>
    </w:p>
    <w:p w:rsidR="00B000C0" w:rsidRPr="00573DEB" w:rsidRDefault="00B000C0" w:rsidP="00855F62"/>
    <w:p w:rsidR="00143785" w:rsidRPr="00573DEB" w:rsidRDefault="00143785" w:rsidP="00855F62"/>
    <w:p w:rsidR="00143785" w:rsidRPr="00573DEB" w:rsidRDefault="000C6B94" w:rsidP="00143785">
      <w:pPr>
        <w:pStyle w:val="Caption"/>
      </w:pPr>
      <w:bookmarkStart w:id="87" w:name="_Toc377053294"/>
      <w:bookmarkStart w:id="88" w:name="_Toc378267964"/>
      <w:r>
        <w:t xml:space="preserve">Figure 5.3:  </w:t>
      </w:r>
      <w:r w:rsidR="00143785" w:rsidRPr="00573DEB">
        <w:t>Industrial design applications by country of origin, 2000/2011</w:t>
      </w:r>
      <w:bookmarkEnd w:id="87"/>
      <w:bookmarkEnd w:id="88"/>
    </w:p>
    <w:p w:rsidR="00143785" w:rsidRPr="00573DEB" w:rsidRDefault="00143785" w:rsidP="00143785">
      <w:r w:rsidRPr="00573DEB">
        <w:rPr>
          <w:noProof/>
        </w:rPr>
        <w:drawing>
          <wp:inline distT="0" distB="0" distL="0" distR="0" wp14:anchorId="1A2952C9" wp14:editId="3E599D8B">
            <wp:extent cx="5725160" cy="2989580"/>
            <wp:effectExtent l="0" t="0" r="889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5160" cy="2989580"/>
                    </a:xfrm>
                    <a:prstGeom prst="rect">
                      <a:avLst/>
                    </a:prstGeom>
                    <a:noFill/>
                    <a:ln>
                      <a:noFill/>
                    </a:ln>
                  </pic:spPr>
                </pic:pic>
              </a:graphicData>
            </a:graphic>
          </wp:inline>
        </w:drawing>
      </w:r>
    </w:p>
    <w:p w:rsidR="00143785" w:rsidRPr="00855F62" w:rsidRDefault="00143785" w:rsidP="00143785">
      <w:pPr>
        <w:pStyle w:val="Captionnotes"/>
        <w:rPr>
          <w:i w:val="0"/>
        </w:rPr>
      </w:pPr>
      <w:r w:rsidRPr="00855F62">
        <w:rPr>
          <w:i w:val="0"/>
        </w:rPr>
        <w:t xml:space="preserve">Source: </w:t>
      </w:r>
      <w:r w:rsidR="00855F62">
        <w:rPr>
          <w:i w:val="0"/>
        </w:rPr>
        <w:t xml:space="preserve"> </w:t>
      </w:r>
      <w:r w:rsidRPr="00855F62">
        <w:rPr>
          <w:i w:val="0"/>
        </w:rPr>
        <w:t>INPI’s Statistical database (BADEPI)</w:t>
      </w:r>
    </w:p>
    <w:p w:rsidR="00625608" w:rsidRDefault="00625608" w:rsidP="00143785"/>
    <w:p w:rsidR="00F86B70" w:rsidRDefault="00F86B70" w:rsidP="00143785"/>
    <w:p w:rsidR="00F86B70" w:rsidRPr="00573DEB" w:rsidRDefault="00F86B70" w:rsidP="00143785"/>
    <w:p w:rsidR="00B000C0" w:rsidRPr="00573DEB" w:rsidRDefault="00143785" w:rsidP="00143785">
      <w:pPr>
        <w:pStyle w:val="Heading2"/>
      </w:pPr>
      <w:r w:rsidRPr="00573DEB">
        <w:t>Industrial designs by n</w:t>
      </w:r>
      <w:r w:rsidR="00B000C0" w:rsidRPr="00573DEB">
        <w:t>on-</w:t>
      </w:r>
      <w:r w:rsidRPr="00573DEB">
        <w:t>r</w:t>
      </w:r>
      <w:r w:rsidR="00B000C0" w:rsidRPr="00573DEB">
        <w:t>esident</w:t>
      </w:r>
      <w:r w:rsidRPr="00573DEB">
        <w:t>s</w:t>
      </w:r>
    </w:p>
    <w:p w:rsidR="00B000C0" w:rsidRPr="00573DEB" w:rsidRDefault="00B000C0" w:rsidP="004B4B73"/>
    <w:p w:rsidR="00B000C0" w:rsidRPr="00573DEB" w:rsidRDefault="00B000C0" w:rsidP="004B4B73">
      <w:r w:rsidRPr="00573DEB">
        <w:t>Concerning non-resident applications in Brazil broken down by country of origin of the first applicant, a relatively small number of countries explain the substantial growth of applications between 2000 and 2011</w:t>
      </w:r>
      <w:r w:rsidR="004B4B73" w:rsidRPr="00573DEB">
        <w:t xml:space="preserve">.  </w:t>
      </w:r>
      <w:r w:rsidRPr="00573DEB">
        <w:t>Applicants from the United States accounted for the most substantial growth of non-resident applications (27%), but lost its relative importance</w:t>
      </w:r>
      <w:r w:rsidR="004B4B73" w:rsidRPr="00573DEB">
        <w:t xml:space="preserve">.  </w:t>
      </w:r>
      <w:r w:rsidRPr="00573DEB">
        <w:t>In 2000, with 433 applications, they accounted for 47.8% in total non-resident applications; in 2011, with 854 applications, the number of applications grew by 99% but reduced its share (34.5%)</w:t>
      </w:r>
      <w:r w:rsidR="004B4B73" w:rsidRPr="00573DEB">
        <w:t xml:space="preserve">.  </w:t>
      </w:r>
    </w:p>
    <w:p w:rsidR="00B000C0" w:rsidRPr="00573DEB" w:rsidRDefault="00B000C0" w:rsidP="004B4B73"/>
    <w:p w:rsidR="00143785" w:rsidRPr="00573DEB" w:rsidRDefault="00143785" w:rsidP="00143785">
      <w:r w:rsidRPr="00573DEB">
        <w:t>Residents from Japan accounted for 19% of the growth of non-resident applications and had a strong increase of 574% between 2000 and 2011.  In 2000, residents from Japan filed 53 (5.9% of total non-residents) and in 2011 filed 357 industrial design applications (14.4%).</w:t>
      </w:r>
    </w:p>
    <w:p w:rsidR="00143785" w:rsidRPr="00573DEB" w:rsidRDefault="00143785" w:rsidP="00143785"/>
    <w:p w:rsidR="00143785" w:rsidRDefault="00143785" w:rsidP="00143785"/>
    <w:p w:rsidR="00A03852" w:rsidRDefault="00A03852" w:rsidP="00143785"/>
    <w:p w:rsidR="00A03852" w:rsidRDefault="00A03852">
      <w:pPr>
        <w:widowControl/>
        <w:spacing w:after="200" w:line="276" w:lineRule="auto"/>
      </w:pPr>
      <w:r>
        <w:br w:type="page"/>
      </w:r>
    </w:p>
    <w:p w:rsidR="00A03852" w:rsidRPr="00573DEB" w:rsidRDefault="00A03852" w:rsidP="00143785"/>
    <w:p w:rsidR="00B000C0" w:rsidRPr="00573DEB" w:rsidRDefault="000C6B94" w:rsidP="00143785">
      <w:pPr>
        <w:pStyle w:val="Caption"/>
      </w:pPr>
      <w:bookmarkStart w:id="89" w:name="_Toc377374695"/>
      <w:bookmarkStart w:id="90" w:name="_Toc378267999"/>
      <w:r>
        <w:t xml:space="preserve">Table </w:t>
      </w:r>
      <w:proofErr w:type="gramStart"/>
      <w:r>
        <w:t xml:space="preserve">5.1  </w:t>
      </w:r>
      <w:r w:rsidR="00B000C0" w:rsidRPr="00573DEB">
        <w:t>Industrial</w:t>
      </w:r>
      <w:proofErr w:type="gramEnd"/>
      <w:r w:rsidR="00B000C0" w:rsidRPr="00573DEB">
        <w:t xml:space="preserve"> design applications by state of origin of residents, 2000/2011</w:t>
      </w:r>
      <w:bookmarkEnd w:id="89"/>
      <w:bookmarkEnd w:id="90"/>
    </w:p>
    <w:tbl>
      <w:tblPr>
        <w:tblW w:w="8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390"/>
        <w:gridCol w:w="1660"/>
        <w:gridCol w:w="960"/>
        <w:gridCol w:w="1076"/>
        <w:gridCol w:w="960"/>
        <w:gridCol w:w="1076"/>
        <w:gridCol w:w="960"/>
      </w:tblGrid>
      <w:tr w:rsidR="00B000C0" w:rsidRPr="00573DEB" w:rsidTr="00143785">
        <w:trPr>
          <w:trHeight w:val="170"/>
        </w:trPr>
        <w:tc>
          <w:tcPr>
            <w:tcW w:w="1390" w:type="dxa"/>
            <w:tcBorders>
              <w:top w:val="single" w:sz="4" w:space="0" w:color="auto"/>
              <w:left w:val="single" w:sz="4" w:space="0" w:color="auto"/>
              <w:bottom w:val="single" w:sz="4" w:space="0" w:color="auto"/>
              <w:right w:val="single" w:sz="4" w:space="0" w:color="auto"/>
            </w:tcBorders>
            <w:shd w:val="clear" w:color="auto" w:fill="8DB3E2"/>
            <w:noWrap/>
          </w:tcPr>
          <w:p w:rsidR="00B000C0" w:rsidRPr="00573DEB" w:rsidRDefault="00B000C0" w:rsidP="004B4B73">
            <w:pPr>
              <w:rPr>
                <w:b/>
              </w:rPr>
            </w:pPr>
            <w:r w:rsidRPr="00573DEB">
              <w:rPr>
                <w:b/>
              </w:rPr>
              <w:t>Region</w:t>
            </w:r>
          </w:p>
        </w:tc>
        <w:tc>
          <w:tcPr>
            <w:tcW w:w="1660" w:type="dxa"/>
            <w:tcBorders>
              <w:top w:val="single" w:sz="4" w:space="0" w:color="auto"/>
              <w:left w:val="single" w:sz="4" w:space="0" w:color="auto"/>
              <w:bottom w:val="single" w:sz="4" w:space="0" w:color="auto"/>
              <w:right w:val="single" w:sz="4" w:space="0" w:color="auto"/>
            </w:tcBorders>
            <w:shd w:val="clear" w:color="auto" w:fill="8DB3E2"/>
            <w:noWrap/>
          </w:tcPr>
          <w:p w:rsidR="00B000C0" w:rsidRPr="00573DEB" w:rsidRDefault="00B000C0" w:rsidP="004B4B73">
            <w:pPr>
              <w:rPr>
                <w:b/>
              </w:rPr>
            </w:pPr>
            <w:r w:rsidRPr="00573DEB">
              <w:rPr>
                <w:b/>
              </w:rPr>
              <w:t>State</w:t>
            </w:r>
          </w:p>
        </w:tc>
        <w:tc>
          <w:tcPr>
            <w:tcW w:w="960" w:type="dxa"/>
            <w:tcBorders>
              <w:top w:val="single" w:sz="4" w:space="0" w:color="auto"/>
              <w:left w:val="single" w:sz="4" w:space="0" w:color="auto"/>
              <w:bottom w:val="single" w:sz="4" w:space="0" w:color="auto"/>
              <w:right w:val="single" w:sz="4" w:space="0" w:color="auto"/>
            </w:tcBorders>
            <w:shd w:val="clear" w:color="auto" w:fill="8DB3E2"/>
            <w:noWrap/>
          </w:tcPr>
          <w:p w:rsidR="00B000C0" w:rsidRPr="00573DEB" w:rsidRDefault="00B000C0" w:rsidP="004B4B73">
            <w:pPr>
              <w:rPr>
                <w:b/>
              </w:rPr>
            </w:pPr>
            <w:r w:rsidRPr="00573DEB">
              <w:rPr>
                <w:b/>
              </w:rPr>
              <w:t>2000</w:t>
            </w:r>
          </w:p>
        </w:tc>
        <w:tc>
          <w:tcPr>
            <w:tcW w:w="1076" w:type="dxa"/>
            <w:tcBorders>
              <w:top w:val="single" w:sz="4" w:space="0" w:color="auto"/>
              <w:left w:val="single" w:sz="4" w:space="0" w:color="auto"/>
              <w:bottom w:val="single" w:sz="4" w:space="0" w:color="auto"/>
              <w:right w:val="single" w:sz="4" w:space="0" w:color="auto"/>
            </w:tcBorders>
            <w:shd w:val="clear" w:color="auto" w:fill="8DB3E2"/>
            <w:noWrap/>
          </w:tcPr>
          <w:p w:rsidR="00B000C0" w:rsidRPr="00573DEB" w:rsidRDefault="00B000C0" w:rsidP="004B4B73">
            <w:pPr>
              <w:rPr>
                <w:b/>
              </w:rPr>
            </w:pPr>
            <w:proofErr w:type="gramStart"/>
            <w:r w:rsidRPr="00573DEB">
              <w:rPr>
                <w:b/>
              </w:rPr>
              <w:t>Share(</w:t>
            </w:r>
            <w:proofErr w:type="gramEnd"/>
            <w:r w:rsidRPr="00573DEB">
              <w:rPr>
                <w:b/>
              </w:rPr>
              <w:t>%)</w:t>
            </w:r>
          </w:p>
        </w:tc>
        <w:tc>
          <w:tcPr>
            <w:tcW w:w="960" w:type="dxa"/>
            <w:tcBorders>
              <w:top w:val="single" w:sz="4" w:space="0" w:color="auto"/>
              <w:left w:val="single" w:sz="4" w:space="0" w:color="auto"/>
              <w:bottom w:val="single" w:sz="4" w:space="0" w:color="auto"/>
              <w:right w:val="single" w:sz="4" w:space="0" w:color="auto"/>
            </w:tcBorders>
            <w:shd w:val="clear" w:color="auto" w:fill="8DB3E2"/>
            <w:noWrap/>
          </w:tcPr>
          <w:p w:rsidR="00B000C0" w:rsidRPr="00573DEB" w:rsidRDefault="00B000C0" w:rsidP="004B4B73">
            <w:pPr>
              <w:rPr>
                <w:b/>
              </w:rPr>
            </w:pPr>
            <w:r w:rsidRPr="00573DEB">
              <w:rPr>
                <w:b/>
              </w:rPr>
              <w:t>2011</w:t>
            </w:r>
          </w:p>
        </w:tc>
        <w:tc>
          <w:tcPr>
            <w:tcW w:w="1076" w:type="dxa"/>
            <w:tcBorders>
              <w:top w:val="single" w:sz="4" w:space="0" w:color="auto"/>
              <w:left w:val="single" w:sz="4" w:space="0" w:color="auto"/>
              <w:bottom w:val="single" w:sz="4" w:space="0" w:color="auto"/>
              <w:right w:val="single" w:sz="4" w:space="0" w:color="auto"/>
            </w:tcBorders>
            <w:shd w:val="clear" w:color="auto" w:fill="8DB3E2"/>
            <w:noWrap/>
          </w:tcPr>
          <w:p w:rsidR="00B000C0" w:rsidRPr="00573DEB" w:rsidRDefault="00B000C0" w:rsidP="004B4B73">
            <w:pPr>
              <w:rPr>
                <w:b/>
              </w:rPr>
            </w:pPr>
            <w:proofErr w:type="gramStart"/>
            <w:r w:rsidRPr="00573DEB">
              <w:rPr>
                <w:b/>
              </w:rPr>
              <w:t>Share(</w:t>
            </w:r>
            <w:proofErr w:type="gramEnd"/>
            <w:r w:rsidRPr="00573DEB">
              <w:rPr>
                <w:b/>
              </w:rPr>
              <w:t>%)</w:t>
            </w:r>
          </w:p>
        </w:tc>
        <w:tc>
          <w:tcPr>
            <w:tcW w:w="960" w:type="dxa"/>
            <w:tcBorders>
              <w:top w:val="single" w:sz="4" w:space="0" w:color="auto"/>
              <w:left w:val="single" w:sz="4" w:space="0" w:color="auto"/>
              <w:bottom w:val="single" w:sz="4" w:space="0" w:color="auto"/>
              <w:right w:val="single" w:sz="4" w:space="0" w:color="auto"/>
            </w:tcBorders>
            <w:shd w:val="clear" w:color="auto" w:fill="8DB3E2"/>
            <w:noWrap/>
          </w:tcPr>
          <w:p w:rsidR="00B000C0" w:rsidRPr="00573DEB" w:rsidRDefault="00B000C0" w:rsidP="004B4B73">
            <w:pPr>
              <w:rPr>
                <w:b/>
              </w:rPr>
            </w:pPr>
            <w:proofErr w:type="spellStart"/>
            <w:r w:rsidRPr="00573DEB">
              <w:rPr>
                <w:b/>
              </w:rPr>
              <w:t>Var.Abs</w:t>
            </w:r>
            <w:proofErr w:type="spellEnd"/>
            <w:r w:rsidRPr="00573DEB">
              <w:rPr>
                <w:b/>
              </w:rPr>
              <w:t>.</w:t>
            </w:r>
          </w:p>
        </w:tc>
      </w:tr>
      <w:tr w:rsidR="00B000C0" w:rsidRPr="00573DEB" w:rsidTr="00143785">
        <w:trPr>
          <w:trHeight w:val="170"/>
        </w:trPr>
        <w:tc>
          <w:tcPr>
            <w:tcW w:w="1390" w:type="dxa"/>
            <w:vMerge w:val="restart"/>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Southeast</w:t>
            </w:r>
          </w:p>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proofErr w:type="spellStart"/>
            <w:r w:rsidRPr="00573DEB">
              <w:t>Espírito</w:t>
            </w:r>
            <w:proofErr w:type="spellEnd"/>
            <w:r w:rsidRPr="00573DEB">
              <w:t xml:space="preserve"> Santo</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4</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0.1</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45</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1.0</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41</w:t>
            </w:r>
          </w:p>
        </w:tc>
      </w:tr>
      <w:tr w:rsidR="00B000C0" w:rsidRPr="00573DEB" w:rsidTr="00143785">
        <w:trPr>
          <w:trHeight w:val="170"/>
        </w:trPr>
        <w:tc>
          <w:tcPr>
            <w:tcW w:w="1390" w:type="dxa"/>
            <w:vMerge/>
            <w:tcBorders>
              <w:top w:val="single" w:sz="4" w:space="0" w:color="auto"/>
              <w:left w:val="single" w:sz="4" w:space="0" w:color="auto"/>
              <w:bottom w:val="single" w:sz="4" w:space="0" w:color="auto"/>
              <w:right w:val="single" w:sz="4" w:space="0" w:color="auto"/>
            </w:tcBorders>
          </w:tcPr>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 xml:space="preserve">Minas </w:t>
            </w:r>
            <w:proofErr w:type="spellStart"/>
            <w:r w:rsidRPr="00573DEB">
              <w:t>Gerais</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159</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5.8</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342</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7.8</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184</w:t>
            </w:r>
          </w:p>
        </w:tc>
      </w:tr>
      <w:tr w:rsidR="00B000C0" w:rsidRPr="00573DEB" w:rsidTr="00143785">
        <w:trPr>
          <w:trHeight w:val="170"/>
        </w:trPr>
        <w:tc>
          <w:tcPr>
            <w:tcW w:w="1390" w:type="dxa"/>
            <w:vMerge/>
            <w:tcBorders>
              <w:top w:val="single" w:sz="4" w:space="0" w:color="auto"/>
              <w:left w:val="single" w:sz="4" w:space="0" w:color="auto"/>
              <w:bottom w:val="single" w:sz="4" w:space="0" w:color="auto"/>
              <w:right w:val="single" w:sz="4" w:space="0" w:color="auto"/>
            </w:tcBorders>
          </w:tcPr>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Rio de Janeiro</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141</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5.2</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133</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3.0</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-8</w:t>
            </w:r>
          </w:p>
        </w:tc>
      </w:tr>
      <w:tr w:rsidR="00B000C0" w:rsidRPr="00573DEB" w:rsidTr="00143785">
        <w:trPr>
          <w:trHeight w:val="170"/>
        </w:trPr>
        <w:tc>
          <w:tcPr>
            <w:tcW w:w="1390" w:type="dxa"/>
            <w:vMerge/>
            <w:tcBorders>
              <w:top w:val="single" w:sz="4" w:space="0" w:color="auto"/>
              <w:left w:val="single" w:sz="4" w:space="0" w:color="auto"/>
              <w:bottom w:val="single" w:sz="4" w:space="0" w:color="auto"/>
              <w:right w:val="single" w:sz="4" w:space="0" w:color="auto"/>
            </w:tcBorders>
          </w:tcPr>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São Paulo</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1.349</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49.7</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2.129</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48.8</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785</w:t>
            </w:r>
          </w:p>
        </w:tc>
      </w:tr>
      <w:tr w:rsidR="00B000C0" w:rsidRPr="00573DEB" w:rsidTr="00143785">
        <w:trPr>
          <w:trHeight w:val="170"/>
        </w:trPr>
        <w:tc>
          <w:tcPr>
            <w:tcW w:w="1390" w:type="dxa"/>
            <w:vMerge w:val="restart"/>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South</w:t>
            </w:r>
          </w:p>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Paraná</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304</w:t>
            </w:r>
          </w:p>
        </w:tc>
        <w:tc>
          <w:tcPr>
            <w:tcW w:w="1076"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11.2</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427</w:t>
            </w:r>
          </w:p>
        </w:tc>
        <w:tc>
          <w:tcPr>
            <w:tcW w:w="1076"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9.8</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124</w:t>
            </w:r>
          </w:p>
        </w:tc>
      </w:tr>
      <w:tr w:rsidR="00B000C0" w:rsidRPr="00573DEB" w:rsidTr="00143785">
        <w:trPr>
          <w:trHeight w:val="170"/>
        </w:trPr>
        <w:tc>
          <w:tcPr>
            <w:tcW w:w="1390" w:type="dxa"/>
            <w:vMerge/>
            <w:tcBorders>
              <w:top w:val="single" w:sz="4" w:space="0" w:color="auto"/>
              <w:left w:val="single" w:sz="4" w:space="0" w:color="auto"/>
              <w:bottom w:val="single" w:sz="4" w:space="0" w:color="auto"/>
              <w:right w:val="single" w:sz="4" w:space="0" w:color="auto"/>
            </w:tcBorders>
          </w:tcPr>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 xml:space="preserve">Rio Grande do </w:t>
            </w:r>
            <w:proofErr w:type="spellStart"/>
            <w:r w:rsidRPr="00573DEB">
              <w:t>Sul</w:t>
            </w:r>
            <w:proofErr w:type="spellEnd"/>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357</w:t>
            </w:r>
          </w:p>
        </w:tc>
        <w:tc>
          <w:tcPr>
            <w:tcW w:w="1076"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13.1</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547</w:t>
            </w:r>
          </w:p>
        </w:tc>
        <w:tc>
          <w:tcPr>
            <w:tcW w:w="1076"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12.5</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192</w:t>
            </w:r>
          </w:p>
        </w:tc>
      </w:tr>
      <w:tr w:rsidR="00B000C0" w:rsidRPr="00573DEB" w:rsidTr="00143785">
        <w:trPr>
          <w:trHeight w:val="170"/>
        </w:trPr>
        <w:tc>
          <w:tcPr>
            <w:tcW w:w="1390" w:type="dxa"/>
            <w:vMerge/>
            <w:tcBorders>
              <w:top w:val="single" w:sz="4" w:space="0" w:color="auto"/>
              <w:left w:val="single" w:sz="4" w:space="0" w:color="auto"/>
              <w:bottom w:val="single" w:sz="4" w:space="0" w:color="auto"/>
              <w:right w:val="single" w:sz="4" w:space="0" w:color="auto"/>
            </w:tcBorders>
          </w:tcPr>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Santa Catarina</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181</w:t>
            </w:r>
          </w:p>
        </w:tc>
        <w:tc>
          <w:tcPr>
            <w:tcW w:w="1076"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7.0</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316</w:t>
            </w:r>
          </w:p>
        </w:tc>
        <w:tc>
          <w:tcPr>
            <w:tcW w:w="1076"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7.2</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126</w:t>
            </w:r>
          </w:p>
        </w:tc>
      </w:tr>
      <w:tr w:rsidR="00B000C0" w:rsidRPr="00573DEB" w:rsidTr="00143785">
        <w:trPr>
          <w:trHeight w:val="170"/>
        </w:trPr>
        <w:tc>
          <w:tcPr>
            <w:tcW w:w="1390" w:type="dxa"/>
            <w:vMerge w:val="restart"/>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Northeast</w:t>
            </w:r>
          </w:p>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Alagoas</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0.0</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11</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0.3</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11</w:t>
            </w:r>
          </w:p>
        </w:tc>
      </w:tr>
      <w:tr w:rsidR="00B000C0" w:rsidRPr="00573DEB" w:rsidTr="00143785">
        <w:trPr>
          <w:trHeight w:val="170"/>
        </w:trPr>
        <w:tc>
          <w:tcPr>
            <w:tcW w:w="1390" w:type="dxa"/>
            <w:vMerge/>
            <w:tcBorders>
              <w:top w:val="single" w:sz="4" w:space="0" w:color="auto"/>
              <w:left w:val="single" w:sz="4" w:space="0" w:color="auto"/>
              <w:bottom w:val="single" w:sz="4" w:space="0" w:color="auto"/>
              <w:right w:val="single" w:sz="4" w:space="0" w:color="auto"/>
            </w:tcBorders>
          </w:tcPr>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Bahia</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20</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0.7</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40</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0.9</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20</w:t>
            </w:r>
          </w:p>
        </w:tc>
      </w:tr>
      <w:tr w:rsidR="00B000C0" w:rsidRPr="00573DEB" w:rsidTr="00143785">
        <w:trPr>
          <w:trHeight w:val="170"/>
        </w:trPr>
        <w:tc>
          <w:tcPr>
            <w:tcW w:w="1390" w:type="dxa"/>
            <w:vMerge/>
            <w:tcBorders>
              <w:top w:val="single" w:sz="4" w:space="0" w:color="auto"/>
              <w:left w:val="single" w:sz="4" w:space="0" w:color="auto"/>
              <w:bottom w:val="single" w:sz="4" w:space="0" w:color="auto"/>
              <w:right w:val="single" w:sz="4" w:space="0" w:color="auto"/>
            </w:tcBorders>
          </w:tcPr>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proofErr w:type="spellStart"/>
            <w:r w:rsidRPr="00573DEB">
              <w:t>Ceará</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106</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3.9</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227</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5.2</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122</w:t>
            </w:r>
          </w:p>
        </w:tc>
      </w:tr>
      <w:tr w:rsidR="00B000C0" w:rsidRPr="00573DEB" w:rsidTr="00143785">
        <w:trPr>
          <w:trHeight w:val="170"/>
        </w:trPr>
        <w:tc>
          <w:tcPr>
            <w:tcW w:w="1390" w:type="dxa"/>
            <w:vMerge/>
            <w:tcBorders>
              <w:top w:val="single" w:sz="4" w:space="0" w:color="auto"/>
              <w:left w:val="single" w:sz="4" w:space="0" w:color="auto"/>
              <w:bottom w:val="single" w:sz="4" w:space="0" w:color="auto"/>
              <w:right w:val="single" w:sz="4" w:space="0" w:color="auto"/>
            </w:tcBorders>
          </w:tcPr>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proofErr w:type="spellStart"/>
            <w:r w:rsidRPr="00573DEB">
              <w:t>Maranhão</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3</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0.1</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2</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0.0</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-1</w:t>
            </w:r>
          </w:p>
        </w:tc>
      </w:tr>
      <w:tr w:rsidR="00B000C0" w:rsidRPr="00573DEB" w:rsidTr="00143785">
        <w:trPr>
          <w:trHeight w:val="170"/>
        </w:trPr>
        <w:tc>
          <w:tcPr>
            <w:tcW w:w="1390" w:type="dxa"/>
            <w:vMerge/>
            <w:tcBorders>
              <w:top w:val="single" w:sz="4" w:space="0" w:color="auto"/>
              <w:left w:val="single" w:sz="4" w:space="0" w:color="auto"/>
              <w:bottom w:val="single" w:sz="4" w:space="0" w:color="auto"/>
              <w:right w:val="single" w:sz="4" w:space="0" w:color="auto"/>
            </w:tcBorders>
          </w:tcPr>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proofErr w:type="spellStart"/>
            <w:r w:rsidRPr="00573DEB">
              <w:t>Paraíba</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1</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0.0</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16</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0.4</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15</w:t>
            </w:r>
          </w:p>
        </w:tc>
      </w:tr>
      <w:tr w:rsidR="00B000C0" w:rsidRPr="00573DEB" w:rsidTr="00143785">
        <w:trPr>
          <w:trHeight w:val="170"/>
        </w:trPr>
        <w:tc>
          <w:tcPr>
            <w:tcW w:w="1390" w:type="dxa"/>
            <w:vMerge/>
            <w:tcBorders>
              <w:top w:val="single" w:sz="4" w:space="0" w:color="auto"/>
              <w:left w:val="single" w:sz="4" w:space="0" w:color="auto"/>
              <w:bottom w:val="single" w:sz="4" w:space="0" w:color="auto"/>
              <w:right w:val="single" w:sz="4" w:space="0" w:color="auto"/>
            </w:tcBorders>
          </w:tcPr>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Pernambuco</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9</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0.3</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32</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0.7</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23</w:t>
            </w:r>
          </w:p>
        </w:tc>
      </w:tr>
      <w:tr w:rsidR="00B000C0" w:rsidRPr="00573DEB" w:rsidTr="00143785">
        <w:trPr>
          <w:trHeight w:val="170"/>
        </w:trPr>
        <w:tc>
          <w:tcPr>
            <w:tcW w:w="1390" w:type="dxa"/>
            <w:vMerge/>
            <w:tcBorders>
              <w:top w:val="single" w:sz="4" w:space="0" w:color="auto"/>
              <w:left w:val="single" w:sz="4" w:space="0" w:color="auto"/>
              <w:bottom w:val="single" w:sz="4" w:space="0" w:color="auto"/>
              <w:right w:val="single" w:sz="4" w:space="0" w:color="auto"/>
            </w:tcBorders>
          </w:tcPr>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proofErr w:type="spellStart"/>
            <w:r w:rsidRPr="00573DEB">
              <w:t>Piaui</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0.0</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0.0</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w:t>
            </w:r>
          </w:p>
        </w:tc>
      </w:tr>
      <w:tr w:rsidR="00B000C0" w:rsidRPr="00573DEB" w:rsidTr="00143785">
        <w:trPr>
          <w:trHeight w:val="170"/>
        </w:trPr>
        <w:tc>
          <w:tcPr>
            <w:tcW w:w="1390" w:type="dxa"/>
            <w:vMerge/>
            <w:tcBorders>
              <w:top w:val="single" w:sz="4" w:space="0" w:color="auto"/>
              <w:left w:val="single" w:sz="4" w:space="0" w:color="auto"/>
              <w:bottom w:val="single" w:sz="4" w:space="0" w:color="auto"/>
              <w:right w:val="single" w:sz="4" w:space="0" w:color="auto"/>
            </w:tcBorders>
          </w:tcPr>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Rio Grande do Norte</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7</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0.3</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4</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0.1</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-3</w:t>
            </w:r>
          </w:p>
        </w:tc>
      </w:tr>
      <w:tr w:rsidR="00B000C0" w:rsidRPr="00573DEB" w:rsidTr="00143785">
        <w:trPr>
          <w:trHeight w:val="170"/>
        </w:trPr>
        <w:tc>
          <w:tcPr>
            <w:tcW w:w="1390" w:type="dxa"/>
            <w:vMerge/>
            <w:tcBorders>
              <w:top w:val="single" w:sz="4" w:space="0" w:color="auto"/>
              <w:left w:val="single" w:sz="4" w:space="0" w:color="auto"/>
              <w:bottom w:val="single" w:sz="4" w:space="0" w:color="auto"/>
              <w:right w:val="single" w:sz="4" w:space="0" w:color="auto"/>
            </w:tcBorders>
          </w:tcPr>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Sergipe</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2</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0.1</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2</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0.0</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w:t>
            </w:r>
          </w:p>
        </w:tc>
      </w:tr>
      <w:tr w:rsidR="00B000C0" w:rsidRPr="00573DEB" w:rsidTr="00143785">
        <w:trPr>
          <w:trHeight w:val="170"/>
        </w:trPr>
        <w:tc>
          <w:tcPr>
            <w:tcW w:w="1390" w:type="dxa"/>
            <w:vMerge w:val="restart"/>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North</w:t>
            </w:r>
          </w:p>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Acre</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w:t>
            </w:r>
          </w:p>
        </w:tc>
        <w:tc>
          <w:tcPr>
            <w:tcW w:w="1076"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0.0</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w:t>
            </w:r>
          </w:p>
        </w:tc>
        <w:tc>
          <w:tcPr>
            <w:tcW w:w="1076"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0.0</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w:t>
            </w:r>
          </w:p>
        </w:tc>
      </w:tr>
      <w:tr w:rsidR="00B000C0" w:rsidRPr="00573DEB" w:rsidTr="00143785">
        <w:trPr>
          <w:trHeight w:val="170"/>
        </w:trPr>
        <w:tc>
          <w:tcPr>
            <w:tcW w:w="1390" w:type="dxa"/>
            <w:vMerge/>
            <w:tcBorders>
              <w:top w:val="single" w:sz="4" w:space="0" w:color="auto"/>
              <w:left w:val="single" w:sz="4" w:space="0" w:color="auto"/>
              <w:bottom w:val="single" w:sz="4" w:space="0" w:color="auto"/>
              <w:right w:val="single" w:sz="4" w:space="0" w:color="auto"/>
            </w:tcBorders>
          </w:tcPr>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Amazonas</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5</w:t>
            </w:r>
          </w:p>
        </w:tc>
        <w:tc>
          <w:tcPr>
            <w:tcW w:w="1076"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0.2</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43</w:t>
            </w:r>
          </w:p>
        </w:tc>
        <w:tc>
          <w:tcPr>
            <w:tcW w:w="1076"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1.0</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38</w:t>
            </w:r>
          </w:p>
        </w:tc>
      </w:tr>
      <w:tr w:rsidR="00B000C0" w:rsidRPr="00573DEB" w:rsidTr="00143785">
        <w:trPr>
          <w:trHeight w:val="170"/>
        </w:trPr>
        <w:tc>
          <w:tcPr>
            <w:tcW w:w="1390" w:type="dxa"/>
            <w:vMerge/>
            <w:tcBorders>
              <w:top w:val="single" w:sz="4" w:space="0" w:color="auto"/>
              <w:left w:val="single" w:sz="4" w:space="0" w:color="auto"/>
              <w:bottom w:val="single" w:sz="4" w:space="0" w:color="auto"/>
              <w:right w:val="single" w:sz="4" w:space="0" w:color="auto"/>
            </w:tcBorders>
          </w:tcPr>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proofErr w:type="spellStart"/>
            <w:r w:rsidRPr="00573DEB">
              <w:t>Amapá</w:t>
            </w:r>
            <w:proofErr w:type="spellEnd"/>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w:t>
            </w:r>
          </w:p>
        </w:tc>
        <w:tc>
          <w:tcPr>
            <w:tcW w:w="1076"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0.0</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w:t>
            </w:r>
          </w:p>
        </w:tc>
        <w:tc>
          <w:tcPr>
            <w:tcW w:w="1076"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0.0</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w:t>
            </w:r>
          </w:p>
        </w:tc>
      </w:tr>
      <w:tr w:rsidR="00B000C0" w:rsidRPr="00573DEB" w:rsidTr="00143785">
        <w:trPr>
          <w:trHeight w:val="170"/>
        </w:trPr>
        <w:tc>
          <w:tcPr>
            <w:tcW w:w="1390" w:type="dxa"/>
            <w:vMerge/>
            <w:tcBorders>
              <w:top w:val="single" w:sz="4" w:space="0" w:color="auto"/>
              <w:left w:val="single" w:sz="4" w:space="0" w:color="auto"/>
              <w:bottom w:val="single" w:sz="4" w:space="0" w:color="auto"/>
              <w:right w:val="single" w:sz="4" w:space="0" w:color="auto"/>
            </w:tcBorders>
          </w:tcPr>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proofErr w:type="spellStart"/>
            <w:r w:rsidRPr="00573DEB">
              <w:t>Pará</w:t>
            </w:r>
            <w:proofErr w:type="spellEnd"/>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2</w:t>
            </w:r>
          </w:p>
        </w:tc>
        <w:tc>
          <w:tcPr>
            <w:tcW w:w="1076"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0.1</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3</w:t>
            </w:r>
          </w:p>
        </w:tc>
        <w:tc>
          <w:tcPr>
            <w:tcW w:w="1076"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0.1</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1</w:t>
            </w:r>
          </w:p>
        </w:tc>
      </w:tr>
      <w:tr w:rsidR="00B000C0" w:rsidRPr="00573DEB" w:rsidTr="00143785">
        <w:trPr>
          <w:trHeight w:val="170"/>
        </w:trPr>
        <w:tc>
          <w:tcPr>
            <w:tcW w:w="1390" w:type="dxa"/>
            <w:vMerge/>
            <w:tcBorders>
              <w:top w:val="single" w:sz="4" w:space="0" w:color="auto"/>
              <w:left w:val="single" w:sz="4" w:space="0" w:color="auto"/>
              <w:bottom w:val="single" w:sz="4" w:space="0" w:color="auto"/>
              <w:right w:val="single" w:sz="4" w:space="0" w:color="auto"/>
            </w:tcBorders>
          </w:tcPr>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proofErr w:type="spellStart"/>
            <w:r w:rsidRPr="00573DEB">
              <w:t>Rondônia</w:t>
            </w:r>
            <w:proofErr w:type="spellEnd"/>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8</w:t>
            </w:r>
          </w:p>
        </w:tc>
        <w:tc>
          <w:tcPr>
            <w:tcW w:w="1076"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0.3</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6</w:t>
            </w:r>
          </w:p>
        </w:tc>
        <w:tc>
          <w:tcPr>
            <w:tcW w:w="1076"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0.1</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-2</w:t>
            </w:r>
          </w:p>
        </w:tc>
      </w:tr>
      <w:tr w:rsidR="00B000C0" w:rsidRPr="00573DEB" w:rsidTr="00143785">
        <w:trPr>
          <w:trHeight w:val="170"/>
        </w:trPr>
        <w:tc>
          <w:tcPr>
            <w:tcW w:w="1390" w:type="dxa"/>
            <w:vMerge/>
            <w:tcBorders>
              <w:top w:val="single" w:sz="4" w:space="0" w:color="auto"/>
              <w:left w:val="single" w:sz="4" w:space="0" w:color="auto"/>
              <w:bottom w:val="single" w:sz="4" w:space="0" w:color="auto"/>
              <w:right w:val="single" w:sz="4" w:space="0" w:color="auto"/>
            </w:tcBorders>
          </w:tcPr>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Roraima</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w:t>
            </w:r>
          </w:p>
        </w:tc>
        <w:tc>
          <w:tcPr>
            <w:tcW w:w="1076"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0.0</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w:t>
            </w:r>
          </w:p>
        </w:tc>
        <w:tc>
          <w:tcPr>
            <w:tcW w:w="1076"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0.0</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w:t>
            </w:r>
          </w:p>
        </w:tc>
      </w:tr>
      <w:tr w:rsidR="00B000C0" w:rsidRPr="00573DEB" w:rsidTr="00143785">
        <w:trPr>
          <w:trHeight w:val="170"/>
        </w:trPr>
        <w:tc>
          <w:tcPr>
            <w:tcW w:w="1390" w:type="dxa"/>
            <w:vMerge/>
            <w:tcBorders>
              <w:top w:val="single" w:sz="4" w:space="0" w:color="auto"/>
              <w:left w:val="single" w:sz="4" w:space="0" w:color="auto"/>
              <w:bottom w:val="single" w:sz="4" w:space="0" w:color="auto"/>
              <w:right w:val="single" w:sz="4" w:space="0" w:color="auto"/>
            </w:tcBorders>
          </w:tcPr>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Tocantins</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w:t>
            </w:r>
          </w:p>
        </w:tc>
        <w:tc>
          <w:tcPr>
            <w:tcW w:w="1076"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0.0</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w:t>
            </w:r>
          </w:p>
        </w:tc>
        <w:tc>
          <w:tcPr>
            <w:tcW w:w="1076"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0.0</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w:t>
            </w:r>
          </w:p>
        </w:tc>
      </w:tr>
      <w:tr w:rsidR="00B000C0" w:rsidRPr="00573DEB" w:rsidTr="00143785">
        <w:trPr>
          <w:trHeight w:val="170"/>
        </w:trPr>
        <w:tc>
          <w:tcPr>
            <w:tcW w:w="1390" w:type="dxa"/>
            <w:vMerge w:val="restart"/>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Central West</w:t>
            </w:r>
          </w:p>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Distrito Federal</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12</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0.4</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17</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0.4</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5</w:t>
            </w:r>
          </w:p>
        </w:tc>
      </w:tr>
      <w:tr w:rsidR="00B000C0" w:rsidRPr="00573DEB" w:rsidTr="00143785">
        <w:trPr>
          <w:trHeight w:val="170"/>
        </w:trPr>
        <w:tc>
          <w:tcPr>
            <w:tcW w:w="1390" w:type="dxa"/>
            <w:vMerge/>
            <w:tcBorders>
              <w:top w:val="single" w:sz="4" w:space="0" w:color="auto"/>
              <w:left w:val="single" w:sz="4" w:space="0" w:color="auto"/>
              <w:bottom w:val="single" w:sz="4" w:space="0" w:color="auto"/>
              <w:right w:val="single" w:sz="4" w:space="0" w:color="auto"/>
            </w:tcBorders>
          </w:tcPr>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proofErr w:type="spellStart"/>
            <w:r w:rsidRPr="00573DEB">
              <w:t>Goiás</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14</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0.5</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15</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0.3</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1</w:t>
            </w:r>
          </w:p>
        </w:tc>
      </w:tr>
      <w:tr w:rsidR="00B000C0" w:rsidRPr="00573DEB" w:rsidTr="00143785">
        <w:trPr>
          <w:trHeight w:val="170"/>
        </w:trPr>
        <w:tc>
          <w:tcPr>
            <w:tcW w:w="1390" w:type="dxa"/>
            <w:vMerge/>
            <w:tcBorders>
              <w:top w:val="single" w:sz="4" w:space="0" w:color="auto"/>
              <w:left w:val="single" w:sz="4" w:space="0" w:color="auto"/>
              <w:bottom w:val="single" w:sz="4" w:space="0" w:color="auto"/>
              <w:right w:val="single" w:sz="4" w:space="0" w:color="auto"/>
            </w:tcBorders>
          </w:tcPr>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proofErr w:type="spellStart"/>
            <w:r w:rsidRPr="00573DEB">
              <w:t>Mato</w:t>
            </w:r>
            <w:proofErr w:type="spellEnd"/>
            <w:r w:rsidRPr="00573DEB">
              <w:t xml:space="preserve"> Grosso do </w:t>
            </w:r>
            <w:proofErr w:type="spellStart"/>
            <w:r w:rsidRPr="00573DEB">
              <w:t>Sul</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4</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0.1</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4</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0.1</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w:t>
            </w:r>
          </w:p>
        </w:tc>
      </w:tr>
      <w:tr w:rsidR="00B000C0" w:rsidRPr="00573DEB" w:rsidTr="00143785">
        <w:trPr>
          <w:trHeight w:val="170"/>
        </w:trPr>
        <w:tc>
          <w:tcPr>
            <w:tcW w:w="1390" w:type="dxa"/>
            <w:vMerge/>
            <w:tcBorders>
              <w:top w:val="single" w:sz="4" w:space="0" w:color="auto"/>
              <w:left w:val="single" w:sz="4" w:space="0" w:color="auto"/>
              <w:bottom w:val="single" w:sz="4" w:space="0" w:color="auto"/>
              <w:right w:val="single" w:sz="4" w:space="0" w:color="auto"/>
            </w:tcBorders>
          </w:tcPr>
          <w:p w:rsidR="00B000C0" w:rsidRPr="00573DEB" w:rsidRDefault="00B000C0" w:rsidP="004B4B73"/>
        </w:tc>
        <w:tc>
          <w:tcPr>
            <w:tcW w:w="16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proofErr w:type="spellStart"/>
            <w:r w:rsidRPr="00573DEB">
              <w:t>Mato</w:t>
            </w:r>
            <w:proofErr w:type="spellEnd"/>
            <w:r w:rsidRPr="00573DEB">
              <w:t xml:space="preserve"> Grosso </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3</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0.1</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3</w:t>
            </w:r>
          </w:p>
        </w:tc>
        <w:tc>
          <w:tcPr>
            <w:tcW w:w="1076"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0.1</w:t>
            </w:r>
          </w:p>
        </w:tc>
        <w:tc>
          <w:tcPr>
            <w:tcW w:w="960" w:type="dxa"/>
            <w:tcBorders>
              <w:top w:val="single" w:sz="4" w:space="0" w:color="auto"/>
              <w:left w:val="single" w:sz="4" w:space="0" w:color="auto"/>
              <w:bottom w:val="single" w:sz="4" w:space="0" w:color="auto"/>
              <w:right w:val="single" w:sz="4" w:space="0" w:color="auto"/>
            </w:tcBorders>
            <w:shd w:val="clear" w:color="auto" w:fill="D9D9D9"/>
            <w:noWrap/>
          </w:tcPr>
          <w:p w:rsidR="00B000C0" w:rsidRPr="00573DEB" w:rsidRDefault="00B000C0" w:rsidP="004B4B73">
            <w:r w:rsidRPr="00573DEB">
              <w:t>1</w:t>
            </w:r>
          </w:p>
        </w:tc>
      </w:tr>
      <w:tr w:rsidR="00B000C0" w:rsidRPr="00573DEB" w:rsidTr="00143785">
        <w:trPr>
          <w:trHeight w:val="170"/>
        </w:trPr>
        <w:tc>
          <w:tcPr>
            <w:tcW w:w="3050" w:type="dxa"/>
            <w:gridSpan w:val="2"/>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Not identified</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tc>
        <w:tc>
          <w:tcPr>
            <w:tcW w:w="1076"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13</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0.5</w:t>
            </w:r>
          </w:p>
        </w:tc>
        <w:tc>
          <w:tcPr>
            <w:tcW w:w="1076"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w:t>
            </w:r>
          </w:p>
        </w:tc>
        <w:tc>
          <w:tcPr>
            <w:tcW w:w="960" w:type="dxa"/>
            <w:tcBorders>
              <w:top w:val="single" w:sz="4" w:space="0" w:color="auto"/>
              <w:left w:val="single" w:sz="4" w:space="0" w:color="auto"/>
              <w:bottom w:val="single" w:sz="4" w:space="0" w:color="auto"/>
              <w:right w:val="single" w:sz="4" w:space="0" w:color="auto"/>
            </w:tcBorders>
            <w:noWrap/>
          </w:tcPr>
          <w:p w:rsidR="00B000C0" w:rsidRPr="00573DEB" w:rsidRDefault="00B000C0" w:rsidP="004B4B73">
            <w:r w:rsidRPr="00573DEB">
              <w:t>0.0</w:t>
            </w:r>
          </w:p>
        </w:tc>
      </w:tr>
      <w:tr w:rsidR="00B000C0" w:rsidRPr="00573DEB" w:rsidTr="00143785">
        <w:trPr>
          <w:trHeight w:val="170"/>
        </w:trPr>
        <w:tc>
          <w:tcPr>
            <w:tcW w:w="3050" w:type="dxa"/>
            <w:gridSpan w:val="2"/>
            <w:tcBorders>
              <w:top w:val="single" w:sz="4" w:space="0" w:color="auto"/>
              <w:left w:val="single" w:sz="4" w:space="0" w:color="auto"/>
              <w:bottom w:val="single" w:sz="4" w:space="0" w:color="auto"/>
              <w:right w:val="single" w:sz="4" w:space="0" w:color="auto"/>
            </w:tcBorders>
            <w:shd w:val="clear" w:color="auto" w:fill="808080"/>
            <w:noWrap/>
          </w:tcPr>
          <w:p w:rsidR="00B000C0" w:rsidRPr="00573DEB" w:rsidRDefault="00B000C0" w:rsidP="004B4B73">
            <w:r w:rsidRPr="00573DEB">
              <w:t>Total</w:t>
            </w:r>
          </w:p>
        </w:tc>
        <w:tc>
          <w:tcPr>
            <w:tcW w:w="960" w:type="dxa"/>
            <w:tcBorders>
              <w:top w:val="single" w:sz="4" w:space="0" w:color="auto"/>
              <w:left w:val="single" w:sz="4" w:space="0" w:color="auto"/>
              <w:bottom w:val="single" w:sz="4" w:space="0" w:color="auto"/>
              <w:right w:val="single" w:sz="4" w:space="0" w:color="auto"/>
            </w:tcBorders>
            <w:shd w:val="clear" w:color="auto" w:fill="808080"/>
            <w:noWrap/>
          </w:tcPr>
          <w:p w:rsidR="00B000C0" w:rsidRPr="00573DEB" w:rsidRDefault="00B000C0" w:rsidP="004B4B73">
            <w:r w:rsidRPr="00573DEB">
              <w:t>2.704</w:t>
            </w:r>
          </w:p>
        </w:tc>
        <w:tc>
          <w:tcPr>
            <w:tcW w:w="1076" w:type="dxa"/>
            <w:tcBorders>
              <w:top w:val="single" w:sz="4" w:space="0" w:color="auto"/>
              <w:left w:val="single" w:sz="4" w:space="0" w:color="auto"/>
              <w:bottom w:val="single" w:sz="4" w:space="0" w:color="auto"/>
              <w:right w:val="single" w:sz="4" w:space="0" w:color="auto"/>
            </w:tcBorders>
            <w:shd w:val="clear" w:color="auto" w:fill="808080"/>
            <w:noWrap/>
          </w:tcPr>
          <w:p w:rsidR="00B000C0" w:rsidRPr="00573DEB" w:rsidRDefault="00B000C0" w:rsidP="004B4B73">
            <w:r w:rsidRPr="00573DEB">
              <w:t>100</w:t>
            </w:r>
          </w:p>
        </w:tc>
        <w:tc>
          <w:tcPr>
            <w:tcW w:w="960" w:type="dxa"/>
            <w:tcBorders>
              <w:top w:val="single" w:sz="4" w:space="0" w:color="auto"/>
              <w:left w:val="single" w:sz="4" w:space="0" w:color="auto"/>
              <w:bottom w:val="single" w:sz="4" w:space="0" w:color="auto"/>
              <w:right w:val="single" w:sz="4" w:space="0" w:color="auto"/>
            </w:tcBorders>
            <w:shd w:val="clear" w:color="auto" w:fill="808080"/>
            <w:noWrap/>
          </w:tcPr>
          <w:p w:rsidR="00B000C0" w:rsidRPr="00573DEB" w:rsidRDefault="00B000C0" w:rsidP="004B4B73">
            <w:r w:rsidRPr="00573DEB">
              <w:t>4.364</w:t>
            </w:r>
          </w:p>
        </w:tc>
        <w:tc>
          <w:tcPr>
            <w:tcW w:w="1076" w:type="dxa"/>
            <w:tcBorders>
              <w:top w:val="single" w:sz="4" w:space="0" w:color="auto"/>
              <w:left w:val="single" w:sz="4" w:space="0" w:color="auto"/>
              <w:bottom w:val="single" w:sz="4" w:space="0" w:color="auto"/>
              <w:right w:val="single" w:sz="4" w:space="0" w:color="auto"/>
            </w:tcBorders>
            <w:shd w:val="clear" w:color="auto" w:fill="808080"/>
            <w:noWrap/>
          </w:tcPr>
          <w:p w:rsidR="00B000C0" w:rsidRPr="00573DEB" w:rsidRDefault="00B000C0" w:rsidP="004B4B73">
            <w:r w:rsidRPr="00573DEB">
              <w:t>100</w:t>
            </w:r>
          </w:p>
        </w:tc>
        <w:tc>
          <w:tcPr>
            <w:tcW w:w="960" w:type="dxa"/>
            <w:tcBorders>
              <w:top w:val="single" w:sz="4" w:space="0" w:color="auto"/>
              <w:left w:val="single" w:sz="4" w:space="0" w:color="auto"/>
              <w:bottom w:val="single" w:sz="4" w:space="0" w:color="auto"/>
              <w:right w:val="single" w:sz="4" w:space="0" w:color="auto"/>
            </w:tcBorders>
            <w:shd w:val="clear" w:color="auto" w:fill="808080"/>
            <w:noWrap/>
          </w:tcPr>
          <w:p w:rsidR="00B000C0" w:rsidRPr="00573DEB" w:rsidRDefault="00B000C0" w:rsidP="004B4B73"/>
        </w:tc>
      </w:tr>
    </w:tbl>
    <w:p w:rsidR="00B000C0" w:rsidRPr="00573DEB" w:rsidRDefault="00B000C0" w:rsidP="00625608">
      <w:pPr>
        <w:pStyle w:val="Captionnotes"/>
      </w:pPr>
      <w:r w:rsidRPr="00573DEB">
        <w:t>Source: INPI’s Statistical database (BADEPI)</w:t>
      </w:r>
    </w:p>
    <w:p w:rsidR="00A03852" w:rsidRDefault="00A03852">
      <w:pPr>
        <w:widowControl/>
        <w:spacing w:after="200" w:line="276" w:lineRule="auto"/>
      </w:pPr>
    </w:p>
    <w:p w:rsidR="00143785" w:rsidRPr="00573DEB" w:rsidRDefault="00143785" w:rsidP="00143785">
      <w:r w:rsidRPr="00573DEB">
        <w:t>Germany also had an important contribution to the growth of total applications by non-residents (11.6%) and had a strongly increase of 314% in the period.  In 2000, residents from Germany filed 58 applications (6.4% of total non-residents)</w:t>
      </w:r>
      <w:proofErr w:type="gramStart"/>
      <w:r w:rsidRPr="00573DEB">
        <w:t>,</w:t>
      </w:r>
      <w:proofErr w:type="gramEnd"/>
      <w:r w:rsidRPr="00573DEB">
        <w:t xml:space="preserve"> while in 2011 they filed 240 applications (9.7%).</w:t>
      </w:r>
    </w:p>
    <w:p w:rsidR="00143785" w:rsidRPr="00573DEB" w:rsidRDefault="00143785" w:rsidP="00143785"/>
    <w:p w:rsidR="00143785" w:rsidRPr="00573DEB" w:rsidRDefault="00143785" w:rsidP="00143785">
      <w:r w:rsidRPr="00573DEB">
        <w:t>Other countries that had a relevant share of industrial design applications in Brazil are Netherlands, France, Switzerland and Republic of Korea.</w:t>
      </w:r>
    </w:p>
    <w:p w:rsidR="00143785" w:rsidRPr="00573DEB" w:rsidRDefault="00143785" w:rsidP="00143785"/>
    <w:p w:rsidR="00143785" w:rsidRPr="00573DEB" w:rsidRDefault="00143785" w:rsidP="00143785"/>
    <w:p w:rsidR="00143785" w:rsidRPr="00573DEB" w:rsidRDefault="00143785" w:rsidP="00143785">
      <w:pPr>
        <w:pStyle w:val="Heading2"/>
      </w:pPr>
      <w:bookmarkStart w:id="91" w:name="_Toc373369838"/>
      <w:bookmarkStart w:id="92" w:name="_Toc388619931"/>
      <w:r w:rsidRPr="00573DEB">
        <w:t>Industrial designs by Brazilian states</w:t>
      </w:r>
      <w:bookmarkEnd w:id="91"/>
      <w:bookmarkEnd w:id="92"/>
    </w:p>
    <w:p w:rsidR="00143785" w:rsidRPr="00573DEB" w:rsidRDefault="00143785" w:rsidP="00143785"/>
    <w:p w:rsidR="00143785" w:rsidRPr="00573DEB" w:rsidRDefault="00143785" w:rsidP="00143785">
      <w:r w:rsidRPr="00573DEB">
        <w:t>Concerning resident applications in Brazil broken down by state of origin of the first applicant, states from Southeast and South Regions represented 90% of resident applications during the period of 2000 to 2011.  Almost all of them showed an increase in the number of applications (the only exception was Rio de Janeiro).  Applicants from the Northeast Region accounted for just 5% of total resident applications and North and Central West region for 1% each.</w:t>
      </w:r>
    </w:p>
    <w:p w:rsidR="00143785" w:rsidRPr="00573DEB" w:rsidRDefault="00143785" w:rsidP="00143785"/>
    <w:p w:rsidR="00143785" w:rsidRPr="00573DEB" w:rsidRDefault="00143785" w:rsidP="00143785">
      <w:r w:rsidRPr="00573DEB">
        <w:t xml:space="preserve">Applicants from São Paulo were the most representative during the period and accounted for nearly all the growth of resident applications, however presented a small loss of its share: from 1,344 applications in 2000 (49.7%) to 2,129 in 2011 (48.8%).  The same occurred with applications from Rio Grande do </w:t>
      </w:r>
      <w:proofErr w:type="spellStart"/>
      <w:r w:rsidRPr="00573DEB">
        <w:t>Sul</w:t>
      </w:r>
      <w:proofErr w:type="spellEnd"/>
      <w:r w:rsidRPr="00573DEB">
        <w:t xml:space="preserve">, which grew from 355 applications in 2000 (13.1%) to 547 applications in 2011 (12.5%), and from Paraná, where applications grew from 303 applications in 2000 (11.2%) to 427 applications in 2011 (9.8%).  </w:t>
      </w:r>
    </w:p>
    <w:p w:rsidR="00B000C0" w:rsidRPr="00573DEB" w:rsidRDefault="00B000C0" w:rsidP="004B4B73"/>
    <w:p w:rsidR="00143785" w:rsidRPr="00573DEB" w:rsidRDefault="00143785" w:rsidP="004B4B73"/>
    <w:p w:rsidR="00B000C0" w:rsidRPr="00573DEB" w:rsidRDefault="00143785" w:rsidP="004B4B73">
      <w:pPr>
        <w:pStyle w:val="Heading2"/>
      </w:pPr>
      <w:bookmarkStart w:id="93" w:name="_Toc373369839"/>
      <w:bookmarkStart w:id="94" w:name="_Toc388619932"/>
      <w:r w:rsidRPr="00573DEB">
        <w:t xml:space="preserve">Industrial designs </w:t>
      </w:r>
      <w:r w:rsidR="00F86B70" w:rsidRPr="00573DEB">
        <w:t>by</w:t>
      </w:r>
      <w:r w:rsidR="00B000C0" w:rsidRPr="00573DEB">
        <w:t xml:space="preserve"> type of applicant</w:t>
      </w:r>
      <w:bookmarkEnd w:id="93"/>
      <w:bookmarkEnd w:id="94"/>
    </w:p>
    <w:p w:rsidR="00B000C0" w:rsidRPr="00573DEB" w:rsidRDefault="00B000C0" w:rsidP="004B4B73"/>
    <w:p w:rsidR="00B000C0" w:rsidRPr="00573DEB" w:rsidRDefault="00B000C0" w:rsidP="004B4B73">
      <w:r w:rsidRPr="00573DEB">
        <w:t>Concerning all applications (from residents and non-residents), applicants can be divided in two types: companies and individuals</w:t>
      </w:r>
      <w:r w:rsidR="004B4B73" w:rsidRPr="00573DEB">
        <w:t xml:space="preserve">.  </w:t>
      </w:r>
      <w:r w:rsidRPr="00573DEB">
        <w:t>Figure 5.4 shows that individuals are the main applicants and that their participation grew during the period</w:t>
      </w:r>
      <w:r w:rsidR="004B4B73" w:rsidRPr="00573DEB">
        <w:t xml:space="preserve">.  </w:t>
      </w:r>
      <w:r w:rsidRPr="00573DEB">
        <w:t>In 2000, individuals accounted for 2,479 applications (68.8% of total applications)</w:t>
      </w:r>
      <w:proofErr w:type="gramStart"/>
      <w:r w:rsidRPr="00573DEB">
        <w:t>,</w:t>
      </w:r>
      <w:proofErr w:type="gramEnd"/>
      <w:r w:rsidRPr="00573DEB">
        <w:t xml:space="preserve"> while in 2011 individuals filed 5,176 industrial design applications (75.7%).</w:t>
      </w:r>
    </w:p>
    <w:p w:rsidR="00B000C0" w:rsidRPr="00573DEB" w:rsidRDefault="00B000C0" w:rsidP="004B4B73"/>
    <w:p w:rsidR="00625608" w:rsidRPr="00573DEB" w:rsidRDefault="00625608" w:rsidP="00625608">
      <w:r w:rsidRPr="00573DEB">
        <w:t>Concerning only resident companies, applications can be broken down by economic sector according to the 87 activities (from agriculture, industry and services) of version 2.0 of the National Classification of Economic Activities (CNAE), which follows the same methodology of the International Standard Industrial Classification of all Economic Activities (ISIC Rev.4).  Data, however, are not available for all resident companies</w:t>
      </w:r>
      <w:r w:rsidRPr="00573DEB">
        <w:rPr>
          <w:rStyle w:val="FootnoteReference"/>
        </w:rPr>
        <w:footnoteReference w:id="29"/>
      </w:r>
      <w:r w:rsidRPr="00573DEB">
        <w:t>.</w:t>
      </w:r>
    </w:p>
    <w:p w:rsidR="00B000C0" w:rsidRPr="00573DEB" w:rsidRDefault="00B000C0" w:rsidP="004B4B73"/>
    <w:p w:rsidR="00625608" w:rsidRPr="00573DEB" w:rsidRDefault="00625608" w:rsidP="00625608">
      <w:r w:rsidRPr="00573DEB">
        <w:t xml:space="preserve">For the companies for which data are available, “manufacture of leather and related products” was the largest sector, accounting for 23.1% in 2011 (compared to 10.3% in 2006), followed by the sectors of “manufacture of electrical equipment” </w:t>
      </w:r>
      <w:r w:rsidR="00334CC6" w:rsidRPr="00573DEB">
        <w:t>(</w:t>
      </w:r>
      <w:r w:rsidRPr="00573DEB">
        <w:t xml:space="preserve">8.9%), “manufacture of motor vehicles, trailers and semi-trailers” </w:t>
      </w:r>
      <w:r w:rsidR="00334CC6" w:rsidRPr="00573DEB">
        <w:t>(</w:t>
      </w:r>
      <w:r w:rsidRPr="00573DEB">
        <w:t xml:space="preserve">8.8%) and “manufacture of rubber and plastics products” </w:t>
      </w:r>
      <w:r w:rsidR="00334CC6" w:rsidRPr="00573DEB">
        <w:t>(</w:t>
      </w:r>
      <w:r w:rsidRPr="00573DEB">
        <w:t>8.2%).  It is interesting to note that “manufacture of fabricated metal products, except machinery and equipment”, which accounted for 9.3% of applications from resident companies in 2006, lost its importance (relative and absolute).</w:t>
      </w:r>
    </w:p>
    <w:p w:rsidR="00625608" w:rsidRDefault="00625608" w:rsidP="004B4B73"/>
    <w:p w:rsidR="00F86B70" w:rsidRDefault="00F86B70" w:rsidP="004B4B73"/>
    <w:p w:rsidR="00F86B70" w:rsidRPr="00573DEB" w:rsidRDefault="00F86B70" w:rsidP="004B4B73"/>
    <w:p w:rsidR="00B000C0" w:rsidRPr="00573DEB" w:rsidRDefault="000C6B94" w:rsidP="00143785">
      <w:pPr>
        <w:pStyle w:val="Caption"/>
      </w:pPr>
      <w:bookmarkStart w:id="95" w:name="_Toc377053295"/>
      <w:bookmarkStart w:id="96" w:name="_Toc378267965"/>
      <w:r>
        <w:t xml:space="preserve">Figure 5.4:  </w:t>
      </w:r>
      <w:r w:rsidR="00B000C0" w:rsidRPr="00573DEB">
        <w:t>Industrial design applications by type of applicant, 2000-2011</w:t>
      </w:r>
      <w:bookmarkEnd w:id="95"/>
      <w:bookmarkEnd w:id="96"/>
    </w:p>
    <w:p w:rsidR="00B000C0" w:rsidRPr="00573DEB" w:rsidRDefault="00B000C0" w:rsidP="004B4B73">
      <w:r w:rsidRPr="00573DEB">
        <w:rPr>
          <w:noProof/>
        </w:rPr>
        <w:drawing>
          <wp:inline distT="0" distB="0" distL="0" distR="0" wp14:anchorId="0EFDC400" wp14:editId="3854FA0F">
            <wp:extent cx="5748655" cy="2767330"/>
            <wp:effectExtent l="0" t="0" r="4445"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8655" cy="2767330"/>
                    </a:xfrm>
                    <a:prstGeom prst="rect">
                      <a:avLst/>
                    </a:prstGeom>
                    <a:noFill/>
                    <a:ln>
                      <a:noFill/>
                    </a:ln>
                  </pic:spPr>
                </pic:pic>
              </a:graphicData>
            </a:graphic>
          </wp:inline>
        </w:drawing>
      </w:r>
    </w:p>
    <w:p w:rsidR="00B000C0" w:rsidRPr="00093AA4" w:rsidRDefault="00B000C0" w:rsidP="00143785">
      <w:pPr>
        <w:pStyle w:val="Captionnotes"/>
        <w:rPr>
          <w:i w:val="0"/>
        </w:rPr>
      </w:pPr>
      <w:r w:rsidRPr="00093AA4">
        <w:rPr>
          <w:i w:val="0"/>
          <w:noProof/>
        </w:rPr>
        <w:t xml:space="preserve">Source: </w:t>
      </w:r>
      <w:r w:rsidR="00093AA4">
        <w:rPr>
          <w:i w:val="0"/>
          <w:noProof/>
        </w:rPr>
        <w:t xml:space="preserve"> </w:t>
      </w:r>
      <w:r w:rsidRPr="00093AA4">
        <w:rPr>
          <w:i w:val="0"/>
          <w:noProof/>
        </w:rPr>
        <w:t>INPI’s Statistical database (BADEPI)</w:t>
      </w:r>
    </w:p>
    <w:p w:rsidR="00B000C0" w:rsidRPr="00573DEB" w:rsidRDefault="00B000C0" w:rsidP="004B4B73"/>
    <w:p w:rsidR="00143785" w:rsidRPr="00573DEB" w:rsidRDefault="00143785" w:rsidP="004B4B73"/>
    <w:p w:rsidR="00B000C0" w:rsidRPr="00573DEB" w:rsidRDefault="000C6B94" w:rsidP="00143785">
      <w:pPr>
        <w:pStyle w:val="Caption"/>
      </w:pPr>
      <w:bookmarkStart w:id="97" w:name="_Toc377374696"/>
      <w:bookmarkStart w:id="98" w:name="_Toc378268000"/>
      <w:r>
        <w:t xml:space="preserve">Table 5.2:  </w:t>
      </w:r>
      <w:r w:rsidR="00F86B70" w:rsidRPr="00573DEB">
        <w:t>Industrial</w:t>
      </w:r>
      <w:r w:rsidR="00B000C0" w:rsidRPr="00573DEB">
        <w:t xml:space="preserve"> design applications </w:t>
      </w:r>
      <w:bookmarkEnd w:id="97"/>
      <w:r w:rsidR="00B000C0" w:rsidRPr="00573DEB">
        <w:t>by economic sectors (ISIC Rev.4), 2006/2011</w:t>
      </w:r>
      <w:bookmarkEnd w:id="98"/>
    </w:p>
    <w:tbl>
      <w:tblPr>
        <w:tblW w:w="95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7"/>
        <w:gridCol w:w="6236"/>
        <w:gridCol w:w="708"/>
        <w:gridCol w:w="709"/>
        <w:gridCol w:w="708"/>
        <w:gridCol w:w="664"/>
      </w:tblGrid>
      <w:tr w:rsidR="00625608" w:rsidRPr="00573DEB" w:rsidTr="00625608">
        <w:trPr>
          <w:trHeight w:val="284"/>
        </w:trPr>
        <w:tc>
          <w:tcPr>
            <w:tcW w:w="6753" w:type="dxa"/>
            <w:gridSpan w:val="2"/>
            <w:tcBorders>
              <w:top w:val="single" w:sz="4" w:space="0" w:color="auto"/>
              <w:left w:val="single" w:sz="4" w:space="0" w:color="auto"/>
              <w:bottom w:val="single" w:sz="4" w:space="0" w:color="auto"/>
              <w:right w:val="single" w:sz="4" w:space="0" w:color="auto"/>
            </w:tcBorders>
            <w:shd w:val="clear" w:color="auto" w:fill="8DB4E2"/>
            <w:noWrap/>
            <w:tcMar>
              <w:left w:w="0" w:type="dxa"/>
              <w:right w:w="0" w:type="dxa"/>
            </w:tcMar>
            <w:vAlign w:val="center"/>
          </w:tcPr>
          <w:p w:rsidR="00625608" w:rsidRPr="00573DEB" w:rsidRDefault="00625608" w:rsidP="00625608">
            <w:pPr>
              <w:jc w:val="center"/>
              <w:rPr>
                <w:rFonts w:ascii="Arial Narrow" w:hAnsi="Arial Narrow"/>
                <w:b/>
              </w:rPr>
            </w:pPr>
            <w:r w:rsidRPr="00573DEB">
              <w:rPr>
                <w:rFonts w:ascii="Arial Narrow" w:hAnsi="Arial Narrow"/>
                <w:b/>
              </w:rPr>
              <w:t>Economic Activities</w:t>
            </w:r>
          </w:p>
        </w:tc>
        <w:tc>
          <w:tcPr>
            <w:tcW w:w="708" w:type="dxa"/>
            <w:tcBorders>
              <w:top w:val="single" w:sz="4" w:space="0" w:color="auto"/>
              <w:left w:val="single" w:sz="4" w:space="0" w:color="auto"/>
              <w:bottom w:val="single" w:sz="4" w:space="0" w:color="auto"/>
              <w:right w:val="single" w:sz="4" w:space="0" w:color="auto"/>
            </w:tcBorders>
            <w:shd w:val="clear" w:color="auto" w:fill="8DB4E2"/>
            <w:noWrap/>
            <w:tcMar>
              <w:left w:w="0" w:type="dxa"/>
              <w:right w:w="0" w:type="dxa"/>
            </w:tcMar>
            <w:vAlign w:val="center"/>
          </w:tcPr>
          <w:p w:rsidR="00625608" w:rsidRPr="00573DEB" w:rsidRDefault="00625608" w:rsidP="00625608">
            <w:pPr>
              <w:jc w:val="center"/>
              <w:rPr>
                <w:rFonts w:ascii="Arial Narrow" w:hAnsi="Arial Narrow"/>
                <w:b/>
              </w:rPr>
            </w:pPr>
            <w:r w:rsidRPr="00573DEB">
              <w:rPr>
                <w:rFonts w:ascii="Arial Narrow" w:hAnsi="Arial Narrow"/>
                <w:b/>
              </w:rPr>
              <w:t>2006</w:t>
            </w:r>
          </w:p>
        </w:tc>
        <w:tc>
          <w:tcPr>
            <w:tcW w:w="709" w:type="dxa"/>
            <w:tcBorders>
              <w:top w:val="single" w:sz="4" w:space="0" w:color="auto"/>
              <w:left w:val="single" w:sz="4" w:space="0" w:color="auto"/>
              <w:bottom w:val="single" w:sz="4" w:space="0" w:color="auto"/>
              <w:right w:val="single" w:sz="4" w:space="0" w:color="auto"/>
            </w:tcBorders>
            <w:shd w:val="clear" w:color="auto" w:fill="8DB4E2"/>
            <w:noWrap/>
            <w:tcMar>
              <w:left w:w="0" w:type="dxa"/>
              <w:right w:w="0" w:type="dxa"/>
            </w:tcMar>
            <w:vAlign w:val="center"/>
          </w:tcPr>
          <w:p w:rsidR="00625608" w:rsidRPr="00573DEB" w:rsidRDefault="00625608" w:rsidP="00625608">
            <w:pPr>
              <w:jc w:val="center"/>
              <w:rPr>
                <w:rFonts w:ascii="Arial Narrow" w:hAnsi="Arial Narrow"/>
                <w:b/>
              </w:rPr>
            </w:pPr>
            <w:r w:rsidRPr="00573DEB">
              <w:rPr>
                <w:rFonts w:ascii="Arial Narrow" w:hAnsi="Arial Narrow"/>
                <w:b/>
              </w:rPr>
              <w:t>%</w:t>
            </w:r>
          </w:p>
        </w:tc>
        <w:tc>
          <w:tcPr>
            <w:tcW w:w="708" w:type="dxa"/>
            <w:tcBorders>
              <w:top w:val="single" w:sz="4" w:space="0" w:color="auto"/>
              <w:left w:val="single" w:sz="4" w:space="0" w:color="auto"/>
              <w:bottom w:val="single" w:sz="4" w:space="0" w:color="auto"/>
              <w:right w:val="single" w:sz="4" w:space="0" w:color="auto"/>
            </w:tcBorders>
            <w:shd w:val="clear" w:color="auto" w:fill="8DB4E2"/>
            <w:noWrap/>
            <w:tcMar>
              <w:left w:w="0" w:type="dxa"/>
              <w:right w:w="0" w:type="dxa"/>
            </w:tcMar>
            <w:vAlign w:val="center"/>
          </w:tcPr>
          <w:p w:rsidR="00625608" w:rsidRPr="00573DEB" w:rsidRDefault="00625608" w:rsidP="00625608">
            <w:pPr>
              <w:jc w:val="center"/>
              <w:rPr>
                <w:rFonts w:ascii="Arial Narrow" w:hAnsi="Arial Narrow"/>
                <w:b/>
              </w:rPr>
            </w:pPr>
            <w:r w:rsidRPr="00573DEB">
              <w:rPr>
                <w:rFonts w:ascii="Arial Narrow" w:hAnsi="Arial Narrow"/>
                <w:b/>
              </w:rPr>
              <w:t>2011</w:t>
            </w:r>
          </w:p>
        </w:tc>
        <w:tc>
          <w:tcPr>
            <w:tcW w:w="664" w:type="dxa"/>
            <w:tcBorders>
              <w:top w:val="single" w:sz="4" w:space="0" w:color="auto"/>
              <w:left w:val="single" w:sz="4" w:space="0" w:color="auto"/>
              <w:bottom w:val="single" w:sz="4" w:space="0" w:color="auto"/>
              <w:right w:val="single" w:sz="4" w:space="0" w:color="auto"/>
            </w:tcBorders>
            <w:shd w:val="clear" w:color="auto" w:fill="8DB4E2"/>
            <w:noWrap/>
            <w:tcMar>
              <w:left w:w="0" w:type="dxa"/>
              <w:right w:w="0" w:type="dxa"/>
            </w:tcMar>
            <w:vAlign w:val="center"/>
          </w:tcPr>
          <w:p w:rsidR="00625608" w:rsidRPr="00573DEB" w:rsidRDefault="00625608" w:rsidP="00625608">
            <w:pPr>
              <w:jc w:val="center"/>
              <w:rPr>
                <w:rFonts w:ascii="Arial Narrow" w:hAnsi="Arial Narrow"/>
                <w:b/>
              </w:rPr>
            </w:pPr>
            <w:r w:rsidRPr="00573DEB">
              <w:rPr>
                <w:rFonts w:ascii="Arial Narrow" w:hAnsi="Arial Narrow"/>
                <w:b/>
              </w:rPr>
              <w:t>%</w:t>
            </w:r>
          </w:p>
        </w:tc>
      </w:tr>
      <w:tr w:rsidR="00625608" w:rsidRPr="00573DEB" w:rsidTr="00625608">
        <w:trPr>
          <w:trHeight w:val="284"/>
        </w:trPr>
        <w:tc>
          <w:tcPr>
            <w:tcW w:w="6753" w:type="dxa"/>
            <w:gridSpan w:val="2"/>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625608" w:rsidRPr="00573DEB" w:rsidRDefault="00625608" w:rsidP="004B4B73">
            <w:pPr>
              <w:rPr>
                <w:rFonts w:ascii="Arial Narrow" w:hAnsi="Arial Narrow"/>
                <w:b/>
              </w:rPr>
            </w:pPr>
            <w:r w:rsidRPr="00573DEB">
              <w:rPr>
                <w:rFonts w:ascii="Arial Narrow" w:hAnsi="Arial Narrow"/>
                <w:b/>
              </w:rPr>
              <w:t xml:space="preserve"> Total</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625608" w:rsidRPr="00573DEB" w:rsidRDefault="00625608" w:rsidP="00625608">
            <w:pPr>
              <w:jc w:val="center"/>
              <w:rPr>
                <w:rFonts w:ascii="Arial Narrow" w:hAnsi="Arial Narrow"/>
              </w:rPr>
            </w:pPr>
            <w:r w:rsidRPr="00573DEB">
              <w:rPr>
                <w:rFonts w:ascii="Arial Narrow" w:hAnsi="Arial Narrow"/>
              </w:rPr>
              <w:t>1,353</w:t>
            </w:r>
          </w:p>
        </w:tc>
        <w:tc>
          <w:tcPr>
            <w:tcW w:w="709"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625608" w:rsidRPr="00573DEB" w:rsidRDefault="00625608" w:rsidP="00625608">
            <w:pPr>
              <w:jc w:val="center"/>
              <w:rPr>
                <w:rFonts w:ascii="Arial Narrow" w:hAnsi="Arial Narrow"/>
              </w:rPr>
            </w:pPr>
            <w:r w:rsidRPr="00573DEB">
              <w:rPr>
                <w:rFonts w:ascii="Arial Narrow" w:hAnsi="Arial Narrow"/>
              </w:rPr>
              <w:t>100%</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625608" w:rsidRPr="00573DEB" w:rsidRDefault="00625608" w:rsidP="00625608">
            <w:pPr>
              <w:jc w:val="center"/>
              <w:rPr>
                <w:rFonts w:ascii="Arial Narrow" w:hAnsi="Arial Narrow"/>
              </w:rPr>
            </w:pPr>
            <w:r w:rsidRPr="00573DEB">
              <w:rPr>
                <w:rFonts w:ascii="Arial Narrow" w:hAnsi="Arial Narrow"/>
              </w:rPr>
              <w:t>1,565</w:t>
            </w:r>
          </w:p>
        </w:tc>
        <w:tc>
          <w:tcPr>
            <w:tcW w:w="664"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625608" w:rsidRPr="00573DEB" w:rsidRDefault="00625608" w:rsidP="00625608">
            <w:pPr>
              <w:jc w:val="center"/>
              <w:rPr>
                <w:rFonts w:ascii="Arial Narrow" w:hAnsi="Arial Narrow"/>
              </w:rPr>
            </w:pPr>
            <w:r w:rsidRPr="00573DEB">
              <w:rPr>
                <w:rFonts w:ascii="Arial Narrow" w:hAnsi="Arial Narrow"/>
              </w:rPr>
              <w:t>100%</w:t>
            </w:r>
          </w:p>
        </w:tc>
      </w:tr>
      <w:tr w:rsidR="00B000C0" w:rsidRPr="00573DEB" w:rsidTr="00625608">
        <w:trPr>
          <w:trHeight w:val="284"/>
        </w:trPr>
        <w:tc>
          <w:tcPr>
            <w:tcW w:w="51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15</w:t>
            </w:r>
          </w:p>
        </w:tc>
        <w:tc>
          <w:tcPr>
            <w:tcW w:w="62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B000C0" w:rsidRPr="00573DEB" w:rsidRDefault="00B000C0" w:rsidP="004B4B73">
            <w:pPr>
              <w:rPr>
                <w:rFonts w:ascii="Arial Narrow" w:hAnsi="Arial Narrow"/>
              </w:rPr>
            </w:pPr>
            <w:r w:rsidRPr="00573DEB">
              <w:rPr>
                <w:rFonts w:ascii="Arial Narrow" w:hAnsi="Arial Narrow"/>
                <w:shd w:val="clear" w:color="auto" w:fill="FFFFFF"/>
              </w:rPr>
              <w:t>Manufacture of leather and related products</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140</w:t>
            </w:r>
          </w:p>
        </w:tc>
        <w:tc>
          <w:tcPr>
            <w:tcW w:w="709"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10.3%</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362</w:t>
            </w:r>
          </w:p>
        </w:tc>
        <w:tc>
          <w:tcPr>
            <w:tcW w:w="664"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23.1%</w:t>
            </w:r>
          </w:p>
        </w:tc>
      </w:tr>
      <w:tr w:rsidR="00B000C0" w:rsidRPr="00573DEB" w:rsidTr="00625608">
        <w:trPr>
          <w:trHeight w:val="284"/>
        </w:trPr>
        <w:tc>
          <w:tcPr>
            <w:tcW w:w="51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27</w:t>
            </w:r>
          </w:p>
        </w:tc>
        <w:tc>
          <w:tcPr>
            <w:tcW w:w="62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B000C0" w:rsidRPr="00573DEB" w:rsidRDefault="00B000C0" w:rsidP="004B4B73">
            <w:pPr>
              <w:rPr>
                <w:rFonts w:ascii="Arial Narrow" w:hAnsi="Arial Narrow"/>
              </w:rPr>
            </w:pPr>
            <w:r w:rsidRPr="00573DEB">
              <w:rPr>
                <w:rFonts w:ascii="Arial Narrow" w:hAnsi="Arial Narrow"/>
              </w:rPr>
              <w:t>Manufacture of electrical equipment</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67</w:t>
            </w:r>
          </w:p>
        </w:tc>
        <w:tc>
          <w:tcPr>
            <w:tcW w:w="709"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5.0%</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139</w:t>
            </w:r>
          </w:p>
        </w:tc>
        <w:tc>
          <w:tcPr>
            <w:tcW w:w="664"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8.9%</w:t>
            </w:r>
          </w:p>
        </w:tc>
      </w:tr>
      <w:tr w:rsidR="00B000C0" w:rsidRPr="00573DEB" w:rsidTr="00625608">
        <w:trPr>
          <w:trHeight w:val="284"/>
        </w:trPr>
        <w:tc>
          <w:tcPr>
            <w:tcW w:w="51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29</w:t>
            </w:r>
          </w:p>
        </w:tc>
        <w:tc>
          <w:tcPr>
            <w:tcW w:w="62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B000C0" w:rsidRPr="00573DEB" w:rsidRDefault="00B000C0" w:rsidP="004B4B73">
            <w:pPr>
              <w:rPr>
                <w:rFonts w:ascii="Arial Narrow" w:hAnsi="Arial Narrow"/>
              </w:rPr>
            </w:pPr>
            <w:r w:rsidRPr="00573DEB">
              <w:rPr>
                <w:rFonts w:ascii="Arial Narrow" w:hAnsi="Arial Narrow"/>
              </w:rPr>
              <w:t>Manufacture of motor vehicles, trailers and semi-trailers</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94</w:t>
            </w:r>
          </w:p>
        </w:tc>
        <w:tc>
          <w:tcPr>
            <w:tcW w:w="709"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6.9%</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138</w:t>
            </w:r>
          </w:p>
        </w:tc>
        <w:tc>
          <w:tcPr>
            <w:tcW w:w="664"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8.8%</w:t>
            </w:r>
          </w:p>
        </w:tc>
      </w:tr>
      <w:tr w:rsidR="00B000C0" w:rsidRPr="00573DEB" w:rsidTr="00625608">
        <w:trPr>
          <w:trHeight w:val="284"/>
        </w:trPr>
        <w:tc>
          <w:tcPr>
            <w:tcW w:w="51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22</w:t>
            </w:r>
          </w:p>
        </w:tc>
        <w:tc>
          <w:tcPr>
            <w:tcW w:w="62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B000C0" w:rsidRPr="00573DEB" w:rsidRDefault="00B000C0" w:rsidP="004B4B73">
            <w:pPr>
              <w:rPr>
                <w:rFonts w:ascii="Arial Narrow" w:hAnsi="Arial Narrow"/>
              </w:rPr>
            </w:pPr>
            <w:r w:rsidRPr="00573DEB">
              <w:rPr>
                <w:rFonts w:ascii="Arial Narrow" w:hAnsi="Arial Narrow"/>
              </w:rPr>
              <w:t>Manufacture of rubber and plastics products</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113</w:t>
            </w:r>
          </w:p>
        </w:tc>
        <w:tc>
          <w:tcPr>
            <w:tcW w:w="709"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8.4%</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129</w:t>
            </w:r>
          </w:p>
        </w:tc>
        <w:tc>
          <w:tcPr>
            <w:tcW w:w="664"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8.2%</w:t>
            </w:r>
          </w:p>
        </w:tc>
      </w:tr>
      <w:tr w:rsidR="00B000C0" w:rsidRPr="00573DEB" w:rsidTr="00625608">
        <w:trPr>
          <w:trHeight w:val="284"/>
        </w:trPr>
        <w:tc>
          <w:tcPr>
            <w:tcW w:w="51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32</w:t>
            </w:r>
          </w:p>
        </w:tc>
        <w:tc>
          <w:tcPr>
            <w:tcW w:w="62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B000C0" w:rsidRPr="00573DEB" w:rsidRDefault="00B000C0" w:rsidP="004B4B73">
            <w:pPr>
              <w:rPr>
                <w:rFonts w:ascii="Arial Narrow" w:hAnsi="Arial Narrow"/>
              </w:rPr>
            </w:pPr>
            <w:r w:rsidRPr="00573DEB">
              <w:rPr>
                <w:rFonts w:ascii="Arial Narrow" w:hAnsi="Arial Narrow"/>
                <w:shd w:val="clear" w:color="auto" w:fill="FFFFFF"/>
              </w:rPr>
              <w:t>Other manufacturing</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86</w:t>
            </w:r>
          </w:p>
        </w:tc>
        <w:tc>
          <w:tcPr>
            <w:tcW w:w="709"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6.4%</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119</w:t>
            </w:r>
          </w:p>
        </w:tc>
        <w:tc>
          <w:tcPr>
            <w:tcW w:w="664"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7.6%</w:t>
            </w:r>
          </w:p>
        </w:tc>
      </w:tr>
      <w:tr w:rsidR="00B000C0" w:rsidRPr="00573DEB" w:rsidTr="00625608">
        <w:trPr>
          <w:trHeight w:val="284"/>
        </w:trPr>
        <w:tc>
          <w:tcPr>
            <w:tcW w:w="51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46</w:t>
            </w:r>
          </w:p>
        </w:tc>
        <w:tc>
          <w:tcPr>
            <w:tcW w:w="62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B000C0" w:rsidRPr="00573DEB" w:rsidRDefault="00B000C0" w:rsidP="004B4B73">
            <w:pPr>
              <w:rPr>
                <w:rFonts w:ascii="Arial Narrow" w:hAnsi="Arial Narrow"/>
              </w:rPr>
            </w:pPr>
            <w:r w:rsidRPr="00573DEB">
              <w:rPr>
                <w:rFonts w:ascii="Arial Narrow" w:hAnsi="Arial Narrow"/>
                <w:shd w:val="clear" w:color="auto" w:fill="FFFFFF"/>
              </w:rPr>
              <w:t>Wholesale trade, except of motor vehicles and motorcycles</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74</w:t>
            </w:r>
          </w:p>
        </w:tc>
        <w:tc>
          <w:tcPr>
            <w:tcW w:w="709"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5.5%</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98</w:t>
            </w:r>
          </w:p>
        </w:tc>
        <w:tc>
          <w:tcPr>
            <w:tcW w:w="664"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6.3%</w:t>
            </w:r>
          </w:p>
        </w:tc>
      </w:tr>
      <w:tr w:rsidR="00B000C0" w:rsidRPr="00573DEB" w:rsidTr="00625608">
        <w:trPr>
          <w:trHeight w:val="284"/>
        </w:trPr>
        <w:tc>
          <w:tcPr>
            <w:tcW w:w="51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47</w:t>
            </w:r>
          </w:p>
        </w:tc>
        <w:tc>
          <w:tcPr>
            <w:tcW w:w="62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B000C0" w:rsidRPr="00573DEB" w:rsidRDefault="00B000C0" w:rsidP="004B4B73">
            <w:pPr>
              <w:rPr>
                <w:rFonts w:ascii="Arial Narrow" w:hAnsi="Arial Narrow"/>
              </w:rPr>
            </w:pPr>
            <w:r w:rsidRPr="00573DEB">
              <w:rPr>
                <w:rFonts w:ascii="Arial Narrow" w:hAnsi="Arial Narrow"/>
                <w:shd w:val="clear" w:color="auto" w:fill="FFFFFF"/>
              </w:rPr>
              <w:t>Retail trade, except of motor vehicles and motorcycles</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62</w:t>
            </w:r>
          </w:p>
        </w:tc>
        <w:tc>
          <w:tcPr>
            <w:tcW w:w="709"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4.6%</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89</w:t>
            </w:r>
          </w:p>
        </w:tc>
        <w:tc>
          <w:tcPr>
            <w:tcW w:w="664"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5.7%</w:t>
            </w:r>
          </w:p>
        </w:tc>
      </w:tr>
      <w:tr w:rsidR="00B000C0" w:rsidRPr="00573DEB" w:rsidTr="00625608">
        <w:trPr>
          <w:trHeight w:val="284"/>
        </w:trPr>
        <w:tc>
          <w:tcPr>
            <w:tcW w:w="51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28</w:t>
            </w:r>
          </w:p>
        </w:tc>
        <w:tc>
          <w:tcPr>
            <w:tcW w:w="62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B000C0" w:rsidRPr="00573DEB" w:rsidRDefault="00B000C0" w:rsidP="004B4B73">
            <w:pPr>
              <w:rPr>
                <w:rFonts w:ascii="Arial Narrow" w:hAnsi="Arial Narrow"/>
              </w:rPr>
            </w:pPr>
            <w:r w:rsidRPr="00573DEB">
              <w:rPr>
                <w:rFonts w:ascii="Arial Narrow" w:hAnsi="Arial Narrow"/>
                <w:shd w:val="clear" w:color="auto" w:fill="FFFFFF"/>
              </w:rPr>
              <w:t>Manufacture of machinery and equipment</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71</w:t>
            </w:r>
          </w:p>
        </w:tc>
        <w:tc>
          <w:tcPr>
            <w:tcW w:w="709"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5.2%</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86</w:t>
            </w:r>
          </w:p>
        </w:tc>
        <w:tc>
          <w:tcPr>
            <w:tcW w:w="664"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5.5%</w:t>
            </w:r>
          </w:p>
        </w:tc>
      </w:tr>
      <w:tr w:rsidR="00B000C0" w:rsidRPr="00573DEB" w:rsidTr="00625608">
        <w:trPr>
          <w:trHeight w:val="284"/>
        </w:trPr>
        <w:tc>
          <w:tcPr>
            <w:tcW w:w="51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31</w:t>
            </w:r>
          </w:p>
        </w:tc>
        <w:tc>
          <w:tcPr>
            <w:tcW w:w="62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B000C0" w:rsidRPr="00573DEB" w:rsidRDefault="00B000C0" w:rsidP="004B4B73">
            <w:pPr>
              <w:rPr>
                <w:rFonts w:ascii="Arial Narrow" w:hAnsi="Arial Narrow"/>
              </w:rPr>
            </w:pPr>
            <w:r w:rsidRPr="00573DEB">
              <w:rPr>
                <w:rFonts w:ascii="Arial Narrow" w:hAnsi="Arial Narrow"/>
                <w:shd w:val="clear" w:color="auto" w:fill="FFFFFF"/>
              </w:rPr>
              <w:t>Manufacture of furniture</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93</w:t>
            </w:r>
          </w:p>
        </w:tc>
        <w:tc>
          <w:tcPr>
            <w:tcW w:w="709"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6.9%</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72</w:t>
            </w:r>
          </w:p>
        </w:tc>
        <w:tc>
          <w:tcPr>
            <w:tcW w:w="664"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4.6%</w:t>
            </w:r>
          </w:p>
        </w:tc>
      </w:tr>
      <w:tr w:rsidR="00B000C0" w:rsidRPr="00573DEB" w:rsidTr="00625608">
        <w:trPr>
          <w:trHeight w:val="284"/>
        </w:trPr>
        <w:tc>
          <w:tcPr>
            <w:tcW w:w="51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25</w:t>
            </w:r>
          </w:p>
        </w:tc>
        <w:tc>
          <w:tcPr>
            <w:tcW w:w="62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B000C0" w:rsidRPr="00573DEB" w:rsidRDefault="00B000C0" w:rsidP="004B4B73">
            <w:pPr>
              <w:rPr>
                <w:rFonts w:ascii="Arial Narrow" w:hAnsi="Arial Narrow"/>
              </w:rPr>
            </w:pPr>
            <w:r w:rsidRPr="00573DEB">
              <w:rPr>
                <w:rFonts w:ascii="Arial Narrow" w:hAnsi="Arial Narrow"/>
                <w:shd w:val="clear" w:color="auto" w:fill="FFFFFF"/>
              </w:rPr>
              <w:t>Manufacture of fabricated metal products, except machinery and equipment</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126</w:t>
            </w:r>
          </w:p>
        </w:tc>
        <w:tc>
          <w:tcPr>
            <w:tcW w:w="709"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9.3%</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58</w:t>
            </w:r>
          </w:p>
        </w:tc>
        <w:tc>
          <w:tcPr>
            <w:tcW w:w="664"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3.7%</w:t>
            </w:r>
          </w:p>
        </w:tc>
      </w:tr>
      <w:tr w:rsidR="00B000C0" w:rsidRPr="00573DEB" w:rsidTr="00625608">
        <w:trPr>
          <w:trHeight w:val="284"/>
        </w:trPr>
        <w:tc>
          <w:tcPr>
            <w:tcW w:w="51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20</w:t>
            </w:r>
          </w:p>
        </w:tc>
        <w:tc>
          <w:tcPr>
            <w:tcW w:w="62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B000C0" w:rsidRPr="00573DEB" w:rsidRDefault="00B000C0" w:rsidP="004B4B73">
            <w:pPr>
              <w:rPr>
                <w:rFonts w:ascii="Arial Narrow" w:hAnsi="Arial Narrow"/>
              </w:rPr>
            </w:pPr>
            <w:r w:rsidRPr="00573DEB">
              <w:rPr>
                <w:rFonts w:ascii="Arial Narrow" w:hAnsi="Arial Narrow"/>
                <w:shd w:val="clear" w:color="auto" w:fill="FFFFFF"/>
              </w:rPr>
              <w:t>Manufacture of chemicals and chemical products</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35</w:t>
            </w:r>
          </w:p>
        </w:tc>
        <w:tc>
          <w:tcPr>
            <w:tcW w:w="709"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2.6%</w:t>
            </w:r>
          </w:p>
        </w:tc>
        <w:tc>
          <w:tcPr>
            <w:tcW w:w="708" w:type="dxa"/>
            <w:tcBorders>
              <w:top w:val="single" w:sz="4" w:space="0" w:color="auto"/>
              <w:left w:val="single" w:sz="4" w:space="0" w:color="auto"/>
              <w:bottom w:val="single" w:sz="4" w:space="0" w:color="auto"/>
              <w:right w:val="single" w:sz="4" w:space="0" w:color="auto"/>
            </w:tcBorders>
            <w:shd w:val="clear" w:color="auto" w:fill="E6B8B7"/>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38</w:t>
            </w:r>
          </w:p>
        </w:tc>
        <w:tc>
          <w:tcPr>
            <w:tcW w:w="664"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rsidR="00B000C0" w:rsidRPr="00573DEB" w:rsidRDefault="00B000C0" w:rsidP="00625608">
            <w:pPr>
              <w:jc w:val="center"/>
              <w:rPr>
                <w:rFonts w:ascii="Arial Narrow" w:hAnsi="Arial Narrow"/>
              </w:rPr>
            </w:pPr>
            <w:r w:rsidRPr="00573DEB">
              <w:rPr>
                <w:rFonts w:ascii="Arial Narrow" w:hAnsi="Arial Narrow"/>
              </w:rPr>
              <w:t>2.4%</w:t>
            </w:r>
          </w:p>
        </w:tc>
      </w:tr>
    </w:tbl>
    <w:p w:rsidR="00B000C0" w:rsidRPr="00093AA4" w:rsidRDefault="00B000C0" w:rsidP="009E7606">
      <w:pPr>
        <w:pStyle w:val="Captionnotes"/>
        <w:rPr>
          <w:i w:val="0"/>
        </w:rPr>
      </w:pPr>
      <w:r w:rsidRPr="00093AA4">
        <w:rPr>
          <w:i w:val="0"/>
        </w:rPr>
        <w:t>Source</w:t>
      </w:r>
      <w:r w:rsidRPr="00093AA4">
        <w:rPr>
          <w:b/>
          <w:bCs/>
          <w:i w:val="0"/>
          <w:noProof/>
        </w:rPr>
        <w:t xml:space="preserve">: </w:t>
      </w:r>
      <w:r w:rsidR="00093AA4">
        <w:rPr>
          <w:b/>
          <w:bCs/>
          <w:i w:val="0"/>
          <w:noProof/>
        </w:rPr>
        <w:t xml:space="preserve"> </w:t>
      </w:r>
      <w:r w:rsidRPr="00093AA4">
        <w:rPr>
          <w:i w:val="0"/>
          <w:noProof/>
        </w:rPr>
        <w:t>INPI’s Statistical database (BADEPI)</w:t>
      </w:r>
    </w:p>
    <w:p w:rsidR="00B000C0" w:rsidRPr="00573DEB" w:rsidRDefault="00B000C0" w:rsidP="004B4B73"/>
    <w:p w:rsidR="00143785" w:rsidRPr="00573DEB" w:rsidRDefault="00143785" w:rsidP="004B4B73"/>
    <w:p w:rsidR="00143785" w:rsidRPr="00573DEB" w:rsidRDefault="00143785" w:rsidP="004B4B73"/>
    <w:p w:rsidR="00B000C0" w:rsidRPr="00573DEB" w:rsidRDefault="00143785" w:rsidP="004B4B73">
      <w:pPr>
        <w:pStyle w:val="Heading2"/>
      </w:pPr>
      <w:bookmarkStart w:id="99" w:name="_Toc373369840"/>
      <w:bookmarkStart w:id="100" w:name="_Toc388619933"/>
      <w:r w:rsidRPr="00573DEB">
        <w:t>Industrial design r</w:t>
      </w:r>
      <w:r w:rsidR="00B000C0" w:rsidRPr="00573DEB">
        <w:t>egistration</w:t>
      </w:r>
      <w:bookmarkEnd w:id="99"/>
      <w:bookmarkEnd w:id="100"/>
      <w:r w:rsidRPr="00573DEB">
        <w:t>s</w:t>
      </w:r>
    </w:p>
    <w:p w:rsidR="00B000C0" w:rsidRPr="00573DEB" w:rsidRDefault="00B000C0" w:rsidP="004B4B73"/>
    <w:p w:rsidR="00B000C0" w:rsidRPr="00573DEB" w:rsidRDefault="00B000C0" w:rsidP="004B4B73">
      <w:r w:rsidRPr="00573DEB">
        <w:t>Figure 5.5 shows the number of industrial design registered at INPI-Brazil from 2000 to 2011</w:t>
      </w:r>
      <w:r w:rsidR="004B4B73" w:rsidRPr="00573DEB">
        <w:t xml:space="preserve">.  </w:t>
      </w:r>
      <w:r w:rsidRPr="00573DEB">
        <w:t>Similar to applications, the number of registrations issued each year shows a strong, but not continuous, growth over this period</w:t>
      </w:r>
      <w:r w:rsidR="004B4B73" w:rsidRPr="00573DEB">
        <w:t xml:space="preserve">.  </w:t>
      </w:r>
      <w:r w:rsidRPr="00573DEB">
        <w:t>The number of applications grew rapidly, from 2,815 in 2000 to 5,451 in 2003 (93.6), then had a sharp decline until 2007</w:t>
      </w:r>
      <w:r w:rsidR="004B4B73" w:rsidRPr="00573DEB">
        <w:t xml:space="preserve">.  </w:t>
      </w:r>
      <w:r w:rsidRPr="00573DEB">
        <w:t>Since then, it oscillated without recovering the number of registrations reached in 2003.</w:t>
      </w:r>
    </w:p>
    <w:p w:rsidR="00B000C0" w:rsidRPr="00573DEB" w:rsidRDefault="00B000C0" w:rsidP="004B4B73"/>
    <w:p w:rsidR="009E7606" w:rsidRPr="00573DEB" w:rsidRDefault="009E7606" w:rsidP="009E7606">
      <w:r w:rsidRPr="00573DEB">
        <w:t>The number of resident registrations increased from 1,934 in 2000 to 3,348 in 2011, while non-resident registrations increased from 840 in 2000 to 1,298 in 2011.  This means that, despite its largest increase in absolute terms, the share of residents in total registrations issued fluctuated slightly around 70% each year.</w:t>
      </w:r>
    </w:p>
    <w:p w:rsidR="00625608" w:rsidRPr="00573DEB" w:rsidRDefault="00625608">
      <w:pPr>
        <w:widowControl/>
        <w:spacing w:after="200" w:line="276" w:lineRule="auto"/>
      </w:pPr>
    </w:p>
    <w:p w:rsidR="009E7606" w:rsidRPr="00573DEB" w:rsidRDefault="009E7606" w:rsidP="004B4B73"/>
    <w:p w:rsidR="00B000C0" w:rsidRPr="00573DEB" w:rsidRDefault="000C6B94" w:rsidP="009E7606">
      <w:pPr>
        <w:pStyle w:val="Caption"/>
      </w:pPr>
      <w:bookmarkStart w:id="101" w:name="_Toc377053296"/>
      <w:bookmarkStart w:id="102" w:name="_Toc378267966"/>
      <w:r>
        <w:t xml:space="preserve">Figure 5.5:  </w:t>
      </w:r>
      <w:r w:rsidR="00B000C0" w:rsidRPr="00573DEB">
        <w:t>Industrial design registrations, 2000-2011</w:t>
      </w:r>
      <w:bookmarkEnd w:id="101"/>
      <w:bookmarkEnd w:id="102"/>
    </w:p>
    <w:p w:rsidR="00B000C0" w:rsidRPr="00573DEB" w:rsidRDefault="00B000C0" w:rsidP="004B4B73">
      <w:r w:rsidRPr="00573DEB">
        <w:rPr>
          <w:noProof/>
        </w:rPr>
        <w:drawing>
          <wp:inline distT="0" distB="0" distL="0" distR="0" wp14:anchorId="2F09E4EC" wp14:editId="299FF28D">
            <wp:extent cx="5574030" cy="2465070"/>
            <wp:effectExtent l="0" t="0" r="762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4030" cy="2465070"/>
                    </a:xfrm>
                    <a:prstGeom prst="rect">
                      <a:avLst/>
                    </a:prstGeom>
                    <a:noFill/>
                    <a:ln>
                      <a:noFill/>
                    </a:ln>
                  </pic:spPr>
                </pic:pic>
              </a:graphicData>
            </a:graphic>
          </wp:inline>
        </w:drawing>
      </w:r>
    </w:p>
    <w:p w:rsidR="00B000C0" w:rsidRPr="00093AA4" w:rsidRDefault="00B000C0" w:rsidP="009E7606">
      <w:pPr>
        <w:pStyle w:val="Captionnotes"/>
        <w:rPr>
          <w:i w:val="0"/>
        </w:rPr>
      </w:pPr>
      <w:r w:rsidRPr="00093AA4">
        <w:rPr>
          <w:i w:val="0"/>
        </w:rPr>
        <w:t>Source:</w:t>
      </w:r>
      <w:r w:rsidR="00093AA4">
        <w:rPr>
          <w:i w:val="0"/>
        </w:rPr>
        <w:t xml:space="preserve"> </w:t>
      </w:r>
      <w:r w:rsidRPr="00093AA4">
        <w:rPr>
          <w:i w:val="0"/>
        </w:rPr>
        <w:t xml:space="preserve"> INPI’s Statistical database (BADEPI)</w:t>
      </w:r>
    </w:p>
    <w:p w:rsidR="00B000C0" w:rsidRPr="00573DEB" w:rsidRDefault="00B000C0" w:rsidP="004B4B73"/>
    <w:p w:rsidR="009E7606" w:rsidRPr="00573DEB" w:rsidRDefault="009E7606" w:rsidP="004B4B73"/>
    <w:p w:rsidR="00B000C0" w:rsidRPr="00573DEB" w:rsidRDefault="00B000C0" w:rsidP="004B4B73"/>
    <w:p w:rsidR="00B000C0" w:rsidRPr="00573DEB" w:rsidRDefault="00093AA4" w:rsidP="004B4B73">
      <w:pPr>
        <w:pStyle w:val="Heading1"/>
      </w:pPr>
      <w:bookmarkStart w:id="103" w:name="_Toc388619934"/>
      <w:r>
        <w:t>6</w:t>
      </w:r>
      <w:r>
        <w:tab/>
      </w:r>
      <w:r w:rsidR="00B000C0" w:rsidRPr="00573DEB">
        <w:t>Trademarks</w:t>
      </w:r>
      <w:bookmarkStart w:id="104" w:name="_Toc367700183"/>
      <w:bookmarkStart w:id="105" w:name="_Toc373369842"/>
      <w:bookmarkEnd w:id="103"/>
    </w:p>
    <w:p w:rsidR="00B000C0" w:rsidRPr="00573DEB" w:rsidRDefault="00B000C0" w:rsidP="004B4B73"/>
    <w:p w:rsidR="00B000C0" w:rsidRPr="00573DEB" w:rsidRDefault="009E7606" w:rsidP="004B4B73">
      <w:pPr>
        <w:pStyle w:val="Heading2"/>
      </w:pPr>
      <w:bookmarkStart w:id="106" w:name="_Toc388619935"/>
      <w:r w:rsidRPr="00573DEB">
        <w:t>Trademark a</w:t>
      </w:r>
      <w:r w:rsidR="00B000C0" w:rsidRPr="00573DEB">
        <w:t>pplications</w:t>
      </w:r>
      <w:bookmarkEnd w:id="104"/>
      <w:bookmarkEnd w:id="105"/>
      <w:bookmarkEnd w:id="106"/>
    </w:p>
    <w:p w:rsidR="00B000C0" w:rsidRPr="00573DEB" w:rsidRDefault="00B000C0" w:rsidP="004B4B73"/>
    <w:p w:rsidR="00B000C0" w:rsidRPr="00573DEB" w:rsidRDefault="00B000C0" w:rsidP="004B4B73">
      <w:r w:rsidRPr="00573DEB">
        <w:t>In the last thirteen years, the demand for protection of trademarks in Brazil had a significant growth, expressed by an upward trend in the number of applications</w:t>
      </w:r>
      <w:r w:rsidR="004B4B73" w:rsidRPr="00573DEB">
        <w:t xml:space="preserve">.  </w:t>
      </w:r>
      <w:r w:rsidRPr="00573DEB">
        <w:t>Comparing the years 2000 and 2012, Figure 6.1 shows that trademark applications increased about 40%, suggesting a growing interest of firms and individuals in enjoying the protection granted by the registration of their trademarks against unauthorized third parties</w:t>
      </w:r>
      <w:r w:rsidR="004B4B73" w:rsidRPr="00573DEB">
        <w:t xml:space="preserve">.  </w:t>
      </w:r>
      <w:r w:rsidRPr="00573DEB">
        <w:t>Between 2000 and 2004, the number of trademark applications declined 13%, from 108,231 to 94,040</w:t>
      </w:r>
      <w:r w:rsidR="004B4B73" w:rsidRPr="00573DEB">
        <w:t xml:space="preserve">.  </w:t>
      </w:r>
      <w:r w:rsidRPr="00573DEB">
        <w:t>After that, the number of applications returned its growth, reaching 151,711 applications in 2012</w:t>
      </w:r>
      <w:r w:rsidR="004B4B73" w:rsidRPr="00573DEB">
        <w:t xml:space="preserve">.  </w:t>
      </w:r>
    </w:p>
    <w:p w:rsidR="00B000C0" w:rsidRPr="00573DEB" w:rsidRDefault="00B000C0" w:rsidP="009E7606"/>
    <w:p w:rsidR="00B000C0" w:rsidRPr="00573DEB" w:rsidRDefault="00B000C0" w:rsidP="009E7606"/>
    <w:p w:rsidR="00B000C0" w:rsidRPr="00573DEB" w:rsidRDefault="000C6B94" w:rsidP="009E7606">
      <w:pPr>
        <w:pStyle w:val="Caption"/>
      </w:pPr>
      <w:bookmarkStart w:id="107" w:name="_Toc378267967"/>
      <w:r>
        <w:t xml:space="preserve">Figure 6.1:  </w:t>
      </w:r>
      <w:r w:rsidR="00B000C0" w:rsidRPr="00573DEB">
        <w:t>Trademark applications, index (2000=100), 2000-2012</w:t>
      </w:r>
      <w:bookmarkEnd w:id="107"/>
    </w:p>
    <w:p w:rsidR="00B000C0" w:rsidRPr="00573DEB" w:rsidRDefault="00B000C0" w:rsidP="004B4B73">
      <w:r w:rsidRPr="00573DEB">
        <w:rPr>
          <w:noProof/>
        </w:rPr>
        <w:drawing>
          <wp:inline distT="0" distB="0" distL="0" distR="0" wp14:anchorId="7828C344" wp14:editId="4ED802CF">
            <wp:extent cx="5741035" cy="228981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7"/>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1035" cy="2289810"/>
                    </a:xfrm>
                    <a:prstGeom prst="rect">
                      <a:avLst/>
                    </a:prstGeom>
                    <a:noFill/>
                    <a:ln>
                      <a:noFill/>
                    </a:ln>
                  </pic:spPr>
                </pic:pic>
              </a:graphicData>
            </a:graphic>
          </wp:inline>
        </w:drawing>
      </w:r>
    </w:p>
    <w:p w:rsidR="00B000C0" w:rsidRPr="00093AA4" w:rsidRDefault="00B000C0" w:rsidP="009E7606">
      <w:pPr>
        <w:pStyle w:val="Captionnotes"/>
        <w:rPr>
          <w:i w:val="0"/>
          <w:noProof/>
        </w:rPr>
      </w:pPr>
      <w:r w:rsidRPr="00093AA4">
        <w:rPr>
          <w:i w:val="0"/>
        </w:rPr>
        <w:t>Source</w:t>
      </w:r>
      <w:r w:rsidRPr="00093AA4">
        <w:rPr>
          <w:i w:val="0"/>
          <w:noProof/>
        </w:rPr>
        <w:t xml:space="preserve">: </w:t>
      </w:r>
      <w:r w:rsidR="00093AA4">
        <w:rPr>
          <w:i w:val="0"/>
          <w:noProof/>
        </w:rPr>
        <w:t xml:space="preserve"> </w:t>
      </w:r>
      <w:r w:rsidRPr="00093AA4">
        <w:rPr>
          <w:i w:val="0"/>
          <w:noProof/>
        </w:rPr>
        <w:t>INPI’s Statistical database (BADEPI, April 2013)</w:t>
      </w:r>
    </w:p>
    <w:p w:rsidR="00B000C0" w:rsidRPr="00573DEB" w:rsidRDefault="00B000C0" w:rsidP="004B4B73">
      <w:bookmarkStart w:id="108" w:name="_Toc367700184"/>
    </w:p>
    <w:p w:rsidR="009E7606" w:rsidRPr="00573DEB" w:rsidRDefault="009E7606" w:rsidP="009E7606"/>
    <w:p w:rsidR="009E7606" w:rsidRPr="00573DEB" w:rsidRDefault="009E7606" w:rsidP="009E7606">
      <w:r w:rsidRPr="00573DEB">
        <w:t>This growth may be partially explained by the implementation of the "e-</w:t>
      </w:r>
      <w:proofErr w:type="spellStart"/>
      <w:r w:rsidRPr="00573DEB">
        <w:t>Marcas</w:t>
      </w:r>
      <w:proofErr w:type="spellEnd"/>
      <w:r w:rsidRPr="00573DEB">
        <w:t xml:space="preserve">" system in 2007, which offers the option of applying for a trademark through a fully on-line platform.  </w:t>
      </w:r>
    </w:p>
    <w:p w:rsidR="009E7606" w:rsidRPr="00573DEB" w:rsidRDefault="009E7606" w:rsidP="009E7606"/>
    <w:p w:rsidR="009E7606" w:rsidRPr="00573DEB" w:rsidRDefault="009E7606" w:rsidP="009E7606">
      <w:r w:rsidRPr="00573DEB">
        <w:t xml:space="preserve">Figure 6.1 shows the change in the curve of applications since 2007, when the number of trademark applications was over 100,000.  </w:t>
      </w:r>
    </w:p>
    <w:p w:rsidR="009E7606" w:rsidRPr="00573DEB" w:rsidRDefault="009E7606" w:rsidP="004B4B73"/>
    <w:p w:rsidR="00B000C0" w:rsidRPr="00573DEB" w:rsidRDefault="00B000C0" w:rsidP="004B4B73">
      <w:r w:rsidRPr="00573DEB">
        <w:t xml:space="preserve">Figure 6.1 also shows that the demand for trademark protection was cyclical between 2005 </w:t>
      </w:r>
      <w:r w:rsidR="009E7606" w:rsidRPr="00573DEB">
        <w:t xml:space="preserve">and </w:t>
      </w:r>
      <w:r w:rsidRPr="00573DEB">
        <w:t>2012, with peaks of growth in 2005 (5</w:t>
      </w:r>
      <w:r w:rsidR="009E7606" w:rsidRPr="00573DEB">
        <w:t>.</w:t>
      </w:r>
      <w:r w:rsidRPr="00573DEB">
        <w:t>6%), 2007 (8</w:t>
      </w:r>
      <w:r w:rsidR="009E7606" w:rsidRPr="00573DEB">
        <w:t>.</w:t>
      </w:r>
      <w:r w:rsidRPr="00573DEB">
        <w:t>7%), 2008 (17</w:t>
      </w:r>
      <w:r w:rsidR="009E7606" w:rsidRPr="00573DEB">
        <w:t>.</w:t>
      </w:r>
      <w:r w:rsidRPr="00573DEB">
        <w:t>0%) and 2011 (19</w:t>
      </w:r>
      <w:r w:rsidR="009E7606" w:rsidRPr="00573DEB">
        <w:t>.</w:t>
      </w:r>
      <w:r w:rsidRPr="00573DEB">
        <w:t>6%)</w:t>
      </w:r>
      <w:r w:rsidR="004B4B73" w:rsidRPr="00573DEB">
        <w:t xml:space="preserve">.  </w:t>
      </w:r>
      <w:r w:rsidRPr="00573DEB">
        <w:t>This behavior of the trademark applications' curve illustrates an intensification of the demand in the second half of the period</w:t>
      </w:r>
      <w:r w:rsidR="004B4B73" w:rsidRPr="00573DEB">
        <w:t xml:space="preserve">.  </w:t>
      </w:r>
    </w:p>
    <w:p w:rsidR="00B000C0" w:rsidRPr="00573DEB" w:rsidRDefault="00B000C0" w:rsidP="004B4B73"/>
    <w:p w:rsidR="009E7606" w:rsidRPr="00573DEB" w:rsidRDefault="009E7606" w:rsidP="004B4B73"/>
    <w:p w:rsidR="009E7606" w:rsidRPr="00573DEB" w:rsidRDefault="009E7606" w:rsidP="004B4B73"/>
    <w:p w:rsidR="00B000C0" w:rsidRPr="00573DEB" w:rsidRDefault="009E7606" w:rsidP="009E7606">
      <w:pPr>
        <w:pStyle w:val="Heading2"/>
      </w:pPr>
      <w:bookmarkStart w:id="109" w:name="_Toc373369843"/>
      <w:bookmarkStart w:id="110" w:name="_Toc388619936"/>
      <w:r w:rsidRPr="00573DEB">
        <w:t>Trademarks b</w:t>
      </w:r>
      <w:r w:rsidR="00B000C0" w:rsidRPr="00573DEB">
        <w:t>y nature</w:t>
      </w:r>
      <w:bookmarkEnd w:id="109"/>
      <w:bookmarkEnd w:id="110"/>
      <w:r w:rsidR="00B000C0" w:rsidRPr="00573DEB">
        <w:t xml:space="preserve"> </w:t>
      </w:r>
    </w:p>
    <w:p w:rsidR="00B000C0" w:rsidRPr="00573DEB" w:rsidRDefault="00B000C0" w:rsidP="004B4B73"/>
    <w:p w:rsidR="00B000C0" w:rsidRPr="00573DEB" w:rsidRDefault="00B000C0" w:rsidP="004B4B73">
      <w:r w:rsidRPr="00573DEB">
        <w:t>Trademark applications for goods and services accounted for almost all of the deposits</w:t>
      </w:r>
      <w:r w:rsidR="004B4B73" w:rsidRPr="00573DEB">
        <w:t xml:space="preserve">.  </w:t>
      </w:r>
      <w:r w:rsidRPr="00573DEB">
        <w:t>Collective and certification marks were not representative</w:t>
      </w:r>
      <w:r w:rsidR="004B4B73" w:rsidRPr="00573DEB">
        <w:t xml:space="preserve">.  </w:t>
      </w:r>
      <w:r w:rsidRPr="00573DEB">
        <w:t>Until 2003, trademarks for products represented the majority of the requests</w:t>
      </w:r>
      <w:r w:rsidR="004B4B73" w:rsidRPr="00573DEB">
        <w:t xml:space="preserve">.  </w:t>
      </w:r>
      <w:r w:rsidRPr="00573DEB">
        <w:t>Afterwards, the demand for services trademarks changed the pattern of application (see Figure 6.2), with services trademarks growing faster than trademarks for goods</w:t>
      </w:r>
      <w:r w:rsidR="004B4B73" w:rsidRPr="00573DEB">
        <w:t xml:space="preserve">.  </w:t>
      </w:r>
      <w:r w:rsidRPr="00573DEB">
        <w:t>In the period of 2000 to 2012, applications for services trademarks grew 62</w:t>
      </w:r>
      <w:proofErr w:type="gramStart"/>
      <w:r w:rsidRPr="00573DEB">
        <w:t>,2</w:t>
      </w:r>
      <w:proofErr w:type="gramEnd"/>
      <w:r w:rsidRPr="00573DEB">
        <w:t>%, while for products the growth was of 18,7%, .</w:t>
      </w:r>
    </w:p>
    <w:p w:rsidR="00B000C0" w:rsidRPr="00573DEB" w:rsidRDefault="00B000C0" w:rsidP="004B4B73"/>
    <w:p w:rsidR="00FA62CB" w:rsidRPr="00573DEB" w:rsidRDefault="00FA62CB" w:rsidP="004B4B73"/>
    <w:p w:rsidR="00B000C0" w:rsidRPr="00573DEB" w:rsidRDefault="000C6B94" w:rsidP="009E7606">
      <w:pPr>
        <w:pStyle w:val="Caption"/>
      </w:pPr>
      <w:bookmarkStart w:id="111" w:name="_Toc378267968"/>
      <w:r>
        <w:t xml:space="preserve">Figure 6.2:  </w:t>
      </w:r>
      <w:r w:rsidR="00B000C0" w:rsidRPr="00573DEB">
        <w:t>Trademark applications by nature, 2000-2012</w:t>
      </w:r>
      <w:bookmarkEnd w:id="111"/>
    </w:p>
    <w:p w:rsidR="00B000C0" w:rsidRPr="00573DEB" w:rsidRDefault="00B000C0" w:rsidP="004B4B73">
      <w:r w:rsidRPr="00573DEB">
        <w:rPr>
          <w:noProof/>
        </w:rPr>
        <w:drawing>
          <wp:inline distT="0" distB="0" distL="0" distR="0" wp14:anchorId="4FF0A9D2" wp14:editId="5EAFC956">
            <wp:extent cx="5741035" cy="2751455"/>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6"/>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1035" cy="2751455"/>
                    </a:xfrm>
                    <a:prstGeom prst="rect">
                      <a:avLst/>
                    </a:prstGeom>
                    <a:noFill/>
                    <a:ln>
                      <a:noFill/>
                    </a:ln>
                  </pic:spPr>
                </pic:pic>
              </a:graphicData>
            </a:graphic>
          </wp:inline>
        </w:drawing>
      </w:r>
    </w:p>
    <w:p w:rsidR="00B000C0" w:rsidRPr="00093AA4" w:rsidRDefault="00B000C0" w:rsidP="009E7606">
      <w:pPr>
        <w:pStyle w:val="Captionnotes"/>
        <w:rPr>
          <w:i w:val="0"/>
          <w:noProof/>
        </w:rPr>
      </w:pPr>
      <w:r w:rsidRPr="00093AA4">
        <w:rPr>
          <w:i w:val="0"/>
          <w:noProof/>
        </w:rPr>
        <w:t xml:space="preserve">Source: </w:t>
      </w:r>
      <w:r w:rsidR="00093AA4">
        <w:rPr>
          <w:i w:val="0"/>
          <w:noProof/>
        </w:rPr>
        <w:t xml:space="preserve"> </w:t>
      </w:r>
      <w:r w:rsidRPr="00093AA4">
        <w:rPr>
          <w:i w:val="0"/>
          <w:noProof/>
        </w:rPr>
        <w:t>INPI’s Statistical database (BADEPI, April 2013)</w:t>
      </w:r>
    </w:p>
    <w:p w:rsidR="00B000C0" w:rsidRPr="00573DEB" w:rsidRDefault="00B000C0" w:rsidP="004B4B73"/>
    <w:p w:rsidR="00B000C0" w:rsidRPr="00573DEB" w:rsidRDefault="00B000C0" w:rsidP="004B4B73"/>
    <w:p w:rsidR="009E7606" w:rsidRPr="00573DEB" w:rsidRDefault="009E7606" w:rsidP="004B4B73"/>
    <w:p w:rsidR="00B000C0" w:rsidRPr="00573DEB" w:rsidRDefault="009E7606" w:rsidP="009E7606">
      <w:pPr>
        <w:pStyle w:val="Heading2"/>
      </w:pPr>
      <w:bookmarkStart w:id="112" w:name="_Toc373369844"/>
      <w:bookmarkStart w:id="113" w:name="_Toc388619937"/>
      <w:r w:rsidRPr="00573DEB">
        <w:t>Trademarks b</w:t>
      </w:r>
      <w:r w:rsidR="00B000C0" w:rsidRPr="00573DEB">
        <w:t xml:space="preserve">y </w:t>
      </w:r>
      <w:bookmarkEnd w:id="112"/>
      <w:bookmarkEnd w:id="113"/>
      <w:r w:rsidR="00B000C0" w:rsidRPr="00573DEB">
        <w:t xml:space="preserve">type </w:t>
      </w:r>
    </w:p>
    <w:p w:rsidR="00B000C0" w:rsidRPr="00573DEB" w:rsidRDefault="00B000C0" w:rsidP="004B4B73"/>
    <w:p w:rsidR="00B000C0" w:rsidRPr="00573DEB" w:rsidRDefault="00B000C0" w:rsidP="004B4B73">
      <w:r w:rsidRPr="00573DEB">
        <w:t>Concerning the type, most of the applications filled consisted of mixed trademarks, that is, signals composed of both word and figurative elements, as illustrated by Figure 6.3</w:t>
      </w:r>
      <w:r w:rsidR="004B4B73" w:rsidRPr="00573DEB">
        <w:t xml:space="preserve">.  </w:t>
      </w:r>
      <w:r w:rsidRPr="00573DEB">
        <w:t>Their relative share increased from 51%, in 2000, to 63%, in 2012</w:t>
      </w:r>
      <w:r w:rsidR="004B4B73" w:rsidRPr="00573DEB">
        <w:t xml:space="preserve">.  </w:t>
      </w:r>
      <w:r w:rsidRPr="00573DEB">
        <w:t>Nominative marks also occupy an important position, despite the decline of their participation: from 46%, in 2000, to 34%, in 2012</w:t>
      </w:r>
      <w:r w:rsidR="004B4B73" w:rsidRPr="00573DEB">
        <w:t xml:space="preserve">.  </w:t>
      </w:r>
      <w:r w:rsidRPr="00573DEB">
        <w:t>The share of other types</w:t>
      </w:r>
      <w:r w:rsidR="00593280">
        <w:t xml:space="preserve"> – </w:t>
      </w:r>
      <w:r w:rsidRPr="00573DEB">
        <w:t>figurative</w:t>
      </w:r>
      <w:r w:rsidR="00593280">
        <w:t xml:space="preserve"> </w:t>
      </w:r>
      <w:r w:rsidRPr="00573DEB">
        <w:t>and three-dimensional trademarks</w:t>
      </w:r>
      <w:r w:rsidR="00593280">
        <w:t xml:space="preserve"> – is</w:t>
      </w:r>
      <w:r w:rsidRPr="00573DEB">
        <w:t xml:space="preserve"> not representative, accounting for less than 5% of applications</w:t>
      </w:r>
      <w:r w:rsidR="004B4B73" w:rsidRPr="00573DEB">
        <w:t xml:space="preserve">.  </w:t>
      </w:r>
    </w:p>
    <w:p w:rsidR="00B000C0" w:rsidRPr="00573DEB" w:rsidRDefault="00B000C0" w:rsidP="004B4B73"/>
    <w:p w:rsidR="00B000C0" w:rsidRPr="00573DEB" w:rsidRDefault="00B000C0" w:rsidP="004B4B73"/>
    <w:p w:rsidR="00B000C0" w:rsidRPr="00573DEB" w:rsidRDefault="000C6B94" w:rsidP="009E7606">
      <w:pPr>
        <w:pStyle w:val="Caption"/>
      </w:pPr>
      <w:bookmarkStart w:id="114" w:name="_Toc378267969"/>
      <w:r>
        <w:t xml:space="preserve">Figure 6.3:  </w:t>
      </w:r>
      <w:r w:rsidR="00B000C0" w:rsidRPr="00573DEB">
        <w:t>Trademark applications by type, 2000-2012</w:t>
      </w:r>
      <w:bookmarkEnd w:id="114"/>
    </w:p>
    <w:p w:rsidR="00B000C0" w:rsidRPr="00573DEB" w:rsidRDefault="00B000C0" w:rsidP="004B4B73">
      <w:r w:rsidRPr="00573DEB">
        <w:rPr>
          <w:noProof/>
        </w:rPr>
        <w:drawing>
          <wp:inline distT="0" distB="0" distL="0" distR="0" wp14:anchorId="18CBBF3D" wp14:editId="5B743637">
            <wp:extent cx="5741035" cy="2361565"/>
            <wp:effectExtent l="0" t="0" r="0" b="635"/>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1035" cy="2361565"/>
                    </a:xfrm>
                    <a:prstGeom prst="rect">
                      <a:avLst/>
                    </a:prstGeom>
                    <a:noFill/>
                    <a:ln>
                      <a:noFill/>
                    </a:ln>
                  </pic:spPr>
                </pic:pic>
              </a:graphicData>
            </a:graphic>
          </wp:inline>
        </w:drawing>
      </w:r>
    </w:p>
    <w:p w:rsidR="00B000C0" w:rsidRPr="00093AA4" w:rsidRDefault="00B000C0" w:rsidP="009E7606">
      <w:pPr>
        <w:pStyle w:val="Captionnotes"/>
        <w:rPr>
          <w:i w:val="0"/>
        </w:rPr>
      </w:pPr>
      <w:r w:rsidRPr="00093AA4">
        <w:rPr>
          <w:i w:val="0"/>
        </w:rPr>
        <w:t xml:space="preserve">Source: </w:t>
      </w:r>
      <w:r w:rsidR="00093AA4">
        <w:rPr>
          <w:i w:val="0"/>
        </w:rPr>
        <w:t xml:space="preserve"> </w:t>
      </w:r>
      <w:r w:rsidRPr="00093AA4">
        <w:rPr>
          <w:i w:val="0"/>
        </w:rPr>
        <w:t>INPI’s Statistical database (BADEPI, April 2013)</w:t>
      </w:r>
    </w:p>
    <w:p w:rsidR="00B000C0" w:rsidRPr="00573DEB" w:rsidRDefault="00B000C0" w:rsidP="004B4B73"/>
    <w:p w:rsidR="00B000C0" w:rsidRPr="00573DEB" w:rsidRDefault="00B000C0" w:rsidP="004B4B73"/>
    <w:p w:rsidR="00093AA4" w:rsidRDefault="00093AA4">
      <w:pPr>
        <w:widowControl/>
        <w:spacing w:after="200" w:line="276" w:lineRule="auto"/>
      </w:pPr>
      <w:r>
        <w:br w:type="page"/>
      </w:r>
    </w:p>
    <w:p w:rsidR="00B000C0" w:rsidRPr="00573DEB" w:rsidRDefault="009E7606" w:rsidP="009E7606">
      <w:pPr>
        <w:pStyle w:val="Heading2"/>
      </w:pPr>
      <w:bookmarkStart w:id="115" w:name="_Toc373369845"/>
      <w:bookmarkStart w:id="116" w:name="_Toc388619938"/>
      <w:bookmarkEnd w:id="108"/>
      <w:r w:rsidRPr="00573DEB">
        <w:t>Trademarks b</w:t>
      </w:r>
      <w:r w:rsidR="00B000C0" w:rsidRPr="00573DEB">
        <w:t>y origin</w:t>
      </w:r>
      <w:bookmarkEnd w:id="115"/>
      <w:bookmarkEnd w:id="116"/>
    </w:p>
    <w:p w:rsidR="00B000C0" w:rsidRPr="00573DEB" w:rsidRDefault="00B000C0" w:rsidP="004B4B73"/>
    <w:p w:rsidR="00B000C0" w:rsidRPr="00573DEB" w:rsidRDefault="00B000C0" w:rsidP="004B4B73">
      <w:r w:rsidRPr="00573DEB">
        <w:t>Throughout the period, most applications were from residents (83%), as illustrated by Figure 6.4</w:t>
      </w:r>
      <w:r w:rsidR="004B4B73" w:rsidRPr="00573DEB">
        <w:t xml:space="preserve">.  </w:t>
      </w:r>
      <w:r w:rsidRPr="00573DEB">
        <w:t>The participation of non-residents declined between 2000 (20%) and 2004 (15%), increased again in 2005 and following since then an upward trajectory</w:t>
      </w:r>
      <w:r w:rsidR="004B4B73" w:rsidRPr="00573DEB">
        <w:t xml:space="preserve">.  </w:t>
      </w:r>
      <w:r w:rsidRPr="00573DEB">
        <w:t>Their share of total applications therefore grew, reaching 21% in 2012, surpassing the level of 2000, with an increase also in the number of applications in absolute terms.</w:t>
      </w:r>
    </w:p>
    <w:p w:rsidR="00B000C0" w:rsidRPr="00573DEB" w:rsidRDefault="00B000C0" w:rsidP="004B4B73"/>
    <w:p w:rsidR="009E7606" w:rsidRPr="00573DEB" w:rsidRDefault="009E7606" w:rsidP="004B4B73"/>
    <w:p w:rsidR="00B000C0" w:rsidRPr="00573DEB" w:rsidRDefault="000C6B94" w:rsidP="009E7606">
      <w:pPr>
        <w:pStyle w:val="Caption"/>
      </w:pPr>
      <w:bookmarkStart w:id="117" w:name="_Toc378267970"/>
      <w:r>
        <w:t xml:space="preserve">Figure 6.4:  </w:t>
      </w:r>
      <w:r w:rsidR="00B000C0" w:rsidRPr="00573DEB">
        <w:t>Trademark applications by origin, 2000-2012</w:t>
      </w:r>
      <w:bookmarkEnd w:id="117"/>
    </w:p>
    <w:p w:rsidR="00B000C0" w:rsidRPr="00573DEB" w:rsidRDefault="00B000C0" w:rsidP="004B4B73">
      <w:r w:rsidRPr="00573DEB">
        <w:rPr>
          <w:noProof/>
        </w:rPr>
        <w:drawing>
          <wp:inline distT="0" distB="0" distL="0" distR="0" wp14:anchorId="1450B885" wp14:editId="77C3864D">
            <wp:extent cx="5732780" cy="2313940"/>
            <wp:effectExtent l="0" t="0" r="127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45">
                      <a:extLst>
                        <a:ext uri="{28A0092B-C50C-407E-A947-70E740481C1C}">
                          <a14:useLocalDpi xmlns:a14="http://schemas.microsoft.com/office/drawing/2010/main" val="0"/>
                        </a:ext>
                      </a:extLst>
                    </a:blip>
                    <a:srcRect b="-27"/>
                    <a:stretch>
                      <a:fillRect/>
                    </a:stretch>
                  </pic:blipFill>
                  <pic:spPr bwMode="auto">
                    <a:xfrm>
                      <a:off x="0" y="0"/>
                      <a:ext cx="5732780" cy="2313940"/>
                    </a:xfrm>
                    <a:prstGeom prst="rect">
                      <a:avLst/>
                    </a:prstGeom>
                    <a:noFill/>
                    <a:ln>
                      <a:noFill/>
                    </a:ln>
                  </pic:spPr>
                </pic:pic>
              </a:graphicData>
            </a:graphic>
          </wp:inline>
        </w:drawing>
      </w:r>
    </w:p>
    <w:p w:rsidR="00B000C0" w:rsidRPr="00093AA4" w:rsidRDefault="00B000C0" w:rsidP="009E7606">
      <w:pPr>
        <w:pStyle w:val="Captionnotes"/>
        <w:rPr>
          <w:b/>
          <w:bCs/>
          <w:i w:val="0"/>
          <w:noProof/>
        </w:rPr>
      </w:pPr>
      <w:r w:rsidRPr="00093AA4">
        <w:rPr>
          <w:i w:val="0"/>
          <w:noProof/>
        </w:rPr>
        <w:t>Source:</w:t>
      </w:r>
      <w:r w:rsidR="00093AA4">
        <w:rPr>
          <w:i w:val="0"/>
          <w:noProof/>
        </w:rPr>
        <w:t xml:space="preserve"> </w:t>
      </w:r>
      <w:r w:rsidRPr="00093AA4">
        <w:rPr>
          <w:i w:val="0"/>
          <w:noProof/>
        </w:rPr>
        <w:t xml:space="preserve"> INPI’s Statistical database (BADEPI, April 2013</w:t>
      </w:r>
      <w:r w:rsidRPr="00093AA4">
        <w:rPr>
          <w:b/>
          <w:bCs/>
          <w:i w:val="0"/>
          <w:noProof/>
        </w:rPr>
        <w:t>)</w:t>
      </w:r>
    </w:p>
    <w:p w:rsidR="00B000C0" w:rsidRPr="00573DEB" w:rsidRDefault="00B000C0" w:rsidP="004B4B73"/>
    <w:p w:rsidR="00B000C0" w:rsidRPr="00573DEB" w:rsidRDefault="00B000C0" w:rsidP="004B4B73"/>
    <w:p w:rsidR="00B000C0" w:rsidRPr="00573DEB" w:rsidRDefault="000C6B94" w:rsidP="0059212E">
      <w:pPr>
        <w:pStyle w:val="Caption"/>
      </w:pPr>
      <w:bookmarkStart w:id="118" w:name="_Toc378268001"/>
      <w:r>
        <w:t xml:space="preserve">Table 6.1:  </w:t>
      </w:r>
      <w:r w:rsidR="00B000C0" w:rsidRPr="00573DEB">
        <w:t>Trademark applications by resident companies, micro and small-companies' share, 2000-2012</w:t>
      </w:r>
      <w:bookmarkEnd w:id="118"/>
    </w:p>
    <w:tbl>
      <w:tblPr>
        <w:tblW w:w="8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303"/>
        <w:gridCol w:w="1276"/>
        <w:gridCol w:w="1134"/>
        <w:gridCol w:w="1320"/>
        <w:gridCol w:w="953"/>
        <w:gridCol w:w="1201"/>
        <w:gridCol w:w="1608"/>
      </w:tblGrid>
      <w:tr w:rsidR="00B000C0" w:rsidRPr="00573DEB" w:rsidTr="0059212E">
        <w:trPr>
          <w:trHeight w:val="231"/>
        </w:trPr>
        <w:tc>
          <w:tcPr>
            <w:tcW w:w="1303" w:type="dxa"/>
            <w:vMerge w:val="restart"/>
            <w:tcBorders>
              <w:top w:val="single" w:sz="4" w:space="0" w:color="auto"/>
              <w:left w:val="nil"/>
              <w:bottom w:val="nil"/>
              <w:right w:val="nil"/>
            </w:tcBorders>
            <w:shd w:val="clear" w:color="auto" w:fill="D9D9D9"/>
            <w:noWrap/>
            <w:vAlign w:val="center"/>
          </w:tcPr>
          <w:p w:rsidR="00B000C0" w:rsidRPr="00573DEB" w:rsidRDefault="00B000C0" w:rsidP="004B4B73">
            <w:r w:rsidRPr="00573DEB">
              <w:t>Year</w:t>
            </w:r>
          </w:p>
        </w:tc>
        <w:tc>
          <w:tcPr>
            <w:tcW w:w="5884" w:type="dxa"/>
            <w:gridSpan w:val="5"/>
            <w:tcBorders>
              <w:top w:val="single" w:sz="4" w:space="0" w:color="auto"/>
              <w:left w:val="nil"/>
              <w:bottom w:val="nil"/>
              <w:right w:val="nil"/>
            </w:tcBorders>
            <w:shd w:val="clear" w:color="auto" w:fill="D9D9D9"/>
            <w:noWrap/>
            <w:vAlign w:val="center"/>
          </w:tcPr>
          <w:p w:rsidR="00B000C0" w:rsidRPr="00573DEB" w:rsidRDefault="00B000C0" w:rsidP="004B4B73">
            <w:r w:rsidRPr="00573DEB">
              <w:t>Size of the companies</w:t>
            </w:r>
          </w:p>
        </w:tc>
        <w:tc>
          <w:tcPr>
            <w:tcW w:w="1608" w:type="dxa"/>
            <w:tcBorders>
              <w:top w:val="single" w:sz="4" w:space="0" w:color="auto"/>
              <w:left w:val="nil"/>
              <w:bottom w:val="nil"/>
              <w:right w:val="nil"/>
            </w:tcBorders>
            <w:shd w:val="clear" w:color="auto" w:fill="D9D9D9"/>
          </w:tcPr>
          <w:p w:rsidR="00B000C0" w:rsidRPr="00573DEB" w:rsidRDefault="00B000C0" w:rsidP="004B4B73"/>
        </w:tc>
      </w:tr>
      <w:tr w:rsidR="00B000C0" w:rsidRPr="00573DEB" w:rsidTr="0059212E">
        <w:trPr>
          <w:trHeight w:val="231"/>
        </w:trPr>
        <w:tc>
          <w:tcPr>
            <w:tcW w:w="1303" w:type="dxa"/>
            <w:vMerge/>
            <w:tcBorders>
              <w:top w:val="nil"/>
              <w:left w:val="nil"/>
              <w:bottom w:val="single" w:sz="4" w:space="0" w:color="auto"/>
              <w:right w:val="nil"/>
            </w:tcBorders>
            <w:shd w:val="clear" w:color="auto" w:fill="D9D9D9"/>
            <w:vAlign w:val="center"/>
          </w:tcPr>
          <w:p w:rsidR="00B000C0" w:rsidRPr="00573DEB" w:rsidRDefault="00B000C0" w:rsidP="004B4B73"/>
        </w:tc>
        <w:tc>
          <w:tcPr>
            <w:tcW w:w="1276" w:type="dxa"/>
            <w:tcBorders>
              <w:top w:val="nil"/>
              <w:left w:val="nil"/>
              <w:bottom w:val="single" w:sz="4" w:space="0" w:color="auto"/>
              <w:right w:val="nil"/>
            </w:tcBorders>
            <w:shd w:val="clear" w:color="auto" w:fill="D9D9D9"/>
            <w:noWrap/>
            <w:vAlign w:val="center"/>
          </w:tcPr>
          <w:p w:rsidR="00B000C0" w:rsidRPr="00573DEB" w:rsidRDefault="00B000C0" w:rsidP="004B4B73">
            <w:r w:rsidRPr="00573DEB">
              <w:t>Micro</w:t>
            </w:r>
          </w:p>
        </w:tc>
        <w:tc>
          <w:tcPr>
            <w:tcW w:w="1134" w:type="dxa"/>
            <w:tcBorders>
              <w:top w:val="nil"/>
              <w:left w:val="nil"/>
              <w:bottom w:val="single" w:sz="4" w:space="0" w:color="auto"/>
              <w:right w:val="nil"/>
            </w:tcBorders>
            <w:shd w:val="clear" w:color="auto" w:fill="D9D9D9"/>
            <w:noWrap/>
            <w:vAlign w:val="center"/>
          </w:tcPr>
          <w:p w:rsidR="00B000C0" w:rsidRPr="00573DEB" w:rsidRDefault="00B000C0" w:rsidP="004B4B73">
            <w:r w:rsidRPr="00573DEB">
              <w:t>Small</w:t>
            </w:r>
          </w:p>
        </w:tc>
        <w:tc>
          <w:tcPr>
            <w:tcW w:w="1320" w:type="dxa"/>
            <w:tcBorders>
              <w:top w:val="nil"/>
              <w:left w:val="nil"/>
              <w:bottom w:val="single" w:sz="4" w:space="0" w:color="auto"/>
              <w:right w:val="nil"/>
            </w:tcBorders>
            <w:shd w:val="clear" w:color="auto" w:fill="D9D9D9"/>
            <w:noWrap/>
            <w:vAlign w:val="center"/>
          </w:tcPr>
          <w:p w:rsidR="00B000C0" w:rsidRPr="00573DEB" w:rsidRDefault="00B000C0" w:rsidP="004B4B73">
            <w:r w:rsidRPr="00573DEB">
              <w:t>Other classification</w:t>
            </w:r>
          </w:p>
        </w:tc>
        <w:tc>
          <w:tcPr>
            <w:tcW w:w="953" w:type="dxa"/>
            <w:tcBorders>
              <w:top w:val="nil"/>
              <w:left w:val="nil"/>
              <w:bottom w:val="single" w:sz="4" w:space="0" w:color="auto"/>
              <w:right w:val="nil"/>
            </w:tcBorders>
            <w:shd w:val="clear" w:color="auto" w:fill="D9D9D9"/>
            <w:noWrap/>
            <w:vAlign w:val="center"/>
          </w:tcPr>
          <w:p w:rsidR="00B000C0" w:rsidRPr="00573DEB" w:rsidRDefault="00B000C0" w:rsidP="004B4B73">
            <w:r w:rsidRPr="00573DEB">
              <w:t xml:space="preserve">Not classified </w:t>
            </w:r>
          </w:p>
        </w:tc>
        <w:tc>
          <w:tcPr>
            <w:tcW w:w="1201" w:type="dxa"/>
            <w:tcBorders>
              <w:top w:val="nil"/>
              <w:left w:val="nil"/>
              <w:bottom w:val="single" w:sz="4" w:space="0" w:color="auto"/>
              <w:right w:val="nil"/>
            </w:tcBorders>
            <w:shd w:val="clear" w:color="auto" w:fill="D9D9D9"/>
          </w:tcPr>
          <w:p w:rsidR="00B000C0" w:rsidRPr="00573DEB" w:rsidRDefault="00B000C0" w:rsidP="004B4B73">
            <w:r w:rsidRPr="00573DEB">
              <w:t>Total</w:t>
            </w:r>
          </w:p>
        </w:tc>
        <w:tc>
          <w:tcPr>
            <w:tcW w:w="1608" w:type="dxa"/>
            <w:tcBorders>
              <w:top w:val="nil"/>
              <w:left w:val="nil"/>
              <w:bottom w:val="single" w:sz="4" w:space="0" w:color="auto"/>
              <w:right w:val="nil"/>
            </w:tcBorders>
            <w:shd w:val="clear" w:color="auto" w:fill="D9D9D9"/>
          </w:tcPr>
          <w:p w:rsidR="00B000C0" w:rsidRPr="00573DEB" w:rsidRDefault="00B000C0" w:rsidP="004B4B73">
            <w:r w:rsidRPr="00573DEB">
              <w:t>Part</w:t>
            </w:r>
            <w:r w:rsidR="004B4B73" w:rsidRPr="00573DEB">
              <w:t xml:space="preserve">.  </w:t>
            </w:r>
            <w:r w:rsidRPr="00573DEB">
              <w:t xml:space="preserve">micro and small </w:t>
            </w:r>
          </w:p>
        </w:tc>
      </w:tr>
      <w:tr w:rsidR="00B000C0" w:rsidRPr="00573DEB" w:rsidTr="0059212E">
        <w:trPr>
          <w:trHeight w:val="309"/>
        </w:trPr>
        <w:tc>
          <w:tcPr>
            <w:tcW w:w="1303" w:type="dxa"/>
            <w:tcBorders>
              <w:top w:val="single" w:sz="4" w:space="0" w:color="auto"/>
              <w:left w:val="nil"/>
              <w:bottom w:val="nil"/>
              <w:right w:val="nil"/>
            </w:tcBorders>
            <w:vAlign w:val="center"/>
          </w:tcPr>
          <w:p w:rsidR="00B000C0" w:rsidRPr="00573DEB" w:rsidRDefault="00B000C0" w:rsidP="004B4B73">
            <w:r w:rsidRPr="00573DEB">
              <w:t>2000</w:t>
            </w:r>
          </w:p>
        </w:tc>
        <w:tc>
          <w:tcPr>
            <w:tcW w:w="1276" w:type="dxa"/>
            <w:tcBorders>
              <w:top w:val="single" w:sz="4" w:space="0" w:color="auto"/>
              <w:left w:val="nil"/>
              <w:bottom w:val="nil"/>
              <w:right w:val="nil"/>
            </w:tcBorders>
            <w:noWrap/>
            <w:vAlign w:val="center"/>
          </w:tcPr>
          <w:p w:rsidR="00B000C0" w:rsidRPr="00573DEB" w:rsidRDefault="00B000C0" w:rsidP="004B4B73">
            <w:r w:rsidRPr="00573DEB">
              <w:t>16,244</w:t>
            </w:r>
          </w:p>
        </w:tc>
        <w:tc>
          <w:tcPr>
            <w:tcW w:w="1134" w:type="dxa"/>
            <w:tcBorders>
              <w:top w:val="single" w:sz="4" w:space="0" w:color="auto"/>
              <w:left w:val="nil"/>
              <w:bottom w:val="nil"/>
              <w:right w:val="nil"/>
            </w:tcBorders>
            <w:noWrap/>
            <w:vAlign w:val="center"/>
          </w:tcPr>
          <w:p w:rsidR="00B000C0" w:rsidRPr="00573DEB" w:rsidRDefault="00B000C0" w:rsidP="004B4B73">
            <w:r w:rsidRPr="00573DEB">
              <w:t>10,881</w:t>
            </w:r>
          </w:p>
        </w:tc>
        <w:tc>
          <w:tcPr>
            <w:tcW w:w="1320" w:type="dxa"/>
            <w:tcBorders>
              <w:top w:val="single" w:sz="4" w:space="0" w:color="auto"/>
              <w:left w:val="nil"/>
              <w:bottom w:val="nil"/>
              <w:right w:val="nil"/>
            </w:tcBorders>
            <w:noWrap/>
            <w:vAlign w:val="center"/>
          </w:tcPr>
          <w:p w:rsidR="00B000C0" w:rsidRPr="00573DEB" w:rsidRDefault="00B000C0" w:rsidP="004B4B73">
            <w:r w:rsidRPr="00573DEB">
              <w:t>47,186</w:t>
            </w:r>
          </w:p>
        </w:tc>
        <w:tc>
          <w:tcPr>
            <w:tcW w:w="953" w:type="dxa"/>
            <w:tcBorders>
              <w:top w:val="single" w:sz="4" w:space="0" w:color="auto"/>
              <w:left w:val="nil"/>
              <w:bottom w:val="nil"/>
              <w:right w:val="nil"/>
            </w:tcBorders>
            <w:noWrap/>
            <w:vAlign w:val="center"/>
          </w:tcPr>
          <w:p w:rsidR="00B000C0" w:rsidRPr="00573DEB" w:rsidRDefault="00B000C0" w:rsidP="004B4B73">
            <w:r w:rsidRPr="00573DEB">
              <w:t>8,519</w:t>
            </w:r>
          </w:p>
        </w:tc>
        <w:tc>
          <w:tcPr>
            <w:tcW w:w="1201" w:type="dxa"/>
            <w:tcBorders>
              <w:top w:val="single" w:sz="4" w:space="0" w:color="auto"/>
              <w:left w:val="nil"/>
              <w:bottom w:val="nil"/>
              <w:right w:val="nil"/>
            </w:tcBorders>
            <w:vAlign w:val="center"/>
          </w:tcPr>
          <w:p w:rsidR="00B000C0" w:rsidRPr="00573DEB" w:rsidRDefault="00B000C0" w:rsidP="004B4B73">
            <w:r w:rsidRPr="00573DEB">
              <w:t>82,830</w:t>
            </w:r>
          </w:p>
        </w:tc>
        <w:tc>
          <w:tcPr>
            <w:tcW w:w="1608" w:type="dxa"/>
            <w:tcBorders>
              <w:top w:val="single" w:sz="4" w:space="0" w:color="auto"/>
              <w:left w:val="nil"/>
              <w:bottom w:val="nil"/>
              <w:right w:val="nil"/>
            </w:tcBorders>
            <w:vAlign w:val="center"/>
          </w:tcPr>
          <w:p w:rsidR="00B000C0" w:rsidRPr="00573DEB" w:rsidRDefault="00B000C0" w:rsidP="004B4B73">
            <w:r w:rsidRPr="00573DEB">
              <w:t>32,75%</w:t>
            </w:r>
          </w:p>
        </w:tc>
      </w:tr>
      <w:tr w:rsidR="00B000C0" w:rsidRPr="00573DEB" w:rsidTr="0059212E">
        <w:trPr>
          <w:trHeight w:val="391"/>
        </w:trPr>
        <w:tc>
          <w:tcPr>
            <w:tcW w:w="1303" w:type="dxa"/>
            <w:tcBorders>
              <w:top w:val="nil"/>
              <w:left w:val="nil"/>
              <w:bottom w:val="nil"/>
              <w:right w:val="nil"/>
            </w:tcBorders>
            <w:vAlign w:val="center"/>
          </w:tcPr>
          <w:p w:rsidR="00B000C0" w:rsidRPr="00573DEB" w:rsidRDefault="00B000C0" w:rsidP="004B4B73">
            <w:r w:rsidRPr="00573DEB">
              <w:t>2001</w:t>
            </w:r>
          </w:p>
        </w:tc>
        <w:tc>
          <w:tcPr>
            <w:tcW w:w="1276" w:type="dxa"/>
            <w:tcBorders>
              <w:top w:val="nil"/>
              <w:left w:val="nil"/>
              <w:bottom w:val="nil"/>
              <w:right w:val="nil"/>
            </w:tcBorders>
            <w:noWrap/>
            <w:vAlign w:val="center"/>
          </w:tcPr>
          <w:p w:rsidR="00B000C0" w:rsidRPr="00573DEB" w:rsidRDefault="00B000C0" w:rsidP="004B4B73">
            <w:r w:rsidRPr="00573DEB">
              <w:t>17,077</w:t>
            </w:r>
          </w:p>
        </w:tc>
        <w:tc>
          <w:tcPr>
            <w:tcW w:w="1134" w:type="dxa"/>
            <w:tcBorders>
              <w:top w:val="nil"/>
              <w:left w:val="nil"/>
              <w:bottom w:val="nil"/>
              <w:right w:val="nil"/>
            </w:tcBorders>
            <w:noWrap/>
            <w:vAlign w:val="center"/>
          </w:tcPr>
          <w:p w:rsidR="00B000C0" w:rsidRPr="00573DEB" w:rsidRDefault="00B000C0" w:rsidP="004B4B73">
            <w:r w:rsidRPr="00573DEB">
              <w:t>11,308</w:t>
            </w:r>
          </w:p>
        </w:tc>
        <w:tc>
          <w:tcPr>
            <w:tcW w:w="1320" w:type="dxa"/>
            <w:tcBorders>
              <w:top w:val="nil"/>
              <w:left w:val="nil"/>
              <w:bottom w:val="nil"/>
              <w:right w:val="nil"/>
            </w:tcBorders>
            <w:noWrap/>
            <w:vAlign w:val="center"/>
          </w:tcPr>
          <w:p w:rsidR="00B000C0" w:rsidRPr="00573DEB" w:rsidRDefault="00B000C0" w:rsidP="004B4B73">
            <w:r w:rsidRPr="00573DEB">
              <w:t>45,871</w:t>
            </w:r>
          </w:p>
        </w:tc>
        <w:tc>
          <w:tcPr>
            <w:tcW w:w="953" w:type="dxa"/>
            <w:tcBorders>
              <w:top w:val="nil"/>
              <w:left w:val="nil"/>
              <w:bottom w:val="nil"/>
              <w:right w:val="nil"/>
            </w:tcBorders>
            <w:noWrap/>
            <w:vAlign w:val="center"/>
          </w:tcPr>
          <w:p w:rsidR="00B000C0" w:rsidRPr="00573DEB" w:rsidRDefault="00B000C0" w:rsidP="004B4B73">
            <w:r w:rsidRPr="00573DEB">
              <w:t>6,164</w:t>
            </w:r>
          </w:p>
        </w:tc>
        <w:tc>
          <w:tcPr>
            <w:tcW w:w="1201" w:type="dxa"/>
            <w:tcBorders>
              <w:top w:val="nil"/>
              <w:left w:val="nil"/>
              <w:bottom w:val="nil"/>
              <w:right w:val="nil"/>
            </w:tcBorders>
            <w:vAlign w:val="center"/>
          </w:tcPr>
          <w:p w:rsidR="00B000C0" w:rsidRPr="00573DEB" w:rsidRDefault="00B000C0" w:rsidP="004B4B73">
            <w:r w:rsidRPr="00573DEB">
              <w:t>80,420</w:t>
            </w:r>
          </w:p>
        </w:tc>
        <w:tc>
          <w:tcPr>
            <w:tcW w:w="1608" w:type="dxa"/>
            <w:tcBorders>
              <w:top w:val="nil"/>
              <w:left w:val="nil"/>
              <w:bottom w:val="nil"/>
              <w:right w:val="nil"/>
            </w:tcBorders>
            <w:vAlign w:val="center"/>
          </w:tcPr>
          <w:p w:rsidR="00B000C0" w:rsidRPr="00573DEB" w:rsidRDefault="00B000C0" w:rsidP="004B4B73">
            <w:r w:rsidRPr="00573DEB">
              <w:t>35,30%</w:t>
            </w:r>
          </w:p>
        </w:tc>
      </w:tr>
      <w:tr w:rsidR="00B000C0" w:rsidRPr="00573DEB" w:rsidTr="0059212E">
        <w:trPr>
          <w:trHeight w:val="391"/>
        </w:trPr>
        <w:tc>
          <w:tcPr>
            <w:tcW w:w="1303" w:type="dxa"/>
            <w:tcBorders>
              <w:top w:val="nil"/>
              <w:left w:val="nil"/>
              <w:bottom w:val="nil"/>
              <w:right w:val="nil"/>
            </w:tcBorders>
            <w:vAlign w:val="center"/>
          </w:tcPr>
          <w:p w:rsidR="00B000C0" w:rsidRPr="00573DEB" w:rsidRDefault="00B000C0" w:rsidP="004B4B73">
            <w:r w:rsidRPr="00573DEB">
              <w:t>2002</w:t>
            </w:r>
          </w:p>
        </w:tc>
        <w:tc>
          <w:tcPr>
            <w:tcW w:w="1276" w:type="dxa"/>
            <w:tcBorders>
              <w:top w:val="nil"/>
              <w:left w:val="nil"/>
              <w:bottom w:val="nil"/>
              <w:right w:val="nil"/>
            </w:tcBorders>
            <w:noWrap/>
            <w:vAlign w:val="center"/>
          </w:tcPr>
          <w:p w:rsidR="00B000C0" w:rsidRPr="00573DEB" w:rsidRDefault="00B000C0" w:rsidP="004B4B73">
            <w:r w:rsidRPr="00573DEB">
              <w:t>17,644</w:t>
            </w:r>
          </w:p>
        </w:tc>
        <w:tc>
          <w:tcPr>
            <w:tcW w:w="1134" w:type="dxa"/>
            <w:tcBorders>
              <w:top w:val="nil"/>
              <w:left w:val="nil"/>
              <w:bottom w:val="nil"/>
              <w:right w:val="nil"/>
            </w:tcBorders>
            <w:noWrap/>
            <w:vAlign w:val="center"/>
          </w:tcPr>
          <w:p w:rsidR="00B000C0" w:rsidRPr="00573DEB" w:rsidRDefault="00B000C0" w:rsidP="004B4B73">
            <w:r w:rsidRPr="00573DEB">
              <w:t>11,107</w:t>
            </w:r>
          </w:p>
        </w:tc>
        <w:tc>
          <w:tcPr>
            <w:tcW w:w="1320" w:type="dxa"/>
            <w:tcBorders>
              <w:top w:val="nil"/>
              <w:left w:val="nil"/>
              <w:bottom w:val="nil"/>
              <w:right w:val="nil"/>
            </w:tcBorders>
            <w:noWrap/>
            <w:vAlign w:val="center"/>
          </w:tcPr>
          <w:p w:rsidR="00B000C0" w:rsidRPr="00573DEB" w:rsidRDefault="00B000C0" w:rsidP="004B4B73">
            <w:r w:rsidRPr="00573DEB">
              <w:t>43,372</w:t>
            </w:r>
          </w:p>
        </w:tc>
        <w:tc>
          <w:tcPr>
            <w:tcW w:w="953" w:type="dxa"/>
            <w:tcBorders>
              <w:top w:val="nil"/>
              <w:left w:val="nil"/>
              <w:bottom w:val="nil"/>
              <w:right w:val="nil"/>
            </w:tcBorders>
            <w:noWrap/>
            <w:vAlign w:val="center"/>
          </w:tcPr>
          <w:p w:rsidR="00B000C0" w:rsidRPr="00573DEB" w:rsidRDefault="00B000C0" w:rsidP="004B4B73">
            <w:r w:rsidRPr="00573DEB">
              <w:t>4,327</w:t>
            </w:r>
          </w:p>
        </w:tc>
        <w:tc>
          <w:tcPr>
            <w:tcW w:w="1201" w:type="dxa"/>
            <w:tcBorders>
              <w:top w:val="nil"/>
              <w:left w:val="nil"/>
              <w:bottom w:val="nil"/>
              <w:right w:val="nil"/>
            </w:tcBorders>
            <w:vAlign w:val="center"/>
          </w:tcPr>
          <w:p w:rsidR="00B000C0" w:rsidRPr="00573DEB" w:rsidRDefault="00B000C0" w:rsidP="004B4B73">
            <w:r w:rsidRPr="00573DEB">
              <w:t>76,450</w:t>
            </w:r>
          </w:p>
        </w:tc>
        <w:tc>
          <w:tcPr>
            <w:tcW w:w="1608" w:type="dxa"/>
            <w:tcBorders>
              <w:top w:val="nil"/>
              <w:left w:val="nil"/>
              <w:bottom w:val="nil"/>
              <w:right w:val="nil"/>
            </w:tcBorders>
            <w:vAlign w:val="center"/>
          </w:tcPr>
          <w:p w:rsidR="00B000C0" w:rsidRPr="00573DEB" w:rsidRDefault="00B000C0" w:rsidP="004B4B73">
            <w:r w:rsidRPr="00573DEB">
              <w:t>37,61%</w:t>
            </w:r>
          </w:p>
        </w:tc>
      </w:tr>
      <w:tr w:rsidR="00B000C0" w:rsidRPr="00573DEB" w:rsidTr="0059212E">
        <w:trPr>
          <w:trHeight w:val="391"/>
        </w:trPr>
        <w:tc>
          <w:tcPr>
            <w:tcW w:w="1303" w:type="dxa"/>
            <w:tcBorders>
              <w:top w:val="nil"/>
              <w:left w:val="nil"/>
              <w:bottom w:val="nil"/>
              <w:right w:val="nil"/>
            </w:tcBorders>
            <w:vAlign w:val="center"/>
          </w:tcPr>
          <w:p w:rsidR="00B000C0" w:rsidRPr="00573DEB" w:rsidRDefault="00B000C0" w:rsidP="004B4B73">
            <w:r w:rsidRPr="00573DEB">
              <w:t>2003</w:t>
            </w:r>
          </w:p>
        </w:tc>
        <w:tc>
          <w:tcPr>
            <w:tcW w:w="1276" w:type="dxa"/>
            <w:tcBorders>
              <w:top w:val="nil"/>
              <w:left w:val="nil"/>
              <w:bottom w:val="nil"/>
              <w:right w:val="nil"/>
            </w:tcBorders>
            <w:noWrap/>
            <w:vAlign w:val="center"/>
          </w:tcPr>
          <w:p w:rsidR="00B000C0" w:rsidRPr="00573DEB" w:rsidRDefault="00B000C0" w:rsidP="004B4B73">
            <w:r w:rsidRPr="00573DEB">
              <w:t>19,151</w:t>
            </w:r>
          </w:p>
        </w:tc>
        <w:tc>
          <w:tcPr>
            <w:tcW w:w="1134" w:type="dxa"/>
            <w:tcBorders>
              <w:top w:val="nil"/>
              <w:left w:val="nil"/>
              <w:bottom w:val="nil"/>
              <w:right w:val="nil"/>
            </w:tcBorders>
            <w:noWrap/>
            <w:vAlign w:val="center"/>
          </w:tcPr>
          <w:p w:rsidR="00B000C0" w:rsidRPr="00573DEB" w:rsidRDefault="00B000C0" w:rsidP="004B4B73">
            <w:r w:rsidRPr="00573DEB">
              <w:t>11,410</w:t>
            </w:r>
          </w:p>
        </w:tc>
        <w:tc>
          <w:tcPr>
            <w:tcW w:w="1320" w:type="dxa"/>
            <w:tcBorders>
              <w:top w:val="nil"/>
              <w:left w:val="nil"/>
              <w:bottom w:val="nil"/>
              <w:right w:val="nil"/>
            </w:tcBorders>
            <w:noWrap/>
            <w:vAlign w:val="center"/>
          </w:tcPr>
          <w:p w:rsidR="00B000C0" w:rsidRPr="00573DEB" w:rsidRDefault="00B000C0" w:rsidP="004B4B73">
            <w:r w:rsidRPr="00573DEB">
              <w:t>43,735</w:t>
            </w:r>
          </w:p>
        </w:tc>
        <w:tc>
          <w:tcPr>
            <w:tcW w:w="953" w:type="dxa"/>
            <w:tcBorders>
              <w:top w:val="nil"/>
              <w:left w:val="nil"/>
              <w:bottom w:val="nil"/>
              <w:right w:val="nil"/>
            </w:tcBorders>
            <w:noWrap/>
            <w:vAlign w:val="center"/>
          </w:tcPr>
          <w:p w:rsidR="00B000C0" w:rsidRPr="00573DEB" w:rsidRDefault="00B000C0" w:rsidP="004B4B73">
            <w:r w:rsidRPr="00573DEB">
              <w:t>2,881</w:t>
            </w:r>
          </w:p>
        </w:tc>
        <w:tc>
          <w:tcPr>
            <w:tcW w:w="1201" w:type="dxa"/>
            <w:tcBorders>
              <w:top w:val="nil"/>
              <w:left w:val="nil"/>
              <w:bottom w:val="nil"/>
              <w:right w:val="nil"/>
            </w:tcBorders>
            <w:vAlign w:val="center"/>
          </w:tcPr>
          <w:p w:rsidR="00B000C0" w:rsidRPr="00573DEB" w:rsidRDefault="00B000C0" w:rsidP="004B4B73">
            <w:r w:rsidRPr="00573DEB">
              <w:t>77,177</w:t>
            </w:r>
          </w:p>
        </w:tc>
        <w:tc>
          <w:tcPr>
            <w:tcW w:w="1608" w:type="dxa"/>
            <w:tcBorders>
              <w:top w:val="nil"/>
              <w:left w:val="nil"/>
              <w:bottom w:val="nil"/>
              <w:right w:val="nil"/>
            </w:tcBorders>
            <w:vAlign w:val="center"/>
          </w:tcPr>
          <w:p w:rsidR="00B000C0" w:rsidRPr="00573DEB" w:rsidRDefault="00B000C0" w:rsidP="004B4B73">
            <w:r w:rsidRPr="00573DEB">
              <w:t>39,60%</w:t>
            </w:r>
          </w:p>
        </w:tc>
      </w:tr>
      <w:tr w:rsidR="00B000C0" w:rsidRPr="00573DEB" w:rsidTr="0059212E">
        <w:trPr>
          <w:trHeight w:val="391"/>
        </w:trPr>
        <w:tc>
          <w:tcPr>
            <w:tcW w:w="1303" w:type="dxa"/>
            <w:tcBorders>
              <w:top w:val="nil"/>
              <w:left w:val="nil"/>
              <w:bottom w:val="nil"/>
              <w:right w:val="nil"/>
            </w:tcBorders>
            <w:vAlign w:val="center"/>
          </w:tcPr>
          <w:p w:rsidR="00B000C0" w:rsidRPr="00573DEB" w:rsidRDefault="00B000C0" w:rsidP="004B4B73">
            <w:r w:rsidRPr="00573DEB">
              <w:t>2004</w:t>
            </w:r>
          </w:p>
        </w:tc>
        <w:tc>
          <w:tcPr>
            <w:tcW w:w="1276" w:type="dxa"/>
            <w:tcBorders>
              <w:top w:val="nil"/>
              <w:left w:val="nil"/>
              <w:bottom w:val="nil"/>
              <w:right w:val="nil"/>
            </w:tcBorders>
            <w:noWrap/>
            <w:vAlign w:val="center"/>
          </w:tcPr>
          <w:p w:rsidR="00B000C0" w:rsidRPr="00573DEB" w:rsidRDefault="00B000C0" w:rsidP="004B4B73">
            <w:r w:rsidRPr="00573DEB">
              <w:t>19,739</w:t>
            </w:r>
          </w:p>
        </w:tc>
        <w:tc>
          <w:tcPr>
            <w:tcW w:w="1134" w:type="dxa"/>
            <w:tcBorders>
              <w:top w:val="nil"/>
              <w:left w:val="nil"/>
              <w:bottom w:val="nil"/>
              <w:right w:val="nil"/>
            </w:tcBorders>
            <w:noWrap/>
            <w:vAlign w:val="center"/>
          </w:tcPr>
          <w:p w:rsidR="00B000C0" w:rsidRPr="00573DEB" w:rsidRDefault="00B000C0" w:rsidP="004B4B73">
            <w:r w:rsidRPr="00573DEB">
              <w:t>10,984</w:t>
            </w:r>
          </w:p>
        </w:tc>
        <w:tc>
          <w:tcPr>
            <w:tcW w:w="1320" w:type="dxa"/>
            <w:tcBorders>
              <w:top w:val="nil"/>
              <w:left w:val="nil"/>
              <w:bottom w:val="nil"/>
              <w:right w:val="nil"/>
            </w:tcBorders>
            <w:noWrap/>
            <w:vAlign w:val="center"/>
          </w:tcPr>
          <w:p w:rsidR="00B000C0" w:rsidRPr="00573DEB" w:rsidRDefault="00B000C0" w:rsidP="004B4B73">
            <w:r w:rsidRPr="00573DEB">
              <w:t>43,104</w:t>
            </w:r>
          </w:p>
        </w:tc>
        <w:tc>
          <w:tcPr>
            <w:tcW w:w="953" w:type="dxa"/>
            <w:tcBorders>
              <w:top w:val="nil"/>
              <w:left w:val="nil"/>
              <w:bottom w:val="nil"/>
              <w:right w:val="nil"/>
            </w:tcBorders>
            <w:noWrap/>
            <w:vAlign w:val="center"/>
          </w:tcPr>
          <w:p w:rsidR="00B000C0" w:rsidRPr="00573DEB" w:rsidRDefault="00B000C0" w:rsidP="004B4B73">
            <w:r w:rsidRPr="00573DEB">
              <w:t>1,556</w:t>
            </w:r>
          </w:p>
        </w:tc>
        <w:tc>
          <w:tcPr>
            <w:tcW w:w="1201" w:type="dxa"/>
            <w:tcBorders>
              <w:top w:val="nil"/>
              <w:left w:val="nil"/>
              <w:bottom w:val="nil"/>
              <w:right w:val="nil"/>
            </w:tcBorders>
            <w:vAlign w:val="center"/>
          </w:tcPr>
          <w:p w:rsidR="00B000C0" w:rsidRPr="00573DEB" w:rsidRDefault="00B000C0" w:rsidP="004B4B73">
            <w:r w:rsidRPr="00573DEB">
              <w:t>75,393</w:t>
            </w:r>
          </w:p>
        </w:tc>
        <w:tc>
          <w:tcPr>
            <w:tcW w:w="1608" w:type="dxa"/>
            <w:tcBorders>
              <w:top w:val="nil"/>
              <w:left w:val="nil"/>
              <w:bottom w:val="nil"/>
              <w:right w:val="nil"/>
            </w:tcBorders>
            <w:vAlign w:val="center"/>
          </w:tcPr>
          <w:p w:rsidR="00B000C0" w:rsidRPr="00573DEB" w:rsidRDefault="00B000C0" w:rsidP="004B4B73">
            <w:r w:rsidRPr="00573DEB">
              <w:t>40,75%</w:t>
            </w:r>
          </w:p>
        </w:tc>
      </w:tr>
      <w:tr w:rsidR="00B000C0" w:rsidRPr="00573DEB" w:rsidTr="0059212E">
        <w:trPr>
          <w:trHeight w:val="391"/>
        </w:trPr>
        <w:tc>
          <w:tcPr>
            <w:tcW w:w="1303" w:type="dxa"/>
            <w:tcBorders>
              <w:top w:val="nil"/>
              <w:left w:val="nil"/>
              <w:bottom w:val="nil"/>
              <w:right w:val="nil"/>
            </w:tcBorders>
            <w:vAlign w:val="center"/>
          </w:tcPr>
          <w:p w:rsidR="00B000C0" w:rsidRPr="00573DEB" w:rsidRDefault="00B000C0" w:rsidP="004B4B73">
            <w:r w:rsidRPr="00573DEB">
              <w:t>2005</w:t>
            </w:r>
          </w:p>
        </w:tc>
        <w:tc>
          <w:tcPr>
            <w:tcW w:w="1276" w:type="dxa"/>
            <w:tcBorders>
              <w:top w:val="nil"/>
              <w:left w:val="nil"/>
              <w:bottom w:val="nil"/>
              <w:right w:val="nil"/>
            </w:tcBorders>
            <w:noWrap/>
            <w:vAlign w:val="center"/>
          </w:tcPr>
          <w:p w:rsidR="00B000C0" w:rsidRPr="00573DEB" w:rsidRDefault="00B000C0" w:rsidP="004B4B73">
            <w:r w:rsidRPr="00573DEB">
              <w:t>20,906</w:t>
            </w:r>
          </w:p>
        </w:tc>
        <w:tc>
          <w:tcPr>
            <w:tcW w:w="1134" w:type="dxa"/>
            <w:tcBorders>
              <w:top w:val="nil"/>
              <w:left w:val="nil"/>
              <w:bottom w:val="nil"/>
              <w:right w:val="nil"/>
            </w:tcBorders>
            <w:noWrap/>
            <w:vAlign w:val="center"/>
          </w:tcPr>
          <w:p w:rsidR="00B000C0" w:rsidRPr="00573DEB" w:rsidRDefault="00B000C0" w:rsidP="004B4B73">
            <w:r w:rsidRPr="00573DEB">
              <w:t>11,221</w:t>
            </w:r>
          </w:p>
        </w:tc>
        <w:tc>
          <w:tcPr>
            <w:tcW w:w="1320" w:type="dxa"/>
            <w:tcBorders>
              <w:top w:val="nil"/>
              <w:left w:val="nil"/>
              <w:bottom w:val="nil"/>
              <w:right w:val="nil"/>
            </w:tcBorders>
            <w:noWrap/>
            <w:vAlign w:val="center"/>
          </w:tcPr>
          <w:p w:rsidR="00B000C0" w:rsidRPr="00573DEB" w:rsidRDefault="00B000C0" w:rsidP="004B4B73">
            <w:r w:rsidRPr="00573DEB">
              <w:t>45,368</w:t>
            </w:r>
          </w:p>
        </w:tc>
        <w:tc>
          <w:tcPr>
            <w:tcW w:w="953" w:type="dxa"/>
            <w:tcBorders>
              <w:top w:val="nil"/>
              <w:left w:val="nil"/>
              <w:bottom w:val="nil"/>
              <w:right w:val="nil"/>
            </w:tcBorders>
            <w:noWrap/>
            <w:vAlign w:val="center"/>
          </w:tcPr>
          <w:p w:rsidR="00B000C0" w:rsidRPr="00573DEB" w:rsidRDefault="00B000C0" w:rsidP="004B4B73">
            <w:r w:rsidRPr="00573DEB">
              <w:t>900</w:t>
            </w:r>
          </w:p>
        </w:tc>
        <w:tc>
          <w:tcPr>
            <w:tcW w:w="1201" w:type="dxa"/>
            <w:tcBorders>
              <w:top w:val="nil"/>
              <w:left w:val="nil"/>
              <w:bottom w:val="nil"/>
              <w:right w:val="nil"/>
            </w:tcBorders>
            <w:vAlign w:val="center"/>
          </w:tcPr>
          <w:p w:rsidR="00B000C0" w:rsidRPr="00573DEB" w:rsidRDefault="00B000C0" w:rsidP="004B4B73">
            <w:r w:rsidRPr="00573DEB">
              <w:t>78,395</w:t>
            </w:r>
          </w:p>
        </w:tc>
        <w:tc>
          <w:tcPr>
            <w:tcW w:w="1608" w:type="dxa"/>
            <w:tcBorders>
              <w:top w:val="nil"/>
              <w:left w:val="nil"/>
              <w:bottom w:val="nil"/>
              <w:right w:val="nil"/>
            </w:tcBorders>
            <w:vAlign w:val="center"/>
          </w:tcPr>
          <w:p w:rsidR="00B000C0" w:rsidRPr="00573DEB" w:rsidRDefault="00B000C0" w:rsidP="004B4B73">
            <w:r w:rsidRPr="00573DEB">
              <w:t>40,98%</w:t>
            </w:r>
          </w:p>
        </w:tc>
      </w:tr>
      <w:tr w:rsidR="00B000C0" w:rsidRPr="00573DEB" w:rsidTr="0059212E">
        <w:trPr>
          <w:trHeight w:val="391"/>
        </w:trPr>
        <w:tc>
          <w:tcPr>
            <w:tcW w:w="1303" w:type="dxa"/>
            <w:tcBorders>
              <w:top w:val="nil"/>
              <w:left w:val="nil"/>
              <w:bottom w:val="nil"/>
              <w:right w:val="nil"/>
            </w:tcBorders>
            <w:vAlign w:val="center"/>
          </w:tcPr>
          <w:p w:rsidR="00B000C0" w:rsidRPr="00573DEB" w:rsidRDefault="00B000C0" w:rsidP="004B4B73">
            <w:r w:rsidRPr="00573DEB">
              <w:t>2006</w:t>
            </w:r>
          </w:p>
        </w:tc>
        <w:tc>
          <w:tcPr>
            <w:tcW w:w="1276" w:type="dxa"/>
            <w:tcBorders>
              <w:top w:val="nil"/>
              <w:left w:val="nil"/>
              <w:bottom w:val="nil"/>
              <w:right w:val="nil"/>
            </w:tcBorders>
            <w:noWrap/>
            <w:vAlign w:val="center"/>
          </w:tcPr>
          <w:p w:rsidR="00B000C0" w:rsidRPr="00573DEB" w:rsidRDefault="00B000C0" w:rsidP="004B4B73">
            <w:r w:rsidRPr="00573DEB">
              <w:t>19,614</w:t>
            </w:r>
          </w:p>
        </w:tc>
        <w:tc>
          <w:tcPr>
            <w:tcW w:w="1134" w:type="dxa"/>
            <w:tcBorders>
              <w:top w:val="nil"/>
              <w:left w:val="nil"/>
              <w:bottom w:val="nil"/>
              <w:right w:val="nil"/>
            </w:tcBorders>
            <w:noWrap/>
            <w:vAlign w:val="center"/>
          </w:tcPr>
          <w:p w:rsidR="00B000C0" w:rsidRPr="00573DEB" w:rsidRDefault="00B000C0" w:rsidP="004B4B73">
            <w:r w:rsidRPr="00573DEB">
              <w:t>10,100</w:t>
            </w:r>
          </w:p>
        </w:tc>
        <w:tc>
          <w:tcPr>
            <w:tcW w:w="1320" w:type="dxa"/>
            <w:tcBorders>
              <w:top w:val="nil"/>
              <w:left w:val="nil"/>
              <w:bottom w:val="nil"/>
              <w:right w:val="nil"/>
            </w:tcBorders>
            <w:noWrap/>
            <w:vAlign w:val="center"/>
          </w:tcPr>
          <w:p w:rsidR="00B000C0" w:rsidRPr="00573DEB" w:rsidRDefault="00B000C0" w:rsidP="004B4B73">
            <w:r w:rsidRPr="00573DEB">
              <w:t>42,361</w:t>
            </w:r>
          </w:p>
        </w:tc>
        <w:tc>
          <w:tcPr>
            <w:tcW w:w="953" w:type="dxa"/>
            <w:tcBorders>
              <w:top w:val="nil"/>
              <w:left w:val="nil"/>
              <w:bottom w:val="nil"/>
              <w:right w:val="nil"/>
            </w:tcBorders>
            <w:noWrap/>
            <w:vAlign w:val="center"/>
          </w:tcPr>
          <w:p w:rsidR="00B000C0" w:rsidRPr="00573DEB" w:rsidRDefault="00B000C0" w:rsidP="004B4B73">
            <w:r w:rsidRPr="00573DEB">
              <w:t>740</w:t>
            </w:r>
          </w:p>
        </w:tc>
        <w:tc>
          <w:tcPr>
            <w:tcW w:w="1201" w:type="dxa"/>
            <w:tcBorders>
              <w:top w:val="nil"/>
              <w:left w:val="nil"/>
              <w:bottom w:val="nil"/>
              <w:right w:val="nil"/>
            </w:tcBorders>
            <w:vAlign w:val="center"/>
          </w:tcPr>
          <w:p w:rsidR="00B000C0" w:rsidRPr="00573DEB" w:rsidRDefault="00B000C0" w:rsidP="004B4B73">
            <w:r w:rsidRPr="00573DEB">
              <w:t>72,815</w:t>
            </w:r>
          </w:p>
        </w:tc>
        <w:tc>
          <w:tcPr>
            <w:tcW w:w="1608" w:type="dxa"/>
            <w:tcBorders>
              <w:top w:val="nil"/>
              <w:left w:val="nil"/>
              <w:bottom w:val="nil"/>
              <w:right w:val="nil"/>
            </w:tcBorders>
            <w:vAlign w:val="center"/>
          </w:tcPr>
          <w:p w:rsidR="00B000C0" w:rsidRPr="00573DEB" w:rsidRDefault="00B000C0" w:rsidP="004B4B73">
            <w:r w:rsidRPr="00573DEB">
              <w:t>40,81%</w:t>
            </w:r>
          </w:p>
        </w:tc>
      </w:tr>
      <w:tr w:rsidR="00B000C0" w:rsidRPr="00573DEB" w:rsidTr="0059212E">
        <w:trPr>
          <w:trHeight w:val="391"/>
        </w:trPr>
        <w:tc>
          <w:tcPr>
            <w:tcW w:w="1303" w:type="dxa"/>
            <w:tcBorders>
              <w:top w:val="nil"/>
              <w:left w:val="nil"/>
              <w:bottom w:val="nil"/>
              <w:right w:val="nil"/>
            </w:tcBorders>
            <w:vAlign w:val="center"/>
          </w:tcPr>
          <w:p w:rsidR="00B000C0" w:rsidRPr="00573DEB" w:rsidRDefault="00B000C0" w:rsidP="004B4B73">
            <w:r w:rsidRPr="00573DEB">
              <w:t>2007</w:t>
            </w:r>
          </w:p>
        </w:tc>
        <w:tc>
          <w:tcPr>
            <w:tcW w:w="1276" w:type="dxa"/>
            <w:tcBorders>
              <w:top w:val="nil"/>
              <w:left w:val="nil"/>
              <w:bottom w:val="nil"/>
              <w:right w:val="nil"/>
            </w:tcBorders>
            <w:noWrap/>
            <w:vAlign w:val="center"/>
          </w:tcPr>
          <w:p w:rsidR="00B000C0" w:rsidRPr="00573DEB" w:rsidRDefault="00B000C0" w:rsidP="004B4B73">
            <w:r w:rsidRPr="00573DEB">
              <w:t>21,318</w:t>
            </w:r>
          </w:p>
        </w:tc>
        <w:tc>
          <w:tcPr>
            <w:tcW w:w="1134" w:type="dxa"/>
            <w:tcBorders>
              <w:top w:val="nil"/>
              <w:left w:val="nil"/>
              <w:bottom w:val="nil"/>
              <w:right w:val="nil"/>
            </w:tcBorders>
            <w:noWrap/>
            <w:vAlign w:val="center"/>
          </w:tcPr>
          <w:p w:rsidR="00B000C0" w:rsidRPr="00573DEB" w:rsidRDefault="00B000C0" w:rsidP="004B4B73">
            <w:r w:rsidRPr="00573DEB">
              <w:t>10,629</w:t>
            </w:r>
          </w:p>
        </w:tc>
        <w:tc>
          <w:tcPr>
            <w:tcW w:w="1320" w:type="dxa"/>
            <w:tcBorders>
              <w:top w:val="nil"/>
              <w:left w:val="nil"/>
              <w:bottom w:val="nil"/>
              <w:right w:val="nil"/>
            </w:tcBorders>
            <w:noWrap/>
            <w:vAlign w:val="center"/>
          </w:tcPr>
          <w:p w:rsidR="00B000C0" w:rsidRPr="00573DEB" w:rsidRDefault="00B000C0" w:rsidP="004B4B73">
            <w:r w:rsidRPr="00573DEB">
              <w:t>44,120</w:t>
            </w:r>
          </w:p>
        </w:tc>
        <w:tc>
          <w:tcPr>
            <w:tcW w:w="953" w:type="dxa"/>
            <w:tcBorders>
              <w:top w:val="nil"/>
              <w:left w:val="nil"/>
              <w:bottom w:val="nil"/>
              <w:right w:val="nil"/>
            </w:tcBorders>
            <w:noWrap/>
            <w:vAlign w:val="center"/>
          </w:tcPr>
          <w:p w:rsidR="00B000C0" w:rsidRPr="00573DEB" w:rsidRDefault="00B000C0" w:rsidP="004B4B73">
            <w:r w:rsidRPr="00573DEB">
              <w:t>857</w:t>
            </w:r>
          </w:p>
        </w:tc>
        <w:tc>
          <w:tcPr>
            <w:tcW w:w="1201" w:type="dxa"/>
            <w:tcBorders>
              <w:top w:val="nil"/>
              <w:left w:val="nil"/>
              <w:bottom w:val="nil"/>
              <w:right w:val="nil"/>
            </w:tcBorders>
            <w:vAlign w:val="center"/>
          </w:tcPr>
          <w:p w:rsidR="00B000C0" w:rsidRPr="00573DEB" w:rsidRDefault="00B000C0" w:rsidP="004B4B73">
            <w:r w:rsidRPr="00573DEB">
              <w:t>76,924</w:t>
            </w:r>
          </w:p>
        </w:tc>
        <w:tc>
          <w:tcPr>
            <w:tcW w:w="1608" w:type="dxa"/>
            <w:tcBorders>
              <w:top w:val="nil"/>
              <w:left w:val="nil"/>
              <w:bottom w:val="nil"/>
              <w:right w:val="nil"/>
            </w:tcBorders>
            <w:vAlign w:val="center"/>
          </w:tcPr>
          <w:p w:rsidR="00B000C0" w:rsidRPr="00573DEB" w:rsidRDefault="00B000C0" w:rsidP="004B4B73">
            <w:r w:rsidRPr="00573DEB">
              <w:t>41,53%</w:t>
            </w:r>
          </w:p>
        </w:tc>
      </w:tr>
      <w:tr w:rsidR="00B000C0" w:rsidRPr="00573DEB" w:rsidTr="0059212E">
        <w:trPr>
          <w:trHeight w:val="391"/>
        </w:trPr>
        <w:tc>
          <w:tcPr>
            <w:tcW w:w="1303" w:type="dxa"/>
            <w:tcBorders>
              <w:top w:val="nil"/>
              <w:left w:val="nil"/>
              <w:bottom w:val="nil"/>
              <w:right w:val="nil"/>
            </w:tcBorders>
            <w:vAlign w:val="center"/>
          </w:tcPr>
          <w:p w:rsidR="00B000C0" w:rsidRPr="00573DEB" w:rsidRDefault="00B000C0" w:rsidP="004B4B73">
            <w:r w:rsidRPr="00573DEB">
              <w:t>2008</w:t>
            </w:r>
          </w:p>
        </w:tc>
        <w:tc>
          <w:tcPr>
            <w:tcW w:w="1276" w:type="dxa"/>
            <w:tcBorders>
              <w:top w:val="nil"/>
              <w:left w:val="nil"/>
              <w:bottom w:val="nil"/>
              <w:right w:val="nil"/>
            </w:tcBorders>
            <w:noWrap/>
            <w:vAlign w:val="center"/>
          </w:tcPr>
          <w:p w:rsidR="00B000C0" w:rsidRPr="00573DEB" w:rsidRDefault="00B000C0" w:rsidP="004B4B73">
            <w:r w:rsidRPr="00573DEB">
              <w:t>26,291</w:t>
            </w:r>
          </w:p>
        </w:tc>
        <w:tc>
          <w:tcPr>
            <w:tcW w:w="1134" w:type="dxa"/>
            <w:tcBorders>
              <w:top w:val="nil"/>
              <w:left w:val="nil"/>
              <w:bottom w:val="nil"/>
              <w:right w:val="nil"/>
            </w:tcBorders>
            <w:noWrap/>
            <w:vAlign w:val="center"/>
          </w:tcPr>
          <w:p w:rsidR="00B000C0" w:rsidRPr="00573DEB" w:rsidRDefault="00B000C0" w:rsidP="004B4B73">
            <w:r w:rsidRPr="00573DEB">
              <w:t>12,532</w:t>
            </w:r>
          </w:p>
        </w:tc>
        <w:tc>
          <w:tcPr>
            <w:tcW w:w="1320" w:type="dxa"/>
            <w:tcBorders>
              <w:top w:val="nil"/>
              <w:left w:val="nil"/>
              <w:bottom w:val="nil"/>
              <w:right w:val="nil"/>
            </w:tcBorders>
            <w:noWrap/>
            <w:vAlign w:val="center"/>
          </w:tcPr>
          <w:p w:rsidR="00B000C0" w:rsidRPr="00573DEB" w:rsidRDefault="00B000C0" w:rsidP="004B4B73">
            <w:r w:rsidRPr="00573DEB">
              <w:t>52,049</w:t>
            </w:r>
          </w:p>
        </w:tc>
        <w:tc>
          <w:tcPr>
            <w:tcW w:w="953" w:type="dxa"/>
            <w:tcBorders>
              <w:top w:val="nil"/>
              <w:left w:val="nil"/>
              <w:bottom w:val="nil"/>
              <w:right w:val="nil"/>
            </w:tcBorders>
            <w:noWrap/>
            <w:vAlign w:val="center"/>
          </w:tcPr>
          <w:p w:rsidR="00B000C0" w:rsidRPr="00573DEB" w:rsidRDefault="00B000C0" w:rsidP="004B4B73">
            <w:r w:rsidRPr="00573DEB">
              <w:t>739</w:t>
            </w:r>
          </w:p>
        </w:tc>
        <w:tc>
          <w:tcPr>
            <w:tcW w:w="1201" w:type="dxa"/>
            <w:tcBorders>
              <w:top w:val="nil"/>
              <w:left w:val="nil"/>
              <w:bottom w:val="nil"/>
              <w:right w:val="nil"/>
            </w:tcBorders>
            <w:vAlign w:val="center"/>
          </w:tcPr>
          <w:p w:rsidR="00B000C0" w:rsidRPr="00573DEB" w:rsidRDefault="00B000C0" w:rsidP="004B4B73">
            <w:r w:rsidRPr="00573DEB">
              <w:t>91,611</w:t>
            </w:r>
          </w:p>
        </w:tc>
        <w:tc>
          <w:tcPr>
            <w:tcW w:w="1608" w:type="dxa"/>
            <w:tcBorders>
              <w:top w:val="nil"/>
              <w:left w:val="nil"/>
              <w:bottom w:val="nil"/>
              <w:right w:val="nil"/>
            </w:tcBorders>
            <w:vAlign w:val="center"/>
          </w:tcPr>
          <w:p w:rsidR="00B000C0" w:rsidRPr="00573DEB" w:rsidRDefault="00B000C0" w:rsidP="004B4B73">
            <w:r w:rsidRPr="00573DEB">
              <w:t>42,38%</w:t>
            </w:r>
          </w:p>
        </w:tc>
      </w:tr>
      <w:tr w:rsidR="00B000C0" w:rsidRPr="00573DEB" w:rsidTr="0059212E">
        <w:trPr>
          <w:trHeight w:val="391"/>
        </w:trPr>
        <w:tc>
          <w:tcPr>
            <w:tcW w:w="1303" w:type="dxa"/>
            <w:tcBorders>
              <w:top w:val="nil"/>
              <w:left w:val="nil"/>
              <w:bottom w:val="nil"/>
              <w:right w:val="nil"/>
            </w:tcBorders>
            <w:vAlign w:val="center"/>
          </w:tcPr>
          <w:p w:rsidR="00B000C0" w:rsidRPr="00573DEB" w:rsidRDefault="00B000C0" w:rsidP="004B4B73">
            <w:r w:rsidRPr="00573DEB">
              <w:t>2009</w:t>
            </w:r>
          </w:p>
        </w:tc>
        <w:tc>
          <w:tcPr>
            <w:tcW w:w="1276" w:type="dxa"/>
            <w:tcBorders>
              <w:top w:val="nil"/>
              <w:left w:val="nil"/>
              <w:bottom w:val="nil"/>
              <w:right w:val="nil"/>
            </w:tcBorders>
            <w:noWrap/>
            <w:vAlign w:val="center"/>
          </w:tcPr>
          <w:p w:rsidR="00B000C0" w:rsidRPr="00573DEB" w:rsidRDefault="00B000C0" w:rsidP="004B4B73">
            <w:r w:rsidRPr="00573DEB">
              <w:t>27,331</w:t>
            </w:r>
          </w:p>
        </w:tc>
        <w:tc>
          <w:tcPr>
            <w:tcW w:w="1134" w:type="dxa"/>
            <w:tcBorders>
              <w:top w:val="nil"/>
              <w:left w:val="nil"/>
              <w:bottom w:val="nil"/>
              <w:right w:val="nil"/>
            </w:tcBorders>
            <w:noWrap/>
            <w:vAlign w:val="center"/>
          </w:tcPr>
          <w:p w:rsidR="00B000C0" w:rsidRPr="00573DEB" w:rsidRDefault="00B000C0" w:rsidP="004B4B73">
            <w:r w:rsidRPr="00573DEB">
              <w:t>11,372</w:t>
            </w:r>
          </w:p>
        </w:tc>
        <w:tc>
          <w:tcPr>
            <w:tcW w:w="1320" w:type="dxa"/>
            <w:tcBorders>
              <w:top w:val="nil"/>
              <w:left w:val="nil"/>
              <w:bottom w:val="nil"/>
              <w:right w:val="nil"/>
            </w:tcBorders>
            <w:noWrap/>
            <w:vAlign w:val="center"/>
          </w:tcPr>
          <w:p w:rsidR="00B000C0" w:rsidRPr="00573DEB" w:rsidRDefault="00B000C0" w:rsidP="004B4B73">
            <w:r w:rsidRPr="00573DEB">
              <w:t>45,802</w:t>
            </w:r>
          </w:p>
        </w:tc>
        <w:tc>
          <w:tcPr>
            <w:tcW w:w="953" w:type="dxa"/>
            <w:tcBorders>
              <w:top w:val="nil"/>
              <w:left w:val="nil"/>
              <w:bottom w:val="nil"/>
              <w:right w:val="nil"/>
            </w:tcBorders>
            <w:noWrap/>
            <w:vAlign w:val="center"/>
          </w:tcPr>
          <w:p w:rsidR="00B000C0" w:rsidRPr="00573DEB" w:rsidRDefault="00B000C0" w:rsidP="004B4B73">
            <w:r w:rsidRPr="00573DEB">
              <w:t>934</w:t>
            </w:r>
          </w:p>
        </w:tc>
        <w:tc>
          <w:tcPr>
            <w:tcW w:w="1201" w:type="dxa"/>
            <w:tcBorders>
              <w:top w:val="nil"/>
              <w:left w:val="nil"/>
              <w:bottom w:val="nil"/>
              <w:right w:val="nil"/>
            </w:tcBorders>
            <w:vAlign w:val="center"/>
          </w:tcPr>
          <w:p w:rsidR="00B000C0" w:rsidRPr="00573DEB" w:rsidRDefault="00B000C0" w:rsidP="004B4B73">
            <w:r w:rsidRPr="00573DEB">
              <w:t>85,439</w:t>
            </w:r>
          </w:p>
        </w:tc>
        <w:tc>
          <w:tcPr>
            <w:tcW w:w="1608" w:type="dxa"/>
            <w:tcBorders>
              <w:top w:val="nil"/>
              <w:left w:val="nil"/>
              <w:bottom w:val="nil"/>
              <w:right w:val="nil"/>
            </w:tcBorders>
            <w:vAlign w:val="center"/>
          </w:tcPr>
          <w:p w:rsidR="00B000C0" w:rsidRPr="00573DEB" w:rsidRDefault="00B000C0" w:rsidP="004B4B73">
            <w:r w:rsidRPr="00573DEB">
              <w:t>45,30%</w:t>
            </w:r>
          </w:p>
        </w:tc>
      </w:tr>
      <w:tr w:rsidR="00B000C0" w:rsidRPr="00573DEB" w:rsidTr="0059212E">
        <w:trPr>
          <w:trHeight w:val="391"/>
        </w:trPr>
        <w:tc>
          <w:tcPr>
            <w:tcW w:w="1303" w:type="dxa"/>
            <w:tcBorders>
              <w:top w:val="nil"/>
              <w:left w:val="nil"/>
              <w:bottom w:val="nil"/>
              <w:right w:val="nil"/>
            </w:tcBorders>
            <w:vAlign w:val="center"/>
          </w:tcPr>
          <w:p w:rsidR="00B000C0" w:rsidRPr="00573DEB" w:rsidRDefault="00B000C0" w:rsidP="004B4B73">
            <w:r w:rsidRPr="00573DEB">
              <w:t>2010</w:t>
            </w:r>
          </w:p>
        </w:tc>
        <w:tc>
          <w:tcPr>
            <w:tcW w:w="1276" w:type="dxa"/>
            <w:tcBorders>
              <w:top w:val="nil"/>
              <w:left w:val="nil"/>
              <w:bottom w:val="nil"/>
              <w:right w:val="nil"/>
            </w:tcBorders>
            <w:noWrap/>
            <w:vAlign w:val="center"/>
          </w:tcPr>
          <w:p w:rsidR="00B000C0" w:rsidRPr="00573DEB" w:rsidRDefault="00B000C0" w:rsidP="004B4B73">
            <w:r w:rsidRPr="00573DEB">
              <w:t>29,795</w:t>
            </w:r>
          </w:p>
        </w:tc>
        <w:tc>
          <w:tcPr>
            <w:tcW w:w="1134" w:type="dxa"/>
            <w:tcBorders>
              <w:top w:val="nil"/>
              <w:left w:val="nil"/>
              <w:bottom w:val="nil"/>
              <w:right w:val="nil"/>
            </w:tcBorders>
            <w:noWrap/>
            <w:vAlign w:val="center"/>
          </w:tcPr>
          <w:p w:rsidR="00B000C0" w:rsidRPr="00573DEB" w:rsidRDefault="00B000C0" w:rsidP="004B4B73">
            <w:r w:rsidRPr="00573DEB">
              <w:t>12,091</w:t>
            </w:r>
          </w:p>
        </w:tc>
        <w:tc>
          <w:tcPr>
            <w:tcW w:w="1320" w:type="dxa"/>
            <w:tcBorders>
              <w:top w:val="nil"/>
              <w:left w:val="nil"/>
              <w:bottom w:val="nil"/>
              <w:right w:val="nil"/>
            </w:tcBorders>
            <w:noWrap/>
            <w:vAlign w:val="center"/>
          </w:tcPr>
          <w:p w:rsidR="00B000C0" w:rsidRPr="00573DEB" w:rsidRDefault="00B000C0" w:rsidP="004B4B73">
            <w:r w:rsidRPr="00573DEB">
              <w:t>50,295</w:t>
            </w:r>
          </w:p>
        </w:tc>
        <w:tc>
          <w:tcPr>
            <w:tcW w:w="953" w:type="dxa"/>
            <w:tcBorders>
              <w:top w:val="nil"/>
              <w:left w:val="nil"/>
              <w:bottom w:val="nil"/>
              <w:right w:val="nil"/>
            </w:tcBorders>
            <w:noWrap/>
            <w:vAlign w:val="center"/>
          </w:tcPr>
          <w:p w:rsidR="00B000C0" w:rsidRPr="00573DEB" w:rsidRDefault="00B000C0" w:rsidP="004B4B73">
            <w:r w:rsidRPr="00573DEB">
              <w:t>1,891</w:t>
            </w:r>
          </w:p>
        </w:tc>
        <w:tc>
          <w:tcPr>
            <w:tcW w:w="1201" w:type="dxa"/>
            <w:tcBorders>
              <w:top w:val="nil"/>
              <w:left w:val="nil"/>
              <w:bottom w:val="nil"/>
              <w:right w:val="nil"/>
            </w:tcBorders>
            <w:vAlign w:val="center"/>
          </w:tcPr>
          <w:p w:rsidR="00B000C0" w:rsidRPr="00573DEB" w:rsidRDefault="00B000C0" w:rsidP="004B4B73">
            <w:r w:rsidRPr="00573DEB">
              <w:t>94,072</w:t>
            </w:r>
          </w:p>
        </w:tc>
        <w:tc>
          <w:tcPr>
            <w:tcW w:w="1608" w:type="dxa"/>
            <w:tcBorders>
              <w:top w:val="nil"/>
              <w:left w:val="nil"/>
              <w:bottom w:val="nil"/>
              <w:right w:val="nil"/>
            </w:tcBorders>
            <w:vAlign w:val="center"/>
          </w:tcPr>
          <w:p w:rsidR="00B000C0" w:rsidRPr="00573DEB" w:rsidRDefault="00B000C0" w:rsidP="004B4B73">
            <w:r w:rsidRPr="00573DEB">
              <w:t>44,52%</w:t>
            </w:r>
          </w:p>
        </w:tc>
      </w:tr>
      <w:tr w:rsidR="00B000C0" w:rsidRPr="00573DEB" w:rsidTr="0059212E">
        <w:trPr>
          <w:trHeight w:val="391"/>
        </w:trPr>
        <w:tc>
          <w:tcPr>
            <w:tcW w:w="1303" w:type="dxa"/>
            <w:tcBorders>
              <w:top w:val="nil"/>
              <w:left w:val="nil"/>
              <w:bottom w:val="nil"/>
              <w:right w:val="nil"/>
            </w:tcBorders>
            <w:vAlign w:val="center"/>
          </w:tcPr>
          <w:p w:rsidR="00B000C0" w:rsidRPr="00573DEB" w:rsidRDefault="00B000C0" w:rsidP="004B4B73">
            <w:r w:rsidRPr="00573DEB">
              <w:t>2011</w:t>
            </w:r>
          </w:p>
        </w:tc>
        <w:tc>
          <w:tcPr>
            <w:tcW w:w="1276" w:type="dxa"/>
            <w:tcBorders>
              <w:top w:val="nil"/>
              <w:left w:val="nil"/>
              <w:bottom w:val="nil"/>
              <w:right w:val="nil"/>
            </w:tcBorders>
            <w:noWrap/>
            <w:vAlign w:val="center"/>
          </w:tcPr>
          <w:p w:rsidR="00B000C0" w:rsidRPr="00573DEB" w:rsidRDefault="00B000C0" w:rsidP="004B4B73">
            <w:r w:rsidRPr="00573DEB">
              <w:t>36,567</w:t>
            </w:r>
          </w:p>
        </w:tc>
        <w:tc>
          <w:tcPr>
            <w:tcW w:w="1134" w:type="dxa"/>
            <w:tcBorders>
              <w:top w:val="nil"/>
              <w:left w:val="nil"/>
              <w:bottom w:val="nil"/>
              <w:right w:val="nil"/>
            </w:tcBorders>
            <w:noWrap/>
            <w:vAlign w:val="center"/>
          </w:tcPr>
          <w:p w:rsidR="00B000C0" w:rsidRPr="00573DEB" w:rsidRDefault="00B000C0" w:rsidP="004B4B73">
            <w:r w:rsidRPr="00573DEB">
              <w:t>13,733</w:t>
            </w:r>
          </w:p>
        </w:tc>
        <w:tc>
          <w:tcPr>
            <w:tcW w:w="1320" w:type="dxa"/>
            <w:tcBorders>
              <w:top w:val="nil"/>
              <w:left w:val="nil"/>
              <w:bottom w:val="nil"/>
              <w:right w:val="nil"/>
            </w:tcBorders>
            <w:noWrap/>
            <w:vAlign w:val="center"/>
          </w:tcPr>
          <w:p w:rsidR="00B000C0" w:rsidRPr="00573DEB" w:rsidRDefault="00B000C0" w:rsidP="004B4B73">
            <w:r w:rsidRPr="00573DEB">
              <w:t>55,494</w:t>
            </w:r>
          </w:p>
        </w:tc>
        <w:tc>
          <w:tcPr>
            <w:tcW w:w="953" w:type="dxa"/>
            <w:tcBorders>
              <w:top w:val="nil"/>
              <w:left w:val="nil"/>
              <w:bottom w:val="nil"/>
              <w:right w:val="nil"/>
            </w:tcBorders>
            <w:noWrap/>
            <w:vAlign w:val="center"/>
          </w:tcPr>
          <w:p w:rsidR="00B000C0" w:rsidRPr="00573DEB" w:rsidRDefault="00B000C0" w:rsidP="004B4B73">
            <w:r w:rsidRPr="00573DEB">
              <w:t>3,859</w:t>
            </w:r>
          </w:p>
        </w:tc>
        <w:tc>
          <w:tcPr>
            <w:tcW w:w="1201" w:type="dxa"/>
            <w:tcBorders>
              <w:top w:val="nil"/>
              <w:left w:val="nil"/>
              <w:bottom w:val="nil"/>
              <w:right w:val="nil"/>
            </w:tcBorders>
            <w:vAlign w:val="center"/>
          </w:tcPr>
          <w:p w:rsidR="00B000C0" w:rsidRPr="00573DEB" w:rsidRDefault="00B000C0" w:rsidP="004B4B73">
            <w:r w:rsidRPr="00573DEB">
              <w:t>109,653</w:t>
            </w:r>
          </w:p>
        </w:tc>
        <w:tc>
          <w:tcPr>
            <w:tcW w:w="1608" w:type="dxa"/>
            <w:tcBorders>
              <w:top w:val="nil"/>
              <w:left w:val="nil"/>
              <w:bottom w:val="nil"/>
              <w:right w:val="nil"/>
            </w:tcBorders>
            <w:vAlign w:val="center"/>
          </w:tcPr>
          <w:p w:rsidR="00B000C0" w:rsidRPr="00573DEB" w:rsidRDefault="00B000C0" w:rsidP="004B4B73">
            <w:r w:rsidRPr="00573DEB">
              <w:t>45,87%</w:t>
            </w:r>
          </w:p>
        </w:tc>
      </w:tr>
      <w:tr w:rsidR="00B000C0" w:rsidRPr="00573DEB" w:rsidTr="0059212E">
        <w:trPr>
          <w:trHeight w:val="391"/>
        </w:trPr>
        <w:tc>
          <w:tcPr>
            <w:tcW w:w="1303" w:type="dxa"/>
            <w:tcBorders>
              <w:top w:val="nil"/>
              <w:left w:val="nil"/>
              <w:bottom w:val="single" w:sz="4" w:space="0" w:color="auto"/>
              <w:right w:val="nil"/>
            </w:tcBorders>
            <w:vAlign w:val="center"/>
          </w:tcPr>
          <w:p w:rsidR="00B000C0" w:rsidRPr="00573DEB" w:rsidRDefault="00B000C0" w:rsidP="004B4B73">
            <w:r w:rsidRPr="00573DEB">
              <w:t>2012</w:t>
            </w:r>
          </w:p>
        </w:tc>
        <w:tc>
          <w:tcPr>
            <w:tcW w:w="1276" w:type="dxa"/>
            <w:tcBorders>
              <w:top w:val="nil"/>
              <w:left w:val="nil"/>
              <w:bottom w:val="single" w:sz="4" w:space="0" w:color="auto"/>
              <w:right w:val="nil"/>
            </w:tcBorders>
            <w:noWrap/>
            <w:vAlign w:val="center"/>
          </w:tcPr>
          <w:p w:rsidR="00B000C0" w:rsidRPr="00573DEB" w:rsidRDefault="00B000C0" w:rsidP="004B4B73">
            <w:r w:rsidRPr="00573DEB">
              <w:t>32,094</w:t>
            </w:r>
          </w:p>
        </w:tc>
        <w:tc>
          <w:tcPr>
            <w:tcW w:w="1134" w:type="dxa"/>
            <w:tcBorders>
              <w:top w:val="nil"/>
              <w:left w:val="nil"/>
              <w:bottom w:val="single" w:sz="4" w:space="0" w:color="auto"/>
              <w:right w:val="nil"/>
            </w:tcBorders>
            <w:noWrap/>
            <w:vAlign w:val="center"/>
          </w:tcPr>
          <w:p w:rsidR="00B000C0" w:rsidRPr="00573DEB" w:rsidRDefault="00B000C0" w:rsidP="004B4B73">
            <w:r w:rsidRPr="00573DEB">
              <w:t>11,436</w:t>
            </w:r>
          </w:p>
        </w:tc>
        <w:tc>
          <w:tcPr>
            <w:tcW w:w="1320" w:type="dxa"/>
            <w:tcBorders>
              <w:top w:val="nil"/>
              <w:left w:val="nil"/>
              <w:bottom w:val="single" w:sz="4" w:space="0" w:color="auto"/>
              <w:right w:val="nil"/>
            </w:tcBorders>
            <w:noWrap/>
            <w:vAlign w:val="center"/>
          </w:tcPr>
          <w:p w:rsidR="00B000C0" w:rsidRPr="00573DEB" w:rsidRDefault="00B000C0" w:rsidP="004B4B73">
            <w:r w:rsidRPr="00573DEB">
              <w:t>46,946</w:t>
            </w:r>
          </w:p>
        </w:tc>
        <w:tc>
          <w:tcPr>
            <w:tcW w:w="953" w:type="dxa"/>
            <w:tcBorders>
              <w:top w:val="nil"/>
              <w:left w:val="nil"/>
              <w:bottom w:val="single" w:sz="4" w:space="0" w:color="auto"/>
              <w:right w:val="nil"/>
            </w:tcBorders>
            <w:noWrap/>
            <w:vAlign w:val="center"/>
          </w:tcPr>
          <w:p w:rsidR="00B000C0" w:rsidRPr="00573DEB" w:rsidRDefault="00B000C0" w:rsidP="004B4B73">
            <w:r w:rsidRPr="00573DEB">
              <w:t>14,420</w:t>
            </w:r>
          </w:p>
        </w:tc>
        <w:tc>
          <w:tcPr>
            <w:tcW w:w="1201" w:type="dxa"/>
            <w:tcBorders>
              <w:top w:val="nil"/>
              <w:left w:val="nil"/>
              <w:bottom w:val="single" w:sz="4" w:space="0" w:color="auto"/>
              <w:right w:val="nil"/>
            </w:tcBorders>
            <w:vAlign w:val="center"/>
          </w:tcPr>
          <w:p w:rsidR="00B000C0" w:rsidRPr="00573DEB" w:rsidRDefault="00B000C0" w:rsidP="004B4B73">
            <w:r w:rsidRPr="00573DEB">
              <w:t>104,896</w:t>
            </w:r>
          </w:p>
        </w:tc>
        <w:tc>
          <w:tcPr>
            <w:tcW w:w="1608" w:type="dxa"/>
            <w:tcBorders>
              <w:top w:val="nil"/>
              <w:left w:val="nil"/>
              <w:bottom w:val="single" w:sz="4" w:space="0" w:color="auto"/>
              <w:right w:val="nil"/>
            </w:tcBorders>
            <w:vAlign w:val="center"/>
          </w:tcPr>
          <w:p w:rsidR="00B000C0" w:rsidRPr="00573DEB" w:rsidRDefault="00B000C0" w:rsidP="004B4B73">
            <w:r w:rsidRPr="00573DEB">
              <w:t>41,50%</w:t>
            </w:r>
          </w:p>
        </w:tc>
      </w:tr>
    </w:tbl>
    <w:p w:rsidR="00B000C0" w:rsidRPr="00093AA4" w:rsidRDefault="00B000C0" w:rsidP="0059212E">
      <w:pPr>
        <w:pStyle w:val="Captionnotes"/>
        <w:rPr>
          <w:b/>
          <w:bCs/>
          <w:i w:val="0"/>
          <w:noProof/>
        </w:rPr>
      </w:pPr>
      <w:r w:rsidRPr="00093AA4">
        <w:rPr>
          <w:i w:val="0"/>
          <w:noProof/>
        </w:rPr>
        <w:t xml:space="preserve">Source: </w:t>
      </w:r>
      <w:r w:rsidR="00093AA4">
        <w:rPr>
          <w:i w:val="0"/>
          <w:noProof/>
        </w:rPr>
        <w:t xml:space="preserve"> </w:t>
      </w:r>
      <w:r w:rsidRPr="00093AA4">
        <w:rPr>
          <w:i w:val="0"/>
          <w:noProof/>
        </w:rPr>
        <w:t>INPI’s Statistical database (BADEPI, April 2013</w:t>
      </w:r>
      <w:r w:rsidRPr="00093AA4">
        <w:rPr>
          <w:b/>
          <w:bCs/>
          <w:i w:val="0"/>
          <w:noProof/>
        </w:rPr>
        <w:t>)</w:t>
      </w:r>
    </w:p>
    <w:p w:rsidR="00B000C0" w:rsidRDefault="00B000C0" w:rsidP="0059212E">
      <w:pPr>
        <w:rPr>
          <w:noProof/>
        </w:rPr>
      </w:pPr>
    </w:p>
    <w:p w:rsidR="00797E7B" w:rsidRDefault="00797E7B" w:rsidP="0059212E">
      <w:pPr>
        <w:rPr>
          <w:noProof/>
        </w:rPr>
      </w:pPr>
    </w:p>
    <w:p w:rsidR="00797E7B" w:rsidRPr="00573DEB" w:rsidRDefault="00797E7B" w:rsidP="00797E7B">
      <w:r w:rsidRPr="00573DEB">
        <w:t>Resident applicants may be divided in individuals and companies.  Table 6.1 shows that since 2003, about 40% or more of the companies applying for registration are micro or small enterprises, according to the classification of the Brazilian Institute of Geography and Statistics-IBGE</w:t>
      </w:r>
      <w:r w:rsidRPr="00573DEB">
        <w:rPr>
          <w:rStyle w:val="FootnoteReference"/>
        </w:rPr>
        <w:footnoteReference w:id="30"/>
      </w:r>
      <w:r w:rsidRPr="00573DEB">
        <w:t xml:space="preserve">.  </w:t>
      </w:r>
    </w:p>
    <w:p w:rsidR="00797E7B" w:rsidRPr="00573DEB" w:rsidRDefault="00797E7B" w:rsidP="00797E7B"/>
    <w:p w:rsidR="0059212E" w:rsidRPr="00573DEB" w:rsidRDefault="0059212E" w:rsidP="0059212E">
      <w:pPr>
        <w:rPr>
          <w:noProof/>
        </w:rPr>
      </w:pPr>
    </w:p>
    <w:p w:rsidR="00B000C0" w:rsidRPr="00573DEB" w:rsidRDefault="000C6B94" w:rsidP="0059212E">
      <w:pPr>
        <w:pStyle w:val="Caption"/>
      </w:pPr>
      <w:bookmarkStart w:id="119" w:name="_Toc378267971"/>
      <w:r>
        <w:t xml:space="preserve">Figure 6.5:  </w:t>
      </w:r>
      <w:r w:rsidR="00B000C0" w:rsidRPr="00573DEB">
        <w:t>Trademark applications by country, 2000-2012</w:t>
      </w:r>
      <w:bookmarkEnd w:id="119"/>
    </w:p>
    <w:p w:rsidR="00B000C0" w:rsidRPr="00573DEB" w:rsidRDefault="00B000C0" w:rsidP="004B4B73">
      <w:r w:rsidRPr="00573DEB">
        <w:rPr>
          <w:noProof/>
        </w:rPr>
        <w:drawing>
          <wp:inline distT="0" distB="0" distL="0" distR="0" wp14:anchorId="23043CD3" wp14:editId="749E2013">
            <wp:extent cx="5732780" cy="2456815"/>
            <wp:effectExtent l="0" t="0" r="1270" b="635"/>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57"/>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2780" cy="2456815"/>
                    </a:xfrm>
                    <a:prstGeom prst="rect">
                      <a:avLst/>
                    </a:prstGeom>
                    <a:noFill/>
                    <a:ln>
                      <a:noFill/>
                    </a:ln>
                  </pic:spPr>
                </pic:pic>
              </a:graphicData>
            </a:graphic>
          </wp:inline>
        </w:drawing>
      </w:r>
    </w:p>
    <w:p w:rsidR="00B000C0" w:rsidRPr="00093AA4" w:rsidRDefault="00B000C0" w:rsidP="00FA62CB">
      <w:pPr>
        <w:pStyle w:val="Captionnotes"/>
        <w:rPr>
          <w:b/>
          <w:bCs/>
          <w:i w:val="0"/>
        </w:rPr>
      </w:pPr>
      <w:r w:rsidRPr="00093AA4">
        <w:rPr>
          <w:i w:val="0"/>
          <w:noProof/>
        </w:rPr>
        <w:t>Source:</w:t>
      </w:r>
      <w:r w:rsidR="00093AA4">
        <w:rPr>
          <w:i w:val="0"/>
          <w:noProof/>
        </w:rPr>
        <w:t xml:space="preserve"> </w:t>
      </w:r>
      <w:r w:rsidRPr="00093AA4">
        <w:rPr>
          <w:i w:val="0"/>
          <w:noProof/>
        </w:rPr>
        <w:t xml:space="preserve"> INPI’s Statistical database (BADEPI, April 2013)</w:t>
      </w:r>
    </w:p>
    <w:p w:rsidR="0059212E" w:rsidRPr="00573DEB" w:rsidRDefault="0059212E" w:rsidP="00797E7B">
      <w:pPr>
        <w:rPr>
          <w:noProof/>
        </w:rPr>
      </w:pPr>
    </w:p>
    <w:p w:rsidR="0059212E" w:rsidRPr="00573DEB" w:rsidRDefault="0059212E" w:rsidP="0059212E">
      <w:pPr>
        <w:rPr>
          <w:noProof/>
        </w:rPr>
      </w:pPr>
    </w:p>
    <w:p w:rsidR="0059212E" w:rsidRPr="00573DEB" w:rsidRDefault="0059212E" w:rsidP="0059212E">
      <w:pPr>
        <w:pStyle w:val="Heading2"/>
      </w:pPr>
      <w:bookmarkStart w:id="120" w:name="_Toc373369846"/>
      <w:bookmarkStart w:id="121" w:name="_Toc388619939"/>
      <w:r w:rsidRPr="00573DEB">
        <w:t xml:space="preserve">Trademarks by </w:t>
      </w:r>
      <w:bookmarkEnd w:id="120"/>
      <w:bookmarkEnd w:id="121"/>
      <w:r w:rsidRPr="00573DEB">
        <w:t>country of origin</w:t>
      </w:r>
    </w:p>
    <w:p w:rsidR="0059212E" w:rsidRPr="00573DEB" w:rsidRDefault="0059212E" w:rsidP="0059212E"/>
    <w:p w:rsidR="0059212E" w:rsidRPr="00573DEB" w:rsidRDefault="0059212E" w:rsidP="0059212E">
      <w:r w:rsidRPr="00573DEB">
        <w:t xml:space="preserve">Concerning applications broken down by country of origin, non-residents applications accounted for 18% during the period.  Figure 6.5 presents the share of applications from the countries that were the most representative: United States (5%), Germany (2%) and France, Switzerland, United Kingdom, Japan, Italy and Spain </w:t>
      </w:r>
      <w:r w:rsidR="00334CC6" w:rsidRPr="00573DEB">
        <w:t>(</w:t>
      </w:r>
      <w:r w:rsidRPr="00573DEB">
        <w:t xml:space="preserve">1% each).  </w:t>
      </w:r>
    </w:p>
    <w:p w:rsidR="0059212E" w:rsidRPr="00573DEB" w:rsidRDefault="0059212E" w:rsidP="004B4B73">
      <w:pPr>
        <w:rPr>
          <w:noProof/>
        </w:rPr>
      </w:pPr>
    </w:p>
    <w:p w:rsidR="0059212E" w:rsidRPr="00573DEB" w:rsidRDefault="0059212E" w:rsidP="004B4B73">
      <w:pPr>
        <w:rPr>
          <w:noProof/>
        </w:rPr>
      </w:pPr>
    </w:p>
    <w:p w:rsidR="00B000C0" w:rsidRPr="00573DEB" w:rsidRDefault="0059212E" w:rsidP="0059212E">
      <w:pPr>
        <w:pStyle w:val="Heading2"/>
      </w:pPr>
      <w:bookmarkStart w:id="122" w:name="_Toc373369847"/>
      <w:bookmarkStart w:id="123" w:name="_Toc388619940"/>
      <w:r w:rsidRPr="00573DEB">
        <w:t>Trademarks b</w:t>
      </w:r>
      <w:r w:rsidR="00B000C0" w:rsidRPr="00573DEB">
        <w:t>y Brazilian states</w:t>
      </w:r>
      <w:bookmarkEnd w:id="122"/>
      <w:bookmarkEnd w:id="123"/>
      <w:r w:rsidR="00B000C0" w:rsidRPr="00573DEB">
        <w:t xml:space="preserve"> </w:t>
      </w:r>
    </w:p>
    <w:p w:rsidR="00B000C0" w:rsidRPr="00573DEB" w:rsidRDefault="00B000C0" w:rsidP="004B4B73"/>
    <w:p w:rsidR="00B000C0" w:rsidRPr="00573DEB" w:rsidRDefault="00B000C0" w:rsidP="004B4B73">
      <w:r w:rsidRPr="00573DEB">
        <w:t xml:space="preserve">Figure 6.6 shows that, between 2000 and 2012, the distribution of applications by state was concentrated in two groups: the first is composed by the states of São Paulo (SP), Minas </w:t>
      </w:r>
      <w:proofErr w:type="spellStart"/>
      <w:r w:rsidRPr="00573DEB">
        <w:t>Gerais</w:t>
      </w:r>
      <w:proofErr w:type="spellEnd"/>
      <w:r w:rsidRPr="00573DEB">
        <w:t xml:space="preserve"> (MG) and Rio de Janeiro (RJ), all located in the southeastern region, with approximately 60% of applications; in the second group come the States of Paraná (PR), Rio Grande do </w:t>
      </w:r>
      <w:proofErr w:type="spellStart"/>
      <w:r w:rsidRPr="00573DEB">
        <w:t>Sul</w:t>
      </w:r>
      <w:proofErr w:type="spellEnd"/>
      <w:r w:rsidRPr="00573DEB">
        <w:t xml:space="preserve"> (RS) and Santa Catarina (SC), from the south region, representing 20% of applications</w:t>
      </w:r>
      <w:r w:rsidR="004B4B73" w:rsidRPr="00573DEB">
        <w:t xml:space="preserve">.  </w:t>
      </w:r>
      <w:r w:rsidRPr="00573DEB">
        <w:t>The similarity between the regional profile of trademark and the distribution of wealth in the country can be observed when comparing the participation of these States in Brazil's GDP in 2012, according to data from the Brazilian Institute of Geography and Statistics-IBGE</w:t>
      </w:r>
      <w:r w:rsidR="004B4B73" w:rsidRPr="00573DEB">
        <w:t xml:space="preserve">.  </w:t>
      </w:r>
      <w:r w:rsidRPr="00573DEB">
        <w:t xml:space="preserve">São Paulo (SP), Rio de Janeiro (RJ) and Minas </w:t>
      </w:r>
      <w:proofErr w:type="spellStart"/>
      <w:r w:rsidRPr="00573DEB">
        <w:t>Gerais</w:t>
      </w:r>
      <w:proofErr w:type="spellEnd"/>
      <w:r w:rsidRPr="00573DEB">
        <w:t xml:space="preserve"> (MG) generated, together, around 50% of Brazil's GDP, while Paraná (PR), Rio Grande do </w:t>
      </w:r>
      <w:proofErr w:type="spellStart"/>
      <w:r w:rsidRPr="00573DEB">
        <w:t>Sul</w:t>
      </w:r>
      <w:proofErr w:type="spellEnd"/>
      <w:r w:rsidRPr="00573DEB">
        <w:t xml:space="preserve"> (RS) and Santa Catarina (SC) participated with approximately 16%.</w:t>
      </w:r>
    </w:p>
    <w:p w:rsidR="00B000C0" w:rsidRPr="00573DEB" w:rsidRDefault="00B000C0" w:rsidP="004B4B73"/>
    <w:p w:rsidR="00FA62CB" w:rsidRPr="00573DEB" w:rsidRDefault="00FA62CB" w:rsidP="004B4B73"/>
    <w:p w:rsidR="00B000C0" w:rsidRPr="00573DEB" w:rsidRDefault="000C6B94" w:rsidP="0059212E">
      <w:pPr>
        <w:pStyle w:val="Caption"/>
        <w:rPr>
          <w:lang w:eastAsia="x-none"/>
        </w:rPr>
      </w:pPr>
      <w:bookmarkStart w:id="124" w:name="_Toc378267972"/>
      <w:r>
        <w:t xml:space="preserve">Figure 6.6:  </w:t>
      </w:r>
      <w:r w:rsidR="00B000C0" w:rsidRPr="00573DEB">
        <w:t>Trademark applications by state of origin, 2000-2012</w:t>
      </w:r>
      <w:bookmarkEnd w:id="124"/>
    </w:p>
    <w:p w:rsidR="00B000C0" w:rsidRPr="00573DEB" w:rsidRDefault="00B000C0" w:rsidP="0059212E">
      <w:pPr>
        <w:pStyle w:val="Captionnotes"/>
      </w:pPr>
      <w:r w:rsidRPr="00573DEB">
        <w:rPr>
          <w:noProof/>
        </w:rPr>
        <w:drawing>
          <wp:inline distT="0" distB="0" distL="0" distR="0" wp14:anchorId="7141664C" wp14:editId="74FE52F0">
            <wp:extent cx="5629275" cy="2221230"/>
            <wp:effectExtent l="0" t="0" r="9525" b="762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2"/>
                    <pic:cNvPicPr>
                      <a:picLocks noChangeArrowheads="1"/>
                    </pic:cNvPicPr>
                  </pic:nvPicPr>
                  <pic:blipFill>
                    <a:blip r:embed="rId47">
                      <a:extLst>
                        <a:ext uri="{28A0092B-C50C-407E-A947-70E740481C1C}">
                          <a14:useLocalDpi xmlns:a14="http://schemas.microsoft.com/office/drawing/2010/main" val="0"/>
                        </a:ext>
                      </a:extLst>
                    </a:blip>
                    <a:srcRect b="-56"/>
                    <a:stretch>
                      <a:fillRect/>
                    </a:stretch>
                  </pic:blipFill>
                  <pic:spPr bwMode="auto">
                    <a:xfrm>
                      <a:off x="0" y="0"/>
                      <a:ext cx="5629275" cy="2221230"/>
                    </a:xfrm>
                    <a:prstGeom prst="rect">
                      <a:avLst/>
                    </a:prstGeom>
                    <a:noFill/>
                    <a:ln>
                      <a:noFill/>
                    </a:ln>
                  </pic:spPr>
                </pic:pic>
              </a:graphicData>
            </a:graphic>
          </wp:inline>
        </w:drawing>
      </w:r>
      <w:r w:rsidRPr="00573DEB">
        <w:t xml:space="preserve">Source: </w:t>
      </w:r>
      <w:r w:rsidRPr="00156225">
        <w:rPr>
          <w:i w:val="0"/>
        </w:rPr>
        <w:t>INPI’s Statistical database (BADEPI, April 2013)</w:t>
      </w:r>
    </w:p>
    <w:p w:rsidR="0059212E" w:rsidRPr="00573DEB" w:rsidRDefault="0059212E" w:rsidP="004B4B73"/>
    <w:p w:rsidR="0059212E" w:rsidRPr="00573DEB" w:rsidRDefault="0059212E" w:rsidP="004B4B73"/>
    <w:p w:rsidR="00B000C0" w:rsidRPr="00573DEB" w:rsidRDefault="0059212E" w:rsidP="0059212E">
      <w:pPr>
        <w:pStyle w:val="Heading2"/>
      </w:pPr>
      <w:bookmarkStart w:id="125" w:name="_Toc373369848"/>
      <w:bookmarkStart w:id="126" w:name="_Toc388619941"/>
      <w:r w:rsidRPr="00573DEB">
        <w:t>Trademarks by p</w:t>
      </w:r>
      <w:r w:rsidR="00B000C0" w:rsidRPr="00573DEB">
        <w:t xml:space="preserve">roducts and </w:t>
      </w:r>
      <w:r w:rsidRPr="00573DEB">
        <w:t>s</w:t>
      </w:r>
      <w:r w:rsidR="00B000C0" w:rsidRPr="00573DEB">
        <w:t xml:space="preserve">ervices </w:t>
      </w:r>
      <w:r w:rsidRPr="00573DEB">
        <w:t>c</w:t>
      </w:r>
      <w:r w:rsidR="00B000C0" w:rsidRPr="00573DEB">
        <w:t>lassification</w:t>
      </w:r>
      <w:bookmarkEnd w:id="125"/>
      <w:bookmarkEnd w:id="126"/>
    </w:p>
    <w:p w:rsidR="00B000C0" w:rsidRPr="00573DEB" w:rsidRDefault="00B000C0" w:rsidP="004B4B73"/>
    <w:p w:rsidR="00B000C0" w:rsidRPr="00573DEB" w:rsidRDefault="00B000C0" w:rsidP="004B4B73">
      <w:r w:rsidRPr="00573DEB">
        <w:t>The analysis of the applications by classes of products and services, established by the Nice Classification, allows the establishment of a sectorial pattern of the applications</w:t>
      </w:r>
      <w:r w:rsidR="004B4B73" w:rsidRPr="00573DEB">
        <w:t xml:space="preserve">.  </w:t>
      </w:r>
      <w:r w:rsidRPr="00573DEB">
        <w:t>Figure 6.7 shows the distribution by sector of accumulated applications between 2000 and 2012</w:t>
      </w:r>
      <w:r w:rsidR="004B4B73" w:rsidRPr="00573DEB">
        <w:t xml:space="preserve">.  </w:t>
      </w:r>
      <w:r w:rsidRPr="00573DEB">
        <w:t>In the case of trademarks for products, the following classes may be highlighted: class 3 (cleaning products, cosmetics, perfumes, etc.), class 5 (medicines, pharmaceutical and veterinary products, dietetic food, products for medicinal or veterinary use, etc.), class 9 (computers, computer programs, apparatus for recording, transmitting or reproducing sound and images, telephone devices, etc.), class 16 (paper, printed material, stationery, etc.), class 25 (clothing) and class 30 (staple foods)</w:t>
      </w:r>
      <w:r w:rsidR="004B4B73" w:rsidRPr="00573DEB">
        <w:t xml:space="preserve">.  </w:t>
      </w:r>
    </w:p>
    <w:p w:rsidR="00B000C0" w:rsidRDefault="00B000C0" w:rsidP="004B4B73"/>
    <w:p w:rsidR="00797E7B" w:rsidRPr="00573DEB" w:rsidRDefault="00797E7B" w:rsidP="00797E7B">
      <w:r w:rsidRPr="00573DEB">
        <w:t xml:space="preserve">In the case of service marks, there is a concentration of applications in class 35, which includes marks of services </w:t>
      </w:r>
      <w:r w:rsidR="00156225">
        <w:t xml:space="preserve">related to the trade of goods, </w:t>
      </w:r>
      <w:r w:rsidRPr="00573DEB">
        <w:t xml:space="preserve">as well as trademarks of advertising and business management services.  Class 41 appears as the second most demanded, used mainly in the areas of education, entertainment and sporting and cultural activities.  Class 42 follows as the third most demanded, which includes technological and scientific services, scientific research and software development services.  </w:t>
      </w:r>
    </w:p>
    <w:p w:rsidR="00797E7B" w:rsidRPr="00573DEB" w:rsidRDefault="00797E7B" w:rsidP="00797E7B"/>
    <w:p w:rsidR="00797E7B" w:rsidRPr="00573DEB" w:rsidRDefault="00797E7B" w:rsidP="00797E7B">
      <w:r w:rsidRPr="00573DEB">
        <w:t xml:space="preserve">In fact, the distribution of applications of marks to distinguish products and services appears relatively balanced, since, between 2000 and 2012, the marks for products represented about 48% of applications, while marks for services represented around 52%.  </w:t>
      </w:r>
    </w:p>
    <w:p w:rsidR="00797E7B" w:rsidRPr="00573DEB" w:rsidRDefault="00797E7B" w:rsidP="00797E7B"/>
    <w:p w:rsidR="00797E7B" w:rsidRPr="00573DEB" w:rsidRDefault="00797E7B" w:rsidP="00797E7B">
      <w:r w:rsidRPr="00573DEB">
        <w:t xml:space="preserve">However, the distribution of applications by product or service has changed, from a predominance of the classes of products, in 2004, to a balanced distribution among trademark for products and for services.  From 2005 onwards, the demand for service marks had an upward trend, as illustrated by Figure 6.8.  </w:t>
      </w:r>
    </w:p>
    <w:p w:rsidR="00797E7B" w:rsidRPr="00573DEB" w:rsidRDefault="00797E7B" w:rsidP="00797E7B">
      <w:pPr>
        <w:rPr>
          <w:noProof/>
        </w:rPr>
      </w:pPr>
    </w:p>
    <w:p w:rsidR="00797E7B" w:rsidRPr="00573DEB" w:rsidRDefault="00797E7B" w:rsidP="00797E7B">
      <w:r w:rsidRPr="00573DEB">
        <w:t xml:space="preserve">The ranking of the ten most demanded classes between 2000 and 2012 ratifies the trend regarding service marks, as provided in Table 6.2.  </w:t>
      </w:r>
    </w:p>
    <w:p w:rsidR="00797E7B" w:rsidRPr="00573DEB" w:rsidRDefault="00797E7B" w:rsidP="00797E7B"/>
    <w:p w:rsidR="00797E7B" w:rsidRPr="00573DEB" w:rsidRDefault="00797E7B" w:rsidP="00797E7B">
      <w:r w:rsidRPr="00573DEB">
        <w:t xml:space="preserve">Additionally, using a methodology developed by WIPO, it is possible to identify the main sectors of economic activity in which trademarks are applied for in Brazil.  By this method, the Nice classes are associated with different economic activities, with the following configuration: </w:t>
      </w:r>
      <w:r w:rsidR="00156225">
        <w:t xml:space="preserve"> </w:t>
      </w:r>
      <w:r w:rsidRPr="00573DEB">
        <w:t>Food products and services – classes 29, 30, 31, 32, 33, 43; Chemicals – classes 1, 2, 4; Construction, infrastructure – classes 6, 17, 19, 37, 40; Household equipment – classes 8, 141, 20, 21; Education, training and leisure -classes 13, 15, 16, 28, 41; Financial services and real estate, business management, advertising - class 35; Health products and services; Cosmetics; Veterinary products – classes 3, 5, 10, 44; Information technology and scientific research – classes 9, 38, 42, 45; Textiles, apparel and clothing accessories – classes 14, 18, 22, 23, 24, 25, 26, 27, 34; Transport and logistics – classes 7, 12, 39.</w:t>
      </w:r>
    </w:p>
    <w:p w:rsidR="00797E7B" w:rsidRPr="00573DEB" w:rsidRDefault="00797E7B" w:rsidP="004B4B73"/>
    <w:p w:rsidR="00B000C0" w:rsidRPr="00573DEB" w:rsidRDefault="000C6B94" w:rsidP="0059212E">
      <w:pPr>
        <w:pStyle w:val="Caption"/>
      </w:pPr>
      <w:bookmarkStart w:id="127" w:name="_Toc378267973"/>
      <w:r>
        <w:t xml:space="preserve">Figure 6.7:  </w:t>
      </w:r>
      <w:r w:rsidR="00B000C0" w:rsidRPr="00573DEB">
        <w:t>Trademark applications by Nice Classes, 2000-2012</w:t>
      </w:r>
      <w:bookmarkEnd w:id="127"/>
    </w:p>
    <w:p w:rsidR="00B000C0" w:rsidRPr="00573DEB" w:rsidRDefault="00B000C0" w:rsidP="004B4B73">
      <w:r w:rsidRPr="00573DEB">
        <w:rPr>
          <w:noProof/>
        </w:rPr>
        <w:drawing>
          <wp:inline distT="0" distB="0" distL="0" distR="0" wp14:anchorId="5BC0BF97" wp14:editId="0C82EE2F">
            <wp:extent cx="5582093" cy="7219507"/>
            <wp:effectExtent l="0" t="0" r="0" b="635"/>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3"/>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1981" cy="7219362"/>
                    </a:xfrm>
                    <a:prstGeom prst="rect">
                      <a:avLst/>
                    </a:prstGeom>
                    <a:noFill/>
                    <a:ln>
                      <a:noFill/>
                    </a:ln>
                  </pic:spPr>
                </pic:pic>
              </a:graphicData>
            </a:graphic>
          </wp:inline>
        </w:drawing>
      </w:r>
    </w:p>
    <w:p w:rsidR="00B000C0" w:rsidRPr="00156225" w:rsidRDefault="00B000C0" w:rsidP="00931037">
      <w:pPr>
        <w:pStyle w:val="Captionnotes"/>
        <w:rPr>
          <w:i w:val="0"/>
        </w:rPr>
      </w:pPr>
      <w:r w:rsidRPr="00156225">
        <w:rPr>
          <w:i w:val="0"/>
        </w:rPr>
        <w:t xml:space="preserve"> Source:</w:t>
      </w:r>
      <w:r w:rsidR="00156225">
        <w:rPr>
          <w:i w:val="0"/>
        </w:rPr>
        <w:t xml:space="preserve"> </w:t>
      </w:r>
      <w:r w:rsidRPr="00156225">
        <w:rPr>
          <w:i w:val="0"/>
        </w:rPr>
        <w:t xml:space="preserve"> INPI’s Statistical database (BADEPI, April 2013)</w:t>
      </w:r>
    </w:p>
    <w:p w:rsidR="00B000C0" w:rsidRPr="00573DEB" w:rsidRDefault="00B000C0" w:rsidP="004B4B73">
      <w:pPr>
        <w:rPr>
          <w:noProof/>
          <w:lang w:eastAsia="pt-BR"/>
        </w:rPr>
      </w:pPr>
    </w:p>
    <w:p w:rsidR="00B000C0" w:rsidRPr="00573DEB" w:rsidRDefault="00B000C0" w:rsidP="004B4B73"/>
    <w:p w:rsidR="00B000C0" w:rsidRPr="00573DEB" w:rsidRDefault="000C6B94" w:rsidP="005967B3">
      <w:pPr>
        <w:pStyle w:val="Caption"/>
      </w:pPr>
      <w:bookmarkStart w:id="128" w:name="_Toc378267974"/>
      <w:r>
        <w:t xml:space="preserve">Figure 6.8:  </w:t>
      </w:r>
      <w:r w:rsidR="00B000C0" w:rsidRPr="00573DEB">
        <w:t>Trademark applications by products and services classes, 2000-2012</w:t>
      </w:r>
      <w:bookmarkEnd w:id="128"/>
    </w:p>
    <w:p w:rsidR="00B000C0" w:rsidRPr="00573DEB" w:rsidRDefault="00B000C0" w:rsidP="004B4B73">
      <w:r w:rsidRPr="00573DEB">
        <w:rPr>
          <w:noProof/>
        </w:rPr>
        <w:drawing>
          <wp:inline distT="0" distB="0" distL="0" distR="0" wp14:anchorId="15F82AE3" wp14:editId="6C920793">
            <wp:extent cx="5716905" cy="28784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49">
                      <a:extLst>
                        <a:ext uri="{28A0092B-C50C-407E-A947-70E740481C1C}">
                          <a14:useLocalDpi xmlns:a14="http://schemas.microsoft.com/office/drawing/2010/main" val="0"/>
                        </a:ext>
                      </a:extLst>
                    </a:blip>
                    <a:srcRect b="-66"/>
                    <a:stretch>
                      <a:fillRect/>
                    </a:stretch>
                  </pic:blipFill>
                  <pic:spPr bwMode="auto">
                    <a:xfrm>
                      <a:off x="0" y="0"/>
                      <a:ext cx="5716905" cy="2878455"/>
                    </a:xfrm>
                    <a:prstGeom prst="rect">
                      <a:avLst/>
                    </a:prstGeom>
                    <a:noFill/>
                    <a:ln>
                      <a:noFill/>
                    </a:ln>
                  </pic:spPr>
                </pic:pic>
              </a:graphicData>
            </a:graphic>
          </wp:inline>
        </w:drawing>
      </w:r>
    </w:p>
    <w:p w:rsidR="00B000C0" w:rsidRPr="00156225" w:rsidRDefault="00B000C0" w:rsidP="005967B3">
      <w:pPr>
        <w:pStyle w:val="Captionnotes"/>
        <w:rPr>
          <w:i w:val="0"/>
        </w:rPr>
      </w:pPr>
      <w:r w:rsidRPr="00156225">
        <w:rPr>
          <w:i w:val="0"/>
        </w:rPr>
        <w:t xml:space="preserve">Source: </w:t>
      </w:r>
      <w:r w:rsidR="00156225">
        <w:rPr>
          <w:i w:val="0"/>
        </w:rPr>
        <w:t xml:space="preserve"> </w:t>
      </w:r>
      <w:r w:rsidRPr="00156225">
        <w:rPr>
          <w:i w:val="0"/>
        </w:rPr>
        <w:t>INPI’s Statistical database (BADEPI, April 2013)</w:t>
      </w:r>
    </w:p>
    <w:p w:rsidR="00B000C0" w:rsidRPr="00573DEB" w:rsidRDefault="00B000C0" w:rsidP="004B4B73">
      <w:pPr>
        <w:rPr>
          <w:noProof/>
        </w:rPr>
      </w:pPr>
    </w:p>
    <w:p w:rsidR="005967B3" w:rsidRPr="00573DEB" w:rsidRDefault="005967B3" w:rsidP="005967B3"/>
    <w:p w:rsidR="00B000C0" w:rsidRPr="00573DEB" w:rsidRDefault="005967B3" w:rsidP="005967B3">
      <w:pPr>
        <w:pStyle w:val="Caption"/>
      </w:pPr>
      <w:bookmarkStart w:id="129" w:name="_Toc378268002"/>
      <w:r w:rsidRPr="00573DEB">
        <w:t>T</w:t>
      </w:r>
      <w:r w:rsidR="000C6B94">
        <w:t xml:space="preserve">able 6.2:  </w:t>
      </w:r>
      <w:r w:rsidR="00B000C0" w:rsidRPr="00573DEB">
        <w:t>Top 10 Nice classes – Trademarks, 2000-2012</w:t>
      </w:r>
      <w:bookmarkEnd w:id="129"/>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738"/>
        <w:gridCol w:w="4323"/>
        <w:gridCol w:w="1527"/>
        <w:gridCol w:w="1260"/>
      </w:tblGrid>
      <w:tr w:rsidR="00B000C0" w:rsidRPr="00573DEB" w:rsidTr="005967B3">
        <w:trPr>
          <w:trHeight w:val="20"/>
        </w:trPr>
        <w:tc>
          <w:tcPr>
            <w:tcW w:w="738"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Rank</w:t>
            </w:r>
          </w:p>
        </w:tc>
        <w:tc>
          <w:tcPr>
            <w:tcW w:w="4323"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Nice class</w:t>
            </w:r>
          </w:p>
        </w:tc>
        <w:tc>
          <w:tcPr>
            <w:tcW w:w="1527"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Number of applications</w:t>
            </w:r>
          </w:p>
        </w:tc>
        <w:tc>
          <w:tcPr>
            <w:tcW w:w="1260"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Share</w:t>
            </w:r>
          </w:p>
        </w:tc>
      </w:tr>
      <w:tr w:rsidR="00B000C0" w:rsidRPr="00573DEB" w:rsidTr="005967B3">
        <w:trPr>
          <w:trHeight w:val="20"/>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1</w:t>
            </w:r>
          </w:p>
        </w:tc>
        <w:tc>
          <w:tcPr>
            <w:tcW w:w="4323"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35 – Advertising and Business</w:t>
            </w:r>
          </w:p>
        </w:tc>
        <w:tc>
          <w:tcPr>
            <w:tcW w:w="1527"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260.645</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17,86%</w:t>
            </w:r>
          </w:p>
        </w:tc>
      </w:tr>
      <w:tr w:rsidR="00B000C0" w:rsidRPr="00573DEB" w:rsidTr="005967B3">
        <w:trPr>
          <w:trHeight w:val="20"/>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2</w:t>
            </w:r>
          </w:p>
        </w:tc>
        <w:tc>
          <w:tcPr>
            <w:tcW w:w="4323"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41- Education; Entertainment</w:t>
            </w:r>
          </w:p>
        </w:tc>
        <w:tc>
          <w:tcPr>
            <w:tcW w:w="1527"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152.866</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10,47%</w:t>
            </w:r>
          </w:p>
        </w:tc>
      </w:tr>
      <w:tr w:rsidR="00B000C0" w:rsidRPr="00573DEB" w:rsidTr="005967B3">
        <w:trPr>
          <w:trHeight w:val="20"/>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3</w:t>
            </w:r>
          </w:p>
        </w:tc>
        <w:tc>
          <w:tcPr>
            <w:tcW w:w="4323"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 xml:space="preserve">25 - Clothing </w:t>
            </w:r>
          </w:p>
        </w:tc>
        <w:tc>
          <w:tcPr>
            <w:tcW w:w="1527"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93.516</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6,41%</w:t>
            </w:r>
          </w:p>
        </w:tc>
      </w:tr>
      <w:tr w:rsidR="00B000C0" w:rsidRPr="00573DEB" w:rsidTr="005967B3">
        <w:trPr>
          <w:trHeight w:val="20"/>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4</w:t>
            </w:r>
          </w:p>
        </w:tc>
        <w:tc>
          <w:tcPr>
            <w:tcW w:w="4323"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42 – Computer and Scientific Research</w:t>
            </w:r>
          </w:p>
        </w:tc>
        <w:tc>
          <w:tcPr>
            <w:tcW w:w="1527"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77.102</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5,28%</w:t>
            </w:r>
          </w:p>
        </w:tc>
      </w:tr>
      <w:tr w:rsidR="00B000C0" w:rsidRPr="00573DEB" w:rsidTr="005967B3">
        <w:trPr>
          <w:trHeight w:val="20"/>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5</w:t>
            </w:r>
          </w:p>
        </w:tc>
        <w:tc>
          <w:tcPr>
            <w:tcW w:w="4323"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 xml:space="preserve">9 – </w:t>
            </w:r>
            <w:proofErr w:type="spellStart"/>
            <w:r w:rsidRPr="00573DEB">
              <w:rPr>
                <w:rFonts w:ascii="Arial Narrow" w:hAnsi="Arial Narrow"/>
              </w:rPr>
              <w:t>Eletrical</w:t>
            </w:r>
            <w:proofErr w:type="spellEnd"/>
            <w:r w:rsidRPr="00573DEB">
              <w:rPr>
                <w:rFonts w:ascii="Arial Narrow" w:hAnsi="Arial Narrow"/>
              </w:rPr>
              <w:t xml:space="preserve"> and Scientific Apparatus</w:t>
            </w:r>
          </w:p>
        </w:tc>
        <w:tc>
          <w:tcPr>
            <w:tcW w:w="1527"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68.739</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4,71%</w:t>
            </w:r>
          </w:p>
        </w:tc>
      </w:tr>
      <w:tr w:rsidR="00B000C0" w:rsidRPr="00573DEB" w:rsidTr="005967B3">
        <w:trPr>
          <w:trHeight w:val="20"/>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6</w:t>
            </w:r>
          </w:p>
        </w:tc>
        <w:tc>
          <w:tcPr>
            <w:tcW w:w="4323"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16 – Paper Goods and Printed Matter</w:t>
            </w:r>
          </w:p>
        </w:tc>
        <w:tc>
          <w:tcPr>
            <w:tcW w:w="1527"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58.715</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4,02%</w:t>
            </w:r>
          </w:p>
        </w:tc>
      </w:tr>
      <w:tr w:rsidR="00B000C0" w:rsidRPr="00573DEB" w:rsidTr="005967B3">
        <w:trPr>
          <w:trHeight w:val="20"/>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7</w:t>
            </w:r>
          </w:p>
        </w:tc>
        <w:tc>
          <w:tcPr>
            <w:tcW w:w="4323"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5 – Pharmaceutical Products</w:t>
            </w:r>
          </w:p>
        </w:tc>
        <w:tc>
          <w:tcPr>
            <w:tcW w:w="1527"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56.837</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3,89%</w:t>
            </w:r>
          </w:p>
        </w:tc>
      </w:tr>
      <w:tr w:rsidR="00B000C0" w:rsidRPr="00573DEB" w:rsidTr="005967B3">
        <w:trPr>
          <w:trHeight w:val="20"/>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8</w:t>
            </w:r>
          </w:p>
        </w:tc>
        <w:tc>
          <w:tcPr>
            <w:tcW w:w="4323"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3 – Cosmetics and Cleaning Preparations</w:t>
            </w:r>
          </w:p>
        </w:tc>
        <w:tc>
          <w:tcPr>
            <w:tcW w:w="1527"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53.051</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3,64%</w:t>
            </w:r>
          </w:p>
        </w:tc>
      </w:tr>
      <w:tr w:rsidR="00B000C0" w:rsidRPr="00573DEB" w:rsidTr="005967B3">
        <w:trPr>
          <w:trHeight w:val="20"/>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9</w:t>
            </w:r>
          </w:p>
        </w:tc>
        <w:tc>
          <w:tcPr>
            <w:tcW w:w="4323"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30 – Food Staples</w:t>
            </w:r>
          </w:p>
        </w:tc>
        <w:tc>
          <w:tcPr>
            <w:tcW w:w="1527"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51.772</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3,55%</w:t>
            </w:r>
          </w:p>
        </w:tc>
      </w:tr>
      <w:tr w:rsidR="00B000C0" w:rsidRPr="00573DEB" w:rsidTr="005967B3">
        <w:trPr>
          <w:trHeight w:val="20"/>
        </w:trPr>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10</w:t>
            </w:r>
          </w:p>
        </w:tc>
        <w:tc>
          <w:tcPr>
            <w:tcW w:w="4323"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37 – Building Construction and Repair</w:t>
            </w:r>
          </w:p>
        </w:tc>
        <w:tc>
          <w:tcPr>
            <w:tcW w:w="1527"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51.046</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3,50%</w:t>
            </w:r>
          </w:p>
        </w:tc>
      </w:tr>
      <w:tr w:rsidR="00B000C0" w:rsidRPr="00573DEB" w:rsidTr="005967B3">
        <w:trPr>
          <w:trHeight w:val="20"/>
        </w:trPr>
        <w:tc>
          <w:tcPr>
            <w:tcW w:w="506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Total</w:t>
            </w:r>
          </w:p>
        </w:tc>
        <w:tc>
          <w:tcPr>
            <w:tcW w:w="1527"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924.289</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63,33%</w:t>
            </w:r>
          </w:p>
        </w:tc>
      </w:tr>
    </w:tbl>
    <w:p w:rsidR="00B000C0" w:rsidRPr="00156225" w:rsidRDefault="00B000C0" w:rsidP="005967B3">
      <w:pPr>
        <w:pStyle w:val="Captionnotes"/>
        <w:rPr>
          <w:i w:val="0"/>
        </w:rPr>
      </w:pPr>
      <w:r w:rsidRPr="00156225">
        <w:rPr>
          <w:i w:val="0"/>
        </w:rPr>
        <w:t xml:space="preserve">Source: </w:t>
      </w:r>
      <w:r w:rsidR="00156225">
        <w:rPr>
          <w:i w:val="0"/>
        </w:rPr>
        <w:t xml:space="preserve"> </w:t>
      </w:r>
      <w:r w:rsidRPr="00156225">
        <w:rPr>
          <w:i w:val="0"/>
        </w:rPr>
        <w:t>INPI’s Statistical database (BADEPI, April 2013)</w:t>
      </w:r>
    </w:p>
    <w:p w:rsidR="00B000C0" w:rsidRPr="00573DEB" w:rsidRDefault="00B000C0" w:rsidP="004B4B73">
      <w:pPr>
        <w:rPr>
          <w:noProof/>
        </w:rPr>
      </w:pPr>
    </w:p>
    <w:p w:rsidR="00797E7B" w:rsidRPr="00573DEB" w:rsidRDefault="00797E7B" w:rsidP="00797E7B">
      <w:r w:rsidRPr="00573DEB">
        <w:t xml:space="preserve">Figure 6.9 provides a division of the main sectors of activities that applied for trademarks in the period of 2000 to 2012.  </w:t>
      </w:r>
    </w:p>
    <w:p w:rsidR="00797E7B" w:rsidRPr="00573DEB" w:rsidRDefault="00797E7B" w:rsidP="00797E7B"/>
    <w:p w:rsidR="00797E7B" w:rsidRPr="00573DEB" w:rsidRDefault="00797E7B" w:rsidP="00797E7B">
      <w:r w:rsidRPr="00573DEB">
        <w:t xml:space="preserve">As shown in Figure 6.9, the most important group of activities in terms of volume of applications belongs to the service sector.  The financial services industry and real estate, business management and advertising represented, on average, about 21 percent of the deposits in the period under analysis.  </w:t>
      </w:r>
    </w:p>
    <w:p w:rsidR="00797E7B" w:rsidRPr="00573DEB" w:rsidRDefault="00797E7B" w:rsidP="00797E7B"/>
    <w:p w:rsidR="00797E7B" w:rsidRPr="00573DEB" w:rsidRDefault="00797E7B" w:rsidP="00797E7B">
      <w:r w:rsidRPr="00573DEB">
        <w:t xml:space="preserve">In the case of Brazil, it is necessary to take into account the fact that class 35 includes trademarks designed to services that act in the trade of goods.  This segment comprises not only large retail companies that have physical and/or virtual stores, but also hypermarkets, supermarkets and smaller companies, many of which produce their own brands as a way to differentiate their services in a competitive sector.  </w:t>
      </w:r>
    </w:p>
    <w:p w:rsidR="00B000C0" w:rsidRPr="00573DEB" w:rsidRDefault="00B000C0" w:rsidP="004B4B73"/>
    <w:p w:rsidR="00B000C0" w:rsidRPr="00573DEB" w:rsidRDefault="000C6B94" w:rsidP="005967B3">
      <w:pPr>
        <w:pStyle w:val="Caption"/>
      </w:pPr>
      <w:bookmarkStart w:id="130" w:name="_Toc378267975"/>
      <w:r>
        <w:t xml:space="preserve">Figure 6.9:  </w:t>
      </w:r>
      <w:r w:rsidR="00B000C0" w:rsidRPr="00573DEB">
        <w:t>Trademark applications by economic activities, 2000-2012</w:t>
      </w:r>
      <w:bookmarkEnd w:id="130"/>
    </w:p>
    <w:p w:rsidR="00B000C0" w:rsidRPr="00573DEB" w:rsidRDefault="00B000C0" w:rsidP="004B4B73">
      <w:r w:rsidRPr="00573DEB">
        <w:rPr>
          <w:noProof/>
        </w:rPr>
        <w:drawing>
          <wp:inline distT="0" distB="0" distL="0" distR="0" wp14:anchorId="39398CB0" wp14:editId="6FD70032">
            <wp:extent cx="5454650" cy="275907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54650" cy="2759075"/>
                    </a:xfrm>
                    <a:prstGeom prst="rect">
                      <a:avLst/>
                    </a:prstGeom>
                    <a:noFill/>
                    <a:ln>
                      <a:noFill/>
                    </a:ln>
                  </pic:spPr>
                </pic:pic>
              </a:graphicData>
            </a:graphic>
          </wp:inline>
        </w:drawing>
      </w:r>
    </w:p>
    <w:p w:rsidR="00B000C0" w:rsidRPr="00156225" w:rsidRDefault="00B000C0" w:rsidP="005967B3">
      <w:pPr>
        <w:pStyle w:val="Captionnotes"/>
        <w:rPr>
          <w:i w:val="0"/>
        </w:rPr>
      </w:pPr>
      <w:r w:rsidRPr="00156225">
        <w:rPr>
          <w:i w:val="0"/>
        </w:rPr>
        <w:t xml:space="preserve">Source: </w:t>
      </w:r>
      <w:r w:rsidR="00156225">
        <w:rPr>
          <w:i w:val="0"/>
        </w:rPr>
        <w:t xml:space="preserve"> </w:t>
      </w:r>
      <w:r w:rsidRPr="00156225">
        <w:rPr>
          <w:i w:val="0"/>
        </w:rPr>
        <w:t>INPI’s Statistical database (BADEPI, April 2013)</w:t>
      </w:r>
      <w:r w:rsidR="005967B3" w:rsidRPr="00156225">
        <w:rPr>
          <w:i w:val="0"/>
        </w:rPr>
        <w:t xml:space="preserve">, </w:t>
      </w:r>
      <w:r w:rsidRPr="00156225">
        <w:rPr>
          <w:i w:val="0"/>
        </w:rPr>
        <w:t>Notes: FIRE</w:t>
      </w:r>
      <w:r w:rsidR="005967B3" w:rsidRPr="00156225">
        <w:rPr>
          <w:i w:val="0"/>
        </w:rPr>
        <w:t xml:space="preserve"> = </w:t>
      </w:r>
      <w:r w:rsidRPr="00156225">
        <w:rPr>
          <w:i w:val="0"/>
        </w:rPr>
        <w:t>Finance, insurance, and real state.</w:t>
      </w:r>
    </w:p>
    <w:p w:rsidR="00B000C0" w:rsidRPr="00573DEB" w:rsidRDefault="00B000C0" w:rsidP="004B4B73"/>
    <w:p w:rsidR="005967B3" w:rsidRPr="00573DEB" w:rsidRDefault="005967B3" w:rsidP="004B4B73"/>
    <w:p w:rsidR="00B000C0" w:rsidRPr="00573DEB" w:rsidRDefault="000C6B94" w:rsidP="00977154">
      <w:pPr>
        <w:pStyle w:val="Caption"/>
      </w:pPr>
      <w:bookmarkStart w:id="131" w:name="_Toc378268003"/>
      <w:r>
        <w:t xml:space="preserve">Table 6.3:  </w:t>
      </w:r>
      <w:r w:rsidR="00B000C0" w:rsidRPr="00573DEB">
        <w:t>Top 10 applicants - Trademarks, 2012</w:t>
      </w:r>
      <w:bookmarkEnd w:id="131"/>
    </w:p>
    <w:tbl>
      <w:tblPr>
        <w:tblW w:w="9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22"/>
        <w:gridCol w:w="3240"/>
        <w:gridCol w:w="1174"/>
        <w:gridCol w:w="3321"/>
        <w:gridCol w:w="829"/>
      </w:tblGrid>
      <w:tr w:rsidR="00B000C0" w:rsidRPr="00573DEB" w:rsidTr="00977154">
        <w:trPr>
          <w:trHeight w:val="20"/>
        </w:trPr>
        <w:tc>
          <w:tcPr>
            <w:tcW w:w="522" w:type="dxa"/>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Rank</w:t>
            </w:r>
          </w:p>
        </w:tc>
        <w:tc>
          <w:tcPr>
            <w:tcW w:w="3240" w:type="dxa"/>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Name</w:t>
            </w:r>
          </w:p>
        </w:tc>
        <w:tc>
          <w:tcPr>
            <w:tcW w:w="1174" w:type="dxa"/>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vAlign w:val="center"/>
          </w:tcPr>
          <w:p w:rsidR="00B000C0" w:rsidRPr="00573DEB" w:rsidRDefault="00B000C0" w:rsidP="00977154">
            <w:pPr>
              <w:rPr>
                <w:rFonts w:ascii="Arial Narrow" w:hAnsi="Arial Narrow"/>
              </w:rPr>
            </w:pPr>
            <w:r w:rsidRPr="00573DEB">
              <w:rPr>
                <w:rFonts w:ascii="Arial Narrow" w:hAnsi="Arial Narrow"/>
              </w:rPr>
              <w:t>Number of applications</w:t>
            </w:r>
          </w:p>
        </w:tc>
        <w:tc>
          <w:tcPr>
            <w:tcW w:w="3321" w:type="dxa"/>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Main Activity</w:t>
            </w:r>
          </w:p>
        </w:tc>
        <w:tc>
          <w:tcPr>
            <w:tcW w:w="829" w:type="dxa"/>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vAlign w:val="center"/>
          </w:tcPr>
          <w:p w:rsidR="00B000C0" w:rsidRPr="00573DEB" w:rsidRDefault="00B000C0" w:rsidP="004B4B73">
            <w:pPr>
              <w:rPr>
                <w:rFonts w:ascii="Arial Narrow" w:hAnsi="Arial Narrow"/>
              </w:rPr>
            </w:pPr>
            <w:r w:rsidRPr="00573DEB">
              <w:rPr>
                <w:rFonts w:ascii="Arial Narrow" w:hAnsi="Arial Narrow"/>
              </w:rPr>
              <w:t>Origin</w:t>
            </w:r>
          </w:p>
        </w:tc>
      </w:tr>
      <w:tr w:rsidR="00B000C0" w:rsidRPr="00573DEB" w:rsidTr="00977154">
        <w:trPr>
          <w:trHeight w:val="20"/>
        </w:trPr>
        <w:tc>
          <w:tcPr>
            <w:tcW w:w="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1</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Disney Enterprises, Inc.</w:t>
            </w:r>
          </w:p>
        </w:tc>
        <w:tc>
          <w:tcPr>
            <w:tcW w:w="1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403</w:t>
            </w:r>
          </w:p>
        </w:tc>
        <w:tc>
          <w:tcPr>
            <w:tcW w:w="33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Education; training; culture; leisure</w:t>
            </w:r>
          </w:p>
        </w:tc>
        <w:tc>
          <w:tcPr>
            <w:tcW w:w="8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977154">
            <w:pPr>
              <w:rPr>
                <w:rFonts w:ascii="Arial Narrow" w:hAnsi="Arial Narrow"/>
              </w:rPr>
            </w:pPr>
            <w:r w:rsidRPr="00573DEB">
              <w:rPr>
                <w:rFonts w:ascii="Arial Narrow" w:hAnsi="Arial Narrow"/>
              </w:rPr>
              <w:t>US</w:t>
            </w:r>
          </w:p>
        </w:tc>
      </w:tr>
      <w:tr w:rsidR="00B000C0" w:rsidRPr="00573DEB" w:rsidTr="00977154">
        <w:trPr>
          <w:trHeight w:val="20"/>
        </w:trPr>
        <w:tc>
          <w:tcPr>
            <w:tcW w:w="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2</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proofErr w:type="spellStart"/>
            <w:r w:rsidRPr="00573DEB">
              <w:rPr>
                <w:rFonts w:ascii="Arial Narrow" w:hAnsi="Arial Narrow"/>
              </w:rPr>
              <w:t>Comité</w:t>
            </w:r>
            <w:proofErr w:type="spellEnd"/>
            <w:r w:rsidRPr="00573DEB">
              <w:rPr>
                <w:rFonts w:ascii="Arial Narrow" w:hAnsi="Arial Narrow"/>
              </w:rPr>
              <w:t xml:space="preserve"> International </w:t>
            </w:r>
            <w:proofErr w:type="spellStart"/>
            <w:r w:rsidRPr="00573DEB">
              <w:rPr>
                <w:rFonts w:ascii="Arial Narrow" w:hAnsi="Arial Narrow"/>
              </w:rPr>
              <w:t>Olympique</w:t>
            </w:r>
            <w:proofErr w:type="spellEnd"/>
          </w:p>
        </w:tc>
        <w:tc>
          <w:tcPr>
            <w:tcW w:w="1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348</w:t>
            </w:r>
          </w:p>
        </w:tc>
        <w:tc>
          <w:tcPr>
            <w:tcW w:w="33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 xml:space="preserve">Sports activities; trade in products and services related to the Olympic Games </w:t>
            </w:r>
          </w:p>
        </w:tc>
        <w:tc>
          <w:tcPr>
            <w:tcW w:w="8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977154">
            <w:pPr>
              <w:rPr>
                <w:rFonts w:ascii="Arial Narrow" w:hAnsi="Arial Narrow"/>
              </w:rPr>
            </w:pPr>
            <w:r w:rsidRPr="00573DEB">
              <w:rPr>
                <w:rFonts w:ascii="Arial Narrow" w:hAnsi="Arial Narrow"/>
              </w:rPr>
              <w:t>FR</w:t>
            </w:r>
          </w:p>
        </w:tc>
      </w:tr>
      <w:tr w:rsidR="00B000C0" w:rsidRPr="00573DEB" w:rsidTr="00977154">
        <w:trPr>
          <w:trHeight w:val="20"/>
        </w:trPr>
        <w:tc>
          <w:tcPr>
            <w:tcW w:w="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3</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DA2C07" w:rsidRDefault="00B000C0" w:rsidP="004B4B73">
            <w:pPr>
              <w:rPr>
                <w:rFonts w:ascii="Arial Narrow" w:hAnsi="Arial Narrow"/>
                <w:lang w:val="es-ES_tradnl"/>
              </w:rPr>
            </w:pPr>
            <w:proofErr w:type="spellStart"/>
            <w:r w:rsidRPr="00DA2C07">
              <w:rPr>
                <w:rFonts w:ascii="Arial Narrow" w:hAnsi="Arial Narrow"/>
                <w:lang w:val="es-ES_tradnl"/>
              </w:rPr>
              <w:t>Fast</w:t>
            </w:r>
            <w:proofErr w:type="spellEnd"/>
            <w:r w:rsidRPr="00DA2C07">
              <w:rPr>
                <w:rFonts w:ascii="Arial Narrow" w:hAnsi="Arial Narrow"/>
                <w:lang w:val="es-ES_tradnl"/>
              </w:rPr>
              <w:t xml:space="preserve"> Shop Comercial Importadora </w:t>
            </w:r>
            <w:proofErr w:type="spellStart"/>
            <w:r w:rsidRPr="00DA2C07">
              <w:rPr>
                <w:rFonts w:ascii="Arial Narrow" w:hAnsi="Arial Narrow"/>
                <w:lang w:val="es-ES_tradnl"/>
              </w:rPr>
              <w:t>e</w:t>
            </w:r>
            <w:proofErr w:type="spellEnd"/>
            <w:r w:rsidRPr="00DA2C07">
              <w:rPr>
                <w:rFonts w:ascii="Arial Narrow" w:hAnsi="Arial Narrow"/>
                <w:lang w:val="es-ES_tradnl"/>
              </w:rPr>
              <w:t xml:space="preserve"> Exportadora Ltda.</w:t>
            </w:r>
          </w:p>
        </w:tc>
        <w:tc>
          <w:tcPr>
            <w:tcW w:w="1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347</w:t>
            </w:r>
          </w:p>
        </w:tc>
        <w:tc>
          <w:tcPr>
            <w:tcW w:w="33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Trade in home appliances, housewares, computer equipment, telephony</w:t>
            </w:r>
          </w:p>
        </w:tc>
        <w:tc>
          <w:tcPr>
            <w:tcW w:w="8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977154">
            <w:pPr>
              <w:rPr>
                <w:rFonts w:ascii="Arial Narrow" w:hAnsi="Arial Narrow"/>
              </w:rPr>
            </w:pPr>
            <w:r w:rsidRPr="00573DEB">
              <w:rPr>
                <w:rFonts w:ascii="Arial Narrow" w:hAnsi="Arial Narrow"/>
              </w:rPr>
              <w:t>BR/SP</w:t>
            </w:r>
          </w:p>
        </w:tc>
      </w:tr>
      <w:tr w:rsidR="00B000C0" w:rsidRPr="00573DEB" w:rsidTr="00977154">
        <w:trPr>
          <w:trHeight w:val="20"/>
        </w:trPr>
        <w:tc>
          <w:tcPr>
            <w:tcW w:w="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4</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DA2C07" w:rsidRDefault="00B000C0" w:rsidP="004B4B73">
            <w:pPr>
              <w:rPr>
                <w:rFonts w:ascii="Arial Narrow" w:hAnsi="Arial Narrow"/>
                <w:lang w:val="es-ES_tradnl"/>
              </w:rPr>
            </w:pPr>
            <w:proofErr w:type="spellStart"/>
            <w:r w:rsidRPr="00DA2C07">
              <w:rPr>
                <w:rFonts w:ascii="Arial Narrow" w:hAnsi="Arial Narrow"/>
                <w:lang w:val="es-ES_tradnl"/>
              </w:rPr>
              <w:t>Maxmix</w:t>
            </w:r>
            <w:proofErr w:type="spellEnd"/>
            <w:r w:rsidRPr="00DA2C07">
              <w:rPr>
                <w:rFonts w:ascii="Arial Narrow" w:hAnsi="Arial Narrow"/>
                <w:lang w:val="es-ES_tradnl"/>
              </w:rPr>
              <w:t xml:space="preserve"> – </w:t>
            </w:r>
            <w:proofErr w:type="spellStart"/>
            <w:r w:rsidRPr="00DA2C07">
              <w:rPr>
                <w:rFonts w:ascii="Arial Narrow" w:hAnsi="Arial Narrow"/>
                <w:lang w:val="es-ES_tradnl"/>
              </w:rPr>
              <w:t>Produtos</w:t>
            </w:r>
            <w:proofErr w:type="spellEnd"/>
            <w:r w:rsidRPr="00DA2C07">
              <w:rPr>
                <w:rFonts w:ascii="Arial Narrow" w:hAnsi="Arial Narrow"/>
                <w:lang w:val="es-ES_tradnl"/>
              </w:rPr>
              <w:t xml:space="preserve"> de </w:t>
            </w:r>
            <w:proofErr w:type="spellStart"/>
            <w:r w:rsidRPr="00DA2C07">
              <w:rPr>
                <w:rFonts w:ascii="Arial Narrow" w:hAnsi="Arial Narrow"/>
                <w:lang w:val="es-ES_tradnl"/>
              </w:rPr>
              <w:t>Beleza</w:t>
            </w:r>
            <w:proofErr w:type="spellEnd"/>
            <w:r w:rsidRPr="00DA2C07">
              <w:rPr>
                <w:rFonts w:ascii="Arial Narrow" w:hAnsi="Arial Narrow"/>
                <w:lang w:val="es-ES_tradnl"/>
              </w:rPr>
              <w:t xml:space="preserve"> Ltda.</w:t>
            </w:r>
          </w:p>
        </w:tc>
        <w:tc>
          <w:tcPr>
            <w:tcW w:w="1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342</w:t>
            </w:r>
          </w:p>
        </w:tc>
        <w:tc>
          <w:tcPr>
            <w:tcW w:w="33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Trade in cosmetics and Perfumery</w:t>
            </w:r>
          </w:p>
        </w:tc>
        <w:tc>
          <w:tcPr>
            <w:tcW w:w="8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977154">
            <w:pPr>
              <w:rPr>
                <w:rFonts w:ascii="Arial Narrow" w:hAnsi="Arial Narrow"/>
              </w:rPr>
            </w:pPr>
            <w:r w:rsidRPr="00573DEB">
              <w:rPr>
                <w:rFonts w:ascii="Arial Narrow" w:hAnsi="Arial Narrow"/>
              </w:rPr>
              <w:t>BR/SP</w:t>
            </w:r>
          </w:p>
        </w:tc>
      </w:tr>
      <w:tr w:rsidR="00B000C0" w:rsidRPr="00573DEB" w:rsidTr="00977154">
        <w:trPr>
          <w:trHeight w:val="20"/>
        </w:trPr>
        <w:tc>
          <w:tcPr>
            <w:tcW w:w="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5</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proofErr w:type="spellStart"/>
            <w:r w:rsidRPr="00573DEB">
              <w:rPr>
                <w:rFonts w:ascii="Arial Narrow" w:hAnsi="Arial Narrow"/>
              </w:rPr>
              <w:t>Globosat</w:t>
            </w:r>
            <w:proofErr w:type="spellEnd"/>
            <w:r w:rsidRPr="00573DEB">
              <w:rPr>
                <w:rFonts w:ascii="Arial Narrow" w:hAnsi="Arial Narrow"/>
              </w:rPr>
              <w:t xml:space="preserve"> </w:t>
            </w:r>
            <w:proofErr w:type="spellStart"/>
            <w:r w:rsidRPr="00573DEB">
              <w:rPr>
                <w:rFonts w:ascii="Arial Narrow" w:hAnsi="Arial Narrow"/>
              </w:rPr>
              <w:t>Programadora</w:t>
            </w:r>
            <w:proofErr w:type="spellEnd"/>
            <w:r w:rsidRPr="00573DEB">
              <w:rPr>
                <w:rFonts w:ascii="Arial Narrow" w:hAnsi="Arial Narrow"/>
              </w:rPr>
              <w:t xml:space="preserve"> Ltda.</w:t>
            </w:r>
          </w:p>
        </w:tc>
        <w:tc>
          <w:tcPr>
            <w:tcW w:w="1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273</w:t>
            </w:r>
          </w:p>
        </w:tc>
        <w:tc>
          <w:tcPr>
            <w:tcW w:w="33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Entertainment; information; leisure; cable TV</w:t>
            </w:r>
          </w:p>
        </w:tc>
        <w:tc>
          <w:tcPr>
            <w:tcW w:w="8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BR/RJ</w:t>
            </w:r>
          </w:p>
          <w:p w:rsidR="00B000C0" w:rsidRPr="00573DEB" w:rsidRDefault="00B000C0" w:rsidP="004B4B73">
            <w:pPr>
              <w:rPr>
                <w:rFonts w:ascii="Arial Narrow" w:hAnsi="Arial Narrow"/>
              </w:rPr>
            </w:pPr>
            <w:r w:rsidRPr="00573DEB">
              <w:rPr>
                <w:rFonts w:ascii="Arial Narrow" w:hAnsi="Arial Narrow"/>
              </w:rPr>
              <w:t> </w:t>
            </w:r>
          </w:p>
        </w:tc>
      </w:tr>
      <w:tr w:rsidR="00B000C0" w:rsidRPr="00573DEB" w:rsidTr="00977154">
        <w:trPr>
          <w:trHeight w:val="20"/>
        </w:trPr>
        <w:tc>
          <w:tcPr>
            <w:tcW w:w="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6</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Federation of passenger transport undertakings of the State of Rio de Janeiro-</w:t>
            </w:r>
            <w:proofErr w:type="spellStart"/>
            <w:r w:rsidRPr="00573DEB">
              <w:rPr>
                <w:rFonts w:ascii="Arial Narrow" w:hAnsi="Arial Narrow"/>
              </w:rPr>
              <w:t>Fetranspor</w:t>
            </w:r>
            <w:proofErr w:type="spellEnd"/>
          </w:p>
        </w:tc>
        <w:tc>
          <w:tcPr>
            <w:tcW w:w="1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204</w:t>
            </w:r>
          </w:p>
        </w:tc>
        <w:tc>
          <w:tcPr>
            <w:tcW w:w="33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Transports</w:t>
            </w:r>
          </w:p>
        </w:tc>
        <w:tc>
          <w:tcPr>
            <w:tcW w:w="8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977154">
            <w:pPr>
              <w:rPr>
                <w:rFonts w:ascii="Arial Narrow" w:hAnsi="Arial Narrow"/>
              </w:rPr>
            </w:pPr>
            <w:r w:rsidRPr="00573DEB">
              <w:rPr>
                <w:rFonts w:ascii="Arial Narrow" w:hAnsi="Arial Narrow"/>
              </w:rPr>
              <w:t>BR/RJ</w:t>
            </w:r>
          </w:p>
        </w:tc>
      </w:tr>
      <w:tr w:rsidR="00B000C0" w:rsidRPr="00573DEB" w:rsidTr="00977154">
        <w:trPr>
          <w:trHeight w:val="20"/>
        </w:trPr>
        <w:tc>
          <w:tcPr>
            <w:tcW w:w="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7</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DA2C07" w:rsidRDefault="00B000C0" w:rsidP="004B4B73">
            <w:pPr>
              <w:rPr>
                <w:rFonts w:ascii="Arial Narrow" w:hAnsi="Arial Narrow"/>
                <w:lang w:val="fr-CH"/>
              </w:rPr>
            </w:pPr>
            <w:r w:rsidRPr="00DA2C07">
              <w:rPr>
                <w:rFonts w:ascii="Arial Narrow" w:hAnsi="Arial Narrow"/>
                <w:lang w:val="fr-CH"/>
              </w:rPr>
              <w:t>Fédération Internationale de Football Association (FIFA)</w:t>
            </w:r>
          </w:p>
        </w:tc>
        <w:tc>
          <w:tcPr>
            <w:tcW w:w="1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199</w:t>
            </w:r>
          </w:p>
        </w:tc>
        <w:tc>
          <w:tcPr>
            <w:tcW w:w="33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Sports activities; trade in products and services related to Football</w:t>
            </w:r>
          </w:p>
        </w:tc>
        <w:tc>
          <w:tcPr>
            <w:tcW w:w="8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977154">
            <w:pPr>
              <w:rPr>
                <w:rFonts w:ascii="Arial Narrow" w:hAnsi="Arial Narrow"/>
              </w:rPr>
            </w:pPr>
            <w:r w:rsidRPr="00573DEB">
              <w:rPr>
                <w:rFonts w:ascii="Arial Narrow" w:hAnsi="Arial Narrow"/>
              </w:rPr>
              <w:t>CH</w:t>
            </w:r>
          </w:p>
        </w:tc>
      </w:tr>
      <w:tr w:rsidR="00B000C0" w:rsidRPr="00573DEB" w:rsidTr="00977154">
        <w:trPr>
          <w:trHeight w:val="20"/>
        </w:trPr>
        <w:tc>
          <w:tcPr>
            <w:tcW w:w="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8</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proofErr w:type="spellStart"/>
            <w:r w:rsidRPr="00573DEB">
              <w:rPr>
                <w:rFonts w:ascii="Arial Narrow" w:hAnsi="Arial Narrow"/>
              </w:rPr>
              <w:t>Minvest</w:t>
            </w:r>
            <w:proofErr w:type="spellEnd"/>
            <w:r w:rsidRPr="00573DEB">
              <w:rPr>
                <w:rFonts w:ascii="Arial Narrow" w:hAnsi="Arial Narrow"/>
              </w:rPr>
              <w:t xml:space="preserve"> S.A.</w:t>
            </w:r>
          </w:p>
        </w:tc>
        <w:tc>
          <w:tcPr>
            <w:tcW w:w="1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197</w:t>
            </w:r>
          </w:p>
        </w:tc>
        <w:tc>
          <w:tcPr>
            <w:tcW w:w="33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Financial services; import and export of products and services in the field of vehicles and machinery,</w:t>
            </w:r>
          </w:p>
        </w:tc>
        <w:tc>
          <w:tcPr>
            <w:tcW w:w="8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977154">
            <w:pPr>
              <w:rPr>
                <w:rFonts w:ascii="Arial Narrow" w:hAnsi="Arial Narrow"/>
              </w:rPr>
            </w:pPr>
            <w:r w:rsidRPr="00573DEB">
              <w:rPr>
                <w:rFonts w:ascii="Arial Narrow" w:hAnsi="Arial Narrow"/>
              </w:rPr>
              <w:t>CL</w:t>
            </w:r>
          </w:p>
        </w:tc>
      </w:tr>
      <w:tr w:rsidR="00B000C0" w:rsidRPr="00573DEB" w:rsidTr="00977154">
        <w:trPr>
          <w:trHeight w:val="20"/>
        </w:trPr>
        <w:tc>
          <w:tcPr>
            <w:tcW w:w="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9</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TVSBT 4 Channel of São Paulo S/A</w:t>
            </w:r>
          </w:p>
        </w:tc>
        <w:tc>
          <w:tcPr>
            <w:tcW w:w="1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178</w:t>
            </w:r>
          </w:p>
        </w:tc>
        <w:tc>
          <w:tcPr>
            <w:tcW w:w="33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Telecommunications; broadcasting; pay TV</w:t>
            </w:r>
          </w:p>
        </w:tc>
        <w:tc>
          <w:tcPr>
            <w:tcW w:w="8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977154">
            <w:pPr>
              <w:rPr>
                <w:rFonts w:ascii="Arial Narrow" w:hAnsi="Arial Narrow"/>
              </w:rPr>
            </w:pPr>
            <w:r w:rsidRPr="00573DEB">
              <w:rPr>
                <w:rFonts w:ascii="Arial Narrow" w:hAnsi="Arial Narrow"/>
              </w:rPr>
              <w:t>BR/SP</w:t>
            </w:r>
          </w:p>
        </w:tc>
      </w:tr>
      <w:tr w:rsidR="00B000C0" w:rsidRPr="00573DEB" w:rsidTr="00977154">
        <w:trPr>
          <w:trHeight w:val="20"/>
        </w:trPr>
        <w:tc>
          <w:tcPr>
            <w:tcW w:w="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10</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DA2C07" w:rsidRDefault="00B000C0" w:rsidP="004B4B73">
            <w:pPr>
              <w:rPr>
                <w:rFonts w:ascii="Arial Narrow" w:hAnsi="Arial Narrow"/>
                <w:lang w:val="es-ES_tradnl"/>
              </w:rPr>
            </w:pPr>
            <w:proofErr w:type="spellStart"/>
            <w:r w:rsidRPr="00DA2C07">
              <w:rPr>
                <w:rFonts w:ascii="Arial Narrow" w:hAnsi="Arial Narrow"/>
                <w:lang w:val="es-ES_tradnl"/>
              </w:rPr>
              <w:t>Send</w:t>
            </w:r>
            <w:proofErr w:type="spellEnd"/>
            <w:r w:rsidRPr="00DA2C07">
              <w:rPr>
                <w:rFonts w:ascii="Arial Narrow" w:hAnsi="Arial Narrow"/>
                <w:lang w:val="es-ES_tradnl"/>
              </w:rPr>
              <w:t xml:space="preserve"> – </w:t>
            </w:r>
            <w:proofErr w:type="spellStart"/>
            <w:r w:rsidRPr="00DA2C07">
              <w:rPr>
                <w:rFonts w:ascii="Arial Narrow" w:hAnsi="Arial Narrow"/>
                <w:lang w:val="es-ES_tradnl"/>
              </w:rPr>
              <w:t>Empreendimentos</w:t>
            </w:r>
            <w:proofErr w:type="spellEnd"/>
            <w:r w:rsidRPr="00DA2C07">
              <w:rPr>
                <w:rFonts w:ascii="Arial Narrow" w:hAnsi="Arial Narrow"/>
                <w:lang w:val="es-ES_tradnl"/>
              </w:rPr>
              <w:t xml:space="preserve"> e </w:t>
            </w:r>
            <w:proofErr w:type="spellStart"/>
            <w:r w:rsidRPr="00DA2C07">
              <w:rPr>
                <w:rFonts w:ascii="Arial Narrow" w:hAnsi="Arial Narrow"/>
                <w:lang w:val="es-ES_tradnl"/>
              </w:rPr>
              <w:t>Participações</w:t>
            </w:r>
            <w:proofErr w:type="spellEnd"/>
            <w:r w:rsidRPr="00DA2C07">
              <w:rPr>
                <w:rFonts w:ascii="Arial Narrow" w:hAnsi="Arial Narrow"/>
                <w:lang w:val="es-ES_tradnl"/>
              </w:rPr>
              <w:t xml:space="preserve"> Ltda</w:t>
            </w:r>
            <w:r w:rsidR="004B4B73" w:rsidRPr="00DA2C07">
              <w:rPr>
                <w:rFonts w:ascii="Arial Narrow" w:hAnsi="Arial Narrow"/>
                <w:lang w:val="es-ES_tradnl"/>
              </w:rPr>
              <w:t xml:space="preserve">.  </w:t>
            </w:r>
          </w:p>
        </w:tc>
        <w:tc>
          <w:tcPr>
            <w:tcW w:w="1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168</w:t>
            </w:r>
          </w:p>
        </w:tc>
        <w:tc>
          <w:tcPr>
            <w:tcW w:w="33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 xml:space="preserve">Real estate </w:t>
            </w:r>
          </w:p>
        </w:tc>
        <w:tc>
          <w:tcPr>
            <w:tcW w:w="8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977154">
            <w:pPr>
              <w:rPr>
                <w:rFonts w:ascii="Arial Narrow" w:hAnsi="Arial Narrow"/>
              </w:rPr>
            </w:pPr>
            <w:r w:rsidRPr="00573DEB">
              <w:rPr>
                <w:rFonts w:ascii="Arial Narrow" w:hAnsi="Arial Narrow"/>
              </w:rPr>
              <w:t>BR/SP</w:t>
            </w:r>
          </w:p>
        </w:tc>
      </w:tr>
      <w:tr w:rsidR="00B000C0" w:rsidRPr="00573DEB" w:rsidTr="00977154">
        <w:trPr>
          <w:trHeight w:val="20"/>
        </w:trPr>
        <w:tc>
          <w:tcPr>
            <w:tcW w:w="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 </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b/>
              </w:rPr>
            </w:pPr>
            <w:r w:rsidRPr="00573DEB">
              <w:rPr>
                <w:rFonts w:ascii="Arial Narrow" w:hAnsi="Arial Narrow"/>
                <w:b/>
              </w:rPr>
              <w:t>Total</w:t>
            </w:r>
          </w:p>
          <w:p w:rsidR="00B000C0" w:rsidRPr="00573DEB" w:rsidRDefault="00B000C0" w:rsidP="004B4B73">
            <w:pPr>
              <w:rPr>
                <w:rFonts w:ascii="Arial Narrow" w:hAnsi="Arial Narrow"/>
                <w:b/>
              </w:rPr>
            </w:pPr>
            <w:r w:rsidRPr="00573DEB">
              <w:rPr>
                <w:rFonts w:ascii="Arial Narrow" w:hAnsi="Arial Narrow"/>
                <w:b/>
              </w:rPr>
              <w:t xml:space="preserve">Residents </w:t>
            </w:r>
          </w:p>
          <w:p w:rsidR="00B000C0" w:rsidRPr="00573DEB" w:rsidRDefault="00B000C0" w:rsidP="004B4B73">
            <w:pPr>
              <w:rPr>
                <w:rFonts w:ascii="Arial Narrow" w:hAnsi="Arial Narrow"/>
                <w:b/>
              </w:rPr>
            </w:pPr>
            <w:r w:rsidRPr="00573DEB">
              <w:rPr>
                <w:rFonts w:ascii="Arial Narrow" w:hAnsi="Arial Narrow"/>
                <w:b/>
              </w:rPr>
              <w:t>Non-Residents</w:t>
            </w:r>
          </w:p>
        </w:tc>
        <w:tc>
          <w:tcPr>
            <w:tcW w:w="1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b/>
              </w:rPr>
            </w:pPr>
            <w:r w:rsidRPr="00573DEB">
              <w:rPr>
                <w:rFonts w:ascii="Arial Narrow" w:hAnsi="Arial Narrow"/>
                <w:b/>
              </w:rPr>
              <w:t>2,659</w:t>
            </w:r>
          </w:p>
          <w:p w:rsidR="00B000C0" w:rsidRPr="00573DEB" w:rsidRDefault="00B000C0" w:rsidP="004B4B73">
            <w:pPr>
              <w:rPr>
                <w:rFonts w:ascii="Arial Narrow" w:hAnsi="Arial Narrow"/>
                <w:b/>
              </w:rPr>
            </w:pPr>
            <w:r w:rsidRPr="00573DEB">
              <w:rPr>
                <w:rFonts w:ascii="Arial Narrow" w:hAnsi="Arial Narrow"/>
                <w:b/>
              </w:rPr>
              <w:t>1,512</w:t>
            </w:r>
          </w:p>
          <w:p w:rsidR="00B000C0" w:rsidRPr="00573DEB" w:rsidRDefault="00B000C0" w:rsidP="004B4B73">
            <w:pPr>
              <w:rPr>
                <w:rFonts w:ascii="Arial Narrow" w:hAnsi="Arial Narrow"/>
                <w:b/>
              </w:rPr>
            </w:pPr>
            <w:r w:rsidRPr="00573DEB">
              <w:rPr>
                <w:rFonts w:ascii="Arial Narrow" w:hAnsi="Arial Narrow"/>
                <w:b/>
              </w:rPr>
              <w:t>1,147</w:t>
            </w:r>
          </w:p>
        </w:tc>
        <w:tc>
          <w:tcPr>
            <w:tcW w:w="33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 </w:t>
            </w:r>
          </w:p>
        </w:tc>
        <w:tc>
          <w:tcPr>
            <w:tcW w:w="8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00C0" w:rsidRPr="00573DEB" w:rsidRDefault="00B000C0" w:rsidP="004B4B73">
            <w:pPr>
              <w:rPr>
                <w:rFonts w:ascii="Arial Narrow" w:hAnsi="Arial Narrow"/>
              </w:rPr>
            </w:pPr>
            <w:r w:rsidRPr="00573DEB">
              <w:rPr>
                <w:rFonts w:ascii="Arial Narrow" w:hAnsi="Arial Narrow"/>
              </w:rPr>
              <w:t> </w:t>
            </w:r>
          </w:p>
        </w:tc>
      </w:tr>
    </w:tbl>
    <w:p w:rsidR="00B000C0" w:rsidRPr="00156225" w:rsidRDefault="00B000C0" w:rsidP="00977154">
      <w:pPr>
        <w:pStyle w:val="Captionnotes"/>
        <w:rPr>
          <w:i w:val="0"/>
        </w:rPr>
      </w:pPr>
      <w:r w:rsidRPr="00156225">
        <w:rPr>
          <w:i w:val="0"/>
        </w:rPr>
        <w:t xml:space="preserve">Source: </w:t>
      </w:r>
      <w:r w:rsidR="00156225">
        <w:rPr>
          <w:i w:val="0"/>
        </w:rPr>
        <w:t xml:space="preserve"> </w:t>
      </w:r>
      <w:r w:rsidRPr="00156225">
        <w:rPr>
          <w:i w:val="0"/>
        </w:rPr>
        <w:t>INPI’s Statistical database (BADEPI, April 2013)</w:t>
      </w:r>
    </w:p>
    <w:p w:rsidR="00977154" w:rsidRPr="00573DEB" w:rsidRDefault="00977154" w:rsidP="004B4B73"/>
    <w:p w:rsidR="00797E7B" w:rsidRPr="00573DEB" w:rsidRDefault="00797E7B" w:rsidP="00797E7B">
      <w:r w:rsidRPr="00573DEB">
        <w:t>The sectors of education, training and leisure (classes 16 and 41) represent on average 16% of the deposits.  In this segment, companies seeking trademark protection include not only educational institutions such as universities and educational institutes, but also those dedicated to cultural activities, such as theaters, television and book publishing.</w:t>
      </w:r>
    </w:p>
    <w:p w:rsidR="00797E7B" w:rsidRPr="00573DEB" w:rsidRDefault="00797E7B" w:rsidP="00797E7B"/>
    <w:p w:rsidR="00797E7B" w:rsidRPr="00573DEB" w:rsidRDefault="00797E7B" w:rsidP="00797E7B">
      <w:r w:rsidRPr="00573DEB">
        <w:t xml:space="preserve">The sector of IT and scientific research appears as the third with most applicants.  In this case, it includes classes of products and services related to information technology, scientific research and protection services to individuals and to the patrimony.  </w:t>
      </w:r>
    </w:p>
    <w:p w:rsidR="00797E7B" w:rsidRPr="00573DEB" w:rsidRDefault="00797E7B" w:rsidP="00797E7B"/>
    <w:p w:rsidR="00797E7B" w:rsidRPr="00573DEB" w:rsidRDefault="00797E7B" w:rsidP="00797E7B">
      <w:r w:rsidRPr="00573DEB">
        <w:t>Additionally, it is possible to identify the main resident and non-resident applicants.  This ranking is led by Disney, a traditional American company dedicated to entertainment segment, the 14</w:t>
      </w:r>
      <w:r w:rsidRPr="00573DEB">
        <w:rPr>
          <w:vertAlign w:val="superscript"/>
        </w:rPr>
        <w:t>th</w:t>
      </w:r>
      <w:r w:rsidRPr="00573DEB">
        <w:t xml:space="preserve"> most valuable brand in the world, according to research “</w:t>
      </w:r>
      <w:proofErr w:type="spellStart"/>
      <w:r w:rsidRPr="00573DEB">
        <w:t>Interbrand</w:t>
      </w:r>
      <w:proofErr w:type="spellEnd"/>
      <w:r w:rsidRPr="00573DEB">
        <w:t xml:space="preserve"> – Best Global Brands 2013”.  Other important non-resident applicants are those organizations linked to sporting activities, since Brazil was the host of several international events such as the 2007 Pan American Games and the 2013 Confederations' Cup, as well as the 2014 World Cup and the 2016 Rio Olympic Games.</w:t>
      </w:r>
    </w:p>
    <w:p w:rsidR="00797E7B" w:rsidRDefault="00797E7B" w:rsidP="004B4B73"/>
    <w:p w:rsidR="00B000C0" w:rsidRPr="00573DEB" w:rsidRDefault="00B000C0" w:rsidP="004B4B73">
      <w:r w:rsidRPr="00573DEB">
        <w:t>It is important to mention that three of the Top 10 applicants operate with the trade of goods</w:t>
      </w:r>
      <w:r w:rsidR="004B4B73" w:rsidRPr="00573DEB">
        <w:t xml:space="preserve">.  </w:t>
      </w:r>
      <w:r w:rsidRPr="00573DEB">
        <w:t xml:space="preserve">In this group, the fourth position is occupied by </w:t>
      </w:r>
      <w:proofErr w:type="spellStart"/>
      <w:r w:rsidRPr="00573DEB">
        <w:t>Maxmix</w:t>
      </w:r>
      <w:proofErr w:type="spellEnd"/>
      <w:r w:rsidRPr="00573DEB">
        <w:t xml:space="preserve"> – </w:t>
      </w:r>
      <w:proofErr w:type="spellStart"/>
      <w:r w:rsidRPr="00573DEB">
        <w:t>Produtos</w:t>
      </w:r>
      <w:proofErr w:type="spellEnd"/>
      <w:r w:rsidRPr="00573DEB">
        <w:t xml:space="preserve"> de </w:t>
      </w:r>
      <w:proofErr w:type="spellStart"/>
      <w:r w:rsidRPr="00573DEB">
        <w:t>Beleza</w:t>
      </w:r>
      <w:proofErr w:type="spellEnd"/>
      <w:r w:rsidRPr="00573DEB">
        <w:t xml:space="preserve"> </w:t>
      </w:r>
      <w:proofErr w:type="gramStart"/>
      <w:r w:rsidRPr="00573DEB">
        <w:t>Ltda.,</w:t>
      </w:r>
      <w:proofErr w:type="gramEnd"/>
      <w:r w:rsidRPr="00573DEB">
        <w:t xml:space="preserve"> a Brazilian company from the cosmetic and perfumery sector, a very dynamic activity in Brazil</w:t>
      </w:r>
      <w:r w:rsidR="004B4B73" w:rsidRPr="00573DEB">
        <w:t xml:space="preserve">.  </w:t>
      </w:r>
    </w:p>
    <w:p w:rsidR="00977154" w:rsidRPr="00573DEB" w:rsidRDefault="00977154" w:rsidP="004B4B73"/>
    <w:p w:rsidR="00B000C0" w:rsidRPr="00573DEB" w:rsidRDefault="00977154" w:rsidP="004B4B73">
      <w:pPr>
        <w:pStyle w:val="Heading2"/>
        <w:numPr>
          <w:ilvl w:val="1"/>
          <w:numId w:val="12"/>
        </w:numPr>
      </w:pPr>
      <w:bookmarkStart w:id="132" w:name="_Toc388619942"/>
      <w:r w:rsidRPr="00573DEB">
        <w:t>Trademark r</w:t>
      </w:r>
      <w:r w:rsidR="00B000C0" w:rsidRPr="00573DEB">
        <w:t>egistration</w:t>
      </w:r>
      <w:bookmarkEnd w:id="132"/>
      <w:r w:rsidRPr="00573DEB">
        <w:t>s</w:t>
      </w:r>
    </w:p>
    <w:p w:rsidR="00B000C0" w:rsidRPr="00573DEB" w:rsidRDefault="00B000C0" w:rsidP="004B4B73"/>
    <w:p w:rsidR="00B000C0" w:rsidRPr="00573DEB" w:rsidRDefault="00B000C0" w:rsidP="004B4B73">
      <w:r w:rsidRPr="00573DEB">
        <w:t>Figure 6.10 shows that the number of trademark registrations has tripled in the period in question</w:t>
      </w:r>
      <w:r w:rsidR="004B4B73" w:rsidRPr="00573DEB">
        <w:t xml:space="preserve">.  </w:t>
      </w:r>
      <w:r w:rsidRPr="00573DEB">
        <w:t>Administrative efforts undertaken by INPI explain the good performance in 2006, when the granting of marks doubled, with an increase of 598% in relation to the previous year</w:t>
      </w:r>
      <w:r w:rsidR="004B4B73" w:rsidRPr="00573DEB">
        <w:t>.</w:t>
      </w:r>
    </w:p>
    <w:p w:rsidR="00B000C0" w:rsidRPr="00573DEB" w:rsidRDefault="00B000C0" w:rsidP="004B4B73"/>
    <w:p w:rsidR="00B000C0" w:rsidRPr="00573DEB" w:rsidRDefault="00B000C0" w:rsidP="004B4B73">
      <w:r w:rsidRPr="00573DEB">
        <w:t xml:space="preserve">After this atypical time, the number of trademark registrations passed from an annual average of 16.300, in </w:t>
      </w:r>
      <w:r w:rsidR="00977154" w:rsidRPr="00573DEB">
        <w:t>the period 2000-2005, to 60.900</w:t>
      </w:r>
      <w:r w:rsidRPr="00573DEB">
        <w:t xml:space="preserve"> in the period 2008-2012</w:t>
      </w:r>
      <w:r w:rsidR="004B4B73" w:rsidRPr="00573DEB">
        <w:t xml:space="preserve">.  </w:t>
      </w:r>
      <w:r w:rsidRPr="00573DEB">
        <w:t>For applicants, this was an important administrative improvement, considering that the time for obtaining protection of a trademark is minimized</w:t>
      </w:r>
      <w:r w:rsidR="004B4B73" w:rsidRPr="00573DEB">
        <w:t xml:space="preserve">.  </w:t>
      </w:r>
    </w:p>
    <w:p w:rsidR="00B000C0" w:rsidRPr="00573DEB" w:rsidRDefault="00B000C0" w:rsidP="004B4B73">
      <w:pPr>
        <w:rPr>
          <w:noProof/>
        </w:rPr>
      </w:pPr>
    </w:p>
    <w:p w:rsidR="00B000C0" w:rsidRPr="00573DEB" w:rsidRDefault="00B000C0" w:rsidP="004B4B73">
      <w:pPr>
        <w:rPr>
          <w:noProof/>
        </w:rPr>
      </w:pPr>
    </w:p>
    <w:p w:rsidR="00B000C0" w:rsidRPr="00573DEB" w:rsidRDefault="000C6B94" w:rsidP="00977154">
      <w:pPr>
        <w:pStyle w:val="Caption"/>
      </w:pPr>
      <w:bookmarkStart w:id="133" w:name="_Toc378267976"/>
      <w:r>
        <w:t xml:space="preserve">Figure 6.10:  </w:t>
      </w:r>
      <w:r w:rsidR="00B000C0" w:rsidRPr="00573DEB">
        <w:t>Trademark registrations, index (2000=100), 2000-2012</w:t>
      </w:r>
      <w:bookmarkEnd w:id="133"/>
    </w:p>
    <w:p w:rsidR="00B000C0" w:rsidRPr="00573DEB" w:rsidRDefault="00B000C0" w:rsidP="004B4B73">
      <w:r w:rsidRPr="00573DEB">
        <w:rPr>
          <w:noProof/>
        </w:rPr>
        <w:drawing>
          <wp:inline distT="0" distB="0" distL="0" distR="0" wp14:anchorId="262F6A36" wp14:editId="040A70C3">
            <wp:extent cx="5574030" cy="3554095"/>
            <wp:effectExtent l="0" t="0" r="7620" b="8255"/>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1"/>
                    <pic:cNvPicPr>
                      <a:picLocks noChangeArrowheads="1"/>
                    </pic:cNvPicPr>
                  </pic:nvPicPr>
                  <pic:blipFill>
                    <a:blip r:embed="rId51">
                      <a:extLst>
                        <a:ext uri="{28A0092B-C50C-407E-A947-70E740481C1C}">
                          <a14:useLocalDpi xmlns:a14="http://schemas.microsoft.com/office/drawing/2010/main" val="0"/>
                        </a:ext>
                      </a:extLst>
                    </a:blip>
                    <a:srcRect b="-53"/>
                    <a:stretch>
                      <a:fillRect/>
                    </a:stretch>
                  </pic:blipFill>
                  <pic:spPr bwMode="auto">
                    <a:xfrm>
                      <a:off x="0" y="0"/>
                      <a:ext cx="5574030" cy="3554095"/>
                    </a:xfrm>
                    <a:prstGeom prst="rect">
                      <a:avLst/>
                    </a:prstGeom>
                    <a:noFill/>
                    <a:ln>
                      <a:noFill/>
                    </a:ln>
                  </pic:spPr>
                </pic:pic>
              </a:graphicData>
            </a:graphic>
          </wp:inline>
        </w:drawing>
      </w:r>
    </w:p>
    <w:p w:rsidR="00B000C0" w:rsidRPr="00156225" w:rsidRDefault="00B000C0" w:rsidP="00977154">
      <w:pPr>
        <w:pStyle w:val="Captionnotes"/>
        <w:rPr>
          <w:i w:val="0"/>
        </w:rPr>
      </w:pPr>
      <w:r w:rsidRPr="00156225">
        <w:rPr>
          <w:i w:val="0"/>
        </w:rPr>
        <w:t>Source:</w:t>
      </w:r>
      <w:r w:rsidR="00156225">
        <w:rPr>
          <w:i w:val="0"/>
        </w:rPr>
        <w:t xml:space="preserve"> </w:t>
      </w:r>
      <w:r w:rsidRPr="00156225">
        <w:rPr>
          <w:i w:val="0"/>
        </w:rPr>
        <w:t xml:space="preserve"> INPI’s Statistical database (BADEPI, April 2013)</w:t>
      </w:r>
    </w:p>
    <w:p w:rsidR="00B000C0" w:rsidRPr="00573DEB" w:rsidRDefault="00B000C0" w:rsidP="004B4B73"/>
    <w:p w:rsidR="00B000C0" w:rsidRPr="00573DEB" w:rsidRDefault="00B000C0" w:rsidP="004B4B73">
      <w:r w:rsidRPr="00573DEB">
        <w:t>Finally, it is important to highlight that a mark is an important component of business value, as part of the intangible assets of a company</w:t>
      </w:r>
      <w:r w:rsidR="004B4B73" w:rsidRPr="00573DEB">
        <w:t xml:space="preserve">.  </w:t>
      </w:r>
      <w:r w:rsidRPr="00573DEB">
        <w:t>The data presented here show that, in Brazil, trademarks are the form of IPR more intensively used, mainly among resident applicants</w:t>
      </w:r>
      <w:r w:rsidR="004B4B73" w:rsidRPr="00573DEB">
        <w:t xml:space="preserve">.  </w:t>
      </w:r>
      <w:r w:rsidRPr="00573DEB">
        <w:t>On the other hand, the Top 10 Nice Classes reveals that trademarks have been widely used across many different sectors of the economy.</w:t>
      </w:r>
    </w:p>
    <w:p w:rsidR="00B000C0" w:rsidRPr="00573DEB" w:rsidRDefault="00B000C0" w:rsidP="004B4B73"/>
    <w:p w:rsidR="00977154" w:rsidRDefault="00977154" w:rsidP="004B4B73"/>
    <w:p w:rsidR="0007485C" w:rsidRPr="00573DEB" w:rsidRDefault="0007485C" w:rsidP="004B4B73"/>
    <w:p w:rsidR="00B000C0" w:rsidRPr="00573DEB" w:rsidRDefault="00156225" w:rsidP="004B4B73">
      <w:pPr>
        <w:pStyle w:val="Heading1"/>
      </w:pPr>
      <w:bookmarkStart w:id="134" w:name="_Toc373369852"/>
      <w:bookmarkStart w:id="135" w:name="_Toc388619943"/>
      <w:bookmarkEnd w:id="78"/>
      <w:bookmarkEnd w:id="79"/>
      <w:bookmarkEnd w:id="80"/>
      <w:r>
        <w:t>7</w:t>
      </w:r>
      <w:r>
        <w:tab/>
      </w:r>
      <w:r w:rsidR="00D6625E" w:rsidRPr="00573DEB">
        <w:t>Technolog</w:t>
      </w:r>
      <w:r w:rsidR="007B2293">
        <w:t>y</w:t>
      </w:r>
      <w:r w:rsidR="00D6625E" w:rsidRPr="00573DEB">
        <w:t xml:space="preserve"> </w:t>
      </w:r>
      <w:r>
        <w:t>C</w:t>
      </w:r>
      <w:r w:rsidR="00B000C0" w:rsidRPr="00573DEB">
        <w:t>ontracts</w:t>
      </w:r>
      <w:bookmarkEnd w:id="134"/>
      <w:bookmarkEnd w:id="135"/>
    </w:p>
    <w:p w:rsidR="00B000C0" w:rsidRPr="00573DEB" w:rsidRDefault="00B000C0" w:rsidP="004B4B73"/>
    <w:p w:rsidR="00B000C0" w:rsidRPr="00573DEB" w:rsidRDefault="00B000C0" w:rsidP="004B4B73">
      <w:r w:rsidRPr="00573DEB">
        <w:t>The number of contracts submitted for registration in INPI depends on the behavior of another variables such as, for example, foreign technology acquisitions by resident companies, investment projects for expansion and modernization of production capacity in Brazil, and the flow of foreign direct investment to the country</w:t>
      </w:r>
      <w:r w:rsidR="004B4B73" w:rsidRPr="00573DEB">
        <w:t xml:space="preserve">.  </w:t>
      </w:r>
      <w:r w:rsidRPr="00573DEB">
        <w:t>The number of registered contracts is also influenced by changes in the relationship and the business models of resident and international companies that involve new contracts.</w:t>
      </w:r>
    </w:p>
    <w:p w:rsidR="00B000C0" w:rsidRPr="00573DEB" w:rsidRDefault="00B000C0" w:rsidP="004B4B73"/>
    <w:p w:rsidR="00B000C0" w:rsidRPr="00573DEB" w:rsidRDefault="00B000C0" w:rsidP="004B4B73">
      <w:r w:rsidRPr="00573DEB">
        <w:t>Between 2000 and 2012, the total number of new contracts registered in INPI increased by 2%, from 1,212 to 1,238</w:t>
      </w:r>
      <w:r w:rsidR="004B4B73" w:rsidRPr="00573DEB">
        <w:t xml:space="preserve">.  </w:t>
      </w:r>
      <w:r w:rsidRPr="00573DEB">
        <w:t>This small increase occurred after a year-on-year fluctuation</w:t>
      </w:r>
      <w:r w:rsidR="004B4B73" w:rsidRPr="00573DEB">
        <w:t xml:space="preserve">.  </w:t>
      </w:r>
      <w:r w:rsidRPr="00573DEB">
        <w:t>The beginning of the period was marked by more substantial fluctuations: a growth of 12% in registration in the first year was followed by a drop of 27% in the next two years</w:t>
      </w:r>
      <w:r w:rsidR="004B4B73" w:rsidRPr="00573DEB">
        <w:t xml:space="preserve">.  </w:t>
      </w:r>
      <w:r w:rsidRPr="00573DEB">
        <w:t>Since 2004, the number of registered new contracts had smaller changes</w:t>
      </w:r>
      <w:r w:rsidR="007B2293">
        <w:t>,</w:t>
      </w:r>
      <w:r w:rsidRPr="00573DEB">
        <w:t xml:space="preserve"> fluctuat</w:t>
      </w:r>
      <w:r w:rsidR="007B2293">
        <w:t>ing</w:t>
      </w:r>
      <w:r w:rsidRPr="00573DEB">
        <w:t xml:space="preserve"> around 1,000 per year</w:t>
      </w:r>
      <w:r w:rsidR="004B4B73" w:rsidRPr="00573DEB">
        <w:t xml:space="preserve">.  </w:t>
      </w:r>
      <w:r w:rsidRPr="00573DEB">
        <w:t>In the last two years, the number of new contracts increased (25%) and recovered its level when compared to</w:t>
      </w:r>
      <w:r w:rsidR="0000123A">
        <w:t> </w:t>
      </w:r>
      <w:r w:rsidRPr="00573DEB">
        <w:t>2000</w:t>
      </w:r>
      <w:r w:rsidR="004B4B73" w:rsidRPr="00573DEB">
        <w:t xml:space="preserve">.  </w:t>
      </w:r>
    </w:p>
    <w:p w:rsidR="00B000C0" w:rsidRPr="00573DEB" w:rsidRDefault="00B000C0" w:rsidP="004B4B73"/>
    <w:p w:rsidR="00B000C0" w:rsidRPr="00573DEB" w:rsidRDefault="00B000C0" w:rsidP="004B4B73">
      <w:bookmarkStart w:id="136" w:name="_Toc377053340"/>
    </w:p>
    <w:p w:rsidR="00B000C0" w:rsidRPr="00573DEB" w:rsidRDefault="008B45FC" w:rsidP="00FA62CB">
      <w:pPr>
        <w:pStyle w:val="Caption"/>
      </w:pPr>
      <w:bookmarkStart w:id="137" w:name="_Toc378267977"/>
      <w:r>
        <w:t xml:space="preserve">Figure 7.1:  </w:t>
      </w:r>
      <w:r w:rsidR="00B000C0" w:rsidRPr="00573DEB">
        <w:t>Number of Contracts Registered in INPI</w:t>
      </w:r>
      <w:bookmarkEnd w:id="136"/>
      <w:bookmarkEnd w:id="137"/>
    </w:p>
    <w:p w:rsidR="00B000C0" w:rsidRPr="00573DEB" w:rsidRDefault="00B000C0" w:rsidP="004B4B73">
      <w:r w:rsidRPr="00573DEB">
        <w:rPr>
          <w:noProof/>
        </w:rPr>
        <w:drawing>
          <wp:inline distT="0" distB="0" distL="0" distR="0" wp14:anchorId="413F2B2E" wp14:editId="2F685F80">
            <wp:extent cx="5742940" cy="21215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2940" cy="2121535"/>
                    </a:xfrm>
                    <a:prstGeom prst="rect">
                      <a:avLst/>
                    </a:prstGeom>
                    <a:noFill/>
                  </pic:spPr>
                </pic:pic>
              </a:graphicData>
            </a:graphic>
          </wp:inline>
        </w:drawing>
      </w:r>
    </w:p>
    <w:p w:rsidR="00B000C0" w:rsidRPr="00156225" w:rsidRDefault="00B000C0" w:rsidP="00FA62CB">
      <w:pPr>
        <w:pStyle w:val="Captionnotes"/>
        <w:rPr>
          <w:i w:val="0"/>
        </w:rPr>
      </w:pPr>
      <w:r w:rsidRPr="00156225">
        <w:rPr>
          <w:i w:val="0"/>
        </w:rPr>
        <w:t xml:space="preserve">Source: </w:t>
      </w:r>
      <w:r w:rsidR="00156225" w:rsidRPr="00156225">
        <w:rPr>
          <w:i w:val="0"/>
        </w:rPr>
        <w:t xml:space="preserve"> </w:t>
      </w:r>
      <w:r w:rsidRPr="00156225">
        <w:rPr>
          <w:i w:val="0"/>
        </w:rPr>
        <w:t>INPI, Directory of Contracts, Geographical Indications and Registers, Coordinator-General for Technology Contracts.</w:t>
      </w:r>
    </w:p>
    <w:p w:rsidR="00B000C0" w:rsidRDefault="00B000C0" w:rsidP="004B4B73"/>
    <w:p w:rsidR="0000123A" w:rsidRDefault="0000123A" w:rsidP="004B4B73"/>
    <w:p w:rsidR="00B138E9" w:rsidRDefault="00B138E9" w:rsidP="004B4B73"/>
    <w:p w:rsidR="00B138E9" w:rsidRDefault="00B138E9" w:rsidP="004B4B73"/>
    <w:p w:rsidR="00B138E9" w:rsidRDefault="00B138E9">
      <w:pPr>
        <w:widowControl/>
        <w:spacing w:after="200" w:line="276" w:lineRule="auto"/>
      </w:pPr>
      <w:r>
        <w:br w:type="page"/>
      </w:r>
    </w:p>
    <w:p w:rsidR="00B138E9" w:rsidRDefault="00B138E9" w:rsidP="004B4B73"/>
    <w:p w:rsidR="00B000C0" w:rsidRPr="00573DEB" w:rsidRDefault="00B138E9" w:rsidP="001922D0">
      <w:pPr>
        <w:pStyle w:val="Caption"/>
      </w:pPr>
      <w:bookmarkStart w:id="138" w:name="_Toc377053341"/>
      <w:bookmarkStart w:id="139" w:name="_Toc378268004"/>
      <w:r>
        <w:t>T</w:t>
      </w:r>
      <w:r w:rsidR="008B45FC">
        <w:t xml:space="preserve">able 7.1:  </w:t>
      </w:r>
      <w:r w:rsidR="00B000C0" w:rsidRPr="00573DEB">
        <w:t>Number of Contracts Registered by Type, 2000-2012</w:t>
      </w:r>
      <w:bookmarkEnd w:id="138"/>
      <w:bookmarkEnd w:id="139"/>
    </w:p>
    <w:tbl>
      <w:tblPr>
        <w:tblW w:w="6909" w:type="dxa"/>
        <w:tblLayout w:type="fixed"/>
        <w:tblCellMar>
          <w:left w:w="0" w:type="dxa"/>
          <w:right w:w="0" w:type="dxa"/>
        </w:tblCellMar>
        <w:tblLook w:val="0000" w:firstRow="0" w:lastRow="0" w:firstColumn="0" w:lastColumn="0" w:noHBand="0" w:noVBand="0"/>
      </w:tblPr>
      <w:tblGrid>
        <w:gridCol w:w="1151"/>
        <w:gridCol w:w="1152"/>
        <w:gridCol w:w="1151"/>
        <w:gridCol w:w="1152"/>
        <w:gridCol w:w="1151"/>
        <w:gridCol w:w="1152"/>
      </w:tblGrid>
      <w:tr w:rsidR="00B000C0" w:rsidRPr="00573DEB" w:rsidTr="001922D0">
        <w:trPr>
          <w:trHeight w:val="397"/>
        </w:trPr>
        <w:tc>
          <w:tcPr>
            <w:tcW w:w="1151"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B000C0" w:rsidRPr="00573DEB" w:rsidRDefault="00B000C0" w:rsidP="004B4B73">
            <w:pPr>
              <w:rPr>
                <w:rFonts w:ascii="Arial Narrow" w:hAnsi="Arial Narrow"/>
              </w:rPr>
            </w:pPr>
            <w:r w:rsidRPr="00573DEB">
              <w:rPr>
                <w:rFonts w:ascii="Arial Narrow" w:hAnsi="Arial Narrow"/>
              </w:rPr>
              <w:t>Registered Year</w:t>
            </w:r>
          </w:p>
        </w:tc>
        <w:tc>
          <w:tcPr>
            <w:tcW w:w="1152" w:type="dxa"/>
            <w:tcBorders>
              <w:top w:val="single" w:sz="4" w:space="0" w:color="auto"/>
              <w:left w:val="nil"/>
              <w:bottom w:val="single" w:sz="4" w:space="0" w:color="auto"/>
              <w:right w:val="single" w:sz="4" w:space="0" w:color="auto"/>
            </w:tcBorders>
            <w:shd w:val="clear" w:color="auto" w:fill="C0C0C0"/>
            <w:vAlign w:val="center"/>
          </w:tcPr>
          <w:p w:rsidR="00B000C0" w:rsidRPr="00573DEB" w:rsidRDefault="00B000C0" w:rsidP="004B4B73">
            <w:pPr>
              <w:rPr>
                <w:rFonts w:ascii="Arial Narrow" w:hAnsi="Arial Narrow"/>
              </w:rPr>
            </w:pPr>
            <w:r w:rsidRPr="00573DEB">
              <w:rPr>
                <w:rFonts w:ascii="Arial Narrow" w:hAnsi="Arial Narrow"/>
              </w:rPr>
              <w:t xml:space="preserve">Between </w:t>
            </w:r>
            <w:r w:rsidRPr="00573DEB">
              <w:rPr>
                <w:rFonts w:ascii="Arial Narrow" w:hAnsi="Arial Narrow"/>
              </w:rPr>
              <w:br/>
              <w:t>non-residents</w:t>
            </w:r>
          </w:p>
        </w:tc>
        <w:tc>
          <w:tcPr>
            <w:tcW w:w="1151" w:type="dxa"/>
            <w:tcBorders>
              <w:top w:val="single" w:sz="4" w:space="0" w:color="auto"/>
              <w:left w:val="nil"/>
              <w:bottom w:val="single" w:sz="4" w:space="0" w:color="auto"/>
              <w:right w:val="single" w:sz="4" w:space="0" w:color="auto"/>
            </w:tcBorders>
            <w:shd w:val="clear" w:color="auto" w:fill="C0C0C0"/>
            <w:vAlign w:val="center"/>
          </w:tcPr>
          <w:p w:rsidR="00B000C0" w:rsidRPr="00573DEB" w:rsidRDefault="00B000C0" w:rsidP="004B4B73">
            <w:pPr>
              <w:rPr>
                <w:rFonts w:ascii="Arial Narrow" w:hAnsi="Arial Narrow"/>
              </w:rPr>
            </w:pPr>
            <w:r w:rsidRPr="00573DEB">
              <w:rPr>
                <w:rFonts w:ascii="Arial Narrow" w:hAnsi="Arial Narrow"/>
              </w:rPr>
              <w:t>Between</w:t>
            </w:r>
            <w:r w:rsidRPr="00573DEB">
              <w:rPr>
                <w:rFonts w:ascii="Arial Narrow" w:hAnsi="Arial Narrow"/>
              </w:rPr>
              <w:br/>
              <w:t xml:space="preserve"> residents</w:t>
            </w:r>
          </w:p>
        </w:tc>
        <w:tc>
          <w:tcPr>
            <w:tcW w:w="1152" w:type="dxa"/>
            <w:tcBorders>
              <w:top w:val="single" w:sz="4" w:space="0" w:color="auto"/>
              <w:left w:val="nil"/>
              <w:bottom w:val="single" w:sz="4" w:space="0" w:color="auto"/>
              <w:right w:val="single" w:sz="4" w:space="0" w:color="auto"/>
            </w:tcBorders>
            <w:shd w:val="clear" w:color="auto" w:fill="C0C0C0"/>
            <w:vAlign w:val="center"/>
          </w:tcPr>
          <w:p w:rsidR="00B000C0" w:rsidRPr="00573DEB" w:rsidRDefault="00B000C0" w:rsidP="004B4B73">
            <w:pPr>
              <w:rPr>
                <w:rFonts w:ascii="Arial Narrow" w:hAnsi="Arial Narrow"/>
              </w:rPr>
            </w:pPr>
            <w:r w:rsidRPr="00573DEB">
              <w:rPr>
                <w:rFonts w:ascii="Arial Narrow" w:hAnsi="Arial Narrow"/>
              </w:rPr>
              <w:t>Export</w:t>
            </w:r>
          </w:p>
        </w:tc>
        <w:tc>
          <w:tcPr>
            <w:tcW w:w="1151" w:type="dxa"/>
            <w:tcBorders>
              <w:top w:val="single" w:sz="4" w:space="0" w:color="auto"/>
              <w:left w:val="nil"/>
              <w:bottom w:val="single" w:sz="4" w:space="0" w:color="auto"/>
              <w:right w:val="single" w:sz="4" w:space="0" w:color="auto"/>
            </w:tcBorders>
            <w:shd w:val="clear" w:color="auto" w:fill="C0C0C0"/>
            <w:vAlign w:val="center"/>
          </w:tcPr>
          <w:p w:rsidR="00B000C0" w:rsidRPr="00573DEB" w:rsidRDefault="00B000C0" w:rsidP="004B4B73">
            <w:pPr>
              <w:rPr>
                <w:rFonts w:ascii="Arial Narrow" w:hAnsi="Arial Narrow"/>
              </w:rPr>
            </w:pPr>
            <w:r w:rsidRPr="00573DEB">
              <w:rPr>
                <w:rFonts w:ascii="Arial Narrow" w:hAnsi="Arial Narrow"/>
              </w:rPr>
              <w:t>Import</w:t>
            </w:r>
          </w:p>
        </w:tc>
        <w:tc>
          <w:tcPr>
            <w:tcW w:w="1152" w:type="dxa"/>
            <w:tcBorders>
              <w:top w:val="single" w:sz="4" w:space="0" w:color="auto"/>
              <w:left w:val="nil"/>
              <w:bottom w:val="single" w:sz="4" w:space="0" w:color="auto"/>
              <w:right w:val="single" w:sz="4" w:space="0" w:color="auto"/>
            </w:tcBorders>
            <w:shd w:val="clear" w:color="auto" w:fill="C0C0C0"/>
            <w:vAlign w:val="center"/>
          </w:tcPr>
          <w:p w:rsidR="00B000C0" w:rsidRPr="00573DEB" w:rsidRDefault="00B000C0" w:rsidP="004B4B73">
            <w:pPr>
              <w:rPr>
                <w:rFonts w:ascii="Arial Narrow" w:hAnsi="Arial Narrow"/>
              </w:rPr>
            </w:pPr>
            <w:r w:rsidRPr="00573DEB">
              <w:rPr>
                <w:rFonts w:ascii="Arial Narrow" w:hAnsi="Arial Narrow"/>
              </w:rPr>
              <w:t>Total</w:t>
            </w:r>
          </w:p>
        </w:tc>
      </w:tr>
      <w:tr w:rsidR="00B000C0" w:rsidRPr="00573DEB" w:rsidTr="001922D0">
        <w:trPr>
          <w:trHeight w:val="255"/>
        </w:trPr>
        <w:tc>
          <w:tcPr>
            <w:tcW w:w="1151" w:type="dxa"/>
            <w:tcBorders>
              <w:top w:val="nil"/>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2000</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11</w:t>
            </w: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79</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1.122</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1.212</w:t>
            </w:r>
          </w:p>
        </w:tc>
      </w:tr>
      <w:tr w:rsidR="00B000C0" w:rsidRPr="00573DEB" w:rsidTr="001922D0">
        <w:trPr>
          <w:trHeight w:val="255"/>
        </w:trPr>
        <w:tc>
          <w:tcPr>
            <w:tcW w:w="1151" w:type="dxa"/>
            <w:tcBorders>
              <w:top w:val="nil"/>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2001</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11</w:t>
            </w: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63</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w:t>
            </w: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1.284</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1.359</w:t>
            </w:r>
          </w:p>
        </w:tc>
      </w:tr>
      <w:tr w:rsidR="00B000C0" w:rsidRPr="00573DEB" w:rsidTr="001922D0">
        <w:trPr>
          <w:trHeight w:val="255"/>
        </w:trPr>
        <w:tc>
          <w:tcPr>
            <w:tcW w:w="1151" w:type="dxa"/>
            <w:tcBorders>
              <w:top w:val="nil"/>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2002</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12</w:t>
            </w: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56</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w:t>
            </w: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1.282</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1.351</w:t>
            </w:r>
          </w:p>
        </w:tc>
      </w:tr>
      <w:tr w:rsidR="00B000C0" w:rsidRPr="00573DEB" w:rsidTr="001922D0">
        <w:trPr>
          <w:trHeight w:val="255"/>
        </w:trPr>
        <w:tc>
          <w:tcPr>
            <w:tcW w:w="1151" w:type="dxa"/>
            <w:tcBorders>
              <w:top w:val="nil"/>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2003</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21</w:t>
            </w: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50</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2</w:t>
            </w: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1.039</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1.112</w:t>
            </w:r>
          </w:p>
        </w:tc>
      </w:tr>
      <w:tr w:rsidR="00B000C0" w:rsidRPr="00573DEB" w:rsidTr="001922D0">
        <w:trPr>
          <w:trHeight w:val="255"/>
        </w:trPr>
        <w:tc>
          <w:tcPr>
            <w:tcW w:w="1151" w:type="dxa"/>
            <w:tcBorders>
              <w:top w:val="nil"/>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2004</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7</w:t>
            </w: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47</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w:t>
            </w: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937</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992</w:t>
            </w:r>
          </w:p>
        </w:tc>
      </w:tr>
      <w:tr w:rsidR="00B000C0" w:rsidRPr="00573DEB" w:rsidTr="001922D0">
        <w:trPr>
          <w:trHeight w:val="255"/>
        </w:trPr>
        <w:tc>
          <w:tcPr>
            <w:tcW w:w="1151" w:type="dxa"/>
            <w:tcBorders>
              <w:top w:val="nil"/>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2005</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11</w:t>
            </w: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52</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2</w:t>
            </w: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930</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995</w:t>
            </w:r>
          </w:p>
        </w:tc>
      </w:tr>
      <w:tr w:rsidR="00B000C0" w:rsidRPr="00573DEB" w:rsidTr="001922D0">
        <w:trPr>
          <w:trHeight w:val="255"/>
        </w:trPr>
        <w:tc>
          <w:tcPr>
            <w:tcW w:w="1151" w:type="dxa"/>
            <w:tcBorders>
              <w:top w:val="nil"/>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2006</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8</w:t>
            </w: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77</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964</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1.049</w:t>
            </w:r>
          </w:p>
        </w:tc>
      </w:tr>
      <w:tr w:rsidR="00B000C0" w:rsidRPr="00573DEB" w:rsidTr="001922D0">
        <w:trPr>
          <w:trHeight w:val="255"/>
        </w:trPr>
        <w:tc>
          <w:tcPr>
            <w:tcW w:w="1151" w:type="dxa"/>
            <w:tcBorders>
              <w:top w:val="nil"/>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2007</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13</w:t>
            </w: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63</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w:t>
            </w: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928</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1.005</w:t>
            </w:r>
          </w:p>
        </w:tc>
      </w:tr>
      <w:tr w:rsidR="00B000C0" w:rsidRPr="00573DEB" w:rsidTr="001922D0">
        <w:trPr>
          <w:trHeight w:val="255"/>
        </w:trPr>
        <w:tc>
          <w:tcPr>
            <w:tcW w:w="1151" w:type="dxa"/>
            <w:tcBorders>
              <w:top w:val="nil"/>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2008</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11</w:t>
            </w: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85</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w:t>
            </w: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882</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979</w:t>
            </w:r>
          </w:p>
        </w:tc>
      </w:tr>
      <w:tr w:rsidR="00B000C0" w:rsidRPr="00573DEB" w:rsidTr="001922D0">
        <w:trPr>
          <w:trHeight w:val="255"/>
        </w:trPr>
        <w:tc>
          <w:tcPr>
            <w:tcW w:w="1151" w:type="dxa"/>
            <w:tcBorders>
              <w:top w:val="nil"/>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2009</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13</w:t>
            </w: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57</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w:t>
            </w: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955</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1.026</w:t>
            </w:r>
          </w:p>
        </w:tc>
      </w:tr>
      <w:tr w:rsidR="00B000C0" w:rsidRPr="00573DEB" w:rsidTr="001922D0">
        <w:trPr>
          <w:trHeight w:val="255"/>
        </w:trPr>
        <w:tc>
          <w:tcPr>
            <w:tcW w:w="1151" w:type="dxa"/>
            <w:tcBorders>
              <w:top w:val="nil"/>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2010</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12</w:t>
            </w: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76</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3</w:t>
            </w: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896</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987</w:t>
            </w:r>
          </w:p>
        </w:tc>
      </w:tr>
      <w:tr w:rsidR="00B000C0" w:rsidRPr="00573DEB" w:rsidTr="001922D0">
        <w:trPr>
          <w:trHeight w:val="255"/>
        </w:trPr>
        <w:tc>
          <w:tcPr>
            <w:tcW w:w="1151" w:type="dxa"/>
            <w:tcBorders>
              <w:top w:val="nil"/>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2011</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14</w:t>
            </w: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100</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1.017</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1.131</w:t>
            </w:r>
          </w:p>
        </w:tc>
      </w:tr>
      <w:tr w:rsidR="00B000C0" w:rsidRPr="00573DEB" w:rsidTr="001922D0">
        <w:trPr>
          <w:trHeight w:val="255"/>
        </w:trPr>
        <w:tc>
          <w:tcPr>
            <w:tcW w:w="1151" w:type="dxa"/>
            <w:tcBorders>
              <w:top w:val="nil"/>
              <w:left w:val="single" w:sz="4" w:space="0" w:color="auto"/>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2012</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4</w:t>
            </w: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92</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3</w:t>
            </w:r>
          </w:p>
        </w:tc>
        <w:tc>
          <w:tcPr>
            <w:tcW w:w="1151"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1.139</w:t>
            </w:r>
          </w:p>
        </w:tc>
        <w:tc>
          <w:tcPr>
            <w:tcW w:w="1152" w:type="dxa"/>
            <w:tcBorders>
              <w:top w:val="nil"/>
              <w:left w:val="nil"/>
              <w:bottom w:val="single" w:sz="4" w:space="0" w:color="auto"/>
              <w:right w:val="single" w:sz="4" w:space="0" w:color="auto"/>
            </w:tcBorders>
            <w:noWrap/>
            <w:vAlign w:val="center"/>
          </w:tcPr>
          <w:p w:rsidR="00B000C0" w:rsidRPr="00573DEB" w:rsidRDefault="00B000C0" w:rsidP="004B4B73">
            <w:pPr>
              <w:rPr>
                <w:rFonts w:ascii="Arial Narrow" w:hAnsi="Arial Narrow"/>
              </w:rPr>
            </w:pPr>
            <w:r w:rsidRPr="00573DEB">
              <w:rPr>
                <w:rFonts w:ascii="Arial Narrow" w:hAnsi="Arial Narrow"/>
              </w:rPr>
              <w:t>1.238</w:t>
            </w:r>
          </w:p>
        </w:tc>
      </w:tr>
    </w:tbl>
    <w:p w:rsidR="00B000C0" w:rsidRPr="00156225" w:rsidRDefault="00B000C0" w:rsidP="001922D0">
      <w:pPr>
        <w:pStyle w:val="Captionnotes"/>
        <w:rPr>
          <w:i w:val="0"/>
        </w:rPr>
      </w:pPr>
      <w:r w:rsidRPr="00156225">
        <w:rPr>
          <w:i w:val="0"/>
        </w:rPr>
        <w:t>Source:</w:t>
      </w:r>
      <w:r w:rsidR="00156225" w:rsidRPr="00156225">
        <w:rPr>
          <w:i w:val="0"/>
        </w:rPr>
        <w:t xml:space="preserve"> </w:t>
      </w:r>
      <w:r w:rsidRPr="00156225">
        <w:rPr>
          <w:i w:val="0"/>
        </w:rPr>
        <w:t xml:space="preserve"> INPI, Directory of Contracts, Geographical Indications and Registers, Coordinator-General for </w:t>
      </w:r>
      <w:r w:rsidR="007B2293" w:rsidRPr="00156225">
        <w:rPr>
          <w:i w:val="0"/>
        </w:rPr>
        <w:t>Technology</w:t>
      </w:r>
      <w:r w:rsidRPr="00156225">
        <w:rPr>
          <w:i w:val="0"/>
        </w:rPr>
        <w:t xml:space="preserve"> Contracts.</w:t>
      </w:r>
    </w:p>
    <w:p w:rsidR="00B000C0" w:rsidRPr="00573DEB" w:rsidRDefault="00B000C0" w:rsidP="00D6625E"/>
    <w:p w:rsidR="00D6625E" w:rsidRPr="00573DEB" w:rsidRDefault="00D6625E" w:rsidP="001922D0"/>
    <w:p w:rsidR="001922D0" w:rsidRPr="00573DEB" w:rsidRDefault="001922D0" w:rsidP="001922D0">
      <w:pPr>
        <w:pStyle w:val="Heading2"/>
      </w:pPr>
      <w:bookmarkStart w:id="140" w:name="_Toc388619944"/>
      <w:r w:rsidRPr="00573DEB">
        <w:t xml:space="preserve">Technological </w:t>
      </w:r>
      <w:r w:rsidR="00D6625E" w:rsidRPr="00573DEB">
        <w:t>c</w:t>
      </w:r>
      <w:r w:rsidRPr="00573DEB">
        <w:t xml:space="preserve">ontracts </w:t>
      </w:r>
      <w:r w:rsidR="00D6625E" w:rsidRPr="00573DEB">
        <w:t>b</w:t>
      </w:r>
      <w:r w:rsidRPr="00573DEB">
        <w:t xml:space="preserve">y </w:t>
      </w:r>
      <w:r w:rsidR="00D6625E" w:rsidRPr="00573DEB">
        <w:t>b</w:t>
      </w:r>
      <w:r w:rsidRPr="00573DEB">
        <w:t xml:space="preserve">usiness </w:t>
      </w:r>
      <w:r w:rsidR="00D6625E" w:rsidRPr="00573DEB">
        <w:t>t</w:t>
      </w:r>
      <w:r w:rsidRPr="00573DEB">
        <w:t>ype</w:t>
      </w:r>
      <w:bookmarkEnd w:id="140"/>
    </w:p>
    <w:p w:rsidR="001922D0" w:rsidRPr="00573DEB" w:rsidRDefault="001922D0" w:rsidP="001922D0"/>
    <w:p w:rsidR="001922D0" w:rsidRPr="00573DEB" w:rsidRDefault="001922D0" w:rsidP="001922D0">
      <w:r w:rsidRPr="00573DEB">
        <w:t>Contracts related to foreign technology or IPR accounted, on average, for 90% of the total, while internal contracts (between residents) accounted for an average of 6%.  External contracts (between non-residents) and contracts for technology exports were not significant.</w:t>
      </w:r>
    </w:p>
    <w:p w:rsidR="001922D0" w:rsidRPr="00573DEB" w:rsidRDefault="001922D0" w:rsidP="004B4B73"/>
    <w:p w:rsidR="00B000C0" w:rsidRPr="00573DEB" w:rsidRDefault="00B000C0" w:rsidP="004B4B73">
      <w:r w:rsidRPr="00573DEB">
        <w:t>It is important to clarify that the data organized by the INPI should be considered representative for international business only when they are signed between residents and companies domiciled abroad and they intend to "import" technology</w:t>
      </w:r>
      <w:r w:rsidR="004B4B73" w:rsidRPr="00573DEB">
        <w:t xml:space="preserve">.  </w:t>
      </w:r>
      <w:r w:rsidRPr="00573DEB">
        <w:t>The INPI data, however, are not representative for international business when they are signed by residents and non-residents for the "exportation" of technology, or they are between residents.</w:t>
      </w:r>
    </w:p>
    <w:p w:rsidR="00B000C0" w:rsidRPr="00573DEB" w:rsidRDefault="00B000C0" w:rsidP="004B4B73"/>
    <w:p w:rsidR="00B000C0" w:rsidRPr="00573DEB" w:rsidRDefault="00B000C0" w:rsidP="004B4B73">
      <w:r w:rsidRPr="00573DEB">
        <w:t>The information provided by INPI does not involve all the business with intangible assets and franchises in the country, because the registration of technology and franchise contracts among Brazilian companies is not mandatory</w:t>
      </w:r>
      <w:r w:rsidR="004B4B73" w:rsidRPr="00573DEB">
        <w:t xml:space="preserve">.  </w:t>
      </w:r>
      <w:r w:rsidRPr="00573DEB">
        <w:t>Registration of the contract is required in order to have valid effects on third parties, to allow the enforceability of its effects beyond the agreement between the parties and to allow tax deduction of net income duties</w:t>
      </w:r>
      <w:r w:rsidR="004B4B73" w:rsidRPr="00573DEB">
        <w:t xml:space="preserve">.  </w:t>
      </w:r>
      <w:r w:rsidRPr="00573DEB">
        <w:t>Thus, the fact that most contracts refer to imported technology is due both to the mandatory registration in INPI of contracts involving the payment of royalties and to the non-mandatory registration of contracts between residents.</w:t>
      </w:r>
    </w:p>
    <w:p w:rsidR="00B000C0" w:rsidRPr="00573DEB" w:rsidRDefault="00B000C0" w:rsidP="004B4B73"/>
    <w:p w:rsidR="00D6625E" w:rsidRPr="00573DEB" w:rsidRDefault="00D6625E" w:rsidP="00D6625E"/>
    <w:p w:rsidR="00D6625E" w:rsidRPr="00573DEB" w:rsidRDefault="008B45FC" w:rsidP="00D6625E">
      <w:pPr>
        <w:pStyle w:val="Caption"/>
      </w:pPr>
      <w:bookmarkStart w:id="141" w:name="_Toc377053342"/>
      <w:bookmarkStart w:id="142" w:name="_Toc378267978"/>
      <w:r>
        <w:t xml:space="preserve">Figure 7.2:  </w:t>
      </w:r>
      <w:r w:rsidR="00D6625E" w:rsidRPr="00573DEB">
        <w:t>Number of Contracts by contractual arrangements, 2000-2012</w:t>
      </w:r>
      <w:bookmarkEnd w:id="141"/>
      <w:bookmarkEnd w:id="142"/>
    </w:p>
    <w:p w:rsidR="00D6625E" w:rsidRPr="00573DEB" w:rsidRDefault="00D6625E" w:rsidP="00D6625E">
      <w:r w:rsidRPr="00573DEB">
        <w:rPr>
          <w:noProof/>
        </w:rPr>
        <w:drawing>
          <wp:inline distT="0" distB="0" distL="0" distR="0" wp14:anchorId="52247888" wp14:editId="5C30DABD">
            <wp:extent cx="5709285" cy="26003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9285" cy="2600325"/>
                    </a:xfrm>
                    <a:prstGeom prst="rect">
                      <a:avLst/>
                    </a:prstGeom>
                    <a:noFill/>
                    <a:ln>
                      <a:noFill/>
                    </a:ln>
                  </pic:spPr>
                </pic:pic>
              </a:graphicData>
            </a:graphic>
          </wp:inline>
        </w:drawing>
      </w:r>
    </w:p>
    <w:p w:rsidR="00D6625E" w:rsidRPr="00156225" w:rsidRDefault="00D6625E" w:rsidP="00D6625E">
      <w:pPr>
        <w:pStyle w:val="Captionnotes"/>
        <w:rPr>
          <w:i w:val="0"/>
        </w:rPr>
      </w:pPr>
      <w:r w:rsidRPr="00156225">
        <w:rPr>
          <w:i w:val="0"/>
        </w:rPr>
        <w:t>Source:</w:t>
      </w:r>
      <w:r w:rsidR="00156225" w:rsidRPr="00156225">
        <w:rPr>
          <w:i w:val="0"/>
        </w:rPr>
        <w:t xml:space="preserve"> </w:t>
      </w:r>
      <w:r w:rsidRPr="00156225">
        <w:rPr>
          <w:i w:val="0"/>
        </w:rPr>
        <w:t xml:space="preserve"> INPI, Directory of Contracts, Geographical Indications and Registers, Coordinator-General for </w:t>
      </w:r>
      <w:r w:rsidR="007B2293" w:rsidRPr="00156225">
        <w:rPr>
          <w:i w:val="0"/>
        </w:rPr>
        <w:t>Technology</w:t>
      </w:r>
      <w:r w:rsidRPr="00156225">
        <w:rPr>
          <w:i w:val="0"/>
        </w:rPr>
        <w:t xml:space="preserve"> Contracts.</w:t>
      </w:r>
    </w:p>
    <w:p w:rsidR="00D6625E" w:rsidRDefault="00D6625E" w:rsidP="004B4B73"/>
    <w:p w:rsidR="00B138E9" w:rsidRPr="00573DEB" w:rsidRDefault="00B138E9" w:rsidP="004B4B73"/>
    <w:p w:rsidR="00B000C0" w:rsidRPr="00573DEB" w:rsidRDefault="00D6625E" w:rsidP="004B4B73">
      <w:pPr>
        <w:pStyle w:val="Heading2"/>
      </w:pPr>
      <w:bookmarkStart w:id="143" w:name="_Toc373369854"/>
      <w:bookmarkStart w:id="144" w:name="_Toc388619945"/>
      <w:r w:rsidRPr="00573DEB">
        <w:t>Technological contracts b</w:t>
      </w:r>
      <w:r w:rsidR="00B000C0" w:rsidRPr="00573DEB">
        <w:t xml:space="preserve">y </w:t>
      </w:r>
      <w:r w:rsidRPr="00573DEB">
        <w:t>c</w:t>
      </w:r>
      <w:r w:rsidR="00B000C0" w:rsidRPr="00573DEB">
        <w:t xml:space="preserve">ontractual </w:t>
      </w:r>
      <w:r w:rsidRPr="00573DEB">
        <w:t>a</w:t>
      </w:r>
      <w:r w:rsidR="00B000C0" w:rsidRPr="00573DEB">
        <w:t>rrangement</w:t>
      </w:r>
      <w:bookmarkEnd w:id="143"/>
      <w:bookmarkEnd w:id="144"/>
    </w:p>
    <w:p w:rsidR="00B000C0" w:rsidRPr="00573DEB" w:rsidRDefault="00B000C0" w:rsidP="004B4B73"/>
    <w:p w:rsidR="00B000C0" w:rsidRPr="00573DEB" w:rsidRDefault="00B000C0" w:rsidP="004B4B73">
      <w:r w:rsidRPr="00573DEB">
        <w:t>It is observed that, among contracts for technology imports, the provision of technical assistance services accounted for the largest portion of the total contract endorsed, although its share has declined over the period (from 74% in 2000 to 65% in 2012)</w:t>
      </w:r>
      <w:r w:rsidR="004B4B73" w:rsidRPr="00573DEB">
        <w:t xml:space="preserve">.  </w:t>
      </w:r>
      <w:r w:rsidRPr="00573DEB">
        <w:t>The large share of services in the contracts registered by the INPI is explained by the importance of the sector of machinery and equipment for the innovative activities in Brazil, as proposed by the Technological Innovation Survey (PINTEC).</w:t>
      </w:r>
    </w:p>
    <w:p w:rsidR="00B000C0" w:rsidRPr="00573DEB" w:rsidRDefault="00B000C0" w:rsidP="004B4B73"/>
    <w:p w:rsidR="00B000C0" w:rsidRPr="00573DEB" w:rsidRDefault="00B000C0" w:rsidP="004B4B73">
      <w:r w:rsidRPr="00573DEB">
        <w:t>Among the other types of contracts, Trademark Licensing and Franchising contracts increased their participation over the period, from 12% of total registrations in 2000 to 22% in 2012, while contracts for the supply of technology (Know-How Agreements), contracts for the exploitation of patents and industrial designs and combined modality contracts maintained their share stable, close to 15%.</w:t>
      </w:r>
    </w:p>
    <w:p w:rsidR="00D6625E" w:rsidRPr="00573DEB" w:rsidRDefault="00D6625E" w:rsidP="004B4B73"/>
    <w:p w:rsidR="00D6625E" w:rsidRPr="00573DEB" w:rsidRDefault="00D6625E" w:rsidP="004B4B73"/>
    <w:p w:rsidR="00B000C0" w:rsidRPr="00573DEB" w:rsidRDefault="00D6625E" w:rsidP="004B4B73">
      <w:pPr>
        <w:pStyle w:val="Heading2"/>
      </w:pPr>
      <w:bookmarkStart w:id="145" w:name="_Toc373369855"/>
      <w:bookmarkStart w:id="146" w:name="_Toc388619946"/>
      <w:r w:rsidRPr="00573DEB">
        <w:t>Technological contracts by t</w:t>
      </w:r>
      <w:r w:rsidR="00B000C0" w:rsidRPr="00573DEB">
        <w:t xml:space="preserve">ype of </w:t>
      </w:r>
      <w:r w:rsidRPr="00573DEB">
        <w:t>r</w:t>
      </w:r>
      <w:r w:rsidR="00B000C0" w:rsidRPr="00573DEB">
        <w:t>oyalty</w:t>
      </w:r>
      <w:bookmarkEnd w:id="145"/>
      <w:bookmarkEnd w:id="146"/>
      <w:r w:rsidR="00B000C0" w:rsidRPr="00573DEB">
        <w:t xml:space="preserve"> </w:t>
      </w:r>
    </w:p>
    <w:p w:rsidR="00B000C0" w:rsidRPr="00573DEB" w:rsidRDefault="00B000C0" w:rsidP="004B4B73">
      <w:pPr>
        <w:rPr>
          <w:lang w:eastAsia="pt-BR"/>
        </w:rPr>
      </w:pPr>
    </w:p>
    <w:p w:rsidR="00B000C0" w:rsidRPr="00573DEB" w:rsidRDefault="00B000C0" w:rsidP="004B4B73">
      <w:r w:rsidRPr="00573DEB">
        <w:t>The value of payments made abroad by type of royalties depends on the number of contracts for the licensing of industrial property rights, technology transfer and franchising between resident companies with non-residents</w:t>
      </w:r>
      <w:r w:rsidR="004B4B73" w:rsidRPr="00573DEB">
        <w:t xml:space="preserve">.  </w:t>
      </w:r>
      <w:r w:rsidRPr="00573DEB">
        <w:t>The value of the payments also depends on the terms of these agreements, for example, compensation for the use of intangible assets (that is, the value itself of contract) or payment linked to the performance of the economic exploitation of these assets (e.g., payment of a percentage of net sales)</w:t>
      </w:r>
      <w:r w:rsidR="004B4B73" w:rsidRPr="00573DEB">
        <w:t xml:space="preserve">.  </w:t>
      </w:r>
      <w:r w:rsidRPr="00573DEB">
        <w:t>However, it is important to clarify that the payments can be done in different periods, not necessarily at the year of the registration of the contract.</w:t>
      </w:r>
    </w:p>
    <w:p w:rsidR="00B000C0" w:rsidRPr="00573DEB" w:rsidRDefault="00B000C0" w:rsidP="004B4B73"/>
    <w:p w:rsidR="00B000C0" w:rsidRPr="00573DEB" w:rsidRDefault="00B000C0" w:rsidP="004B4B73">
      <w:r w:rsidRPr="00573DEB">
        <w:t>Between 2001 and 2012, the value of foreign payments for royalties and technical assistance, provided by the Central Bank of Brazil, has grown at an average annual rate of 10.5%, which increased the value of payments from about US$ 1 billion in 2001 to US$ 3 billion in 2012</w:t>
      </w:r>
      <w:r w:rsidR="004B4B73" w:rsidRPr="00573DEB">
        <w:t xml:space="preserve">.  </w:t>
      </w:r>
      <w:r w:rsidRPr="00573DEB">
        <w:t>The highest growth rates were recorded in 2007 (49.6%) and 2005 (39.7%).</w:t>
      </w:r>
    </w:p>
    <w:p w:rsidR="00B000C0" w:rsidRPr="00573DEB" w:rsidRDefault="00B000C0" w:rsidP="004B4B73"/>
    <w:p w:rsidR="00B000C0" w:rsidRPr="00573DEB" w:rsidRDefault="00B000C0" w:rsidP="004B4B73">
      <w:r w:rsidRPr="00573DEB">
        <w:t>Considering the payments by contractual arrangement, the highest average growth rates of payments between 2001 and 2012 were related to franchising contracts (32.1%) and licensing of trademarks (28.2%)</w:t>
      </w:r>
      <w:r w:rsidR="004B4B73" w:rsidRPr="00573DEB">
        <w:t xml:space="preserve">.  </w:t>
      </w:r>
      <w:r w:rsidRPr="00573DEB">
        <w:t>Payments relating to contracts of exploitation of patents and industrial designs and know-how agreements registered an average growth 15.2% and 10.2% per year, respectively, while the lowest average growth rate was for technical assistance services contracts (3.8%).</w:t>
      </w:r>
    </w:p>
    <w:p w:rsidR="00B000C0" w:rsidRPr="00573DEB" w:rsidRDefault="00B000C0" w:rsidP="004B4B73"/>
    <w:p w:rsidR="00B000C0" w:rsidRPr="00573DEB" w:rsidRDefault="00B000C0" w:rsidP="004B4B73">
      <w:r w:rsidRPr="00573DEB">
        <w:t>The differences in the growth rates of payments made abroad observed also explain the changes in the composition of the payments in the period 2001-2012</w:t>
      </w:r>
      <w:r w:rsidR="004B4B73" w:rsidRPr="00573DEB">
        <w:t xml:space="preserve">.  </w:t>
      </w:r>
      <w:r w:rsidRPr="00573DEB">
        <w:t>The share of trademarks-related payments in total payments increased from 3% to 14%, while franchising contracts increased their share from 1% to 7% and the share of technical assistance fell from 41% to 21%</w:t>
      </w:r>
      <w:r w:rsidR="004B4B73" w:rsidRPr="00573DEB">
        <w:t xml:space="preserve">.  </w:t>
      </w:r>
      <w:r w:rsidRPr="00573DEB">
        <w:t>Lastly, patents contracts increased from 7% in 2001 to 11% in 2002 and Know-How Agreements remained with about 50% of all payments.</w:t>
      </w:r>
    </w:p>
    <w:p w:rsidR="00D6625E" w:rsidRPr="00573DEB" w:rsidRDefault="00D6625E" w:rsidP="00D6625E"/>
    <w:p w:rsidR="00D6625E" w:rsidRPr="00573DEB" w:rsidRDefault="00D6625E" w:rsidP="00D6625E">
      <w:r w:rsidRPr="00573DEB">
        <w:t>Whereas the number of contracts registered at INPI did not change substantively in the period, the growth in the value of payments can be associated mainly to the increase in the value of contracts.  We also highlight the continued growth of the Brazilian economy in the period, which influences the payment of performance-related royalties when they are linked to the net sales.</w:t>
      </w:r>
    </w:p>
    <w:p w:rsidR="00D6625E" w:rsidRPr="00573DEB" w:rsidRDefault="00D6625E" w:rsidP="00D6625E"/>
    <w:p w:rsidR="00D6625E" w:rsidRPr="00573DEB" w:rsidRDefault="00D6625E" w:rsidP="00D6625E">
      <w:r w:rsidRPr="00573DEB">
        <w:t>The receipt of royalties and fees for the provision of technical assistance, as well as payments abroad, are related to the number of contracts signed between resident and non-resident companies.  This amount is also dependent on the characteristics of the agreements and the results of operations of these intangible assets abroad, as mentioned above.</w:t>
      </w:r>
    </w:p>
    <w:p w:rsidR="00D6625E" w:rsidRPr="00573DEB" w:rsidRDefault="00D6625E" w:rsidP="00D6625E"/>
    <w:p w:rsidR="00D6625E" w:rsidRPr="00573DEB" w:rsidRDefault="00D6625E" w:rsidP="00D6625E">
      <w:r w:rsidRPr="00573DEB">
        <w:t>Between 2001 and 2005, the value of the receipts, calculated by the Central Bank, was very small, ranging between 1% and 3% of the value of foreign payments in the same period.  From 2006 onwards, however, the pattern of receipts changed, reaching US$ 716.5 million (about 50% of the value of payments in 2006), and increasing thereafter.  Thus, in 2012, total revenues reached US$ 1.37 billion (or 44% of payments).</w:t>
      </w:r>
    </w:p>
    <w:p w:rsidR="00D6625E" w:rsidRPr="00573DEB" w:rsidRDefault="00D6625E" w:rsidP="00D6625E"/>
    <w:p w:rsidR="00D6625E" w:rsidRPr="00573DEB" w:rsidRDefault="00D6625E" w:rsidP="004B4B73"/>
    <w:p w:rsidR="00B000C0" w:rsidRPr="00573DEB" w:rsidRDefault="008B45FC" w:rsidP="00D6625E">
      <w:pPr>
        <w:pStyle w:val="Caption"/>
      </w:pPr>
      <w:bookmarkStart w:id="147" w:name="_Toc377053343"/>
      <w:bookmarkStart w:id="148" w:name="_Toc378267979"/>
      <w:r>
        <w:t xml:space="preserve">Figure 7.3:  </w:t>
      </w:r>
      <w:r w:rsidR="00B000C0" w:rsidRPr="00573DEB">
        <w:t>Payments</w:t>
      </w:r>
      <w:bookmarkEnd w:id="147"/>
      <w:r w:rsidR="00B000C0" w:rsidRPr="00573DEB">
        <w:t xml:space="preserve"> in thousand </w:t>
      </w:r>
      <w:r w:rsidR="007B2293" w:rsidRPr="00573DEB">
        <w:t>dollars</w:t>
      </w:r>
      <w:r w:rsidR="00B000C0" w:rsidRPr="00573DEB">
        <w:t>, 2001-2012</w:t>
      </w:r>
      <w:bookmarkEnd w:id="148"/>
    </w:p>
    <w:p w:rsidR="00B000C0" w:rsidRPr="00573DEB" w:rsidRDefault="00B000C0" w:rsidP="004B4B73">
      <w:r w:rsidRPr="00573DEB">
        <w:rPr>
          <w:noProof/>
        </w:rPr>
        <w:drawing>
          <wp:inline distT="0" distB="0" distL="0" distR="0" wp14:anchorId="59445CA0" wp14:editId="2EA24968">
            <wp:extent cx="5493385" cy="2588895"/>
            <wp:effectExtent l="0" t="0" r="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93385" cy="2588895"/>
                    </a:xfrm>
                    <a:prstGeom prst="rect">
                      <a:avLst/>
                    </a:prstGeom>
                    <a:noFill/>
                  </pic:spPr>
                </pic:pic>
              </a:graphicData>
            </a:graphic>
          </wp:inline>
        </w:drawing>
      </w:r>
    </w:p>
    <w:p w:rsidR="00D6625E" w:rsidRPr="00324A33" w:rsidRDefault="00D6625E" w:rsidP="00D6625E">
      <w:pPr>
        <w:pStyle w:val="Captionnotes"/>
        <w:rPr>
          <w:i w:val="0"/>
        </w:rPr>
      </w:pPr>
      <w:bookmarkStart w:id="149" w:name="_Toc377053344"/>
      <w:bookmarkStart w:id="150" w:name="_Toc377484664"/>
      <w:bookmarkEnd w:id="149"/>
      <w:bookmarkEnd w:id="150"/>
      <w:r w:rsidRPr="00324A33">
        <w:rPr>
          <w:i w:val="0"/>
        </w:rPr>
        <w:t xml:space="preserve">Source: </w:t>
      </w:r>
      <w:r w:rsidR="00324A33">
        <w:rPr>
          <w:i w:val="0"/>
        </w:rPr>
        <w:t xml:space="preserve"> </w:t>
      </w:r>
      <w:r w:rsidRPr="00324A33">
        <w:rPr>
          <w:i w:val="0"/>
        </w:rPr>
        <w:t xml:space="preserve">INPI, Directory of Contracts, Geographical Indications and Registers, Coordinator-General for </w:t>
      </w:r>
      <w:r w:rsidR="007B2293" w:rsidRPr="00324A33">
        <w:rPr>
          <w:i w:val="0"/>
        </w:rPr>
        <w:t>Technology</w:t>
      </w:r>
      <w:r w:rsidRPr="00324A33">
        <w:rPr>
          <w:i w:val="0"/>
        </w:rPr>
        <w:t xml:space="preserve"> Contracts.</w:t>
      </w:r>
    </w:p>
    <w:p w:rsidR="00B000C0" w:rsidRPr="00573DEB" w:rsidRDefault="00B000C0" w:rsidP="004B4B73"/>
    <w:p w:rsidR="00D6625E" w:rsidRPr="00573DEB" w:rsidRDefault="00D6625E" w:rsidP="004B4B73"/>
    <w:p w:rsidR="00B000C0" w:rsidRPr="00573DEB" w:rsidRDefault="00B000C0" w:rsidP="00D6625E">
      <w:pPr>
        <w:pStyle w:val="Caption"/>
      </w:pPr>
      <w:r w:rsidRPr="00573DEB">
        <w:fldChar w:fldCharType="begin"/>
      </w:r>
      <w:r w:rsidRPr="00573DEB">
        <w:instrText xml:space="preserve"> DISPLAYNFC \l 0 </w:instrText>
      </w:r>
      <w:bookmarkStart w:id="151" w:name="_Toc377053345"/>
      <w:bookmarkStart w:id="152" w:name="_Toc378267980"/>
      <w:r w:rsidRPr="00573DEB">
        <w:fldChar w:fldCharType="end"/>
      </w:r>
      <w:r w:rsidR="008B45FC">
        <w:t xml:space="preserve">Figure 7.4:  </w:t>
      </w:r>
      <w:r w:rsidRPr="00573DEB">
        <w:t>Receipts</w:t>
      </w:r>
      <w:bookmarkEnd w:id="151"/>
      <w:r w:rsidRPr="00573DEB">
        <w:t xml:space="preserve"> in thousand </w:t>
      </w:r>
      <w:r w:rsidR="007B2293" w:rsidRPr="00573DEB">
        <w:t>dollars</w:t>
      </w:r>
      <w:r w:rsidRPr="00573DEB">
        <w:t>, 2001-2012</w:t>
      </w:r>
      <w:bookmarkEnd w:id="152"/>
    </w:p>
    <w:p w:rsidR="00B000C0" w:rsidRPr="00573DEB" w:rsidRDefault="00B000C0" w:rsidP="004B4B73">
      <w:r w:rsidRPr="00573DEB">
        <w:rPr>
          <w:noProof/>
        </w:rPr>
        <w:drawing>
          <wp:inline distT="0" distB="0" distL="0" distR="0" wp14:anchorId="22E6E81C" wp14:editId="0F633F09">
            <wp:extent cx="5479415" cy="2422525"/>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79415" cy="2422525"/>
                    </a:xfrm>
                    <a:prstGeom prst="rect">
                      <a:avLst/>
                    </a:prstGeom>
                    <a:noFill/>
                  </pic:spPr>
                </pic:pic>
              </a:graphicData>
            </a:graphic>
          </wp:inline>
        </w:drawing>
      </w:r>
    </w:p>
    <w:p w:rsidR="00D6625E" w:rsidRPr="00324A33" w:rsidRDefault="00D6625E" w:rsidP="00D6625E">
      <w:pPr>
        <w:pStyle w:val="Captionnotes"/>
        <w:rPr>
          <w:i w:val="0"/>
        </w:rPr>
      </w:pPr>
      <w:r w:rsidRPr="00324A33">
        <w:rPr>
          <w:i w:val="0"/>
        </w:rPr>
        <w:t>Source:</w:t>
      </w:r>
      <w:r w:rsidR="00324A33">
        <w:rPr>
          <w:i w:val="0"/>
        </w:rPr>
        <w:t xml:space="preserve"> </w:t>
      </w:r>
      <w:r w:rsidRPr="00324A33">
        <w:rPr>
          <w:i w:val="0"/>
        </w:rPr>
        <w:t xml:space="preserve"> INPI, Directory of Contracts, Geographical Indications and Registers, Coordinator-General for </w:t>
      </w:r>
      <w:r w:rsidR="007B2293" w:rsidRPr="00324A33">
        <w:rPr>
          <w:i w:val="0"/>
        </w:rPr>
        <w:t>Technology</w:t>
      </w:r>
      <w:r w:rsidRPr="00324A33">
        <w:rPr>
          <w:i w:val="0"/>
        </w:rPr>
        <w:t xml:space="preserve"> Contracts.</w:t>
      </w:r>
    </w:p>
    <w:p w:rsidR="00D6625E" w:rsidRPr="00573DEB" w:rsidRDefault="00D6625E" w:rsidP="004B4B73"/>
    <w:p w:rsidR="00B000C0" w:rsidRPr="00573DEB" w:rsidRDefault="00B000C0" w:rsidP="004B4B73">
      <w:r w:rsidRPr="00573DEB">
        <w:t>The changing pattern of inflows related to royalties and provision of technical assistance in 2006 and growth of these revenues in the period 2006 to 2012 may be explained mainly by the actions of large international companies, promoted by Brazilian industrial policy</w:t>
      </w:r>
      <w:r w:rsidR="004B4B73" w:rsidRPr="00573DEB">
        <w:t xml:space="preserve">.  </w:t>
      </w:r>
      <w:r w:rsidRPr="00573DEB">
        <w:t>In this context, the credit lines offering special financing created by the National Bank of Economic and Social Development (BNDES) in 2005 for organizing subsidiaries, acquisition of established companies and joint ventures abroad were very relevant.</w:t>
      </w:r>
    </w:p>
    <w:p w:rsidR="00B000C0" w:rsidRPr="00573DEB" w:rsidRDefault="00B000C0" w:rsidP="004B4B73"/>
    <w:p w:rsidR="00B000C0" w:rsidRDefault="00B000C0" w:rsidP="004B4B73">
      <w:r w:rsidRPr="00573DEB">
        <w:t>Another important initiative was the support provided to the internationalization of Brazilian franchise systems promoted by the Brazilian Export Promotion Agency (APEX Brazil), the Brazilian Franchising Association (ABF) and the Ministry of Development, Industry and Foreign Trade (MDIC)</w:t>
      </w:r>
      <w:r w:rsidR="004B4B73" w:rsidRPr="00573DEB">
        <w:t xml:space="preserve">.  </w:t>
      </w:r>
      <w:r w:rsidRPr="00573DEB">
        <w:t>The average annual growth of income of royalties related to franchises and trademark licensing between 2006 and 2012 was respectively 45% and 24.5%.</w:t>
      </w:r>
    </w:p>
    <w:p w:rsidR="007B2293" w:rsidRPr="00573DEB" w:rsidRDefault="007B2293" w:rsidP="004B4B73"/>
    <w:p w:rsidR="00D6625E" w:rsidRPr="00324A33" w:rsidRDefault="00D6625E" w:rsidP="004B4B73"/>
    <w:p w:rsidR="00B000C0" w:rsidRPr="00324A33" w:rsidRDefault="00D6625E" w:rsidP="004B4B73">
      <w:pPr>
        <w:pStyle w:val="Heading1"/>
        <w:rPr>
          <w:sz w:val="22"/>
          <w:szCs w:val="22"/>
        </w:rPr>
      </w:pPr>
      <w:bookmarkStart w:id="153" w:name="_Toc373369856"/>
      <w:bookmarkStart w:id="154" w:name="_Toc388619947"/>
      <w:r w:rsidRPr="00324A33">
        <w:rPr>
          <w:sz w:val="22"/>
          <w:szCs w:val="22"/>
        </w:rPr>
        <w:t xml:space="preserve">8 - </w:t>
      </w:r>
      <w:r w:rsidR="00B000C0" w:rsidRPr="00324A33">
        <w:rPr>
          <w:sz w:val="22"/>
          <w:szCs w:val="22"/>
        </w:rPr>
        <w:t>Geographical indications</w:t>
      </w:r>
      <w:bookmarkEnd w:id="153"/>
      <w:bookmarkEnd w:id="154"/>
    </w:p>
    <w:p w:rsidR="00B000C0" w:rsidRPr="00324A33" w:rsidRDefault="00B000C0" w:rsidP="004B4B73"/>
    <w:p w:rsidR="00B000C0" w:rsidRPr="00324A33" w:rsidRDefault="00B000C0" w:rsidP="004B4B73">
      <w:bookmarkStart w:id="155" w:name="_Toc373369850"/>
      <w:r w:rsidRPr="00324A33">
        <w:t>When certain quality and/or traditions of a particular product or service can be attributed to its “place of origin”, a Geographical Indication (GI</w:t>
      </w:r>
      <w:r w:rsidR="007B2293" w:rsidRPr="00324A33">
        <w:t>) may</w:t>
      </w:r>
      <w:r w:rsidRPr="00324A33">
        <w:t xml:space="preserve"> be the key factor to guarantee their protection and market differentiation</w:t>
      </w:r>
      <w:r w:rsidR="004B4B73" w:rsidRPr="00324A33">
        <w:t xml:space="preserve">.  </w:t>
      </w:r>
      <w:r w:rsidRPr="00324A33">
        <w:t>In fact, since the adoption of the TRIPS Agreement, which contains a section on GIs, this form of industrial property has attracted increasing attention across the world.</w:t>
      </w:r>
      <w:r w:rsidRPr="00324A33">
        <w:rPr>
          <w:rStyle w:val="FootnoteReference"/>
        </w:rPr>
        <w:footnoteReference w:id="31"/>
      </w:r>
      <w:r w:rsidRPr="00324A33">
        <w:t xml:space="preserve"> This may be attributed to the fact that a Geographical Indication delimits the area of production, restricting its use to the producers of the region and keeping local standards, and also prevents others from using the name of the region in products or services without authorization</w:t>
      </w:r>
      <w:r w:rsidR="004B4B73" w:rsidRPr="00324A33">
        <w:t xml:space="preserve">.  </w:t>
      </w:r>
    </w:p>
    <w:p w:rsidR="00B000C0" w:rsidRPr="00324A33" w:rsidRDefault="00B000C0" w:rsidP="004B4B73"/>
    <w:p w:rsidR="00B000C0" w:rsidRPr="00324A33" w:rsidRDefault="00B000C0" w:rsidP="004B4B73">
      <w:r w:rsidRPr="00324A33">
        <w:t>Following the global trend, Brazil has made important advances in stimulating the use of GIs, mainly as an option for valorization of rural activities</w:t>
      </w:r>
      <w:r w:rsidR="004B4B73" w:rsidRPr="00324A33">
        <w:t xml:space="preserve">.  </w:t>
      </w:r>
      <w:r w:rsidRPr="00324A33">
        <w:t>Despite of the increasing national interest for this type of protection, GI applications are still incipient compared to some European countries which are more engaged in the use of this protection.</w:t>
      </w:r>
      <w:r w:rsidRPr="00324A33">
        <w:rPr>
          <w:rStyle w:val="FootnoteReference"/>
        </w:rPr>
        <w:footnoteReference w:id="32"/>
      </w:r>
      <w:r w:rsidRPr="00324A33">
        <w:t xml:space="preserve"> In the period 2000-2012, there were 67 applications, with </w:t>
      </w:r>
      <w:proofErr w:type="gramStart"/>
      <w:r w:rsidRPr="00324A33">
        <w:t>an</w:t>
      </w:r>
      <w:proofErr w:type="gramEnd"/>
      <w:r w:rsidRPr="00324A33">
        <w:t xml:space="preserve"> </w:t>
      </w:r>
      <w:r w:rsidR="00FE2C7E" w:rsidRPr="00324A33">
        <w:t xml:space="preserve">substantial </w:t>
      </w:r>
      <w:r w:rsidRPr="00324A33">
        <w:t>growth between 2009</w:t>
      </w:r>
      <w:r w:rsidR="00FE2C7E" w:rsidRPr="00324A33">
        <w:t xml:space="preserve"> and </w:t>
      </w:r>
      <w:r w:rsidRPr="00324A33">
        <w:t>2012 in relation to the previous years (Figure 8.1)</w:t>
      </w:r>
      <w:r w:rsidR="004B4B73" w:rsidRPr="00324A33">
        <w:t xml:space="preserve">.  </w:t>
      </w:r>
    </w:p>
    <w:p w:rsidR="00B000C0" w:rsidRPr="00324A33" w:rsidRDefault="00B000C0" w:rsidP="004B4B73">
      <w:bookmarkStart w:id="156" w:name="_Toc377053346"/>
    </w:p>
    <w:p w:rsidR="00B000C0" w:rsidRPr="00573DEB" w:rsidRDefault="00B000C0" w:rsidP="00D6625E"/>
    <w:p w:rsidR="00B000C0" w:rsidRPr="00573DEB" w:rsidRDefault="008B45FC" w:rsidP="00D6625E">
      <w:pPr>
        <w:pStyle w:val="Caption"/>
      </w:pPr>
      <w:bookmarkStart w:id="157" w:name="_Toc378267981"/>
      <w:r>
        <w:t xml:space="preserve">Figure 8.1:  </w:t>
      </w:r>
      <w:r w:rsidR="00B000C0" w:rsidRPr="00573DEB">
        <w:t>Geographical indication applications, 2000-2012</w:t>
      </w:r>
      <w:bookmarkEnd w:id="156"/>
      <w:bookmarkEnd w:id="157"/>
    </w:p>
    <w:p w:rsidR="00B000C0" w:rsidRPr="00573DEB" w:rsidRDefault="00B000C0" w:rsidP="004B4B73">
      <w:r w:rsidRPr="00573DEB">
        <w:rPr>
          <w:noProof/>
        </w:rPr>
        <w:drawing>
          <wp:inline distT="0" distB="0" distL="0" distR="0" wp14:anchorId="67CD651B" wp14:editId="4DACA08A">
            <wp:extent cx="4977765" cy="2528570"/>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77765" cy="2528570"/>
                    </a:xfrm>
                    <a:prstGeom prst="rect">
                      <a:avLst/>
                    </a:prstGeom>
                    <a:noFill/>
                    <a:ln>
                      <a:noFill/>
                    </a:ln>
                  </pic:spPr>
                </pic:pic>
              </a:graphicData>
            </a:graphic>
          </wp:inline>
        </w:drawing>
      </w:r>
    </w:p>
    <w:p w:rsidR="00B000C0" w:rsidRPr="00324A33" w:rsidRDefault="00B000C0" w:rsidP="00D6625E">
      <w:pPr>
        <w:pStyle w:val="Captionnotes"/>
        <w:rPr>
          <w:i w:val="0"/>
        </w:rPr>
      </w:pPr>
      <w:r w:rsidRPr="00324A33">
        <w:rPr>
          <w:i w:val="0"/>
        </w:rPr>
        <w:t>Source:</w:t>
      </w:r>
      <w:r w:rsidR="00324A33" w:rsidRPr="00324A33">
        <w:rPr>
          <w:i w:val="0"/>
        </w:rPr>
        <w:t xml:space="preserve"> </w:t>
      </w:r>
      <w:r w:rsidRPr="00324A33">
        <w:rPr>
          <w:i w:val="0"/>
        </w:rPr>
        <w:t xml:space="preserve"> INPI, BADEPI</w:t>
      </w:r>
    </w:p>
    <w:p w:rsidR="00D6625E" w:rsidRPr="00573DEB" w:rsidRDefault="00D6625E" w:rsidP="004B4B73"/>
    <w:p w:rsidR="00B000C0" w:rsidRPr="00573DEB" w:rsidRDefault="00D6625E" w:rsidP="004B4B73">
      <w:pPr>
        <w:pStyle w:val="Heading2"/>
      </w:pPr>
      <w:bookmarkStart w:id="158" w:name="_Toc373369858"/>
      <w:bookmarkStart w:id="159" w:name="_Toc388619948"/>
      <w:bookmarkStart w:id="160" w:name="_Toc373369857"/>
      <w:r w:rsidRPr="00573DEB">
        <w:t>Geographical indications b</w:t>
      </w:r>
      <w:r w:rsidR="00B000C0" w:rsidRPr="00573DEB">
        <w:t xml:space="preserve">y </w:t>
      </w:r>
      <w:r w:rsidRPr="00573DEB">
        <w:t xml:space="preserve">country of </w:t>
      </w:r>
      <w:r w:rsidR="00B000C0" w:rsidRPr="00573DEB">
        <w:t>origin</w:t>
      </w:r>
      <w:bookmarkEnd w:id="158"/>
      <w:bookmarkEnd w:id="159"/>
    </w:p>
    <w:p w:rsidR="00B000C0" w:rsidRPr="00573DEB" w:rsidRDefault="00B000C0" w:rsidP="004B4B73"/>
    <w:p w:rsidR="00B000C0" w:rsidRPr="00573DEB" w:rsidRDefault="00B000C0" w:rsidP="004B4B73">
      <w:r w:rsidRPr="00573DEB">
        <w:t>The graph below provides a breakdown of geographical indication applications in Brazil by origin of the applicant</w:t>
      </w:r>
      <w:r w:rsidR="004B4B73" w:rsidRPr="00573DEB">
        <w:t xml:space="preserve">.  </w:t>
      </w:r>
      <w:r w:rsidRPr="00573DEB">
        <w:t>Out of the 67 applications filed in the period 2000-2012, 49 are from resident and 18 from non-residents</w:t>
      </w:r>
      <w:r w:rsidR="004B4B73" w:rsidRPr="00573DEB">
        <w:t xml:space="preserve">.  </w:t>
      </w:r>
      <w:r w:rsidRPr="00573DEB">
        <w:t>The growth of applications after 2009 is mainly a result of the increase of resident applications</w:t>
      </w:r>
      <w:r w:rsidR="004B4B73" w:rsidRPr="00573DEB">
        <w:t xml:space="preserve">.  </w:t>
      </w:r>
    </w:p>
    <w:p w:rsidR="00B000C0" w:rsidRPr="00573DEB" w:rsidRDefault="00B000C0" w:rsidP="004B4B73"/>
    <w:p w:rsidR="00B000C0" w:rsidRPr="00573DEB" w:rsidRDefault="00B000C0" w:rsidP="004B4B73">
      <w:r w:rsidRPr="00573DEB">
        <w:t>When applications are broken down by country, it’s possible to classify the distribution of non-resident applications</w:t>
      </w:r>
      <w:r w:rsidR="004B4B73" w:rsidRPr="00573DEB">
        <w:t xml:space="preserve">.  </w:t>
      </w:r>
      <w:r w:rsidRPr="00573DEB">
        <w:t xml:space="preserve">From 2000 to 2012, Italy stands out as the country with highest number of applications (8 applications), followed by Portugal </w:t>
      </w:r>
      <w:r w:rsidR="00334CC6" w:rsidRPr="00573DEB">
        <w:t>(</w:t>
      </w:r>
      <w:r w:rsidRPr="00573DEB">
        <w:t xml:space="preserve">3) and France </w:t>
      </w:r>
      <w:r w:rsidR="00334CC6" w:rsidRPr="00573DEB">
        <w:t>(</w:t>
      </w:r>
      <w:r w:rsidRPr="00573DEB">
        <w:t>2)</w:t>
      </w:r>
      <w:r w:rsidR="004B4B73" w:rsidRPr="00573DEB">
        <w:t xml:space="preserve">.  </w:t>
      </w:r>
    </w:p>
    <w:p w:rsidR="00B000C0" w:rsidRPr="00573DEB" w:rsidRDefault="00B000C0" w:rsidP="004B4B73"/>
    <w:p w:rsidR="00B000C0" w:rsidRPr="00573DEB" w:rsidRDefault="00B000C0" w:rsidP="004B4B73"/>
    <w:p w:rsidR="00B000C0" w:rsidRPr="00573DEB" w:rsidRDefault="008B45FC" w:rsidP="00D6625E">
      <w:pPr>
        <w:pStyle w:val="Caption"/>
      </w:pPr>
      <w:bookmarkStart w:id="161" w:name="_Toc377053354"/>
      <w:bookmarkStart w:id="162" w:name="_Toc378267982"/>
      <w:r>
        <w:t xml:space="preserve">Figure 8.2:  </w:t>
      </w:r>
      <w:r w:rsidR="00B000C0" w:rsidRPr="00573DEB">
        <w:t>Geographical indication applications by country, 2000-2012</w:t>
      </w:r>
      <w:bookmarkEnd w:id="161"/>
      <w:bookmarkEnd w:id="162"/>
    </w:p>
    <w:p w:rsidR="00B000C0" w:rsidRPr="00573DEB" w:rsidRDefault="00B000C0" w:rsidP="004B4B73">
      <w:r w:rsidRPr="00573DEB">
        <w:rPr>
          <w:noProof/>
        </w:rPr>
        <w:drawing>
          <wp:inline distT="0" distB="0" distL="0" distR="0" wp14:anchorId="72979EE7" wp14:editId="3DB7FCC7">
            <wp:extent cx="4635795" cy="23710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35500" cy="2370909"/>
                    </a:xfrm>
                    <a:prstGeom prst="rect">
                      <a:avLst/>
                    </a:prstGeom>
                    <a:noFill/>
                    <a:ln>
                      <a:noFill/>
                    </a:ln>
                  </pic:spPr>
                </pic:pic>
              </a:graphicData>
            </a:graphic>
          </wp:inline>
        </w:drawing>
      </w:r>
    </w:p>
    <w:p w:rsidR="00B000C0" w:rsidRPr="00324A33" w:rsidRDefault="00B000C0" w:rsidP="00D6625E">
      <w:pPr>
        <w:pStyle w:val="Captionnotes"/>
        <w:rPr>
          <w:i w:val="0"/>
        </w:rPr>
      </w:pPr>
      <w:r w:rsidRPr="00324A33">
        <w:rPr>
          <w:i w:val="0"/>
        </w:rPr>
        <w:t>Source:</w:t>
      </w:r>
      <w:r w:rsidR="00324A33">
        <w:rPr>
          <w:i w:val="0"/>
        </w:rPr>
        <w:t xml:space="preserve"> </w:t>
      </w:r>
      <w:r w:rsidRPr="00324A33">
        <w:rPr>
          <w:i w:val="0"/>
        </w:rPr>
        <w:t xml:space="preserve"> INPI, BADEPI</w:t>
      </w:r>
    </w:p>
    <w:p w:rsidR="00D6625E" w:rsidRPr="00573DEB" w:rsidRDefault="00D6625E" w:rsidP="004B4B73"/>
    <w:p w:rsidR="00B000C0" w:rsidRPr="00573DEB" w:rsidRDefault="00D6625E" w:rsidP="00D6625E">
      <w:pPr>
        <w:pStyle w:val="Heading2"/>
      </w:pPr>
      <w:bookmarkStart w:id="163" w:name="_Toc373369860"/>
      <w:bookmarkStart w:id="164" w:name="_Toc388619950"/>
      <w:r w:rsidRPr="00573DEB">
        <w:t xml:space="preserve">Geographical indications by </w:t>
      </w:r>
      <w:r w:rsidR="00B000C0" w:rsidRPr="00573DEB">
        <w:t>Brazilian states</w:t>
      </w:r>
      <w:bookmarkEnd w:id="163"/>
      <w:bookmarkEnd w:id="164"/>
    </w:p>
    <w:p w:rsidR="00B000C0" w:rsidRPr="00573DEB" w:rsidRDefault="00B000C0" w:rsidP="004B4B73"/>
    <w:p w:rsidR="00B000C0" w:rsidRPr="00573DEB" w:rsidRDefault="00B000C0" w:rsidP="004B4B73">
      <w:r w:rsidRPr="00573DEB">
        <w:t xml:space="preserve">Concerning resident applications, there are 49 applications, 10 of which come from the producers located in the state of Minas </w:t>
      </w:r>
      <w:proofErr w:type="spellStart"/>
      <w:r w:rsidRPr="00573DEB">
        <w:t>Gerais</w:t>
      </w:r>
      <w:proofErr w:type="spellEnd"/>
      <w:r w:rsidRPr="00573DEB">
        <w:t xml:space="preserve">, while 9 applications from Rio Grande do </w:t>
      </w:r>
      <w:proofErr w:type="spellStart"/>
      <w:r w:rsidRPr="00573DEB">
        <w:t>Sul</w:t>
      </w:r>
      <w:proofErr w:type="spellEnd"/>
      <w:r w:rsidRPr="00573DEB">
        <w:t>, the most representative states</w:t>
      </w:r>
      <w:r w:rsidR="004B4B73" w:rsidRPr="00573DEB">
        <w:t xml:space="preserve">.  </w:t>
      </w:r>
      <w:r w:rsidRPr="00573DEB">
        <w:t>Figure 8.3 provides a graph with applications from other states.</w:t>
      </w:r>
    </w:p>
    <w:p w:rsidR="00B000C0" w:rsidRPr="00573DEB" w:rsidRDefault="00B000C0" w:rsidP="004B4B73"/>
    <w:p w:rsidR="00B000C0" w:rsidRPr="00573DEB" w:rsidRDefault="00B000C0" w:rsidP="004B4B73"/>
    <w:p w:rsidR="00B000C0" w:rsidRPr="00573DEB" w:rsidRDefault="008B45FC" w:rsidP="00D6625E">
      <w:pPr>
        <w:pStyle w:val="Caption"/>
      </w:pPr>
      <w:bookmarkStart w:id="165" w:name="_Toc377053355"/>
      <w:bookmarkStart w:id="166" w:name="_Toc378267983"/>
      <w:r>
        <w:t xml:space="preserve">Figure 8.3:  </w:t>
      </w:r>
      <w:r w:rsidR="00B000C0" w:rsidRPr="00573DEB">
        <w:t>Geographical indication applications by Brazilian states, 2000-2012</w:t>
      </w:r>
      <w:bookmarkEnd w:id="165"/>
      <w:bookmarkEnd w:id="166"/>
    </w:p>
    <w:p w:rsidR="00B000C0" w:rsidRPr="00573DEB" w:rsidRDefault="00B000C0" w:rsidP="00D6625E">
      <w:r w:rsidRPr="00573DEB">
        <w:rPr>
          <w:noProof/>
        </w:rPr>
        <w:drawing>
          <wp:inline distT="0" distB="0" distL="0" distR="0" wp14:anchorId="566937AE" wp14:editId="1D8A02CD">
            <wp:extent cx="5422605" cy="2530549"/>
            <wp:effectExtent l="0" t="0" r="6985" b="3175"/>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66"/>
                    <pic:cNvPicPr>
                      <a:picLocks noChangeArrowheads="1"/>
                    </pic:cNvPicPr>
                  </pic:nvPicPr>
                  <pic:blipFill>
                    <a:blip r:embed="rId58">
                      <a:extLst>
                        <a:ext uri="{28A0092B-C50C-407E-A947-70E740481C1C}">
                          <a14:useLocalDpi xmlns:a14="http://schemas.microsoft.com/office/drawing/2010/main" val="0"/>
                        </a:ext>
                      </a:extLst>
                    </a:blip>
                    <a:srcRect b="-85"/>
                    <a:stretch>
                      <a:fillRect/>
                    </a:stretch>
                  </pic:blipFill>
                  <pic:spPr bwMode="auto">
                    <a:xfrm>
                      <a:off x="0" y="0"/>
                      <a:ext cx="5422900" cy="2530687"/>
                    </a:xfrm>
                    <a:prstGeom prst="rect">
                      <a:avLst/>
                    </a:prstGeom>
                    <a:noFill/>
                    <a:ln>
                      <a:noFill/>
                    </a:ln>
                  </pic:spPr>
                </pic:pic>
              </a:graphicData>
            </a:graphic>
          </wp:inline>
        </w:drawing>
      </w:r>
    </w:p>
    <w:p w:rsidR="00B000C0" w:rsidRPr="00324A33" w:rsidRDefault="00B000C0" w:rsidP="00D6625E">
      <w:pPr>
        <w:pStyle w:val="Captionnotes"/>
        <w:rPr>
          <w:i w:val="0"/>
        </w:rPr>
      </w:pPr>
      <w:r w:rsidRPr="00324A33">
        <w:rPr>
          <w:i w:val="0"/>
        </w:rPr>
        <w:t xml:space="preserve">Source: </w:t>
      </w:r>
      <w:r w:rsidR="00324A33" w:rsidRPr="00324A33">
        <w:rPr>
          <w:i w:val="0"/>
        </w:rPr>
        <w:t xml:space="preserve"> </w:t>
      </w:r>
      <w:r w:rsidRPr="00324A33">
        <w:rPr>
          <w:i w:val="0"/>
        </w:rPr>
        <w:t>INPI, BADEPI</w:t>
      </w:r>
    </w:p>
    <w:p w:rsidR="00D6625E" w:rsidRPr="00573DEB" w:rsidRDefault="00D6625E" w:rsidP="004B4B73"/>
    <w:p w:rsidR="00B000C0" w:rsidRPr="00573DEB" w:rsidRDefault="00D6625E" w:rsidP="004B4B73">
      <w:pPr>
        <w:pStyle w:val="Heading2"/>
      </w:pPr>
      <w:bookmarkStart w:id="167" w:name="_Toc388619951"/>
      <w:r w:rsidRPr="00573DEB">
        <w:t xml:space="preserve">Geographical indications by </w:t>
      </w:r>
      <w:r w:rsidR="00B000C0" w:rsidRPr="00573DEB">
        <w:t>type</w:t>
      </w:r>
      <w:bookmarkEnd w:id="160"/>
      <w:bookmarkEnd w:id="167"/>
    </w:p>
    <w:p w:rsidR="00B000C0" w:rsidRPr="00573DEB" w:rsidRDefault="00B000C0" w:rsidP="004B4B73"/>
    <w:p w:rsidR="00B000C0" w:rsidRPr="00573DEB" w:rsidRDefault="00B000C0" w:rsidP="004B4B73">
      <w:r w:rsidRPr="00573DEB">
        <w:t>GIs can be protected by a wide variety of approaches which are related to the concept of geographical indications</w:t>
      </w:r>
      <w:r w:rsidR="004B4B73" w:rsidRPr="00573DEB">
        <w:t xml:space="preserve">.  </w:t>
      </w:r>
      <w:r w:rsidRPr="00573DEB">
        <w:t>In Brazil, geographical indications can be divided into two types:</w:t>
      </w:r>
      <w:r w:rsidR="00324A33">
        <w:t xml:space="preserve"> </w:t>
      </w:r>
      <w:r w:rsidRPr="00573DEB">
        <w:t xml:space="preserve"> (</w:t>
      </w:r>
      <w:proofErr w:type="spellStart"/>
      <w:r w:rsidRPr="00573DEB">
        <w:t>i</w:t>
      </w:r>
      <w:proofErr w:type="spellEnd"/>
      <w:r w:rsidRPr="00573DEB">
        <w:t>) appellation of origin, which refers to the name of a place that identify products or services, where a given qualities or characteristics are essentially or exclusively attributable to its geographical origin; and (ii) indication of origin, which refers to the name of a place that has become known to produce, extract or manufacture a product or to provide a service.</w:t>
      </w:r>
    </w:p>
    <w:p w:rsidR="00B000C0" w:rsidRPr="00573DEB" w:rsidRDefault="00B000C0" w:rsidP="004B4B73"/>
    <w:p w:rsidR="00B000C0" w:rsidRPr="00573DEB" w:rsidRDefault="00B000C0" w:rsidP="004B4B73">
      <w:r w:rsidRPr="00573DEB">
        <w:t xml:space="preserve">In the period 2000-2012, the </w:t>
      </w:r>
      <w:r w:rsidR="007B2293">
        <w:t xml:space="preserve">40 </w:t>
      </w:r>
      <w:r w:rsidRPr="00573DEB">
        <w:t>applications concern</w:t>
      </w:r>
      <w:r w:rsidR="007B2293">
        <w:t>ed</w:t>
      </w:r>
      <w:r w:rsidRPr="00573DEB">
        <w:t xml:space="preserve"> indication of origin</w:t>
      </w:r>
      <w:r w:rsidR="007B2293">
        <w:t xml:space="preserve">, whereas </w:t>
      </w:r>
      <w:r w:rsidRPr="00573DEB">
        <w:t xml:space="preserve">27 </w:t>
      </w:r>
      <w:r w:rsidR="007B2293">
        <w:t xml:space="preserve">applied </w:t>
      </w:r>
      <w:r w:rsidRPr="00573DEB">
        <w:t>for the protection of appellations of origin</w:t>
      </w:r>
      <w:r w:rsidR="004B4B73" w:rsidRPr="00573DEB">
        <w:t xml:space="preserve">.  </w:t>
      </w:r>
      <w:r w:rsidRPr="00573DEB">
        <w:t>It’s noteworthy the relevance of appellations of origin for non-residents and of indications of origin for residents</w:t>
      </w:r>
      <w:r w:rsidR="007B2293">
        <w:t xml:space="preserve"> (figure 8.4)</w:t>
      </w:r>
      <w:r w:rsidR="004B4B73" w:rsidRPr="00573DEB">
        <w:t xml:space="preserve">.  </w:t>
      </w:r>
    </w:p>
    <w:p w:rsidR="00B000C0" w:rsidRPr="00573DEB" w:rsidRDefault="00B000C0" w:rsidP="004B4B73"/>
    <w:p w:rsidR="00D6625E" w:rsidRPr="00573DEB" w:rsidRDefault="00D6625E" w:rsidP="004B4B73"/>
    <w:p w:rsidR="00B000C0" w:rsidRPr="00573DEB" w:rsidRDefault="00D6625E" w:rsidP="00D6625E">
      <w:pPr>
        <w:pStyle w:val="Caption"/>
      </w:pPr>
      <w:bookmarkStart w:id="168" w:name="_Toc377053347"/>
      <w:bookmarkStart w:id="169" w:name="_Toc378267984"/>
      <w:r w:rsidRPr="00573DEB">
        <w:t>Figure 8.4</w:t>
      </w:r>
      <w:r w:rsidR="008B45FC">
        <w:t xml:space="preserve">: </w:t>
      </w:r>
      <w:r w:rsidRPr="00573DEB">
        <w:t xml:space="preserve"> </w:t>
      </w:r>
      <w:r w:rsidR="00B000C0" w:rsidRPr="00573DEB">
        <w:t>Geographical indication applications by type, 2000-2012</w:t>
      </w:r>
      <w:bookmarkEnd w:id="168"/>
      <w:bookmarkEnd w:id="169"/>
    </w:p>
    <w:p w:rsidR="00B000C0" w:rsidRPr="00573DEB" w:rsidRDefault="00B000C0" w:rsidP="004B4B73">
      <w:r w:rsidRPr="00573DEB">
        <w:rPr>
          <w:noProof/>
        </w:rPr>
        <w:drawing>
          <wp:inline distT="0" distB="0" distL="0" distR="0" wp14:anchorId="529A3E39" wp14:editId="0252030D">
            <wp:extent cx="4739005" cy="2846705"/>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5"/>
                    <pic:cNvPicPr>
                      <a:picLocks noChangeAspect="1" noChangeArrowheads="1"/>
                    </pic:cNvPicPr>
                  </pic:nvPicPr>
                  <pic:blipFill>
                    <a:blip r:embed="rId59">
                      <a:extLst>
                        <a:ext uri="{28A0092B-C50C-407E-A947-70E740481C1C}">
                          <a14:useLocalDpi xmlns:a14="http://schemas.microsoft.com/office/drawing/2010/main" val="0"/>
                        </a:ext>
                      </a:extLst>
                    </a:blip>
                    <a:srcRect b="-53"/>
                    <a:stretch>
                      <a:fillRect/>
                    </a:stretch>
                  </pic:blipFill>
                  <pic:spPr bwMode="auto">
                    <a:xfrm>
                      <a:off x="0" y="0"/>
                      <a:ext cx="4739005" cy="2846705"/>
                    </a:xfrm>
                    <a:prstGeom prst="rect">
                      <a:avLst/>
                    </a:prstGeom>
                    <a:noFill/>
                    <a:ln>
                      <a:noFill/>
                    </a:ln>
                  </pic:spPr>
                </pic:pic>
              </a:graphicData>
            </a:graphic>
          </wp:inline>
        </w:drawing>
      </w:r>
    </w:p>
    <w:p w:rsidR="00B000C0" w:rsidRPr="00324A33" w:rsidRDefault="00B000C0" w:rsidP="00D6625E">
      <w:pPr>
        <w:pStyle w:val="Captionnotes"/>
        <w:rPr>
          <w:i w:val="0"/>
        </w:rPr>
      </w:pPr>
      <w:r w:rsidRPr="00324A33">
        <w:rPr>
          <w:i w:val="0"/>
        </w:rPr>
        <w:t>Source:</w:t>
      </w:r>
      <w:r w:rsidR="00324A33">
        <w:rPr>
          <w:i w:val="0"/>
        </w:rPr>
        <w:t xml:space="preserve"> </w:t>
      </w:r>
      <w:r w:rsidRPr="00324A33">
        <w:rPr>
          <w:i w:val="0"/>
        </w:rPr>
        <w:t xml:space="preserve"> INPI, BADEPI</w:t>
      </w:r>
    </w:p>
    <w:p w:rsidR="00B000C0" w:rsidRPr="00573DEB" w:rsidRDefault="00B000C0" w:rsidP="004B4B73"/>
    <w:p w:rsidR="0012162D" w:rsidRPr="00573DEB" w:rsidRDefault="0012162D" w:rsidP="0012162D"/>
    <w:p w:rsidR="0012162D" w:rsidRPr="00573DEB" w:rsidRDefault="008B45FC" w:rsidP="0012162D">
      <w:pPr>
        <w:pStyle w:val="Caption"/>
      </w:pPr>
      <w:bookmarkStart w:id="170" w:name="_Toc377053349"/>
      <w:bookmarkStart w:id="171" w:name="_Toc378267985"/>
      <w:r>
        <w:t xml:space="preserve">Figure 8.5:  </w:t>
      </w:r>
      <w:r w:rsidR="0012162D" w:rsidRPr="00573DEB">
        <w:t>Geographical indication applications by presentation, 2000-2012</w:t>
      </w:r>
      <w:bookmarkEnd w:id="170"/>
      <w:bookmarkEnd w:id="171"/>
    </w:p>
    <w:p w:rsidR="0012162D" w:rsidRPr="00573DEB" w:rsidRDefault="0012162D" w:rsidP="0012162D">
      <w:r w:rsidRPr="00573DEB">
        <w:rPr>
          <w:noProof/>
        </w:rPr>
        <w:drawing>
          <wp:inline distT="0" distB="0" distL="0" distR="0" wp14:anchorId="1F4BC43E" wp14:editId="38B4530C">
            <wp:extent cx="4473575" cy="2930525"/>
            <wp:effectExtent l="0" t="0" r="3175"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73575" cy="2930525"/>
                    </a:xfrm>
                    <a:prstGeom prst="rect">
                      <a:avLst/>
                    </a:prstGeom>
                    <a:noFill/>
                  </pic:spPr>
                </pic:pic>
              </a:graphicData>
            </a:graphic>
          </wp:inline>
        </w:drawing>
      </w:r>
    </w:p>
    <w:p w:rsidR="0012162D" w:rsidRPr="00324A33" w:rsidRDefault="0012162D" w:rsidP="0012162D">
      <w:pPr>
        <w:pStyle w:val="Captionnotes"/>
        <w:rPr>
          <w:i w:val="0"/>
        </w:rPr>
      </w:pPr>
      <w:r w:rsidRPr="00324A33">
        <w:rPr>
          <w:i w:val="0"/>
        </w:rPr>
        <w:t>Source:</w:t>
      </w:r>
      <w:r w:rsidR="00324A33">
        <w:rPr>
          <w:i w:val="0"/>
        </w:rPr>
        <w:t xml:space="preserve"> </w:t>
      </w:r>
      <w:r w:rsidRPr="00324A33">
        <w:rPr>
          <w:i w:val="0"/>
        </w:rPr>
        <w:t xml:space="preserve"> INPI, BADEPI</w:t>
      </w:r>
    </w:p>
    <w:p w:rsidR="00D6625E" w:rsidRPr="00573DEB" w:rsidRDefault="00D6625E" w:rsidP="004B4B73"/>
    <w:p w:rsidR="00B000C0" w:rsidRPr="00573DEB" w:rsidRDefault="00D6625E" w:rsidP="004B4B73">
      <w:pPr>
        <w:pStyle w:val="Heading2"/>
      </w:pPr>
      <w:bookmarkStart w:id="172" w:name="_Toc388619952"/>
      <w:r w:rsidRPr="00573DEB">
        <w:t xml:space="preserve">Geographical indications by </w:t>
      </w:r>
      <w:r w:rsidR="00B000C0" w:rsidRPr="00573DEB">
        <w:t>presentation</w:t>
      </w:r>
      <w:bookmarkEnd w:id="172"/>
    </w:p>
    <w:p w:rsidR="00B000C0" w:rsidRPr="00573DEB" w:rsidRDefault="00B000C0" w:rsidP="004B4B73"/>
    <w:p w:rsidR="00B000C0" w:rsidRPr="00573DEB" w:rsidRDefault="00B000C0" w:rsidP="004B4B73">
      <w:r w:rsidRPr="00573DEB">
        <w:t>Another way to differentiate geographical indications is by the presentation, which can be nominative, figurative or mixed</w:t>
      </w:r>
      <w:r w:rsidR="004B4B73" w:rsidRPr="00573DEB">
        <w:t xml:space="preserve">.  </w:t>
      </w:r>
      <w:r w:rsidRPr="00573DEB">
        <w:t>While the nominative presentation is more relevant to non-residents, the mixed is most used by residents</w:t>
      </w:r>
      <w:r w:rsidR="004B4B73" w:rsidRPr="00573DEB">
        <w:t xml:space="preserve">.  </w:t>
      </w:r>
      <w:r w:rsidRPr="00573DEB">
        <w:t>In the case of Brazilian applicants, they may only choose between a nominative or mixed signal</w:t>
      </w:r>
      <w:r w:rsidR="004B4B73" w:rsidRPr="00573DEB">
        <w:t xml:space="preserve">.  </w:t>
      </w:r>
      <w:r w:rsidRPr="00573DEB">
        <w:t>The figure below shows the distribution by presentation.</w:t>
      </w:r>
    </w:p>
    <w:p w:rsidR="00B000C0" w:rsidRPr="00573DEB" w:rsidRDefault="00B000C0" w:rsidP="004B4B73"/>
    <w:p w:rsidR="00B000C0" w:rsidRPr="00573DEB" w:rsidRDefault="00B000C0" w:rsidP="004B4B73">
      <w:bookmarkStart w:id="173" w:name="_Toc377053348"/>
      <w:bookmarkStart w:id="174" w:name="_Toc377484665"/>
      <w:bookmarkEnd w:id="173"/>
      <w:bookmarkEnd w:id="174"/>
    </w:p>
    <w:p w:rsidR="0012162D" w:rsidRPr="00573DEB" w:rsidRDefault="0012162D" w:rsidP="004B4B73"/>
    <w:p w:rsidR="00B000C0" w:rsidRPr="00573DEB" w:rsidRDefault="0012162D" w:rsidP="004B4B73">
      <w:pPr>
        <w:pStyle w:val="Heading2"/>
      </w:pPr>
      <w:bookmarkStart w:id="175" w:name="_Toc378267829"/>
      <w:bookmarkStart w:id="176" w:name="_Toc388619953"/>
      <w:r w:rsidRPr="00573DEB">
        <w:t xml:space="preserve">Geographical indications by </w:t>
      </w:r>
      <w:bookmarkEnd w:id="175"/>
      <w:r w:rsidR="00B000C0" w:rsidRPr="00573DEB">
        <w:t>nature</w:t>
      </w:r>
      <w:bookmarkEnd w:id="176"/>
    </w:p>
    <w:p w:rsidR="00B000C0" w:rsidRPr="00573DEB" w:rsidRDefault="00B000C0" w:rsidP="004B4B73"/>
    <w:p w:rsidR="00B000C0" w:rsidRPr="00573DEB" w:rsidRDefault="00B000C0" w:rsidP="004B4B73">
      <w:r w:rsidRPr="00573DEB">
        <w:t>Over the years, some cities or regions have become famous due to their products or services, but the regional characteristics of GI vary from country to country</w:t>
      </w:r>
      <w:r w:rsidR="004B4B73" w:rsidRPr="00573DEB">
        <w:t xml:space="preserve">.  </w:t>
      </w:r>
      <w:r w:rsidRPr="00573DEB">
        <w:t>In the Brazilian case, as well as in India, China and some African countries, the GI system has been characterized by a much wider variety of goods, ranging from handicraft products to services.</w:t>
      </w:r>
      <w:r w:rsidRPr="00573DEB">
        <w:rPr>
          <w:rStyle w:val="FootnoteReference"/>
        </w:rPr>
        <w:footnoteReference w:id="33"/>
      </w:r>
      <w:r w:rsidRPr="00573DEB">
        <w:t xml:space="preserve"> </w:t>
      </w:r>
    </w:p>
    <w:p w:rsidR="00B000C0" w:rsidRPr="00573DEB" w:rsidRDefault="00B000C0" w:rsidP="004B4B73"/>
    <w:p w:rsidR="00B000C0" w:rsidRPr="00573DEB" w:rsidRDefault="00B000C0" w:rsidP="004B4B73">
      <w:r w:rsidRPr="00573DEB">
        <w:t>In this sense, as seen in the Figure 8.6 below, when it comes to the nature of the GI, there is a great predominance in products, for both residents and non-residents, with the total of 63 applications out of 67.</w:t>
      </w:r>
      <w:bookmarkStart w:id="177" w:name="_Toc377052990"/>
      <w:bookmarkStart w:id="178" w:name="_Toc377053350"/>
      <w:bookmarkStart w:id="179" w:name="_Toc377484666"/>
      <w:bookmarkEnd w:id="177"/>
      <w:bookmarkEnd w:id="178"/>
      <w:bookmarkEnd w:id="179"/>
    </w:p>
    <w:p w:rsidR="00B000C0" w:rsidRPr="00573DEB" w:rsidRDefault="00B000C0" w:rsidP="004B4B73">
      <w:bookmarkStart w:id="180" w:name="_Toc377052991"/>
      <w:bookmarkStart w:id="181" w:name="_Toc377053351"/>
      <w:bookmarkStart w:id="182" w:name="_Toc377484667"/>
      <w:bookmarkEnd w:id="180"/>
      <w:bookmarkEnd w:id="181"/>
      <w:bookmarkEnd w:id="182"/>
    </w:p>
    <w:p w:rsidR="0012162D" w:rsidRPr="00573DEB" w:rsidRDefault="0012162D" w:rsidP="004B4B73"/>
    <w:p w:rsidR="00B000C0" w:rsidRPr="00573DEB" w:rsidRDefault="0012162D" w:rsidP="0012162D">
      <w:pPr>
        <w:pStyle w:val="Caption"/>
      </w:pPr>
      <w:bookmarkStart w:id="183" w:name="_Toc377053352"/>
      <w:bookmarkStart w:id="184" w:name="_Toc378267870"/>
      <w:r w:rsidRPr="00573DEB">
        <w:t>Figur</w:t>
      </w:r>
      <w:r w:rsidR="008B45FC">
        <w:t xml:space="preserve">e 8.6:  </w:t>
      </w:r>
      <w:r w:rsidR="00B000C0" w:rsidRPr="00573DEB">
        <w:t>Geographical indication applications by nature, 2000-2012</w:t>
      </w:r>
      <w:bookmarkEnd w:id="183"/>
      <w:bookmarkEnd w:id="184"/>
    </w:p>
    <w:p w:rsidR="00B000C0" w:rsidRPr="00573DEB" w:rsidRDefault="00B000C0" w:rsidP="004B4B73">
      <w:r w:rsidRPr="00573DEB">
        <w:rPr>
          <w:noProof/>
        </w:rPr>
        <w:drawing>
          <wp:inline distT="0" distB="0" distL="0" distR="0" wp14:anchorId="78E2B9A4" wp14:editId="2CF8B0F4">
            <wp:extent cx="5152390" cy="24250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52390" cy="2425065"/>
                    </a:xfrm>
                    <a:prstGeom prst="rect">
                      <a:avLst/>
                    </a:prstGeom>
                    <a:noFill/>
                    <a:ln>
                      <a:noFill/>
                    </a:ln>
                  </pic:spPr>
                </pic:pic>
              </a:graphicData>
            </a:graphic>
          </wp:inline>
        </w:drawing>
      </w:r>
    </w:p>
    <w:p w:rsidR="00B000C0" w:rsidRPr="00324A33" w:rsidRDefault="00B000C0" w:rsidP="0012162D">
      <w:pPr>
        <w:pStyle w:val="Captionnotes"/>
        <w:rPr>
          <w:i w:val="0"/>
        </w:rPr>
      </w:pPr>
      <w:r w:rsidRPr="00324A33">
        <w:rPr>
          <w:i w:val="0"/>
        </w:rPr>
        <w:t xml:space="preserve">Source: </w:t>
      </w:r>
      <w:r w:rsidR="00324A33" w:rsidRPr="00324A33">
        <w:rPr>
          <w:i w:val="0"/>
        </w:rPr>
        <w:t xml:space="preserve"> </w:t>
      </w:r>
      <w:r w:rsidRPr="00324A33">
        <w:rPr>
          <w:i w:val="0"/>
        </w:rPr>
        <w:t>INPI, BADEPI</w:t>
      </w:r>
    </w:p>
    <w:p w:rsidR="0012162D" w:rsidRPr="00573DEB" w:rsidRDefault="0012162D" w:rsidP="004B4B73"/>
    <w:p w:rsidR="00B000C0" w:rsidRPr="00573DEB" w:rsidRDefault="0012162D" w:rsidP="004B4B73">
      <w:pPr>
        <w:pStyle w:val="Heading2"/>
      </w:pPr>
      <w:bookmarkStart w:id="185" w:name="_Toc388619954"/>
      <w:r w:rsidRPr="00573DEB">
        <w:t xml:space="preserve">Geographical indications </w:t>
      </w:r>
      <w:r w:rsidR="007B2293" w:rsidRPr="00573DEB">
        <w:t>by product</w:t>
      </w:r>
      <w:r w:rsidR="00B000C0" w:rsidRPr="00573DEB">
        <w:t xml:space="preserve"> classification</w:t>
      </w:r>
      <w:bookmarkEnd w:id="185"/>
    </w:p>
    <w:p w:rsidR="00B000C0" w:rsidRPr="00573DEB" w:rsidRDefault="00B000C0" w:rsidP="004B4B73"/>
    <w:p w:rsidR="00B000C0" w:rsidRPr="00573DEB" w:rsidRDefault="00B000C0" w:rsidP="004B4B73">
      <w:r w:rsidRPr="00573DEB">
        <w:t xml:space="preserve">Since their qualities are influenced by specific local and geographical factors, it is not surprising that the majority of GIs throughout the world are </w:t>
      </w:r>
      <w:r w:rsidR="007B2293" w:rsidRPr="00573DEB">
        <w:t>related to</w:t>
      </w:r>
      <w:r w:rsidRPr="00573DEB">
        <w:t xml:space="preserve"> agricultural products, foodstuffs, wine and spirits</w:t>
      </w:r>
      <w:r w:rsidR="004B4B73" w:rsidRPr="00573DEB">
        <w:t xml:space="preserve">.  </w:t>
      </w:r>
      <w:r w:rsidRPr="00573DEB">
        <w:t>The use of GIs is not limited to these products, for there are also products whose specific qualities are due to human factors in its origin, such as special manufacturing skills and traditions</w:t>
      </w:r>
      <w:r w:rsidR="004B4B73" w:rsidRPr="00573DEB">
        <w:t xml:space="preserve">.  </w:t>
      </w:r>
      <w:r w:rsidRPr="00573DEB">
        <w:t>That is the case, for instance, of the handicrafts, which are generally made with the use of local natural resources and usually incorporated to the traditions of the local community.</w:t>
      </w:r>
      <w:r w:rsidRPr="00573DEB">
        <w:rPr>
          <w:rStyle w:val="FootnoteReference"/>
        </w:rPr>
        <w:footnoteReference w:id="34"/>
      </w:r>
    </w:p>
    <w:p w:rsidR="00B000C0" w:rsidRPr="00573DEB" w:rsidRDefault="00B000C0" w:rsidP="004B4B73"/>
    <w:p w:rsidR="00B000C0" w:rsidRPr="00573DEB" w:rsidRDefault="00B000C0" w:rsidP="004B4B73">
      <w:r w:rsidRPr="00573DEB">
        <w:t>The Figure 8.7 summarizes the main specialties by product classification for GIs applications, highlighting the relevance of wine/spirit drinks and agricultural products for both non-residents and residents</w:t>
      </w:r>
      <w:r w:rsidR="004B4B73" w:rsidRPr="00573DEB">
        <w:t xml:space="preserve">.  </w:t>
      </w:r>
      <w:r w:rsidRPr="00573DEB">
        <w:t>For the latter, there are IGs applications for wines and sugarcane spirit (a typical Brazilian drink), with 6 and 3 applications in the period, respectively</w:t>
      </w:r>
      <w:r w:rsidR="004B4B73" w:rsidRPr="00573DEB">
        <w:t xml:space="preserve">.  </w:t>
      </w:r>
      <w:r w:rsidRPr="00573DEB">
        <w:t>The classification by agricultural products is also relevant, with 19 applications in the period (about 33% of total resident applications), with “coffee” representing 47% of these products</w:t>
      </w:r>
      <w:r w:rsidR="004B4B73" w:rsidRPr="00573DEB">
        <w:t xml:space="preserve">.  </w:t>
      </w:r>
      <w:r w:rsidRPr="00573DEB">
        <w:t>The remaining classes, handicraft and minerals, appear as less relevant for residents, with respectively 10% and 18% of the total applications requested by residents between 2000</w:t>
      </w:r>
      <w:r w:rsidR="00FE2C7E" w:rsidRPr="00573DEB">
        <w:t xml:space="preserve"> and 2</w:t>
      </w:r>
      <w:r w:rsidRPr="00573DEB">
        <w:t>012</w:t>
      </w:r>
      <w:r w:rsidR="004B4B73" w:rsidRPr="00573DEB">
        <w:t xml:space="preserve">.  </w:t>
      </w:r>
    </w:p>
    <w:p w:rsidR="00B000C0" w:rsidRPr="00573DEB" w:rsidRDefault="00B000C0" w:rsidP="004B4B73"/>
    <w:p w:rsidR="00B000C0" w:rsidRPr="00573DEB" w:rsidRDefault="00B000C0" w:rsidP="004B4B73"/>
    <w:p w:rsidR="00B000C0" w:rsidRPr="00573DEB" w:rsidRDefault="008B45FC" w:rsidP="0012162D">
      <w:pPr>
        <w:pStyle w:val="Caption"/>
      </w:pPr>
      <w:bookmarkStart w:id="186" w:name="_Toc378267871"/>
      <w:r>
        <w:t xml:space="preserve">Figure 8.7:  </w:t>
      </w:r>
      <w:r w:rsidR="00B000C0" w:rsidRPr="00573DEB">
        <w:t>Geographical indication applications by specialty, 2000-2012</w:t>
      </w:r>
      <w:bookmarkEnd w:id="186"/>
    </w:p>
    <w:p w:rsidR="00B000C0" w:rsidRPr="00573DEB" w:rsidRDefault="00B000C0" w:rsidP="004B4B73">
      <w:r w:rsidRPr="00573DEB">
        <w:rPr>
          <w:noProof/>
        </w:rPr>
        <w:drawing>
          <wp:inline distT="0" distB="0" distL="0" distR="0" wp14:anchorId="5BA95B87" wp14:editId="0B29308C">
            <wp:extent cx="5446395" cy="1518920"/>
            <wp:effectExtent l="0" t="0" r="190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62">
                      <a:extLst>
                        <a:ext uri="{28A0092B-C50C-407E-A947-70E740481C1C}">
                          <a14:useLocalDpi xmlns:a14="http://schemas.microsoft.com/office/drawing/2010/main" val="0"/>
                        </a:ext>
                      </a:extLst>
                    </a:blip>
                    <a:srcRect b="-41"/>
                    <a:stretch>
                      <a:fillRect/>
                    </a:stretch>
                  </pic:blipFill>
                  <pic:spPr bwMode="auto">
                    <a:xfrm>
                      <a:off x="0" y="0"/>
                      <a:ext cx="5446395" cy="1518920"/>
                    </a:xfrm>
                    <a:prstGeom prst="rect">
                      <a:avLst/>
                    </a:prstGeom>
                    <a:noFill/>
                    <a:ln>
                      <a:noFill/>
                    </a:ln>
                  </pic:spPr>
                </pic:pic>
              </a:graphicData>
            </a:graphic>
          </wp:inline>
        </w:drawing>
      </w:r>
    </w:p>
    <w:p w:rsidR="00B000C0" w:rsidRPr="00324A33" w:rsidRDefault="00B000C0" w:rsidP="0012162D">
      <w:pPr>
        <w:pStyle w:val="Captionnotes"/>
        <w:rPr>
          <w:i w:val="0"/>
        </w:rPr>
      </w:pPr>
      <w:r w:rsidRPr="00324A33">
        <w:rPr>
          <w:i w:val="0"/>
        </w:rPr>
        <w:t xml:space="preserve">Source: </w:t>
      </w:r>
      <w:r w:rsidR="00324A33" w:rsidRPr="00324A33">
        <w:rPr>
          <w:i w:val="0"/>
        </w:rPr>
        <w:t xml:space="preserve"> </w:t>
      </w:r>
      <w:r w:rsidRPr="00324A33">
        <w:rPr>
          <w:i w:val="0"/>
        </w:rPr>
        <w:t>INPI, BADEPI</w:t>
      </w:r>
    </w:p>
    <w:p w:rsidR="00B000C0" w:rsidRPr="00573DEB" w:rsidRDefault="00B000C0" w:rsidP="004B4B73"/>
    <w:p w:rsidR="00B000C0" w:rsidRPr="00573DEB" w:rsidRDefault="0012162D" w:rsidP="00B138E9">
      <w:pPr>
        <w:pStyle w:val="Heading2"/>
      </w:pPr>
      <w:bookmarkStart w:id="187" w:name="_Toc388619955"/>
      <w:r w:rsidRPr="00573DEB">
        <w:t>Geographical indication r</w:t>
      </w:r>
      <w:r w:rsidR="00B000C0" w:rsidRPr="00573DEB">
        <w:t>egistration</w:t>
      </w:r>
      <w:bookmarkEnd w:id="187"/>
      <w:r w:rsidRPr="00573DEB">
        <w:t>s</w:t>
      </w:r>
    </w:p>
    <w:p w:rsidR="00B000C0" w:rsidRPr="00573DEB" w:rsidRDefault="00B000C0" w:rsidP="00B138E9">
      <w:pPr>
        <w:keepNext/>
      </w:pPr>
    </w:p>
    <w:p w:rsidR="00B000C0" w:rsidRPr="00573DEB" w:rsidRDefault="00B000C0" w:rsidP="00B138E9">
      <w:pPr>
        <w:keepNext/>
      </w:pPr>
      <w:r w:rsidRPr="00573DEB">
        <w:t>In the period 2000-2012, there was an increase in registrations, with a total of 39 registrations</w:t>
      </w:r>
      <w:r w:rsidR="004B4B73" w:rsidRPr="00573DEB">
        <w:t xml:space="preserve">.  </w:t>
      </w:r>
      <w:r w:rsidRPr="00573DEB">
        <w:t>Figure 8.8 shows the registrations in the period, with 2012 particularly standing out, when there were 21 registrations against the 18 registrations accumulated during the period 2000-2011.</w:t>
      </w:r>
    </w:p>
    <w:p w:rsidR="0012162D" w:rsidRPr="00573DEB" w:rsidRDefault="0012162D" w:rsidP="004B4B73"/>
    <w:p w:rsidR="00B000C0" w:rsidRPr="00573DEB" w:rsidRDefault="008B45FC" w:rsidP="0012162D">
      <w:pPr>
        <w:pStyle w:val="Caption"/>
      </w:pPr>
      <w:bookmarkStart w:id="188" w:name="_Toc378267988"/>
      <w:r>
        <w:t xml:space="preserve">Figure 8.8:  </w:t>
      </w:r>
      <w:r w:rsidR="00B000C0" w:rsidRPr="00573DEB">
        <w:t>Geographical indication registrations, 2000-2012</w:t>
      </w:r>
      <w:bookmarkEnd w:id="188"/>
    </w:p>
    <w:p w:rsidR="00B000C0" w:rsidRPr="00573DEB" w:rsidRDefault="00B000C0" w:rsidP="004B4B73">
      <w:r w:rsidRPr="00573DEB">
        <w:rPr>
          <w:noProof/>
        </w:rPr>
        <w:drawing>
          <wp:inline distT="0" distB="0" distL="0" distR="0" wp14:anchorId="463830EB" wp14:editId="74B97AD7">
            <wp:extent cx="5494655" cy="2242185"/>
            <wp:effectExtent l="0" t="0" r="0" b="5715"/>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5"/>
                    <pic:cNvPicPr>
                      <a:picLocks noChangeArrowheads="1"/>
                    </pic:cNvPicPr>
                  </pic:nvPicPr>
                  <pic:blipFill>
                    <a:blip r:embed="rId63">
                      <a:extLst>
                        <a:ext uri="{28A0092B-C50C-407E-A947-70E740481C1C}">
                          <a14:useLocalDpi xmlns:a14="http://schemas.microsoft.com/office/drawing/2010/main" val="0"/>
                        </a:ext>
                      </a:extLst>
                    </a:blip>
                    <a:srcRect b="-27"/>
                    <a:stretch>
                      <a:fillRect/>
                    </a:stretch>
                  </pic:blipFill>
                  <pic:spPr bwMode="auto">
                    <a:xfrm>
                      <a:off x="0" y="0"/>
                      <a:ext cx="5494655" cy="2242185"/>
                    </a:xfrm>
                    <a:prstGeom prst="rect">
                      <a:avLst/>
                    </a:prstGeom>
                    <a:noFill/>
                    <a:ln>
                      <a:noFill/>
                    </a:ln>
                  </pic:spPr>
                </pic:pic>
              </a:graphicData>
            </a:graphic>
          </wp:inline>
        </w:drawing>
      </w:r>
    </w:p>
    <w:p w:rsidR="00B000C0" w:rsidRPr="00324A33" w:rsidRDefault="00B000C0" w:rsidP="0012162D">
      <w:pPr>
        <w:pStyle w:val="Captionnotes"/>
        <w:rPr>
          <w:i w:val="0"/>
        </w:rPr>
      </w:pPr>
      <w:r w:rsidRPr="00324A33">
        <w:rPr>
          <w:i w:val="0"/>
        </w:rPr>
        <w:t xml:space="preserve">Source: </w:t>
      </w:r>
      <w:r w:rsidR="00324A33">
        <w:rPr>
          <w:i w:val="0"/>
        </w:rPr>
        <w:t xml:space="preserve"> </w:t>
      </w:r>
      <w:r w:rsidRPr="00324A33">
        <w:rPr>
          <w:i w:val="0"/>
        </w:rPr>
        <w:t>INPI, BADEPI</w:t>
      </w:r>
    </w:p>
    <w:p w:rsidR="00B000C0" w:rsidRPr="00573DEB" w:rsidRDefault="00B000C0" w:rsidP="004B4B73"/>
    <w:p w:rsidR="0012162D" w:rsidRPr="00573DEB" w:rsidRDefault="0012162D" w:rsidP="004B4B73"/>
    <w:p w:rsidR="00B000C0" w:rsidRPr="00573DEB" w:rsidRDefault="001D57CA" w:rsidP="004B4B73">
      <w:pPr>
        <w:pStyle w:val="Heading1"/>
      </w:pPr>
      <w:bookmarkStart w:id="189" w:name="_Toc388619956"/>
      <w:r>
        <w:t>9</w:t>
      </w:r>
      <w:r>
        <w:tab/>
      </w:r>
      <w:r w:rsidR="00B000C0" w:rsidRPr="00573DEB">
        <w:t>Software</w:t>
      </w:r>
      <w:bookmarkEnd w:id="155"/>
      <w:bookmarkEnd w:id="189"/>
    </w:p>
    <w:p w:rsidR="00B000C0" w:rsidRPr="00573DEB" w:rsidRDefault="00B000C0" w:rsidP="004B4B73"/>
    <w:p w:rsidR="00B000C0" w:rsidRPr="00573DEB" w:rsidRDefault="0012162D" w:rsidP="004B4B73">
      <w:pPr>
        <w:pStyle w:val="Heading2"/>
      </w:pPr>
      <w:bookmarkStart w:id="190" w:name="_Toc367700210"/>
      <w:bookmarkStart w:id="191" w:name="_Toc373369851"/>
      <w:bookmarkStart w:id="192" w:name="_Toc388619957"/>
      <w:r w:rsidRPr="00573DEB">
        <w:t>Software a</w:t>
      </w:r>
      <w:r w:rsidR="00B000C0" w:rsidRPr="00573DEB">
        <w:t>pplications</w:t>
      </w:r>
      <w:bookmarkEnd w:id="190"/>
      <w:bookmarkEnd w:id="191"/>
      <w:bookmarkEnd w:id="192"/>
    </w:p>
    <w:p w:rsidR="00B000C0" w:rsidRPr="00573DEB" w:rsidRDefault="00B000C0" w:rsidP="004B4B73"/>
    <w:p w:rsidR="00B000C0" w:rsidRPr="00573DEB" w:rsidRDefault="00B000C0" w:rsidP="004B4B73">
      <w:r w:rsidRPr="00573DEB">
        <w:t>Between 2000 and 2011, the total number of software applications at INPI-Brazil increased from 663 to 1,279</w:t>
      </w:r>
      <w:r w:rsidR="004B4B73" w:rsidRPr="00573DEB">
        <w:t xml:space="preserve">.  </w:t>
      </w:r>
      <w:r w:rsidRPr="00573DEB">
        <w:t>At the beginning of the period (2000-2004), the total number of applications increased by 20%</w:t>
      </w:r>
      <w:r w:rsidR="004B4B73" w:rsidRPr="00573DEB">
        <w:t xml:space="preserve">.  </w:t>
      </w:r>
      <w:r w:rsidRPr="00573DEB">
        <w:t>In 2005, the number of applications dropped 13% (to 686) and maintained this level for three years</w:t>
      </w:r>
      <w:r w:rsidR="004B4B73" w:rsidRPr="00573DEB">
        <w:t xml:space="preserve">.  </w:t>
      </w:r>
      <w:r w:rsidRPr="00573DEB">
        <w:t>Since 2007, the applications have shown a continuous trend of growth, having increased by 86% until 2011 (to 1,279)</w:t>
      </w:r>
      <w:r w:rsidR="004B4B73" w:rsidRPr="00573DEB">
        <w:t xml:space="preserve">.  </w:t>
      </w:r>
    </w:p>
    <w:p w:rsidR="00B000C0" w:rsidRPr="00573DEB" w:rsidRDefault="00B000C0" w:rsidP="004B4B73"/>
    <w:p w:rsidR="00B000C0" w:rsidRPr="00573DEB" w:rsidRDefault="00B000C0" w:rsidP="0012162D">
      <w:bookmarkStart w:id="193" w:name="_Toc377053356"/>
    </w:p>
    <w:p w:rsidR="00B000C0" w:rsidRPr="00573DEB" w:rsidRDefault="008B45FC" w:rsidP="0012162D">
      <w:pPr>
        <w:pStyle w:val="Caption"/>
      </w:pPr>
      <w:bookmarkStart w:id="194" w:name="_Toc378267989"/>
      <w:r>
        <w:t xml:space="preserve">Figure 9.1:  </w:t>
      </w:r>
      <w:r w:rsidR="00B000C0" w:rsidRPr="00573DEB">
        <w:t>Total number of software applications, 2000-2011</w:t>
      </w:r>
      <w:bookmarkEnd w:id="193"/>
      <w:bookmarkEnd w:id="194"/>
    </w:p>
    <w:p w:rsidR="00B000C0" w:rsidRPr="00573DEB" w:rsidRDefault="00B000C0" w:rsidP="004B4B73">
      <w:r w:rsidRPr="00573DEB">
        <w:rPr>
          <w:noProof/>
        </w:rPr>
        <w:drawing>
          <wp:inline distT="0" distB="0" distL="0" distR="0" wp14:anchorId="0433F0C9" wp14:editId="57A8F3CF">
            <wp:extent cx="5478145" cy="2258060"/>
            <wp:effectExtent l="0" t="0" r="8255" b="889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78145" cy="2258060"/>
                    </a:xfrm>
                    <a:prstGeom prst="rect">
                      <a:avLst/>
                    </a:prstGeom>
                    <a:noFill/>
                    <a:ln>
                      <a:noFill/>
                    </a:ln>
                  </pic:spPr>
                </pic:pic>
              </a:graphicData>
            </a:graphic>
          </wp:inline>
        </w:drawing>
      </w:r>
    </w:p>
    <w:p w:rsidR="00B000C0" w:rsidRPr="001D57CA" w:rsidRDefault="00B000C0" w:rsidP="0012162D">
      <w:pPr>
        <w:pStyle w:val="Captionnotes"/>
        <w:rPr>
          <w:i w:val="0"/>
        </w:rPr>
      </w:pPr>
      <w:r w:rsidRPr="001D57CA">
        <w:rPr>
          <w:i w:val="0"/>
        </w:rPr>
        <w:t xml:space="preserve">Source: </w:t>
      </w:r>
      <w:r w:rsidR="001D57CA">
        <w:rPr>
          <w:i w:val="0"/>
        </w:rPr>
        <w:t xml:space="preserve"> </w:t>
      </w:r>
      <w:r w:rsidRPr="001D57CA">
        <w:rPr>
          <w:i w:val="0"/>
        </w:rPr>
        <w:t>INPI’s Statistical database (BADEPI, April 2013)</w:t>
      </w:r>
    </w:p>
    <w:p w:rsidR="00B000C0" w:rsidRPr="00573DEB" w:rsidRDefault="00B000C0" w:rsidP="004B4B73"/>
    <w:p w:rsidR="00B000C0" w:rsidRPr="00573DEB" w:rsidRDefault="00B000C0" w:rsidP="004B4B73">
      <w:r w:rsidRPr="00573DEB">
        <w:t>An important point is the number of applicants by application</w:t>
      </w:r>
      <w:r w:rsidR="004B4B73" w:rsidRPr="00573DEB">
        <w:t xml:space="preserve">.  </w:t>
      </w:r>
      <w:r w:rsidRPr="00573DEB">
        <w:t>It is predominant the presence of a single applicant, while just 10% of applications have multiple applicants</w:t>
      </w:r>
      <w:r w:rsidR="004B4B73" w:rsidRPr="00573DEB">
        <w:t xml:space="preserve">.  </w:t>
      </w:r>
      <w:r w:rsidRPr="00573DEB">
        <w:t>Between 2000</w:t>
      </w:r>
      <w:r w:rsidR="00FE2C7E" w:rsidRPr="00573DEB">
        <w:t xml:space="preserve"> and </w:t>
      </w:r>
      <w:r w:rsidRPr="00573DEB">
        <w:t>2011, however, this proportion has remained constant with a slight drop in 2011, when it fell to 5%.</w:t>
      </w:r>
    </w:p>
    <w:p w:rsidR="00B000C0" w:rsidRPr="00573DEB" w:rsidRDefault="00B000C0" w:rsidP="004B4B73">
      <w:bookmarkStart w:id="195" w:name="_Toc377490256"/>
      <w:bookmarkStart w:id="196" w:name="_Toc377490257"/>
      <w:bookmarkEnd w:id="195"/>
      <w:bookmarkEnd w:id="196"/>
      <w:r w:rsidRPr="00573DEB">
        <w:t>Figure 9.3 shows that around 60% of these applicants are legal entities</w:t>
      </w:r>
      <w:r w:rsidR="004B4B73" w:rsidRPr="00573DEB">
        <w:t xml:space="preserve">.  </w:t>
      </w:r>
      <w:r w:rsidRPr="00573DEB">
        <w:t>This trend continued up to 2011, when there was an increase of applications by individuals to 71%</w:t>
      </w:r>
      <w:r w:rsidR="004B4B73" w:rsidRPr="00573DEB">
        <w:t xml:space="preserve">.  </w:t>
      </w:r>
      <w:r w:rsidRPr="00573DEB">
        <w:t>Likewise to legal entities, individuals usually file alone, though the percentage is much lower than the observed for legal entities.</w:t>
      </w:r>
    </w:p>
    <w:p w:rsidR="00B000C0" w:rsidRPr="00573DEB" w:rsidRDefault="00B000C0" w:rsidP="004B4B73"/>
    <w:p w:rsidR="005937E3" w:rsidRPr="00573DEB" w:rsidRDefault="005937E3" w:rsidP="005937E3">
      <w:r w:rsidRPr="00573DEB">
        <w:t>The ranking of the largest applicants presents “</w:t>
      </w:r>
      <w:proofErr w:type="spellStart"/>
      <w:r w:rsidRPr="00FF1D6B">
        <w:rPr>
          <w:i/>
        </w:rPr>
        <w:t>Fundação</w:t>
      </w:r>
      <w:proofErr w:type="spellEnd"/>
      <w:r w:rsidRPr="00FF1D6B">
        <w:rPr>
          <w:i/>
        </w:rPr>
        <w:t xml:space="preserve"> CPQD - Centro de </w:t>
      </w:r>
      <w:proofErr w:type="spellStart"/>
      <w:r w:rsidRPr="00FF1D6B">
        <w:rPr>
          <w:i/>
        </w:rPr>
        <w:t>Pesquisa</w:t>
      </w:r>
      <w:proofErr w:type="spellEnd"/>
      <w:r w:rsidRPr="00FF1D6B">
        <w:rPr>
          <w:i/>
        </w:rPr>
        <w:t xml:space="preserve"> e </w:t>
      </w:r>
      <w:proofErr w:type="spellStart"/>
      <w:r w:rsidRPr="00FF1D6B">
        <w:rPr>
          <w:i/>
        </w:rPr>
        <w:t>Desenvolvimento</w:t>
      </w:r>
      <w:proofErr w:type="spellEnd"/>
      <w:r w:rsidRPr="00FF1D6B">
        <w:rPr>
          <w:i/>
        </w:rPr>
        <w:t xml:space="preserve"> </w:t>
      </w:r>
      <w:proofErr w:type="spellStart"/>
      <w:r w:rsidRPr="00FF1D6B">
        <w:rPr>
          <w:i/>
        </w:rPr>
        <w:t>em</w:t>
      </w:r>
      <w:proofErr w:type="spellEnd"/>
      <w:r w:rsidRPr="00FF1D6B">
        <w:rPr>
          <w:i/>
        </w:rPr>
        <w:t xml:space="preserve"> </w:t>
      </w:r>
      <w:proofErr w:type="spellStart"/>
      <w:r w:rsidRPr="00FF1D6B">
        <w:rPr>
          <w:i/>
        </w:rPr>
        <w:t>Telecomunicações</w:t>
      </w:r>
      <w:proofErr w:type="spellEnd"/>
      <w:r w:rsidRPr="00573DEB">
        <w:t>” as the largest one, representing 5% of the total of 11,034 applications in the period 2000-2011.  This company is from the "Scientific research and development"</w:t>
      </w:r>
      <w:r>
        <w:t xml:space="preserve"> </w:t>
      </w:r>
      <w:r w:rsidRPr="00573DEB">
        <w:t xml:space="preserve">sector, </w:t>
      </w:r>
      <w:r>
        <w:t xml:space="preserve">having </w:t>
      </w:r>
      <w:r w:rsidRPr="00573DEB">
        <w:t>“software creation” as its secondary activity.  Furthermore, it is worth noting that, among the ten largest applicants, seven are not related to the software industry and four of these are universities.  Only two of them</w:t>
      </w:r>
      <w:r>
        <w:t xml:space="preserve"> – </w:t>
      </w:r>
      <w:proofErr w:type="spellStart"/>
      <w:r w:rsidRPr="00573DEB">
        <w:t>Tecnet</w:t>
      </w:r>
      <w:proofErr w:type="spellEnd"/>
      <w:r w:rsidRPr="00573DEB">
        <w:t xml:space="preserve"> </w:t>
      </w:r>
      <w:proofErr w:type="spellStart"/>
      <w:r w:rsidRPr="00573DEB">
        <w:t>Teleinformática</w:t>
      </w:r>
      <w:proofErr w:type="spellEnd"/>
      <w:r w:rsidRPr="00573DEB">
        <w:t xml:space="preserve"> Ltda. and Ismael </w:t>
      </w:r>
      <w:proofErr w:type="spellStart"/>
      <w:r w:rsidRPr="00573DEB">
        <w:t>Felicio</w:t>
      </w:r>
      <w:proofErr w:type="spellEnd"/>
      <w:r w:rsidRPr="00573DEB">
        <w:t xml:space="preserve"> de Toledo</w:t>
      </w:r>
      <w:r>
        <w:t xml:space="preserve"> –</w:t>
      </w:r>
      <w:r w:rsidRPr="00573DEB">
        <w:t xml:space="preserve"> are applicants from “Manufacture of computer, electronic and optical products”</w:t>
      </w:r>
      <w:r>
        <w:t xml:space="preserve"> sector</w:t>
      </w:r>
      <w:r w:rsidRPr="00573DEB">
        <w:t xml:space="preserve">.  Although Ismael </w:t>
      </w:r>
      <w:proofErr w:type="spellStart"/>
      <w:r w:rsidRPr="00573DEB">
        <w:t>Felicio</w:t>
      </w:r>
      <w:proofErr w:type="spellEnd"/>
      <w:r w:rsidRPr="00573DEB">
        <w:t xml:space="preserve"> de Toledo is an individual, he own</w:t>
      </w:r>
      <w:r>
        <w:t>s</w:t>
      </w:r>
      <w:r w:rsidRPr="00573DEB">
        <w:t xml:space="preserve"> Dura-Lex </w:t>
      </w:r>
      <w:proofErr w:type="spellStart"/>
      <w:r w:rsidRPr="00573DEB">
        <w:t>Sistemas</w:t>
      </w:r>
      <w:proofErr w:type="spellEnd"/>
      <w:r w:rsidRPr="00573DEB">
        <w:t xml:space="preserve"> de </w:t>
      </w:r>
      <w:proofErr w:type="spellStart"/>
      <w:r w:rsidRPr="00573DEB">
        <w:t>Gestão</w:t>
      </w:r>
      <w:proofErr w:type="spellEnd"/>
      <w:r w:rsidRPr="00573DEB">
        <w:t xml:space="preserve"> </w:t>
      </w:r>
      <w:proofErr w:type="spellStart"/>
      <w:r w:rsidRPr="00573DEB">
        <w:t>Pública</w:t>
      </w:r>
      <w:proofErr w:type="spellEnd"/>
      <w:r w:rsidRPr="00573DEB">
        <w:t xml:space="preserve"> </w:t>
      </w:r>
      <w:proofErr w:type="spellStart"/>
      <w:r w:rsidRPr="00573DEB">
        <w:t>Ltda</w:t>
      </w:r>
      <w:proofErr w:type="spellEnd"/>
      <w:r w:rsidRPr="00573DEB">
        <w:t>, which is from the “Manufacture of computer, electronic and optical products”</w:t>
      </w:r>
      <w:r>
        <w:t xml:space="preserve"> </w:t>
      </w:r>
      <w:r w:rsidRPr="00573DEB">
        <w:t xml:space="preserve">sector.  Another important consideration is that the largest applicants usually file alone; only universities periodically request joint applications.  </w:t>
      </w:r>
    </w:p>
    <w:p w:rsidR="005937E3" w:rsidRDefault="005937E3" w:rsidP="005937E3"/>
    <w:p w:rsidR="005937E3" w:rsidRPr="00573DEB" w:rsidRDefault="005937E3" w:rsidP="005937E3"/>
    <w:p w:rsidR="005937E3" w:rsidRPr="00573DEB" w:rsidRDefault="008B45FC" w:rsidP="005937E3">
      <w:pPr>
        <w:pStyle w:val="Caption"/>
      </w:pPr>
      <w:bookmarkStart w:id="197" w:name="_Toc377053357"/>
      <w:bookmarkStart w:id="198" w:name="_Toc378267990"/>
      <w:r>
        <w:t xml:space="preserve">Figure 9.2:  </w:t>
      </w:r>
      <w:r w:rsidR="005937E3" w:rsidRPr="00573DEB">
        <w:t>Software applications by number of applicants, 2000-2011</w:t>
      </w:r>
      <w:bookmarkEnd w:id="197"/>
      <w:bookmarkEnd w:id="198"/>
    </w:p>
    <w:p w:rsidR="005937E3" w:rsidRPr="00573DEB" w:rsidRDefault="005937E3" w:rsidP="005937E3">
      <w:r w:rsidRPr="00573DEB">
        <w:rPr>
          <w:noProof/>
        </w:rPr>
        <w:drawing>
          <wp:inline distT="0" distB="0" distL="0" distR="0" wp14:anchorId="02DA9361" wp14:editId="1654AF2E">
            <wp:extent cx="5478145" cy="2258060"/>
            <wp:effectExtent l="0" t="0" r="8255" b="889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9"/>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78145" cy="2258060"/>
                    </a:xfrm>
                    <a:prstGeom prst="rect">
                      <a:avLst/>
                    </a:prstGeom>
                    <a:noFill/>
                    <a:ln>
                      <a:noFill/>
                    </a:ln>
                  </pic:spPr>
                </pic:pic>
              </a:graphicData>
            </a:graphic>
          </wp:inline>
        </w:drawing>
      </w:r>
    </w:p>
    <w:p w:rsidR="005937E3" w:rsidRPr="00232587" w:rsidRDefault="005937E3" w:rsidP="005937E3">
      <w:pPr>
        <w:pStyle w:val="Captionnotes"/>
        <w:rPr>
          <w:i w:val="0"/>
        </w:rPr>
      </w:pPr>
      <w:r w:rsidRPr="00232587">
        <w:rPr>
          <w:i w:val="0"/>
        </w:rPr>
        <w:t>Source:</w:t>
      </w:r>
      <w:r w:rsidR="00232587">
        <w:rPr>
          <w:i w:val="0"/>
        </w:rPr>
        <w:t xml:space="preserve"> </w:t>
      </w:r>
      <w:r w:rsidRPr="00232587">
        <w:rPr>
          <w:i w:val="0"/>
        </w:rPr>
        <w:t xml:space="preserve"> INPI’s Statistical database (BADEPI, April 2013)</w:t>
      </w:r>
    </w:p>
    <w:p w:rsidR="005937E3" w:rsidRPr="00573DEB" w:rsidRDefault="005937E3" w:rsidP="005937E3"/>
    <w:p w:rsidR="00B000C0" w:rsidRPr="00573DEB" w:rsidRDefault="00B000C0" w:rsidP="004B4B73"/>
    <w:p w:rsidR="00B000C0" w:rsidRPr="00573DEB" w:rsidRDefault="0012162D" w:rsidP="0012162D">
      <w:pPr>
        <w:pStyle w:val="Caption"/>
      </w:pPr>
      <w:bookmarkStart w:id="199" w:name="_Toc377490259"/>
      <w:bookmarkStart w:id="200" w:name="_Toc377052998"/>
      <w:bookmarkStart w:id="201" w:name="_Toc377053358"/>
      <w:bookmarkStart w:id="202" w:name="_Toc377484668"/>
      <w:bookmarkStart w:id="203" w:name="_Toc377053359"/>
      <w:bookmarkStart w:id="204" w:name="_Toc378267991"/>
      <w:bookmarkEnd w:id="199"/>
      <w:bookmarkEnd w:id="200"/>
      <w:bookmarkEnd w:id="201"/>
      <w:bookmarkEnd w:id="202"/>
      <w:r w:rsidRPr="00573DEB">
        <w:t>Figure 9.3</w:t>
      </w:r>
      <w:r w:rsidR="008B45FC">
        <w:t xml:space="preserve">:  </w:t>
      </w:r>
      <w:r w:rsidR="00B000C0" w:rsidRPr="00573DEB">
        <w:t>Software applications by type of applicant and strategy, 2000-2011</w:t>
      </w:r>
      <w:bookmarkEnd w:id="203"/>
      <w:bookmarkEnd w:id="204"/>
    </w:p>
    <w:p w:rsidR="00B000C0" w:rsidRPr="00573DEB" w:rsidRDefault="00B000C0" w:rsidP="004B4B73">
      <w:r w:rsidRPr="00573DEB">
        <w:rPr>
          <w:noProof/>
        </w:rPr>
        <w:drawing>
          <wp:inline distT="0" distB="0" distL="0" distR="0" wp14:anchorId="12AD1857" wp14:editId="158B8D10">
            <wp:extent cx="5510530" cy="27432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1"/>
                    <pic:cNvPicPr>
                      <a:picLocks noChangeArrowheads="1"/>
                    </pic:cNvPicPr>
                  </pic:nvPicPr>
                  <pic:blipFill>
                    <a:blip r:embed="rId66">
                      <a:extLst>
                        <a:ext uri="{28A0092B-C50C-407E-A947-70E740481C1C}">
                          <a14:useLocalDpi xmlns:a14="http://schemas.microsoft.com/office/drawing/2010/main" val="0"/>
                        </a:ext>
                      </a:extLst>
                    </a:blip>
                    <a:srcRect b="-46"/>
                    <a:stretch>
                      <a:fillRect/>
                    </a:stretch>
                  </pic:blipFill>
                  <pic:spPr bwMode="auto">
                    <a:xfrm>
                      <a:off x="0" y="0"/>
                      <a:ext cx="5510530" cy="2743200"/>
                    </a:xfrm>
                    <a:prstGeom prst="rect">
                      <a:avLst/>
                    </a:prstGeom>
                    <a:noFill/>
                    <a:ln>
                      <a:noFill/>
                    </a:ln>
                  </pic:spPr>
                </pic:pic>
              </a:graphicData>
            </a:graphic>
          </wp:inline>
        </w:drawing>
      </w:r>
    </w:p>
    <w:p w:rsidR="00B000C0" w:rsidRPr="00232587" w:rsidRDefault="00B000C0" w:rsidP="0012162D">
      <w:pPr>
        <w:pStyle w:val="Captionnotes"/>
        <w:rPr>
          <w:i w:val="0"/>
        </w:rPr>
      </w:pPr>
      <w:r w:rsidRPr="00232587">
        <w:rPr>
          <w:i w:val="0"/>
        </w:rPr>
        <w:t xml:space="preserve">Source: </w:t>
      </w:r>
      <w:r w:rsidR="00232587" w:rsidRPr="00232587">
        <w:rPr>
          <w:i w:val="0"/>
        </w:rPr>
        <w:t xml:space="preserve"> </w:t>
      </w:r>
      <w:r w:rsidRPr="00232587">
        <w:rPr>
          <w:i w:val="0"/>
        </w:rPr>
        <w:t>INPI’s Statistical database (BADEPI, April 2013)</w:t>
      </w:r>
    </w:p>
    <w:p w:rsidR="00B000C0" w:rsidRPr="00573DEB" w:rsidRDefault="00B000C0" w:rsidP="004B4B73"/>
    <w:p w:rsidR="00B000C0" w:rsidRPr="00573DEB" w:rsidRDefault="00B000C0" w:rsidP="004B4B73">
      <w:bookmarkStart w:id="205" w:name="_Toc377374698"/>
    </w:p>
    <w:p w:rsidR="00B000C0" w:rsidRPr="00573DEB" w:rsidRDefault="00B000C0" w:rsidP="004B4B73">
      <w:r w:rsidRPr="00573DEB">
        <w:t xml:space="preserve">The economic sectors listed were obtained from the website of </w:t>
      </w:r>
      <w:proofErr w:type="spellStart"/>
      <w:r w:rsidRPr="00FF1D6B">
        <w:rPr>
          <w:i/>
        </w:rPr>
        <w:t>Receita</w:t>
      </w:r>
      <w:proofErr w:type="spellEnd"/>
      <w:r w:rsidRPr="00FF1D6B">
        <w:rPr>
          <w:i/>
        </w:rPr>
        <w:t xml:space="preserve"> Federal do </w:t>
      </w:r>
      <w:proofErr w:type="spellStart"/>
      <w:r w:rsidRPr="00FF1D6B">
        <w:rPr>
          <w:i/>
        </w:rPr>
        <w:t>Brasil</w:t>
      </w:r>
      <w:proofErr w:type="spellEnd"/>
      <w:r w:rsidRPr="00FF1D6B">
        <w:rPr>
          <w:i/>
        </w:rPr>
        <w:t xml:space="preserve"> </w:t>
      </w:r>
      <w:r w:rsidRPr="00573DEB">
        <w:t>(</w:t>
      </w:r>
      <w:hyperlink r:id="rId67" w:history="1">
        <w:r w:rsidRPr="00573DEB">
          <w:rPr>
            <w:rStyle w:val="Hyperlink"/>
            <w:rFonts w:cs="Arial"/>
            <w:i/>
            <w:iCs/>
          </w:rPr>
          <w:t>www.receita.fazenda.gov.br/pessoajuridica/cnpj/cnpjreva/cnpjreva_solicitacao.asp</w:t>
        </w:r>
      </w:hyperlink>
      <w:r w:rsidRPr="00573DEB">
        <w:t>)</w:t>
      </w:r>
      <w:r w:rsidR="004B4B73" w:rsidRPr="00573DEB">
        <w:t xml:space="preserve">.  </w:t>
      </w:r>
      <w:r w:rsidRPr="00573DEB">
        <w:t>The search was conducted by the company CNPJ informed when the application was filed.</w:t>
      </w:r>
    </w:p>
    <w:p w:rsidR="00B000C0" w:rsidRPr="00573DEB" w:rsidRDefault="00B000C0" w:rsidP="004B4B73"/>
    <w:p w:rsidR="0012162D" w:rsidRPr="00573DEB" w:rsidRDefault="0012162D" w:rsidP="0012162D"/>
    <w:p w:rsidR="00B000C0" w:rsidRPr="00573DEB" w:rsidRDefault="008B45FC" w:rsidP="0012162D">
      <w:pPr>
        <w:pStyle w:val="Caption"/>
      </w:pPr>
      <w:bookmarkStart w:id="206" w:name="_Toc378268005"/>
      <w:r>
        <w:t xml:space="preserve">Table 9.1:  </w:t>
      </w:r>
      <w:r w:rsidR="00B000C0" w:rsidRPr="00573DEB">
        <w:t xml:space="preserve">Top 10 </w:t>
      </w:r>
      <w:r w:rsidR="0022486F" w:rsidRPr="00573DEB">
        <w:t>Software</w:t>
      </w:r>
      <w:r w:rsidR="0012162D" w:rsidRPr="00573DEB">
        <w:t xml:space="preserve"> </w:t>
      </w:r>
      <w:r w:rsidR="00B000C0" w:rsidRPr="00573DEB">
        <w:t>applicants, 2000-2011</w:t>
      </w:r>
      <w:bookmarkEnd w:id="205"/>
      <w:bookmarkEnd w:id="206"/>
    </w:p>
    <w:tbl>
      <w:tblPr>
        <w:tblW w:w="0" w:type="auto"/>
        <w:tblInd w:w="70" w:type="dxa"/>
        <w:tblCellMar>
          <w:left w:w="70" w:type="dxa"/>
          <w:right w:w="70" w:type="dxa"/>
        </w:tblCellMar>
        <w:tblLook w:val="00A0" w:firstRow="1" w:lastRow="0" w:firstColumn="1" w:lastColumn="0" w:noHBand="0" w:noVBand="0"/>
      </w:tblPr>
      <w:tblGrid>
        <w:gridCol w:w="3406"/>
        <w:gridCol w:w="1113"/>
        <w:gridCol w:w="853"/>
        <w:gridCol w:w="1023"/>
        <w:gridCol w:w="2214"/>
      </w:tblGrid>
      <w:tr w:rsidR="00B000C0" w:rsidRPr="00573DEB" w:rsidTr="004B4B73">
        <w:trPr>
          <w:trHeight w:val="450"/>
        </w:trPr>
        <w:tc>
          <w:tcPr>
            <w:tcW w:w="3406" w:type="dxa"/>
            <w:tcBorders>
              <w:top w:val="single" w:sz="4" w:space="0" w:color="auto"/>
              <w:left w:val="single" w:sz="4" w:space="0" w:color="auto"/>
              <w:bottom w:val="single" w:sz="4" w:space="0" w:color="auto"/>
              <w:right w:val="single" w:sz="4" w:space="0" w:color="auto"/>
            </w:tcBorders>
            <w:shd w:val="clear" w:color="auto" w:fill="C6D9F1"/>
            <w:vAlign w:val="center"/>
          </w:tcPr>
          <w:p w:rsidR="00B000C0" w:rsidRPr="00573DEB" w:rsidRDefault="00B000C0" w:rsidP="0022486F">
            <w:pPr>
              <w:keepNext/>
              <w:rPr>
                <w:rFonts w:ascii="Arial Narrow" w:hAnsi="Arial Narrow"/>
              </w:rPr>
            </w:pPr>
            <w:r w:rsidRPr="00573DEB">
              <w:rPr>
                <w:rFonts w:ascii="Arial Narrow" w:hAnsi="Arial Narrow"/>
              </w:rPr>
              <w:t>Name</w:t>
            </w:r>
          </w:p>
        </w:tc>
        <w:tc>
          <w:tcPr>
            <w:tcW w:w="1101" w:type="dxa"/>
            <w:tcBorders>
              <w:top w:val="single" w:sz="4" w:space="0" w:color="auto"/>
              <w:left w:val="nil"/>
              <w:bottom w:val="single" w:sz="4" w:space="0" w:color="auto"/>
              <w:right w:val="single" w:sz="4" w:space="0" w:color="auto"/>
            </w:tcBorders>
            <w:shd w:val="clear" w:color="auto" w:fill="C6D9F1"/>
            <w:vAlign w:val="center"/>
          </w:tcPr>
          <w:p w:rsidR="00B000C0" w:rsidRPr="00573DEB" w:rsidRDefault="00B000C0" w:rsidP="0022486F">
            <w:pPr>
              <w:keepNext/>
              <w:rPr>
                <w:rFonts w:ascii="Arial Narrow" w:hAnsi="Arial Narrow"/>
              </w:rPr>
            </w:pPr>
            <w:r w:rsidRPr="00573DEB">
              <w:rPr>
                <w:rFonts w:ascii="Arial Narrow" w:hAnsi="Arial Narrow"/>
              </w:rPr>
              <w:t>Number of Applications</w:t>
            </w:r>
          </w:p>
        </w:tc>
        <w:tc>
          <w:tcPr>
            <w:tcW w:w="0" w:type="auto"/>
            <w:tcBorders>
              <w:top w:val="single" w:sz="4" w:space="0" w:color="auto"/>
              <w:left w:val="nil"/>
              <w:bottom w:val="single" w:sz="4" w:space="0" w:color="auto"/>
              <w:right w:val="single" w:sz="4" w:space="0" w:color="auto"/>
            </w:tcBorders>
            <w:shd w:val="clear" w:color="auto" w:fill="C6D9F1"/>
            <w:vAlign w:val="center"/>
          </w:tcPr>
          <w:p w:rsidR="00B000C0" w:rsidRPr="00573DEB" w:rsidRDefault="00B000C0" w:rsidP="0022486F">
            <w:pPr>
              <w:keepNext/>
              <w:rPr>
                <w:rFonts w:ascii="Arial Narrow" w:hAnsi="Arial Narrow"/>
              </w:rPr>
            </w:pPr>
            <w:r w:rsidRPr="00573DEB">
              <w:rPr>
                <w:rFonts w:ascii="Arial Narrow" w:hAnsi="Arial Narrow"/>
              </w:rPr>
              <w:t>%</w:t>
            </w:r>
          </w:p>
        </w:tc>
        <w:tc>
          <w:tcPr>
            <w:tcW w:w="1012" w:type="dxa"/>
            <w:tcBorders>
              <w:top w:val="single" w:sz="4" w:space="0" w:color="auto"/>
              <w:left w:val="nil"/>
              <w:bottom w:val="single" w:sz="4" w:space="0" w:color="auto"/>
              <w:right w:val="single" w:sz="4" w:space="0" w:color="auto"/>
            </w:tcBorders>
            <w:shd w:val="clear" w:color="auto" w:fill="C6D9F1"/>
            <w:vAlign w:val="center"/>
          </w:tcPr>
          <w:p w:rsidR="00B000C0" w:rsidRPr="00573DEB" w:rsidRDefault="00B000C0" w:rsidP="0022486F">
            <w:pPr>
              <w:keepNext/>
              <w:rPr>
                <w:rFonts w:ascii="Arial Narrow" w:hAnsi="Arial Narrow"/>
              </w:rPr>
            </w:pPr>
            <w:r w:rsidRPr="00573DEB">
              <w:rPr>
                <w:rFonts w:ascii="Arial Narrow" w:hAnsi="Arial Narrow"/>
              </w:rPr>
              <w:t>Joint Application</w:t>
            </w:r>
          </w:p>
        </w:tc>
        <w:tc>
          <w:tcPr>
            <w:tcW w:w="2214" w:type="dxa"/>
            <w:tcBorders>
              <w:top w:val="single" w:sz="4" w:space="0" w:color="auto"/>
              <w:left w:val="nil"/>
              <w:bottom w:val="single" w:sz="4" w:space="0" w:color="auto"/>
              <w:right w:val="single" w:sz="4" w:space="0" w:color="auto"/>
            </w:tcBorders>
            <w:shd w:val="clear" w:color="auto" w:fill="C6D9F1"/>
            <w:vAlign w:val="center"/>
          </w:tcPr>
          <w:p w:rsidR="00B000C0" w:rsidRPr="00573DEB" w:rsidRDefault="00B000C0" w:rsidP="0022486F">
            <w:pPr>
              <w:keepNext/>
              <w:rPr>
                <w:rFonts w:ascii="Arial Narrow" w:hAnsi="Arial Narrow"/>
              </w:rPr>
            </w:pPr>
            <w:r w:rsidRPr="00573DEB">
              <w:rPr>
                <w:rFonts w:ascii="Arial Narrow" w:hAnsi="Arial Narrow"/>
              </w:rPr>
              <w:t>Economic Sector</w:t>
            </w:r>
          </w:p>
        </w:tc>
      </w:tr>
      <w:tr w:rsidR="00B000C0" w:rsidRPr="00573DEB" w:rsidTr="004B4B73">
        <w:trPr>
          <w:trHeight w:val="408"/>
        </w:trPr>
        <w:tc>
          <w:tcPr>
            <w:tcW w:w="3406" w:type="dxa"/>
            <w:tcBorders>
              <w:top w:val="nil"/>
              <w:left w:val="single" w:sz="4" w:space="0" w:color="auto"/>
              <w:bottom w:val="single" w:sz="4" w:space="0" w:color="auto"/>
              <w:right w:val="single" w:sz="4" w:space="0" w:color="auto"/>
            </w:tcBorders>
            <w:vAlign w:val="center"/>
          </w:tcPr>
          <w:p w:rsidR="00B000C0" w:rsidRPr="00DA2C07" w:rsidRDefault="00B000C0" w:rsidP="0022486F">
            <w:pPr>
              <w:keepNext/>
              <w:rPr>
                <w:rFonts w:ascii="Arial Narrow" w:hAnsi="Arial Narrow"/>
                <w:lang w:val="es-ES_tradnl"/>
              </w:rPr>
            </w:pPr>
            <w:proofErr w:type="spellStart"/>
            <w:r w:rsidRPr="00DA2C07">
              <w:rPr>
                <w:rFonts w:ascii="Arial Narrow" w:hAnsi="Arial Narrow"/>
                <w:lang w:val="es-ES_tradnl"/>
              </w:rPr>
              <w:t>Fundação</w:t>
            </w:r>
            <w:proofErr w:type="spellEnd"/>
            <w:r w:rsidRPr="00DA2C07">
              <w:rPr>
                <w:rFonts w:ascii="Arial Narrow" w:hAnsi="Arial Narrow"/>
                <w:lang w:val="es-ES_tradnl"/>
              </w:rPr>
              <w:t xml:space="preserve"> CPQD - Centro de Pesquisa e </w:t>
            </w:r>
            <w:proofErr w:type="spellStart"/>
            <w:r w:rsidRPr="00DA2C07">
              <w:rPr>
                <w:rFonts w:ascii="Arial Narrow" w:hAnsi="Arial Narrow"/>
                <w:lang w:val="es-ES_tradnl"/>
              </w:rPr>
              <w:t>Desenvolvimento</w:t>
            </w:r>
            <w:proofErr w:type="spellEnd"/>
            <w:r w:rsidRPr="00DA2C07">
              <w:rPr>
                <w:rFonts w:ascii="Arial Narrow" w:hAnsi="Arial Narrow"/>
                <w:lang w:val="es-ES_tradnl"/>
              </w:rPr>
              <w:t xml:space="preserve"> </w:t>
            </w:r>
            <w:proofErr w:type="spellStart"/>
            <w:r w:rsidRPr="00DA2C07">
              <w:rPr>
                <w:rFonts w:ascii="Arial Narrow" w:hAnsi="Arial Narrow"/>
                <w:lang w:val="es-ES_tradnl"/>
              </w:rPr>
              <w:t>em</w:t>
            </w:r>
            <w:proofErr w:type="spellEnd"/>
            <w:r w:rsidRPr="00DA2C07">
              <w:rPr>
                <w:rFonts w:ascii="Arial Narrow" w:hAnsi="Arial Narrow"/>
                <w:lang w:val="es-ES_tradnl"/>
              </w:rPr>
              <w:t xml:space="preserve"> </w:t>
            </w:r>
            <w:proofErr w:type="spellStart"/>
            <w:r w:rsidRPr="00DA2C07">
              <w:rPr>
                <w:rFonts w:ascii="Arial Narrow" w:hAnsi="Arial Narrow"/>
                <w:lang w:val="es-ES_tradnl"/>
              </w:rPr>
              <w:t>Telecomunicações</w:t>
            </w:r>
            <w:proofErr w:type="spellEnd"/>
          </w:p>
        </w:tc>
        <w:tc>
          <w:tcPr>
            <w:tcW w:w="1101"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592</w:t>
            </w:r>
          </w:p>
        </w:tc>
        <w:tc>
          <w:tcPr>
            <w:tcW w:w="0" w:type="auto"/>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5.37%</w:t>
            </w:r>
          </w:p>
        </w:tc>
        <w:tc>
          <w:tcPr>
            <w:tcW w:w="1012"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1</w:t>
            </w:r>
          </w:p>
        </w:tc>
        <w:tc>
          <w:tcPr>
            <w:tcW w:w="2214"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Scientific research and development</w:t>
            </w:r>
          </w:p>
        </w:tc>
      </w:tr>
      <w:tr w:rsidR="00B000C0" w:rsidRPr="00573DEB" w:rsidTr="004B4B73">
        <w:trPr>
          <w:trHeight w:val="273"/>
        </w:trPr>
        <w:tc>
          <w:tcPr>
            <w:tcW w:w="3406" w:type="dxa"/>
            <w:tcBorders>
              <w:top w:val="nil"/>
              <w:left w:val="single" w:sz="4" w:space="0" w:color="auto"/>
              <w:bottom w:val="single" w:sz="4" w:space="0" w:color="auto"/>
              <w:right w:val="single" w:sz="4" w:space="0" w:color="auto"/>
            </w:tcBorders>
            <w:vAlign w:val="center"/>
          </w:tcPr>
          <w:p w:rsidR="00B000C0" w:rsidRPr="00DA2C07" w:rsidRDefault="00B000C0" w:rsidP="0022486F">
            <w:pPr>
              <w:keepNext/>
              <w:rPr>
                <w:rFonts w:ascii="Arial Narrow" w:hAnsi="Arial Narrow"/>
                <w:lang w:val="es-ES_tradnl"/>
              </w:rPr>
            </w:pPr>
            <w:proofErr w:type="spellStart"/>
            <w:r w:rsidRPr="00DA2C07">
              <w:rPr>
                <w:rFonts w:ascii="Arial Narrow" w:hAnsi="Arial Narrow"/>
                <w:lang w:val="es-ES_tradnl"/>
              </w:rPr>
              <w:t>Universidade</w:t>
            </w:r>
            <w:proofErr w:type="spellEnd"/>
            <w:r w:rsidRPr="00DA2C07">
              <w:rPr>
                <w:rFonts w:ascii="Arial Narrow" w:hAnsi="Arial Narrow"/>
                <w:lang w:val="es-ES_tradnl"/>
              </w:rPr>
              <w:t xml:space="preserve"> Estadual de </w:t>
            </w:r>
            <w:proofErr w:type="spellStart"/>
            <w:r w:rsidRPr="00DA2C07">
              <w:rPr>
                <w:rFonts w:ascii="Arial Narrow" w:hAnsi="Arial Narrow"/>
                <w:lang w:val="es-ES_tradnl"/>
              </w:rPr>
              <w:t>Campinas</w:t>
            </w:r>
            <w:proofErr w:type="spellEnd"/>
            <w:r w:rsidRPr="00DA2C07">
              <w:rPr>
                <w:rFonts w:ascii="Arial Narrow" w:hAnsi="Arial Narrow"/>
                <w:lang w:val="es-ES_tradnl"/>
              </w:rPr>
              <w:t xml:space="preserve"> - UNICAMP</w:t>
            </w:r>
          </w:p>
        </w:tc>
        <w:tc>
          <w:tcPr>
            <w:tcW w:w="1101"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90</w:t>
            </w:r>
          </w:p>
        </w:tc>
        <w:tc>
          <w:tcPr>
            <w:tcW w:w="0" w:type="auto"/>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0.82%</w:t>
            </w:r>
          </w:p>
        </w:tc>
        <w:tc>
          <w:tcPr>
            <w:tcW w:w="1012"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4</w:t>
            </w:r>
          </w:p>
        </w:tc>
        <w:tc>
          <w:tcPr>
            <w:tcW w:w="2214"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Education</w:t>
            </w:r>
          </w:p>
        </w:tc>
      </w:tr>
      <w:tr w:rsidR="00B000C0" w:rsidRPr="00573DEB" w:rsidTr="004B4B73">
        <w:trPr>
          <w:trHeight w:val="405"/>
        </w:trPr>
        <w:tc>
          <w:tcPr>
            <w:tcW w:w="3406" w:type="dxa"/>
            <w:tcBorders>
              <w:top w:val="nil"/>
              <w:left w:val="single" w:sz="4" w:space="0" w:color="auto"/>
              <w:bottom w:val="single" w:sz="4" w:space="0" w:color="auto"/>
              <w:right w:val="single" w:sz="4" w:space="0" w:color="auto"/>
            </w:tcBorders>
            <w:vAlign w:val="center"/>
          </w:tcPr>
          <w:p w:rsidR="00B000C0" w:rsidRPr="00573DEB" w:rsidRDefault="00B000C0" w:rsidP="0022486F">
            <w:pPr>
              <w:keepNext/>
              <w:rPr>
                <w:rFonts w:ascii="Arial Narrow" w:hAnsi="Arial Narrow"/>
              </w:rPr>
            </w:pPr>
            <w:proofErr w:type="spellStart"/>
            <w:r w:rsidRPr="00573DEB">
              <w:rPr>
                <w:rFonts w:ascii="Arial Narrow" w:hAnsi="Arial Narrow"/>
              </w:rPr>
              <w:t>Energisa</w:t>
            </w:r>
            <w:proofErr w:type="spellEnd"/>
            <w:r w:rsidRPr="00573DEB">
              <w:rPr>
                <w:rFonts w:ascii="Arial Narrow" w:hAnsi="Arial Narrow"/>
              </w:rPr>
              <w:t xml:space="preserve"> S.A.</w:t>
            </w:r>
          </w:p>
        </w:tc>
        <w:tc>
          <w:tcPr>
            <w:tcW w:w="1101"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83</w:t>
            </w:r>
          </w:p>
        </w:tc>
        <w:tc>
          <w:tcPr>
            <w:tcW w:w="0" w:type="auto"/>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0.75%</w:t>
            </w:r>
          </w:p>
        </w:tc>
        <w:tc>
          <w:tcPr>
            <w:tcW w:w="1012"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 </w:t>
            </w:r>
          </w:p>
        </w:tc>
        <w:tc>
          <w:tcPr>
            <w:tcW w:w="2214"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Financial service activities, except insurance and pension funding</w:t>
            </w:r>
          </w:p>
        </w:tc>
      </w:tr>
      <w:tr w:rsidR="00B000C0" w:rsidRPr="00573DEB" w:rsidTr="004B4B73">
        <w:trPr>
          <w:trHeight w:val="313"/>
        </w:trPr>
        <w:tc>
          <w:tcPr>
            <w:tcW w:w="3406" w:type="dxa"/>
            <w:tcBorders>
              <w:top w:val="nil"/>
              <w:left w:val="single" w:sz="4" w:space="0" w:color="auto"/>
              <w:bottom w:val="single" w:sz="4" w:space="0" w:color="auto"/>
              <w:right w:val="single" w:sz="4" w:space="0" w:color="auto"/>
            </w:tcBorders>
            <w:vAlign w:val="center"/>
          </w:tcPr>
          <w:p w:rsidR="00B000C0" w:rsidRPr="00DA2C07" w:rsidRDefault="00B000C0" w:rsidP="0022486F">
            <w:pPr>
              <w:keepNext/>
              <w:rPr>
                <w:rFonts w:ascii="Arial Narrow" w:hAnsi="Arial Narrow"/>
                <w:lang w:val="es-ES_tradnl"/>
              </w:rPr>
            </w:pPr>
            <w:r w:rsidRPr="00DA2C07">
              <w:rPr>
                <w:rFonts w:ascii="Arial Narrow" w:hAnsi="Arial Narrow"/>
                <w:lang w:val="es-ES_tradnl"/>
              </w:rPr>
              <w:t>Petróleo Brasileiro S.A</w:t>
            </w:r>
            <w:r w:rsidR="004B4B73" w:rsidRPr="00DA2C07">
              <w:rPr>
                <w:rFonts w:ascii="Arial Narrow" w:hAnsi="Arial Narrow"/>
                <w:lang w:val="es-ES_tradnl"/>
              </w:rPr>
              <w:t xml:space="preserve">.  </w:t>
            </w:r>
            <w:r w:rsidRPr="00DA2C07">
              <w:rPr>
                <w:rFonts w:ascii="Arial Narrow" w:hAnsi="Arial Narrow"/>
                <w:lang w:val="es-ES_tradnl"/>
              </w:rPr>
              <w:t>- Petrobras</w:t>
            </w:r>
          </w:p>
        </w:tc>
        <w:tc>
          <w:tcPr>
            <w:tcW w:w="1101"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62</w:t>
            </w:r>
          </w:p>
        </w:tc>
        <w:tc>
          <w:tcPr>
            <w:tcW w:w="0" w:type="auto"/>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0.56%</w:t>
            </w:r>
          </w:p>
        </w:tc>
        <w:tc>
          <w:tcPr>
            <w:tcW w:w="1012"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 </w:t>
            </w:r>
          </w:p>
        </w:tc>
        <w:tc>
          <w:tcPr>
            <w:tcW w:w="2214"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Manufacture of coke and refined petroleum products</w:t>
            </w:r>
          </w:p>
        </w:tc>
      </w:tr>
      <w:tr w:rsidR="00B000C0" w:rsidRPr="00573DEB" w:rsidTr="004B4B73">
        <w:trPr>
          <w:trHeight w:val="303"/>
        </w:trPr>
        <w:tc>
          <w:tcPr>
            <w:tcW w:w="3406" w:type="dxa"/>
            <w:tcBorders>
              <w:top w:val="nil"/>
              <w:left w:val="single" w:sz="4" w:space="0" w:color="auto"/>
              <w:bottom w:val="single" w:sz="4" w:space="0" w:color="auto"/>
              <w:right w:val="single" w:sz="4" w:space="0" w:color="auto"/>
            </w:tcBorders>
            <w:vAlign w:val="center"/>
          </w:tcPr>
          <w:p w:rsidR="00B000C0" w:rsidRPr="00DA2C07" w:rsidRDefault="00B000C0" w:rsidP="0022486F">
            <w:pPr>
              <w:keepNext/>
              <w:rPr>
                <w:rFonts w:ascii="Arial Narrow" w:hAnsi="Arial Narrow"/>
                <w:lang w:val="es-ES_tradnl"/>
              </w:rPr>
            </w:pPr>
            <w:proofErr w:type="spellStart"/>
            <w:r w:rsidRPr="00DA2C07">
              <w:rPr>
                <w:rFonts w:ascii="Arial Narrow" w:hAnsi="Arial Narrow"/>
                <w:lang w:val="es-ES_tradnl"/>
              </w:rPr>
              <w:t>Universidade</w:t>
            </w:r>
            <w:proofErr w:type="spellEnd"/>
            <w:r w:rsidRPr="00DA2C07">
              <w:rPr>
                <w:rFonts w:ascii="Arial Narrow" w:hAnsi="Arial Narrow"/>
                <w:lang w:val="es-ES_tradnl"/>
              </w:rPr>
              <w:t xml:space="preserve"> Federal de Santa Catarina - UFSC</w:t>
            </w:r>
          </w:p>
        </w:tc>
        <w:tc>
          <w:tcPr>
            <w:tcW w:w="1101"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42</w:t>
            </w:r>
          </w:p>
        </w:tc>
        <w:tc>
          <w:tcPr>
            <w:tcW w:w="0" w:type="auto"/>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0.38%</w:t>
            </w:r>
          </w:p>
        </w:tc>
        <w:tc>
          <w:tcPr>
            <w:tcW w:w="1012"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1</w:t>
            </w:r>
          </w:p>
        </w:tc>
        <w:tc>
          <w:tcPr>
            <w:tcW w:w="2214"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Education</w:t>
            </w:r>
          </w:p>
        </w:tc>
      </w:tr>
      <w:tr w:rsidR="00B000C0" w:rsidRPr="00573DEB" w:rsidTr="004B4B73">
        <w:trPr>
          <w:trHeight w:val="450"/>
        </w:trPr>
        <w:tc>
          <w:tcPr>
            <w:tcW w:w="3406" w:type="dxa"/>
            <w:tcBorders>
              <w:top w:val="nil"/>
              <w:left w:val="single" w:sz="4" w:space="0" w:color="auto"/>
              <w:bottom w:val="single" w:sz="4" w:space="0" w:color="auto"/>
              <w:right w:val="single" w:sz="4" w:space="0" w:color="auto"/>
            </w:tcBorders>
            <w:vAlign w:val="center"/>
          </w:tcPr>
          <w:p w:rsidR="00B000C0" w:rsidRPr="00573DEB" w:rsidRDefault="00B000C0" w:rsidP="0022486F">
            <w:pPr>
              <w:keepNext/>
              <w:rPr>
                <w:rFonts w:ascii="Arial Narrow" w:hAnsi="Arial Narrow"/>
              </w:rPr>
            </w:pPr>
            <w:proofErr w:type="spellStart"/>
            <w:r w:rsidRPr="00573DEB">
              <w:rPr>
                <w:rFonts w:ascii="Arial Narrow" w:hAnsi="Arial Narrow"/>
              </w:rPr>
              <w:t>Tecnet</w:t>
            </w:r>
            <w:proofErr w:type="spellEnd"/>
            <w:r w:rsidRPr="00573DEB">
              <w:rPr>
                <w:rFonts w:ascii="Arial Narrow" w:hAnsi="Arial Narrow"/>
              </w:rPr>
              <w:t xml:space="preserve"> </w:t>
            </w:r>
            <w:proofErr w:type="spellStart"/>
            <w:r w:rsidRPr="00573DEB">
              <w:rPr>
                <w:rFonts w:ascii="Arial Narrow" w:hAnsi="Arial Narrow"/>
              </w:rPr>
              <w:t>Teleinformática</w:t>
            </w:r>
            <w:proofErr w:type="spellEnd"/>
            <w:r w:rsidRPr="00573DEB">
              <w:rPr>
                <w:rFonts w:ascii="Arial Narrow" w:hAnsi="Arial Narrow"/>
              </w:rPr>
              <w:t xml:space="preserve"> Ltda.</w:t>
            </w:r>
          </w:p>
        </w:tc>
        <w:tc>
          <w:tcPr>
            <w:tcW w:w="1101"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40</w:t>
            </w:r>
          </w:p>
        </w:tc>
        <w:tc>
          <w:tcPr>
            <w:tcW w:w="0" w:type="auto"/>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0.36%</w:t>
            </w:r>
          </w:p>
        </w:tc>
        <w:tc>
          <w:tcPr>
            <w:tcW w:w="1012"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 </w:t>
            </w:r>
          </w:p>
        </w:tc>
        <w:tc>
          <w:tcPr>
            <w:tcW w:w="2214"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Manufacture of computer, electronic and optical products</w:t>
            </w:r>
          </w:p>
        </w:tc>
      </w:tr>
      <w:tr w:rsidR="00B000C0" w:rsidRPr="00573DEB" w:rsidTr="004B4B73">
        <w:trPr>
          <w:trHeight w:val="244"/>
        </w:trPr>
        <w:tc>
          <w:tcPr>
            <w:tcW w:w="3406" w:type="dxa"/>
            <w:tcBorders>
              <w:top w:val="nil"/>
              <w:left w:val="single" w:sz="4" w:space="0" w:color="auto"/>
              <w:bottom w:val="single" w:sz="4" w:space="0" w:color="auto"/>
              <w:right w:val="single" w:sz="4" w:space="0" w:color="auto"/>
            </w:tcBorders>
            <w:vAlign w:val="center"/>
          </w:tcPr>
          <w:p w:rsidR="00B000C0" w:rsidRPr="00DA2C07" w:rsidRDefault="00B000C0" w:rsidP="0022486F">
            <w:pPr>
              <w:keepNext/>
              <w:rPr>
                <w:rFonts w:ascii="Arial Narrow" w:hAnsi="Arial Narrow"/>
                <w:lang w:val="es-ES_tradnl"/>
              </w:rPr>
            </w:pPr>
            <w:proofErr w:type="spellStart"/>
            <w:r w:rsidRPr="00DA2C07">
              <w:rPr>
                <w:rFonts w:ascii="Arial Narrow" w:hAnsi="Arial Narrow"/>
                <w:lang w:val="es-ES_tradnl"/>
              </w:rPr>
              <w:t>Universidade</w:t>
            </w:r>
            <w:proofErr w:type="spellEnd"/>
            <w:r w:rsidRPr="00DA2C07">
              <w:rPr>
                <w:rFonts w:ascii="Arial Narrow" w:hAnsi="Arial Narrow"/>
                <w:lang w:val="es-ES_tradnl"/>
              </w:rPr>
              <w:t xml:space="preserve"> Estadual Paulista </w:t>
            </w:r>
            <w:proofErr w:type="spellStart"/>
            <w:r w:rsidRPr="00DA2C07">
              <w:rPr>
                <w:rFonts w:ascii="Arial Narrow" w:hAnsi="Arial Narrow"/>
                <w:lang w:val="es-ES_tradnl"/>
              </w:rPr>
              <w:t>Júlio</w:t>
            </w:r>
            <w:proofErr w:type="spellEnd"/>
            <w:r w:rsidRPr="00DA2C07">
              <w:rPr>
                <w:rFonts w:ascii="Arial Narrow" w:hAnsi="Arial Narrow"/>
                <w:lang w:val="es-ES_tradnl"/>
              </w:rPr>
              <w:t xml:space="preserve"> de </w:t>
            </w:r>
            <w:proofErr w:type="spellStart"/>
            <w:r w:rsidRPr="00DA2C07">
              <w:rPr>
                <w:rFonts w:ascii="Arial Narrow" w:hAnsi="Arial Narrow"/>
                <w:lang w:val="es-ES_tradnl"/>
              </w:rPr>
              <w:t>Mesquita</w:t>
            </w:r>
            <w:proofErr w:type="spellEnd"/>
            <w:r w:rsidRPr="00DA2C07">
              <w:rPr>
                <w:rFonts w:ascii="Arial Narrow" w:hAnsi="Arial Narrow"/>
                <w:lang w:val="es-ES_tradnl"/>
              </w:rPr>
              <w:t xml:space="preserve"> </w:t>
            </w:r>
            <w:proofErr w:type="spellStart"/>
            <w:r w:rsidRPr="00DA2C07">
              <w:rPr>
                <w:rFonts w:ascii="Arial Narrow" w:hAnsi="Arial Narrow"/>
                <w:lang w:val="es-ES_tradnl"/>
              </w:rPr>
              <w:t>Filho</w:t>
            </w:r>
            <w:proofErr w:type="spellEnd"/>
            <w:r w:rsidRPr="00DA2C07">
              <w:rPr>
                <w:rFonts w:ascii="Arial Narrow" w:hAnsi="Arial Narrow"/>
                <w:lang w:val="es-ES_tradnl"/>
              </w:rPr>
              <w:t xml:space="preserve"> - UNESP</w:t>
            </w:r>
          </w:p>
        </w:tc>
        <w:tc>
          <w:tcPr>
            <w:tcW w:w="1101"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40</w:t>
            </w:r>
          </w:p>
        </w:tc>
        <w:tc>
          <w:tcPr>
            <w:tcW w:w="0" w:type="auto"/>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0.36%</w:t>
            </w:r>
          </w:p>
        </w:tc>
        <w:tc>
          <w:tcPr>
            <w:tcW w:w="1012"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8</w:t>
            </w:r>
          </w:p>
        </w:tc>
        <w:tc>
          <w:tcPr>
            <w:tcW w:w="2214"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Education</w:t>
            </w:r>
          </w:p>
        </w:tc>
      </w:tr>
      <w:tr w:rsidR="00B000C0" w:rsidRPr="00573DEB" w:rsidTr="004B4B73">
        <w:trPr>
          <w:trHeight w:val="275"/>
        </w:trPr>
        <w:tc>
          <w:tcPr>
            <w:tcW w:w="3406" w:type="dxa"/>
            <w:tcBorders>
              <w:top w:val="nil"/>
              <w:left w:val="single" w:sz="4" w:space="0" w:color="auto"/>
              <w:bottom w:val="single" w:sz="4" w:space="0" w:color="auto"/>
              <w:right w:val="single" w:sz="4" w:space="0" w:color="auto"/>
            </w:tcBorders>
            <w:vAlign w:val="center"/>
          </w:tcPr>
          <w:p w:rsidR="00B000C0" w:rsidRPr="00DA2C07" w:rsidRDefault="00B000C0" w:rsidP="0022486F">
            <w:pPr>
              <w:keepNext/>
              <w:rPr>
                <w:rFonts w:ascii="Arial Narrow" w:hAnsi="Arial Narrow"/>
                <w:lang w:val="es-ES_tradnl"/>
              </w:rPr>
            </w:pPr>
            <w:proofErr w:type="spellStart"/>
            <w:r w:rsidRPr="00DA2C07">
              <w:rPr>
                <w:rFonts w:ascii="Arial Narrow" w:hAnsi="Arial Narrow"/>
                <w:lang w:val="es-ES_tradnl"/>
              </w:rPr>
              <w:t>Universidade</w:t>
            </w:r>
            <w:proofErr w:type="spellEnd"/>
            <w:r w:rsidRPr="00DA2C07">
              <w:rPr>
                <w:rFonts w:ascii="Arial Narrow" w:hAnsi="Arial Narrow"/>
                <w:lang w:val="es-ES_tradnl"/>
              </w:rPr>
              <w:t xml:space="preserve"> de São Paulo - USP</w:t>
            </w:r>
          </w:p>
        </w:tc>
        <w:tc>
          <w:tcPr>
            <w:tcW w:w="1101"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38</w:t>
            </w:r>
          </w:p>
        </w:tc>
        <w:tc>
          <w:tcPr>
            <w:tcW w:w="0" w:type="auto"/>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0.34%</w:t>
            </w:r>
          </w:p>
        </w:tc>
        <w:tc>
          <w:tcPr>
            <w:tcW w:w="1012"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8</w:t>
            </w:r>
          </w:p>
        </w:tc>
        <w:tc>
          <w:tcPr>
            <w:tcW w:w="2214"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Education</w:t>
            </w:r>
          </w:p>
        </w:tc>
      </w:tr>
      <w:tr w:rsidR="00B000C0" w:rsidRPr="00573DEB" w:rsidTr="004B4B73">
        <w:trPr>
          <w:trHeight w:val="450"/>
        </w:trPr>
        <w:tc>
          <w:tcPr>
            <w:tcW w:w="3406" w:type="dxa"/>
            <w:tcBorders>
              <w:top w:val="nil"/>
              <w:left w:val="single" w:sz="4" w:space="0" w:color="auto"/>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 xml:space="preserve">Ismael </w:t>
            </w:r>
            <w:proofErr w:type="spellStart"/>
            <w:r w:rsidRPr="00573DEB">
              <w:rPr>
                <w:rFonts w:ascii="Arial Narrow" w:hAnsi="Arial Narrow"/>
              </w:rPr>
              <w:t>Felicio</w:t>
            </w:r>
            <w:proofErr w:type="spellEnd"/>
            <w:r w:rsidRPr="00573DEB">
              <w:rPr>
                <w:rFonts w:ascii="Arial Narrow" w:hAnsi="Arial Narrow"/>
              </w:rPr>
              <w:t xml:space="preserve"> de Toledo</w:t>
            </w:r>
          </w:p>
        </w:tc>
        <w:tc>
          <w:tcPr>
            <w:tcW w:w="1101"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37</w:t>
            </w:r>
          </w:p>
        </w:tc>
        <w:tc>
          <w:tcPr>
            <w:tcW w:w="0" w:type="auto"/>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0.34%</w:t>
            </w:r>
          </w:p>
        </w:tc>
        <w:tc>
          <w:tcPr>
            <w:tcW w:w="1012"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 </w:t>
            </w:r>
          </w:p>
        </w:tc>
        <w:tc>
          <w:tcPr>
            <w:tcW w:w="2214"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Manufacture of computer, electronic and optical products</w:t>
            </w:r>
          </w:p>
        </w:tc>
      </w:tr>
      <w:tr w:rsidR="00B000C0" w:rsidRPr="00573DEB" w:rsidTr="004B4B73">
        <w:trPr>
          <w:trHeight w:val="300"/>
        </w:trPr>
        <w:tc>
          <w:tcPr>
            <w:tcW w:w="3406" w:type="dxa"/>
            <w:tcBorders>
              <w:top w:val="nil"/>
              <w:left w:val="single" w:sz="4" w:space="0" w:color="auto"/>
              <w:bottom w:val="single" w:sz="4" w:space="0" w:color="auto"/>
              <w:right w:val="single" w:sz="4" w:space="0" w:color="auto"/>
            </w:tcBorders>
            <w:vAlign w:val="center"/>
          </w:tcPr>
          <w:p w:rsidR="00B000C0" w:rsidRPr="00DA2C07" w:rsidRDefault="00B000C0" w:rsidP="0022486F">
            <w:pPr>
              <w:keepNext/>
              <w:rPr>
                <w:rFonts w:ascii="Arial Narrow" w:hAnsi="Arial Narrow"/>
                <w:lang w:val="es-ES_tradnl"/>
              </w:rPr>
            </w:pPr>
            <w:r w:rsidRPr="00DA2C07">
              <w:rPr>
                <w:rFonts w:ascii="Arial Narrow" w:hAnsi="Arial Narrow"/>
                <w:lang w:val="es-ES_tradnl"/>
              </w:rPr>
              <w:t xml:space="preserve">Empresa Brasileira de Pesquisa </w:t>
            </w:r>
            <w:proofErr w:type="spellStart"/>
            <w:r w:rsidRPr="00DA2C07">
              <w:rPr>
                <w:rFonts w:ascii="Arial Narrow" w:hAnsi="Arial Narrow"/>
                <w:lang w:val="es-ES_tradnl"/>
              </w:rPr>
              <w:t>Agropecuária</w:t>
            </w:r>
            <w:proofErr w:type="spellEnd"/>
            <w:r w:rsidRPr="00DA2C07">
              <w:rPr>
                <w:rFonts w:ascii="Arial Narrow" w:hAnsi="Arial Narrow"/>
                <w:lang w:val="es-ES_tradnl"/>
              </w:rPr>
              <w:t xml:space="preserve"> - EMBRAPA</w:t>
            </w:r>
          </w:p>
        </w:tc>
        <w:tc>
          <w:tcPr>
            <w:tcW w:w="1101"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33</w:t>
            </w:r>
          </w:p>
        </w:tc>
        <w:tc>
          <w:tcPr>
            <w:tcW w:w="0" w:type="auto"/>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0.30%</w:t>
            </w:r>
          </w:p>
        </w:tc>
        <w:tc>
          <w:tcPr>
            <w:tcW w:w="1012"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3</w:t>
            </w:r>
          </w:p>
        </w:tc>
        <w:tc>
          <w:tcPr>
            <w:tcW w:w="2214"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Scientific research and development</w:t>
            </w:r>
          </w:p>
        </w:tc>
      </w:tr>
      <w:tr w:rsidR="00B000C0" w:rsidRPr="00573DEB" w:rsidTr="004B4B73">
        <w:trPr>
          <w:trHeight w:val="300"/>
        </w:trPr>
        <w:tc>
          <w:tcPr>
            <w:tcW w:w="3406" w:type="dxa"/>
            <w:tcBorders>
              <w:top w:val="nil"/>
              <w:left w:val="single" w:sz="4" w:space="0" w:color="auto"/>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Top 10 - Total</w:t>
            </w:r>
          </w:p>
        </w:tc>
        <w:tc>
          <w:tcPr>
            <w:tcW w:w="1101"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1,057</w:t>
            </w:r>
          </w:p>
        </w:tc>
        <w:tc>
          <w:tcPr>
            <w:tcW w:w="0" w:type="auto"/>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9.58%</w:t>
            </w:r>
          </w:p>
        </w:tc>
        <w:tc>
          <w:tcPr>
            <w:tcW w:w="1012"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25</w:t>
            </w:r>
          </w:p>
        </w:tc>
        <w:tc>
          <w:tcPr>
            <w:tcW w:w="2214"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w:t>
            </w:r>
          </w:p>
        </w:tc>
      </w:tr>
      <w:tr w:rsidR="00B000C0" w:rsidRPr="00573DEB" w:rsidTr="004B4B73">
        <w:trPr>
          <w:trHeight w:val="300"/>
        </w:trPr>
        <w:tc>
          <w:tcPr>
            <w:tcW w:w="3406" w:type="dxa"/>
            <w:tcBorders>
              <w:top w:val="nil"/>
              <w:left w:val="single" w:sz="4" w:space="0" w:color="auto"/>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Total</w:t>
            </w:r>
          </w:p>
        </w:tc>
        <w:tc>
          <w:tcPr>
            <w:tcW w:w="1101"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11,034</w:t>
            </w:r>
          </w:p>
        </w:tc>
        <w:tc>
          <w:tcPr>
            <w:tcW w:w="0" w:type="auto"/>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100.00%</w:t>
            </w:r>
          </w:p>
        </w:tc>
        <w:tc>
          <w:tcPr>
            <w:tcW w:w="1012"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w:t>
            </w:r>
          </w:p>
        </w:tc>
        <w:tc>
          <w:tcPr>
            <w:tcW w:w="2214" w:type="dxa"/>
            <w:tcBorders>
              <w:top w:val="nil"/>
              <w:left w:val="nil"/>
              <w:bottom w:val="single" w:sz="4" w:space="0" w:color="auto"/>
              <w:right w:val="single" w:sz="4" w:space="0" w:color="auto"/>
            </w:tcBorders>
            <w:vAlign w:val="center"/>
          </w:tcPr>
          <w:p w:rsidR="00B000C0" w:rsidRPr="00573DEB" w:rsidRDefault="00B000C0" w:rsidP="0022486F">
            <w:pPr>
              <w:keepNext/>
              <w:rPr>
                <w:rFonts w:ascii="Arial Narrow" w:hAnsi="Arial Narrow"/>
              </w:rPr>
            </w:pPr>
            <w:r w:rsidRPr="00573DEB">
              <w:rPr>
                <w:rFonts w:ascii="Arial Narrow" w:hAnsi="Arial Narrow"/>
              </w:rPr>
              <w:t>-</w:t>
            </w:r>
          </w:p>
        </w:tc>
      </w:tr>
    </w:tbl>
    <w:p w:rsidR="00B000C0" w:rsidRPr="00232587" w:rsidRDefault="00B000C0" w:rsidP="0012162D">
      <w:pPr>
        <w:pStyle w:val="Captionnotes"/>
        <w:rPr>
          <w:i w:val="0"/>
        </w:rPr>
      </w:pPr>
      <w:r w:rsidRPr="00232587">
        <w:rPr>
          <w:i w:val="0"/>
        </w:rPr>
        <w:t xml:space="preserve">Source: </w:t>
      </w:r>
      <w:r w:rsidR="00232587" w:rsidRPr="00232587">
        <w:rPr>
          <w:i w:val="0"/>
        </w:rPr>
        <w:t xml:space="preserve"> </w:t>
      </w:r>
      <w:r w:rsidRPr="00232587">
        <w:rPr>
          <w:i w:val="0"/>
        </w:rPr>
        <w:t>INPI’s Statistical database (BADEPI, April 2013)</w:t>
      </w:r>
    </w:p>
    <w:p w:rsidR="00B000C0" w:rsidRPr="00573DEB" w:rsidRDefault="00B000C0" w:rsidP="004B4B73"/>
    <w:p w:rsidR="0012162D" w:rsidRPr="00573DEB" w:rsidRDefault="0012162D" w:rsidP="004B4B73"/>
    <w:p w:rsidR="0012162D" w:rsidRPr="00573DEB" w:rsidRDefault="0012162D">
      <w:pPr>
        <w:widowControl/>
        <w:spacing w:after="200" w:line="276" w:lineRule="auto"/>
      </w:pPr>
      <w:r w:rsidRPr="00573DEB">
        <w:br w:type="page"/>
      </w:r>
    </w:p>
    <w:p w:rsidR="0012162D" w:rsidRPr="00573DEB" w:rsidRDefault="0012162D" w:rsidP="004B4B73"/>
    <w:p w:rsidR="00B000C0" w:rsidRPr="00573DEB" w:rsidRDefault="00373191" w:rsidP="004B4B73">
      <w:pPr>
        <w:pStyle w:val="Heading1"/>
      </w:pPr>
      <w:bookmarkStart w:id="207" w:name="_Toc373369861"/>
      <w:bookmarkStart w:id="208" w:name="_Toc383414453"/>
      <w:bookmarkStart w:id="209" w:name="_Toc388619958"/>
      <w:r>
        <w:t>10</w:t>
      </w:r>
      <w:r>
        <w:tab/>
      </w:r>
      <w:r w:rsidR="00B000C0" w:rsidRPr="00573DEB">
        <w:t>Conclusions</w:t>
      </w:r>
      <w:bookmarkEnd w:id="207"/>
      <w:bookmarkEnd w:id="208"/>
      <w:bookmarkEnd w:id="209"/>
    </w:p>
    <w:p w:rsidR="00B000C0" w:rsidRPr="00573DEB" w:rsidRDefault="00B000C0" w:rsidP="004B4B73"/>
    <w:p w:rsidR="00B000C0" w:rsidRPr="00573DEB" w:rsidRDefault="00B000C0" w:rsidP="004B4B73">
      <w:r w:rsidRPr="00573DEB">
        <w:t>The findings in this report point to a future agenda for the development of BADEPI and of studies to explore the available statistics.</w:t>
      </w:r>
    </w:p>
    <w:p w:rsidR="0012162D" w:rsidRPr="00573DEB" w:rsidRDefault="0012162D" w:rsidP="004B4B73"/>
    <w:p w:rsidR="00B000C0" w:rsidRPr="00573DEB" w:rsidRDefault="00B000C0" w:rsidP="004B4B73">
      <w:r w:rsidRPr="00573DEB">
        <w:t xml:space="preserve">Since the conceptual model initially developed </w:t>
      </w:r>
      <w:r w:rsidRPr="00573DEB">
        <w:softHyphen/>
        <w:t>– which accessed the information directly from the database – does not allow that updates be made without losing the corrections on the data format, a new conceptual model was conceived</w:t>
      </w:r>
      <w:r w:rsidR="004B4B73" w:rsidRPr="00573DEB">
        <w:t xml:space="preserve">.  </w:t>
      </w:r>
      <w:r w:rsidRPr="00573DEB">
        <w:t>It involves the creation of an intermediate base from the production base of the INPI, facilitating the update of the data</w:t>
      </w:r>
      <w:r w:rsidR="004B4B73" w:rsidRPr="00573DEB">
        <w:t xml:space="preserve">.  </w:t>
      </w:r>
      <w:r w:rsidRPr="00573DEB">
        <w:t>In this new model, the future updates of the Annual statistical report will be improved and will maintain the corrections of the inconsistencies detected in the raw data.</w:t>
      </w:r>
    </w:p>
    <w:p w:rsidR="0012162D" w:rsidRPr="00573DEB" w:rsidRDefault="0012162D" w:rsidP="004B4B73"/>
    <w:p w:rsidR="00B000C0" w:rsidRPr="00573DEB" w:rsidRDefault="00B000C0" w:rsidP="004B4B73">
      <w:r w:rsidRPr="00573DEB">
        <w:t>Better understanding the use of the intellectual property system in Brazil is important both to the INPI and to the various economic agents and policymakers</w:t>
      </w:r>
      <w:r w:rsidR="004B4B73" w:rsidRPr="00573DEB">
        <w:t xml:space="preserve">.  </w:t>
      </w:r>
      <w:r w:rsidRPr="00573DEB">
        <w:t xml:space="preserve">Thus, BADEPI provides relevant developments, such as: </w:t>
      </w:r>
    </w:p>
    <w:p w:rsidR="0012162D" w:rsidRPr="00573DEB" w:rsidRDefault="0012162D" w:rsidP="004B4B73"/>
    <w:p w:rsidR="00B000C0" w:rsidRPr="00573DEB" w:rsidRDefault="00B000C0" w:rsidP="00373191">
      <w:pPr>
        <w:pStyle w:val="ListParagraph"/>
        <w:numPr>
          <w:ilvl w:val="0"/>
          <w:numId w:val="22"/>
        </w:numPr>
        <w:ind w:left="567" w:hanging="567"/>
      </w:pPr>
      <w:r w:rsidRPr="00573DEB">
        <w:t>creation of a unique applicant identifier that facilitates the visualization of market strategies that involve the combined use of different IP rights, also known as "IP bundle”,</w:t>
      </w:r>
    </w:p>
    <w:p w:rsidR="0012162D" w:rsidRPr="00573DEB" w:rsidRDefault="0012162D" w:rsidP="00373191">
      <w:pPr>
        <w:ind w:left="567" w:hanging="567"/>
      </w:pPr>
    </w:p>
    <w:p w:rsidR="00B000C0" w:rsidRPr="00573DEB" w:rsidRDefault="00B000C0" w:rsidP="00373191">
      <w:pPr>
        <w:pStyle w:val="ListParagraph"/>
        <w:numPr>
          <w:ilvl w:val="0"/>
          <w:numId w:val="22"/>
        </w:numPr>
        <w:ind w:left="567" w:hanging="567"/>
      </w:pPr>
      <w:r w:rsidRPr="00573DEB">
        <w:t>creation of national or world maps with the geographic distribution of users of the IP system to study the spatial organization of production and innovation systems,</w:t>
      </w:r>
    </w:p>
    <w:p w:rsidR="0012162D" w:rsidRPr="00573DEB" w:rsidRDefault="0012162D" w:rsidP="00373191">
      <w:pPr>
        <w:ind w:left="567" w:hanging="567"/>
      </w:pPr>
    </w:p>
    <w:p w:rsidR="00B000C0" w:rsidRPr="00573DEB" w:rsidRDefault="00B000C0" w:rsidP="00373191">
      <w:pPr>
        <w:pStyle w:val="ListParagraph"/>
        <w:numPr>
          <w:ilvl w:val="0"/>
          <w:numId w:val="22"/>
        </w:numPr>
        <w:ind w:left="567" w:hanging="567"/>
      </w:pPr>
      <w:r w:rsidRPr="00573DEB">
        <w:t xml:space="preserve">creation of new </w:t>
      </w:r>
      <w:r w:rsidRPr="00573DEB">
        <w:rPr>
          <w:shd w:val="clear" w:color="auto" w:fill="FFFFFF"/>
        </w:rPr>
        <w:t>IP statistics</w:t>
      </w:r>
      <w:r w:rsidRPr="00573DEB">
        <w:t xml:space="preserve"> related to applications by size and by sector of the Brazilian companies,</w:t>
      </w:r>
    </w:p>
    <w:p w:rsidR="0012162D" w:rsidRPr="00573DEB" w:rsidRDefault="0012162D" w:rsidP="00373191">
      <w:pPr>
        <w:ind w:left="567" w:hanging="567"/>
      </w:pPr>
    </w:p>
    <w:p w:rsidR="00B000C0" w:rsidRPr="00573DEB" w:rsidRDefault="00B000C0" w:rsidP="00373191">
      <w:pPr>
        <w:pStyle w:val="ListParagraph"/>
        <w:numPr>
          <w:ilvl w:val="0"/>
          <w:numId w:val="22"/>
        </w:numPr>
        <w:ind w:left="567" w:hanging="567"/>
      </w:pPr>
      <w:proofErr w:type="gramStart"/>
      <w:r w:rsidRPr="00573DEB">
        <w:t>identification</w:t>
      </w:r>
      <w:proofErr w:type="gramEnd"/>
      <w:r w:rsidRPr="00573DEB">
        <w:t xml:space="preserve"> of the origin of the capital from applicant companies, in order to understand the relationship between the protection strategies of firms and their internationalization</w:t>
      </w:r>
      <w:r w:rsidR="004B4B73" w:rsidRPr="00573DEB">
        <w:t xml:space="preserve">.  </w:t>
      </w:r>
    </w:p>
    <w:p w:rsidR="0012162D" w:rsidRPr="00573DEB" w:rsidRDefault="0012162D" w:rsidP="004B4B73"/>
    <w:p w:rsidR="00B000C0" w:rsidRPr="00573DEB" w:rsidRDefault="00B000C0" w:rsidP="004B4B73">
      <w:r w:rsidRPr="00573DEB">
        <w:t>It will be important to further explore the agenda of studies, examining both the sectorial dimension as well as the technological fields in order to compare patent applications of residents and non-residents</w:t>
      </w:r>
      <w:r w:rsidR="004B4B73" w:rsidRPr="00573DEB">
        <w:t xml:space="preserve">.  </w:t>
      </w:r>
      <w:r w:rsidRPr="00573DEB">
        <w:t>For example, while the sector of chemical technology experiences a concentration of applications by non-residents, the mechanical engineering sector has a more significant participation of residents</w:t>
      </w:r>
      <w:r w:rsidR="004B4B73" w:rsidRPr="00573DEB">
        <w:t xml:space="preserve">.  </w:t>
      </w:r>
      <w:r w:rsidRPr="00573DEB">
        <w:t>This analysis can help to understand their impact on the national industrial base and to subsidize industrial, innovation and foreign trade policies.</w:t>
      </w:r>
    </w:p>
    <w:p w:rsidR="0012162D" w:rsidRPr="00573DEB" w:rsidRDefault="0012162D" w:rsidP="004B4B73"/>
    <w:p w:rsidR="00B000C0" w:rsidRPr="00573DEB" w:rsidRDefault="00B000C0" w:rsidP="004B4B73">
      <w:r w:rsidRPr="00573DEB">
        <w:t>In some sectors, the various forms of protection used together may indicate a strategy of appropriation that cannot be identified by isolated analyses</w:t>
      </w:r>
      <w:r w:rsidR="004B4B73" w:rsidRPr="00573DEB">
        <w:t xml:space="preserve">.  </w:t>
      </w:r>
      <w:r w:rsidRPr="00573DEB">
        <w:t>Similarly, some sectors, if singled out, may represent a small share of intellectual property protection, but the chain of production that they integrate may indicate otherwise</w:t>
      </w:r>
      <w:r w:rsidR="004B4B73" w:rsidRPr="00573DEB">
        <w:t xml:space="preserve">.  </w:t>
      </w:r>
      <w:r w:rsidRPr="00573DEB">
        <w:t>From this point of view, for example, agribusiness deserves special mention because it is a sector that connects with many others, such as: fine chemical, pharmaceutical, mechanical engineering, machinery and equipment, food processing, transportation, and wholesale and retail distribution</w:t>
      </w:r>
      <w:r w:rsidR="004B4B73" w:rsidRPr="00573DEB">
        <w:t xml:space="preserve">.  </w:t>
      </w:r>
      <w:r w:rsidRPr="00573DEB">
        <w:t>Understanding the form of innovation and protection of intangible assets in agribusiness is relevant due to the importance of this sector for the Brazilian economy, not only in terms of the national capital, but also in terms of the impact of technologies linked to foreign capital in Brazil.</w:t>
      </w:r>
    </w:p>
    <w:p w:rsidR="0012162D" w:rsidRPr="00573DEB" w:rsidRDefault="0012162D" w:rsidP="004B4B73"/>
    <w:p w:rsidR="00B000C0" w:rsidRPr="00573DEB" w:rsidRDefault="00B000C0" w:rsidP="004B4B73">
      <w:r w:rsidRPr="00573DEB">
        <w:t>Finally, collaboration between institutions that formulate public policies, institutions that produce indicators of science, technology and innovation and the research community will be the most fruitful way for further develop knowledge regarding the use of IP in Brazil.</w:t>
      </w:r>
    </w:p>
    <w:p w:rsidR="0012162D" w:rsidRPr="00573DEB" w:rsidRDefault="0012162D" w:rsidP="004B4B73"/>
    <w:p w:rsidR="0012162D" w:rsidRPr="00573DEB" w:rsidRDefault="0012162D">
      <w:pPr>
        <w:widowControl/>
        <w:spacing w:after="200" w:line="276" w:lineRule="auto"/>
      </w:pPr>
      <w:r w:rsidRPr="00573DEB">
        <w:br w:type="page"/>
      </w:r>
    </w:p>
    <w:p w:rsidR="0012162D" w:rsidRPr="00BD11A2" w:rsidRDefault="0012162D" w:rsidP="004B4B73"/>
    <w:p w:rsidR="00B000C0" w:rsidRPr="00BD11A2" w:rsidRDefault="00B000C0" w:rsidP="004B4B73">
      <w:pPr>
        <w:pStyle w:val="Heading1"/>
        <w:rPr>
          <w:sz w:val="22"/>
          <w:szCs w:val="22"/>
        </w:rPr>
      </w:pPr>
      <w:bookmarkStart w:id="210" w:name="_Toc367700317"/>
      <w:bookmarkStart w:id="211" w:name="_Toc366845979"/>
      <w:bookmarkStart w:id="212" w:name="_Toc383414454"/>
      <w:bookmarkStart w:id="213" w:name="_Toc388619959"/>
      <w:r w:rsidRPr="00BD11A2">
        <w:rPr>
          <w:sz w:val="22"/>
          <w:szCs w:val="22"/>
        </w:rPr>
        <w:t>Methodological Annex</w:t>
      </w:r>
      <w:bookmarkEnd w:id="210"/>
      <w:bookmarkEnd w:id="211"/>
      <w:bookmarkEnd w:id="212"/>
      <w:bookmarkEnd w:id="213"/>
    </w:p>
    <w:p w:rsidR="00B000C0" w:rsidRPr="00BD11A2" w:rsidRDefault="00B000C0" w:rsidP="004B4B73">
      <w:pPr>
        <w:rPr>
          <w:lang w:eastAsia="pt-BR"/>
        </w:rPr>
      </w:pPr>
    </w:p>
    <w:p w:rsidR="00B000C0" w:rsidRPr="00BD11A2" w:rsidRDefault="00B000C0" w:rsidP="004B4B73">
      <w:pPr>
        <w:rPr>
          <w:lang w:eastAsia="pt-BR"/>
        </w:rPr>
      </w:pPr>
      <w:r w:rsidRPr="00BD11A2">
        <w:rPr>
          <w:lang w:eastAsia="pt-BR"/>
        </w:rPr>
        <w:t>In the World Intellectual Property Organization (WIPO) Development Agenda, Recommendation 35 indicates the need for member countries to develop studies on the economic, cultural and social impacts of the use of the IP system</w:t>
      </w:r>
      <w:r w:rsidR="004B4B73" w:rsidRPr="00BD11A2">
        <w:rPr>
          <w:lang w:eastAsia="pt-BR"/>
        </w:rPr>
        <w:t xml:space="preserve">.  </w:t>
      </w:r>
      <w:r w:rsidRPr="00BD11A2">
        <w:rPr>
          <w:lang w:eastAsia="pt-BR"/>
        </w:rPr>
        <w:t>In this sense, WIPO established its Economics and Statistics Division to develop such studies on the international IP system, as well as comparative reports between IP offices</w:t>
      </w:r>
      <w:r w:rsidR="004B4B73" w:rsidRPr="00BD11A2">
        <w:rPr>
          <w:lang w:eastAsia="pt-BR"/>
        </w:rPr>
        <w:t xml:space="preserve">.  </w:t>
      </w:r>
      <w:r w:rsidRPr="00BD11A2">
        <w:rPr>
          <w:lang w:eastAsia="pt-BR"/>
        </w:rPr>
        <w:t>Brazil was chosen as one of the countries where the project would be developed for economic studies regarding the relationship between intellectual property protection and economic development</w:t>
      </w:r>
      <w:r w:rsidR="004B4B73" w:rsidRPr="00BD11A2">
        <w:rPr>
          <w:lang w:eastAsia="pt-BR"/>
        </w:rPr>
        <w:t xml:space="preserve">.  </w:t>
      </w:r>
      <w:r w:rsidRPr="00BD11A2">
        <w:rPr>
          <w:lang w:eastAsia="pt-BR"/>
        </w:rPr>
        <w:t>In this context, INPI created the Economic Advisory Area (AECON), by Decree No</w:t>
      </w:r>
      <w:r w:rsidR="004B4B73" w:rsidRPr="00BD11A2">
        <w:rPr>
          <w:lang w:eastAsia="pt-BR"/>
        </w:rPr>
        <w:t xml:space="preserve">. </w:t>
      </w:r>
      <w:r w:rsidRPr="00BD11A2">
        <w:rPr>
          <w:lang w:eastAsia="pt-BR"/>
        </w:rPr>
        <w:t>7,356 on November 12, 2010, with the mission to conduct economic studies on the impact of intellectual property and the Institute's role in national development.</w:t>
      </w:r>
    </w:p>
    <w:p w:rsidR="0012162D" w:rsidRPr="00BD11A2" w:rsidRDefault="0012162D" w:rsidP="004B4B73">
      <w:pPr>
        <w:rPr>
          <w:lang w:eastAsia="pt-BR"/>
        </w:rPr>
      </w:pPr>
    </w:p>
    <w:p w:rsidR="00B000C0" w:rsidRPr="00BD11A2" w:rsidRDefault="00B000C0" w:rsidP="004B4B73">
      <w:pPr>
        <w:rPr>
          <w:lang w:eastAsia="pt-BR"/>
        </w:rPr>
      </w:pPr>
      <w:r w:rsidRPr="00BD11A2">
        <w:rPr>
          <w:lang w:eastAsia="pt-BR"/>
        </w:rPr>
        <w:t>INPI-Brazil, with the support of WIPO, executed the Project "CREATION OF A  DATABASE ON INTELLECTUAL PROPERTY FOR STATISTICAL PURPOSES - BADEPI" with the goal of creating a structured database focused on statistical purposes that may serve as a tool to develop studies regarding the use of the IP system and its economic, social and cultural impacts</w:t>
      </w:r>
      <w:r w:rsidR="004B4B73" w:rsidRPr="00BD11A2">
        <w:rPr>
          <w:lang w:eastAsia="pt-BR"/>
        </w:rPr>
        <w:t xml:space="preserve">.  </w:t>
      </w:r>
    </w:p>
    <w:p w:rsidR="0012162D" w:rsidRPr="00BD11A2" w:rsidRDefault="0012162D" w:rsidP="004B4B73">
      <w:pPr>
        <w:rPr>
          <w:lang w:eastAsia="pt-BR"/>
        </w:rPr>
      </w:pPr>
    </w:p>
    <w:p w:rsidR="00B000C0" w:rsidRPr="00BD11A2" w:rsidRDefault="00B000C0" w:rsidP="004B4B73">
      <w:pPr>
        <w:rPr>
          <w:lang w:eastAsia="pt-BR"/>
        </w:rPr>
      </w:pPr>
      <w:r w:rsidRPr="00BD11A2">
        <w:rPr>
          <w:lang w:eastAsia="pt-BR"/>
        </w:rPr>
        <w:t>This methodological appendix aims at explaining the methodologies used to transform the raw data from the production database into the tables and graphs presented in this report.</w:t>
      </w:r>
    </w:p>
    <w:p w:rsidR="00B000C0" w:rsidRPr="00BD11A2" w:rsidRDefault="00B000C0" w:rsidP="004B4B73">
      <w:pPr>
        <w:rPr>
          <w:lang w:eastAsia="pt-BR"/>
        </w:rPr>
      </w:pPr>
    </w:p>
    <w:p w:rsidR="0012162D" w:rsidRPr="00573DEB" w:rsidRDefault="0012162D" w:rsidP="004B4B73">
      <w:pPr>
        <w:rPr>
          <w:lang w:eastAsia="pt-BR"/>
        </w:rPr>
      </w:pPr>
    </w:p>
    <w:p w:rsidR="00B000C0" w:rsidRPr="00573DEB" w:rsidRDefault="0012162D" w:rsidP="0012162D">
      <w:pPr>
        <w:pStyle w:val="Heading2"/>
      </w:pPr>
      <w:bookmarkStart w:id="214" w:name="_Toc383414455"/>
      <w:bookmarkStart w:id="215" w:name="_Toc388619960"/>
      <w:r w:rsidRPr="00573DEB">
        <w:t xml:space="preserve">About </w:t>
      </w:r>
      <w:r w:rsidR="00B000C0" w:rsidRPr="00573DEB">
        <w:t>INPI’s Statistical Database</w:t>
      </w:r>
      <w:bookmarkEnd w:id="214"/>
      <w:bookmarkEnd w:id="215"/>
      <w:r w:rsidRPr="00573DEB">
        <w:t xml:space="preserve"> - BADEPI</w:t>
      </w:r>
    </w:p>
    <w:p w:rsidR="0012162D" w:rsidRPr="00573DEB" w:rsidRDefault="0012162D" w:rsidP="0012162D"/>
    <w:p w:rsidR="00B000C0" w:rsidRPr="00573DEB" w:rsidRDefault="00B000C0" w:rsidP="004B4B73">
      <w:pPr>
        <w:rPr>
          <w:lang w:eastAsia="pt-BR"/>
        </w:rPr>
      </w:pPr>
      <w:r w:rsidRPr="00573DEB">
        <w:rPr>
          <w:lang w:eastAsia="pt-BR"/>
        </w:rPr>
        <w:t>BADEPI was created from administrative records on IP, stored in INPI’s Production Databases (BP-INPI) developed in the platform Informix</w:t>
      </w:r>
      <w:r w:rsidR="0090442A" w:rsidRPr="00573DEB">
        <w:rPr>
          <w:lang w:eastAsia="pt-BR"/>
        </w:rPr>
        <w:t>.</w:t>
      </w:r>
      <w:r w:rsidRPr="00573DEB">
        <w:rPr>
          <w:vertAlign w:val="superscript"/>
          <w:lang w:eastAsia="pt-BR"/>
        </w:rPr>
        <w:footnoteReference w:id="35"/>
      </w:r>
      <w:r w:rsidR="004B4B73" w:rsidRPr="00573DEB">
        <w:rPr>
          <w:lang w:eastAsia="pt-BR"/>
        </w:rPr>
        <w:t xml:space="preserve">  </w:t>
      </w:r>
      <w:r w:rsidRPr="00573DEB">
        <w:rPr>
          <w:lang w:eastAsia="pt-BR"/>
        </w:rPr>
        <w:t>These administrative records shall be referred to as BP-INPI's raw data.</w:t>
      </w:r>
    </w:p>
    <w:p w:rsidR="0012162D" w:rsidRPr="00573DEB" w:rsidRDefault="0012162D" w:rsidP="004B4B73">
      <w:pPr>
        <w:rPr>
          <w:lang w:eastAsia="pt-BR"/>
        </w:rPr>
      </w:pPr>
    </w:p>
    <w:p w:rsidR="00B000C0" w:rsidRPr="00573DEB" w:rsidRDefault="00B000C0" w:rsidP="004B4B73">
      <w:pPr>
        <w:rPr>
          <w:lang w:eastAsia="pt-BR"/>
        </w:rPr>
      </w:pPr>
      <w:r w:rsidRPr="00573DEB">
        <w:rPr>
          <w:lang w:eastAsia="pt-BR"/>
        </w:rPr>
        <w:t>The first version of BADEPI, which was named BADEPI_v1.0, was developed by a group of consultants that created a static database of a given period of time (2000-2011 for patents, utility models, industrial designs and computer programs, and 2000-2012 for other forms of protection) through the extraction of selected fields from BP-INPI.</w:t>
      </w:r>
    </w:p>
    <w:p w:rsidR="0012162D" w:rsidRPr="00573DEB" w:rsidRDefault="0012162D" w:rsidP="004B4B73">
      <w:pPr>
        <w:rPr>
          <w:lang w:eastAsia="pt-BR"/>
        </w:rPr>
      </w:pPr>
    </w:p>
    <w:p w:rsidR="00B000C0" w:rsidRPr="00573DEB" w:rsidRDefault="00B000C0" w:rsidP="004B4B73">
      <w:pPr>
        <w:rPr>
          <w:lang w:eastAsia="pt-BR"/>
        </w:rPr>
      </w:pPr>
      <w:r w:rsidRPr="00573DEB">
        <w:rPr>
          <w:lang w:eastAsia="pt-BR"/>
        </w:rPr>
        <w:t>BP-INPI's data are dynamic, as they are subject to the introduction of new records and to the modification of existing records</w:t>
      </w:r>
      <w:r w:rsidR="004B4B73" w:rsidRPr="00573DEB">
        <w:rPr>
          <w:lang w:eastAsia="pt-BR"/>
        </w:rPr>
        <w:t xml:space="preserve">.  </w:t>
      </w:r>
      <w:r w:rsidRPr="00573DEB">
        <w:rPr>
          <w:lang w:eastAsia="pt-BR"/>
        </w:rPr>
        <w:t>BADEPI, therefore, was created in order to function as a "photo" of BP-INPI at a given point in time</w:t>
      </w:r>
      <w:r w:rsidR="004B4B73" w:rsidRPr="00573DEB">
        <w:rPr>
          <w:lang w:eastAsia="pt-BR"/>
        </w:rPr>
        <w:t xml:space="preserve">.  </w:t>
      </w:r>
      <w:r w:rsidRPr="00573DEB">
        <w:rPr>
          <w:lang w:eastAsia="pt-BR"/>
        </w:rPr>
        <w:t>It means that, on different dates, some information may differ from BADEPI, when compared with the BP-INPI.</w:t>
      </w:r>
    </w:p>
    <w:p w:rsidR="0012162D" w:rsidRPr="00573DEB" w:rsidRDefault="0012162D" w:rsidP="004B4B73">
      <w:pPr>
        <w:rPr>
          <w:lang w:eastAsia="pt-BR"/>
        </w:rPr>
      </w:pPr>
    </w:p>
    <w:p w:rsidR="00B000C0" w:rsidRPr="00573DEB" w:rsidRDefault="00B000C0" w:rsidP="004B4B73">
      <w:pPr>
        <w:rPr>
          <w:lang w:eastAsia="pt-BR"/>
        </w:rPr>
      </w:pPr>
      <w:r w:rsidRPr="00573DEB">
        <w:rPr>
          <w:lang w:eastAsia="pt-BR"/>
        </w:rPr>
        <w:t>As shown in Box A.1, from BADEPI v1.0 INPI created a preliminary version of its Statistical Yearbook on Intellectual Property (with charts and graphs)</w:t>
      </w:r>
      <w:r w:rsidR="004B4B73" w:rsidRPr="00573DEB">
        <w:rPr>
          <w:lang w:eastAsia="pt-BR"/>
        </w:rPr>
        <w:t xml:space="preserve">.  </w:t>
      </w:r>
      <w:r w:rsidRPr="00573DEB">
        <w:rPr>
          <w:lang w:eastAsia="pt-BR"/>
        </w:rPr>
        <w:t>Additionally, a copy of BADEPI_v1.0_patentes was distributed to a network of users qualified in the handling of intellectual property databases, formed by experts in research and analysis using intellectual property databases, particularly regarding the resolution of inconsistencies (missing data and invalid information)</w:t>
      </w:r>
      <w:r w:rsidR="004B4B73" w:rsidRPr="00573DEB">
        <w:rPr>
          <w:lang w:eastAsia="pt-BR"/>
        </w:rPr>
        <w:t xml:space="preserve">.  </w:t>
      </w:r>
      <w:r w:rsidRPr="00573DEB">
        <w:rPr>
          <w:lang w:eastAsia="pt-BR"/>
        </w:rPr>
        <w:t>Firstly, under a confidentiality agreement, the database was distributed to UFMG - CEDEPLAR, UFJF - Institute of Economics, Inter-American Development Bank, World Intellectual Property Organization - Economics and Statistics Division, Institute of Applied Economic Research - IPEA, INMETRO - National Institute of Metrology and Institute of Public Goods and Policies of the Superior Council of Scientific Research in Madrid</w:t>
      </w:r>
      <w:r w:rsidR="004B4B73" w:rsidRPr="00573DEB">
        <w:rPr>
          <w:lang w:eastAsia="pt-BR"/>
        </w:rPr>
        <w:t xml:space="preserve">.  </w:t>
      </w:r>
      <w:r w:rsidRPr="00573DEB">
        <w:rPr>
          <w:lang w:eastAsia="pt-BR"/>
        </w:rPr>
        <w:t>The members of this network will be able to provide their support by: sharing new data with INPI; improving some existing variables; and contributing to the correction of errors identified by them.</w:t>
      </w:r>
    </w:p>
    <w:p w:rsidR="0012162D" w:rsidRPr="00573DEB" w:rsidRDefault="0012162D" w:rsidP="004B4B73">
      <w:pPr>
        <w:rPr>
          <w:lang w:eastAsia="pt-BR"/>
        </w:rPr>
      </w:pPr>
    </w:p>
    <w:p w:rsidR="0012162D" w:rsidRPr="00573DEB" w:rsidRDefault="0012162D">
      <w:pPr>
        <w:widowControl/>
        <w:spacing w:after="200" w:line="276" w:lineRule="auto"/>
        <w:rPr>
          <w:lang w:eastAsia="pt-BR"/>
        </w:rPr>
      </w:pPr>
      <w:r w:rsidRPr="00573DEB">
        <w:rPr>
          <w:lang w:eastAsia="pt-BR"/>
        </w:rPr>
        <w:br w:type="page"/>
      </w:r>
    </w:p>
    <w:p w:rsidR="0012162D" w:rsidRPr="00573DEB" w:rsidRDefault="0012162D" w:rsidP="004B4B73">
      <w:pPr>
        <w:rPr>
          <w:lang w:eastAsia="pt-BR"/>
        </w:rPr>
      </w:pPr>
    </w:p>
    <w:p w:rsidR="00B000C0" w:rsidRPr="00573DEB" w:rsidRDefault="00B000C0" w:rsidP="0012162D">
      <w:pPr>
        <w:pStyle w:val="Caption"/>
        <w:rPr>
          <w:rStyle w:val="Emphasis"/>
          <w:rFonts w:cstheme="minorBidi"/>
          <w:b/>
          <w:bCs/>
          <w:i w:val="0"/>
          <w:iCs w:val="0"/>
          <w:spacing w:val="0"/>
        </w:rPr>
      </w:pPr>
      <w:r w:rsidRPr="00573DEB">
        <w:rPr>
          <w:rStyle w:val="Emphasis"/>
          <w:rFonts w:cstheme="minorBidi"/>
          <w:b/>
          <w:bCs/>
          <w:i w:val="0"/>
          <w:iCs w:val="0"/>
          <w:spacing w:val="0"/>
        </w:rPr>
        <w:t>Box A.1</w:t>
      </w:r>
      <w:r w:rsidR="00BD11A2">
        <w:rPr>
          <w:rStyle w:val="Emphasis"/>
          <w:rFonts w:cstheme="minorBidi"/>
          <w:b/>
          <w:bCs/>
          <w:i w:val="0"/>
          <w:iCs w:val="0"/>
          <w:spacing w:val="0"/>
        </w:rPr>
        <w:t xml:space="preserve">:  </w:t>
      </w:r>
      <w:r w:rsidRPr="00573DEB">
        <w:rPr>
          <w:rStyle w:val="Emphasis"/>
          <w:rFonts w:cstheme="minorBidi"/>
          <w:b/>
          <w:bCs/>
          <w:i w:val="0"/>
          <w:iCs w:val="0"/>
          <w:spacing w:val="0"/>
        </w:rPr>
        <w:t>INPI’s Statistical Database</w:t>
      </w:r>
    </w:p>
    <w:p w:rsidR="00B000C0" w:rsidRPr="00573DEB" w:rsidRDefault="00B000C0" w:rsidP="004B4B73">
      <w:r w:rsidRPr="00573DEB">
        <w:rPr>
          <w:noProof/>
        </w:rPr>
        <w:drawing>
          <wp:inline distT="0" distB="0" distL="0" distR="0" wp14:anchorId="25AF4EEB" wp14:editId="51735860">
            <wp:extent cx="5271770" cy="3967480"/>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1770" cy="3967480"/>
                    </a:xfrm>
                    <a:prstGeom prst="rect">
                      <a:avLst/>
                    </a:prstGeom>
                    <a:noFill/>
                    <a:ln>
                      <a:noFill/>
                    </a:ln>
                  </pic:spPr>
                </pic:pic>
              </a:graphicData>
            </a:graphic>
          </wp:inline>
        </w:drawing>
      </w:r>
    </w:p>
    <w:p w:rsidR="00B000C0" w:rsidRPr="00573DEB" w:rsidRDefault="00B000C0" w:rsidP="004B4B73"/>
    <w:p w:rsidR="0012162D" w:rsidRPr="00573DEB" w:rsidRDefault="0012162D" w:rsidP="004B4B73"/>
    <w:p w:rsidR="00B000C0" w:rsidRPr="00573DEB" w:rsidRDefault="0012162D" w:rsidP="0012162D">
      <w:pPr>
        <w:pStyle w:val="Heading2"/>
      </w:pPr>
      <w:bookmarkStart w:id="216" w:name="_Toc383414456"/>
      <w:bookmarkStart w:id="217" w:name="_Toc388619961"/>
      <w:r w:rsidRPr="00573DEB">
        <w:t>BADEPI’s c</w:t>
      </w:r>
      <w:r w:rsidR="00B000C0" w:rsidRPr="00573DEB">
        <w:t>onceptual models</w:t>
      </w:r>
      <w:bookmarkEnd w:id="216"/>
      <w:bookmarkEnd w:id="217"/>
    </w:p>
    <w:p w:rsidR="0012162D" w:rsidRPr="00573DEB" w:rsidRDefault="0012162D" w:rsidP="0012162D"/>
    <w:p w:rsidR="00B000C0" w:rsidRPr="00573DEB" w:rsidRDefault="00B000C0" w:rsidP="004B4B73">
      <w:pPr>
        <w:rPr>
          <w:lang w:eastAsia="pt-BR"/>
        </w:rPr>
      </w:pPr>
      <w:r w:rsidRPr="00573DEB">
        <w:rPr>
          <w:lang w:eastAsia="pt-BR"/>
        </w:rPr>
        <w:t>The BADEPI_v1.0 contains bibliographic information and the classification of the data about applications filed at INPI-BR in the selected period</w:t>
      </w:r>
      <w:r w:rsidR="004B4B73" w:rsidRPr="00573DEB">
        <w:rPr>
          <w:lang w:eastAsia="pt-BR"/>
        </w:rPr>
        <w:t xml:space="preserve">.  </w:t>
      </w:r>
    </w:p>
    <w:p w:rsidR="0012162D" w:rsidRPr="00573DEB" w:rsidRDefault="0012162D" w:rsidP="004B4B73">
      <w:pPr>
        <w:rPr>
          <w:lang w:eastAsia="pt-BR"/>
        </w:rPr>
      </w:pPr>
    </w:p>
    <w:p w:rsidR="00B000C0" w:rsidRPr="00573DEB" w:rsidRDefault="00B000C0" w:rsidP="004B4B73">
      <w:pPr>
        <w:rPr>
          <w:lang w:eastAsia="pt-BR"/>
        </w:rPr>
      </w:pPr>
      <w:r w:rsidRPr="00573DEB">
        <w:rPr>
          <w:lang w:eastAsia="pt-BR"/>
        </w:rPr>
        <w:t>The BADEPI_v1.0 also incorporated some information from IBGE about the size and the economic sector of the applicants</w:t>
      </w:r>
      <w:r w:rsidR="004B4B73" w:rsidRPr="00573DEB">
        <w:rPr>
          <w:lang w:eastAsia="pt-BR"/>
        </w:rPr>
        <w:t xml:space="preserve">.  </w:t>
      </w:r>
      <w:r w:rsidRPr="00573DEB">
        <w:rPr>
          <w:lang w:eastAsia="pt-BR"/>
        </w:rPr>
        <w:t>However, information regarding size and sector are not complete and could not be used for all forms of protection, since the raw data had many records without the CNPJ (a unique firms’ identification number)</w:t>
      </w:r>
      <w:r w:rsidR="004B4B73" w:rsidRPr="00573DEB">
        <w:rPr>
          <w:lang w:eastAsia="pt-BR"/>
        </w:rPr>
        <w:t xml:space="preserve">.  </w:t>
      </w:r>
    </w:p>
    <w:p w:rsidR="0012162D" w:rsidRPr="00573DEB" w:rsidRDefault="0012162D" w:rsidP="004B4B73">
      <w:pPr>
        <w:rPr>
          <w:lang w:eastAsia="pt-BR"/>
        </w:rPr>
      </w:pPr>
    </w:p>
    <w:p w:rsidR="00B000C0" w:rsidRPr="00573DEB" w:rsidRDefault="00B000C0" w:rsidP="004B4B73">
      <w:pPr>
        <w:rPr>
          <w:lang w:eastAsia="pt-BR"/>
        </w:rPr>
      </w:pPr>
      <w:r w:rsidRPr="00573DEB">
        <w:rPr>
          <w:lang w:eastAsia="pt-BR"/>
        </w:rPr>
        <w:t>To the information about technology contracts data from the Central Bank of Brazil about the annual flow of payments and receipts of royalties were added, by contract category</w:t>
      </w:r>
      <w:r w:rsidR="004B4B73" w:rsidRPr="00573DEB">
        <w:rPr>
          <w:lang w:eastAsia="pt-BR"/>
        </w:rPr>
        <w:t xml:space="preserve">.  </w:t>
      </w:r>
      <w:r w:rsidRPr="00573DEB">
        <w:rPr>
          <w:lang w:eastAsia="pt-BR"/>
        </w:rPr>
        <w:t>At this data level, it is not possible to link the amounts paid to each specific process.</w:t>
      </w:r>
    </w:p>
    <w:p w:rsidR="0012162D" w:rsidRPr="00573DEB" w:rsidRDefault="0012162D" w:rsidP="004B4B73">
      <w:pPr>
        <w:rPr>
          <w:lang w:eastAsia="pt-BR"/>
        </w:rPr>
      </w:pPr>
    </w:p>
    <w:p w:rsidR="0012162D" w:rsidRPr="00573DEB" w:rsidRDefault="0012162D">
      <w:pPr>
        <w:widowControl/>
        <w:spacing w:after="200" w:line="276" w:lineRule="auto"/>
        <w:rPr>
          <w:lang w:eastAsia="pt-BR"/>
        </w:rPr>
      </w:pPr>
      <w:r w:rsidRPr="00573DEB">
        <w:rPr>
          <w:lang w:eastAsia="pt-BR"/>
        </w:rPr>
        <w:br w:type="page"/>
      </w:r>
    </w:p>
    <w:p w:rsidR="0012162D" w:rsidRPr="00573DEB" w:rsidRDefault="0012162D" w:rsidP="004B4B73">
      <w:pPr>
        <w:rPr>
          <w:lang w:eastAsia="pt-BR"/>
        </w:rPr>
      </w:pPr>
    </w:p>
    <w:p w:rsidR="00B000C0" w:rsidRPr="00573DEB" w:rsidRDefault="00B000C0" w:rsidP="0012162D">
      <w:pPr>
        <w:pStyle w:val="Caption"/>
        <w:rPr>
          <w:szCs w:val="24"/>
        </w:rPr>
      </w:pPr>
      <w:r w:rsidRPr="00573DEB">
        <w:t>Box A.2</w:t>
      </w:r>
      <w:r w:rsidR="00757BD7">
        <w:t xml:space="preserve">:  </w:t>
      </w:r>
      <w:r w:rsidRPr="00573DEB">
        <w:t>Conceptual Model: BADEPI_v1.0_Patents and Utility Models</w:t>
      </w:r>
      <w:r w:rsidRPr="00573DEB">
        <w:rPr>
          <w:noProof/>
          <w:szCs w:val="24"/>
        </w:rPr>
        <w:t xml:space="preserve"> </w:t>
      </w:r>
      <w:r w:rsidRPr="00573DEB">
        <w:rPr>
          <w:noProof/>
          <w:szCs w:val="24"/>
        </w:rPr>
        <w:drawing>
          <wp:inline distT="0" distB="0" distL="0" distR="0" wp14:anchorId="51122DE5" wp14:editId="41778DEC">
            <wp:extent cx="5272405" cy="2378710"/>
            <wp:effectExtent l="0" t="0" r="23495" b="21590"/>
            <wp:docPr id="23" name="Diagram 2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B000C0" w:rsidRPr="00573DEB" w:rsidRDefault="00B000C0" w:rsidP="004B4B73"/>
    <w:p w:rsidR="00B000C0" w:rsidRPr="00573DEB" w:rsidRDefault="00B000C0" w:rsidP="0012162D">
      <w:pPr>
        <w:pStyle w:val="Caption"/>
        <w:rPr>
          <w:szCs w:val="24"/>
        </w:rPr>
      </w:pPr>
      <w:r w:rsidRPr="00573DEB">
        <w:t>Box A.3</w:t>
      </w:r>
      <w:r w:rsidR="00757BD7">
        <w:t xml:space="preserve">:  </w:t>
      </w:r>
      <w:r w:rsidRPr="00573DEB">
        <w:t>Conceptual Model: BADEPI_v1.0_Trademarks</w:t>
      </w:r>
      <w:r w:rsidRPr="00573DEB">
        <w:rPr>
          <w:noProof/>
          <w:szCs w:val="24"/>
        </w:rPr>
        <w:t xml:space="preserve"> </w:t>
      </w:r>
      <w:r w:rsidRPr="00573DEB">
        <w:rPr>
          <w:noProof/>
          <w:szCs w:val="24"/>
        </w:rPr>
        <w:drawing>
          <wp:inline distT="0" distB="0" distL="0" distR="0" wp14:anchorId="228C6782" wp14:editId="7F6BB8B8">
            <wp:extent cx="5272405" cy="2378710"/>
            <wp:effectExtent l="0" t="0" r="23495" b="21590"/>
            <wp:docPr id="20" name="Di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B000C0" w:rsidRPr="00573DEB" w:rsidRDefault="00B000C0" w:rsidP="004B4B73"/>
    <w:p w:rsidR="00B000C0" w:rsidRPr="00573DEB" w:rsidRDefault="00B000C0" w:rsidP="0012162D">
      <w:pPr>
        <w:pStyle w:val="Caption"/>
        <w:rPr>
          <w:szCs w:val="24"/>
        </w:rPr>
      </w:pPr>
      <w:r w:rsidRPr="00573DEB">
        <w:t>Box A.4</w:t>
      </w:r>
      <w:r w:rsidR="00757BD7">
        <w:t xml:space="preserve">:  </w:t>
      </w:r>
      <w:r w:rsidRPr="00573DEB">
        <w:t>Conceptual Model: BADEPI_v1.0_Industrial designs</w:t>
      </w:r>
      <w:r w:rsidRPr="00573DEB">
        <w:rPr>
          <w:noProof/>
          <w:szCs w:val="24"/>
        </w:rPr>
        <w:t xml:space="preserve"> </w:t>
      </w:r>
      <w:r w:rsidRPr="00573DEB">
        <w:rPr>
          <w:noProof/>
          <w:szCs w:val="24"/>
        </w:rPr>
        <w:drawing>
          <wp:inline distT="0" distB="0" distL="0" distR="0" wp14:anchorId="629A6A85" wp14:editId="58F55DEF">
            <wp:extent cx="5272405" cy="2378710"/>
            <wp:effectExtent l="0" t="0" r="23495" b="21590"/>
            <wp:docPr id="17" name="Diagram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12162D" w:rsidRPr="00573DEB" w:rsidRDefault="0012162D">
      <w:pPr>
        <w:widowControl/>
        <w:spacing w:after="200" w:line="276" w:lineRule="auto"/>
      </w:pPr>
      <w:r w:rsidRPr="00573DEB">
        <w:br w:type="page"/>
      </w:r>
    </w:p>
    <w:p w:rsidR="00B000C0" w:rsidRPr="00573DEB" w:rsidRDefault="00B000C0" w:rsidP="004B4B73"/>
    <w:p w:rsidR="00B000C0" w:rsidRPr="00573DEB" w:rsidRDefault="00B000C0" w:rsidP="0012162D">
      <w:pPr>
        <w:pStyle w:val="Caption"/>
        <w:rPr>
          <w:szCs w:val="24"/>
        </w:rPr>
      </w:pPr>
      <w:r w:rsidRPr="00573DEB">
        <w:t>Box A.5</w:t>
      </w:r>
      <w:r w:rsidR="00757BD7">
        <w:t xml:space="preserve">:  </w:t>
      </w:r>
      <w:r w:rsidRPr="00573DEB">
        <w:t>Conceptual Model: BADEPI_v1.0_Softwares</w:t>
      </w:r>
      <w:r w:rsidRPr="00573DEB">
        <w:rPr>
          <w:noProof/>
          <w:szCs w:val="24"/>
        </w:rPr>
        <w:t xml:space="preserve"> </w:t>
      </w:r>
      <w:r w:rsidRPr="00573DEB">
        <w:rPr>
          <w:noProof/>
          <w:szCs w:val="24"/>
        </w:rPr>
        <w:drawing>
          <wp:inline distT="0" distB="0" distL="0" distR="0" wp14:anchorId="5821900F" wp14:editId="1AA0816B">
            <wp:extent cx="5272405" cy="2378710"/>
            <wp:effectExtent l="0" t="0" r="23495" b="21590"/>
            <wp:docPr id="13"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B000C0" w:rsidRPr="00573DEB" w:rsidRDefault="00B000C0" w:rsidP="004B4B73"/>
    <w:p w:rsidR="00B000C0" w:rsidRPr="00573DEB" w:rsidRDefault="00B000C0" w:rsidP="0012162D">
      <w:pPr>
        <w:pStyle w:val="Caption"/>
        <w:rPr>
          <w:szCs w:val="24"/>
        </w:rPr>
      </w:pPr>
      <w:r w:rsidRPr="00573DEB">
        <w:t>Box A.6</w:t>
      </w:r>
      <w:r w:rsidR="00757BD7">
        <w:t xml:space="preserve">:  </w:t>
      </w:r>
      <w:r w:rsidRPr="00573DEB">
        <w:t>Conceptual Model: BADEPI_v1.0_Contracts</w:t>
      </w:r>
      <w:r w:rsidRPr="00573DEB">
        <w:rPr>
          <w:noProof/>
          <w:szCs w:val="24"/>
        </w:rPr>
        <w:t xml:space="preserve"> </w:t>
      </w:r>
      <w:r w:rsidRPr="00573DEB">
        <w:rPr>
          <w:noProof/>
          <w:szCs w:val="24"/>
        </w:rPr>
        <w:drawing>
          <wp:inline distT="0" distB="0" distL="0" distR="0" wp14:anchorId="1A91A3EA" wp14:editId="604A0AC4">
            <wp:extent cx="5272405" cy="2378710"/>
            <wp:effectExtent l="0" t="0" r="23495" b="21590"/>
            <wp:docPr id="12"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B000C0" w:rsidRPr="00573DEB" w:rsidRDefault="00B000C0" w:rsidP="004B4B73"/>
    <w:p w:rsidR="00B000C0" w:rsidRPr="00573DEB" w:rsidRDefault="00B000C0" w:rsidP="0012162D">
      <w:pPr>
        <w:pStyle w:val="Caption"/>
        <w:rPr>
          <w:szCs w:val="24"/>
        </w:rPr>
      </w:pPr>
      <w:r w:rsidRPr="00573DEB">
        <w:t>Box A.7</w:t>
      </w:r>
      <w:r w:rsidR="00757BD7">
        <w:t xml:space="preserve">:  </w:t>
      </w:r>
      <w:r w:rsidRPr="00573DEB">
        <w:t>Conceptual Model: BADEPI_v1.0_Geographical Indications</w:t>
      </w:r>
      <w:r w:rsidRPr="00573DEB">
        <w:rPr>
          <w:noProof/>
          <w:szCs w:val="24"/>
        </w:rPr>
        <w:t xml:space="preserve"> </w:t>
      </w:r>
      <w:r w:rsidRPr="00573DEB">
        <w:rPr>
          <w:noProof/>
          <w:szCs w:val="24"/>
        </w:rPr>
        <w:drawing>
          <wp:inline distT="0" distB="0" distL="0" distR="0" wp14:anchorId="138BFB57" wp14:editId="7C35EEED">
            <wp:extent cx="5272405" cy="2378710"/>
            <wp:effectExtent l="0" t="0" r="23495" b="21590"/>
            <wp:docPr id="11" name="Di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B000C0" w:rsidRPr="00573DEB" w:rsidRDefault="00B000C0" w:rsidP="004B4B73"/>
    <w:p w:rsidR="0012162D" w:rsidRPr="00573DEB" w:rsidRDefault="0012162D">
      <w:pPr>
        <w:widowControl/>
        <w:spacing w:after="200" w:line="276" w:lineRule="auto"/>
      </w:pPr>
      <w:r w:rsidRPr="00573DEB">
        <w:br w:type="page"/>
      </w:r>
    </w:p>
    <w:p w:rsidR="00B000C0" w:rsidRPr="00573DEB" w:rsidRDefault="00B000C0" w:rsidP="004B4B73"/>
    <w:p w:rsidR="00B000C0" w:rsidRPr="00573DEB" w:rsidRDefault="00B000C0" w:rsidP="0012162D">
      <w:pPr>
        <w:pStyle w:val="Heading2"/>
      </w:pPr>
      <w:bookmarkStart w:id="218" w:name="_Toc383414457"/>
      <w:bookmarkStart w:id="219" w:name="_Toc388619962"/>
      <w:r w:rsidRPr="00573DEB">
        <w:t xml:space="preserve">Methodology for processing </w:t>
      </w:r>
      <w:r w:rsidR="00B73BC3" w:rsidRPr="00573DEB">
        <w:t xml:space="preserve">BADEPI’s </w:t>
      </w:r>
      <w:r w:rsidRPr="00573DEB">
        <w:t xml:space="preserve">data </w:t>
      </w:r>
      <w:bookmarkEnd w:id="218"/>
      <w:bookmarkEnd w:id="219"/>
    </w:p>
    <w:p w:rsidR="00B000C0" w:rsidRPr="00573DEB" w:rsidRDefault="00B000C0" w:rsidP="004B4B73"/>
    <w:p w:rsidR="00B000C0" w:rsidRPr="00573DEB" w:rsidRDefault="00B73BC3" w:rsidP="004B4B73">
      <w:r w:rsidRPr="00573DEB">
        <w:t>T</w:t>
      </w:r>
      <w:r w:rsidR="00B000C0" w:rsidRPr="00573DEB">
        <w:t>he methodology used to handle data from BADEPI_v1.0 to generate the tables and graphs in this report is presented</w:t>
      </w:r>
      <w:r w:rsidRPr="00573DEB">
        <w:t xml:space="preserve"> as follows</w:t>
      </w:r>
      <w:r w:rsidR="004B4B73" w:rsidRPr="00573DEB">
        <w:t xml:space="preserve">.  </w:t>
      </w:r>
      <w:r w:rsidR="00B000C0" w:rsidRPr="00573DEB">
        <w:t>Th</w:t>
      </w:r>
      <w:r w:rsidRPr="00573DEB">
        <w:t>is</w:t>
      </w:r>
      <w:r w:rsidR="00B000C0" w:rsidRPr="00573DEB">
        <w:t xml:space="preserve"> section explains how the main variables were treated and also how the inconsistencies found were dealt with.</w:t>
      </w:r>
    </w:p>
    <w:p w:rsidR="00B73BC3" w:rsidRPr="00573DEB" w:rsidRDefault="00B73BC3" w:rsidP="004B4B73"/>
    <w:p w:rsidR="00B73BC3" w:rsidRPr="00573DEB" w:rsidRDefault="00B73BC3" w:rsidP="004B4B73"/>
    <w:p w:rsidR="00B000C0" w:rsidRPr="00573DEB" w:rsidRDefault="00B000C0" w:rsidP="0012162D">
      <w:pPr>
        <w:pStyle w:val="Heading3"/>
      </w:pPr>
      <w:bookmarkStart w:id="220" w:name="_Toc375213004"/>
      <w:bookmarkStart w:id="221" w:name="_Toc383414458"/>
      <w:bookmarkStart w:id="222" w:name="_Toc388619963"/>
      <w:r w:rsidRPr="00573DEB">
        <w:t>Patents</w:t>
      </w:r>
      <w:bookmarkEnd w:id="220"/>
      <w:r w:rsidRPr="00573DEB">
        <w:t xml:space="preserve"> and utility models</w:t>
      </w:r>
      <w:bookmarkEnd w:id="221"/>
      <w:bookmarkEnd w:id="222"/>
    </w:p>
    <w:p w:rsidR="00B000C0" w:rsidRPr="00573DEB" w:rsidRDefault="00B000C0" w:rsidP="004B4B73"/>
    <w:p w:rsidR="00B000C0" w:rsidRPr="00573DEB" w:rsidRDefault="00B000C0" w:rsidP="004B4B73">
      <w:r w:rsidRPr="00573DEB">
        <w:t>The raw data from patents and utility models</w:t>
      </w:r>
      <w:r w:rsidRPr="00573DEB">
        <w:rPr>
          <w:vertAlign w:val="superscript"/>
        </w:rPr>
        <w:footnoteReference w:id="36"/>
      </w:r>
      <w:r w:rsidRPr="00573DEB">
        <w:t xml:space="preserve"> are provided in one unique database and they are identified by the variable called “type”</w:t>
      </w:r>
      <w:r w:rsidR="004B4B73" w:rsidRPr="00573DEB">
        <w:t xml:space="preserve">.  </w:t>
      </w:r>
      <w:r w:rsidRPr="00573DEB">
        <w:t>As the data have the same structure and faced similar challenges, they were similarly treated and will be presented together in the following items.</w:t>
      </w:r>
    </w:p>
    <w:p w:rsidR="00B000C0" w:rsidRPr="00573DEB" w:rsidRDefault="00B000C0" w:rsidP="004B4B73"/>
    <w:p w:rsidR="00B73BC3" w:rsidRPr="00573DEB" w:rsidRDefault="00B73BC3" w:rsidP="004B4B73"/>
    <w:p w:rsidR="00B000C0" w:rsidRPr="00573DEB" w:rsidRDefault="00B73BC3" w:rsidP="00B73BC3">
      <w:pPr>
        <w:pStyle w:val="Heading4"/>
      </w:pPr>
      <w:bookmarkStart w:id="223" w:name="_Toc383414459"/>
      <w:r w:rsidRPr="00573DEB">
        <w:t>T</w:t>
      </w:r>
      <w:r w:rsidR="00B000C0" w:rsidRPr="00573DEB">
        <w:t>ype</w:t>
      </w:r>
      <w:bookmarkEnd w:id="223"/>
    </w:p>
    <w:p w:rsidR="00B73BC3" w:rsidRPr="00573DEB" w:rsidRDefault="00B73BC3" w:rsidP="004B4B73"/>
    <w:p w:rsidR="00B000C0" w:rsidRPr="00573DEB" w:rsidRDefault="00B000C0" w:rsidP="004B4B73">
      <w:r w:rsidRPr="00573DEB">
        <w:t>The nature of the application is informed by the applicant in the application form and can be filed as "PI", "MU" or "PP"</w:t>
      </w:r>
      <w:r w:rsidR="004B4B73" w:rsidRPr="00573DEB">
        <w:t xml:space="preserve">.  </w:t>
      </w:r>
      <w:r w:rsidRPr="00573DEB">
        <w:t>Applications starting with "PP", which means that it is a "pipeline" patent, are also considered as patent (PI)</w:t>
      </w:r>
      <w:r w:rsidR="004B4B73" w:rsidRPr="00573DEB">
        <w:t xml:space="preserve">.  </w:t>
      </w:r>
      <w:r w:rsidRPr="00573DEB">
        <w:t>At the time of the technical examination, the examiner can consider the need to readjust the nature of the application and, through a dispatch, can change the nature of the application and therefore the numbering of the application as well</w:t>
      </w:r>
      <w:r w:rsidR="004B4B73" w:rsidRPr="00573DEB">
        <w:t xml:space="preserve">.  </w:t>
      </w:r>
    </w:p>
    <w:p w:rsidR="00B000C0" w:rsidRPr="00573DEB" w:rsidRDefault="00B000C0" w:rsidP="004B4B73"/>
    <w:p w:rsidR="00B000C0" w:rsidRPr="00573DEB" w:rsidRDefault="00B000C0" w:rsidP="004B4B73">
      <w:r w:rsidRPr="00573DEB">
        <w:t>The variable "type" should always be compatible with the "number of application", because it represents the first two characters of the number of application</w:t>
      </w:r>
      <w:r w:rsidR="004B4B73" w:rsidRPr="00573DEB">
        <w:t xml:space="preserve">.  </w:t>
      </w:r>
      <w:r w:rsidRPr="00573DEB">
        <w:t>However, in some applications the variable "type" did not correspond to the characters that appear in the variable "number of application"</w:t>
      </w:r>
      <w:r w:rsidR="004B4B73" w:rsidRPr="00573DEB">
        <w:t xml:space="preserve">.  </w:t>
      </w:r>
    </w:p>
    <w:p w:rsidR="00B000C0" w:rsidRPr="00573DEB" w:rsidRDefault="00B000C0" w:rsidP="004B4B73"/>
    <w:p w:rsidR="00B000C0" w:rsidRPr="00573DEB" w:rsidRDefault="00B000C0" w:rsidP="004B4B73">
      <w:r w:rsidRPr="00573DEB">
        <w:t>As a result, the original variable “type” was not considered and a new one was devised, using the first two characters of the number of application.</w:t>
      </w:r>
    </w:p>
    <w:p w:rsidR="00B000C0" w:rsidRPr="00573DEB" w:rsidRDefault="00B000C0" w:rsidP="004B4B73"/>
    <w:p w:rsidR="00B73BC3" w:rsidRPr="00573DEB" w:rsidRDefault="00B73BC3" w:rsidP="004B4B73"/>
    <w:p w:rsidR="00B000C0" w:rsidRPr="00573DEB" w:rsidRDefault="00B73BC3" w:rsidP="00B73BC3">
      <w:pPr>
        <w:pStyle w:val="Heading4"/>
      </w:pPr>
      <w:bookmarkStart w:id="224" w:name="_Toc383414460"/>
      <w:bookmarkStart w:id="225" w:name="_Toc375213008"/>
      <w:r w:rsidRPr="00573DEB">
        <w:t>Application d</w:t>
      </w:r>
      <w:r w:rsidR="00B000C0" w:rsidRPr="00573DEB">
        <w:t>ate</w:t>
      </w:r>
      <w:bookmarkEnd w:id="224"/>
    </w:p>
    <w:bookmarkEnd w:id="225"/>
    <w:p w:rsidR="00B73BC3" w:rsidRPr="00573DEB" w:rsidRDefault="00B73BC3" w:rsidP="004B4B73"/>
    <w:p w:rsidR="00B000C0" w:rsidRPr="00573DEB" w:rsidRDefault="00B000C0" w:rsidP="004B4B73">
      <w:r w:rsidRPr="00573DEB">
        <w:t xml:space="preserve">The production database contains two </w:t>
      </w:r>
      <w:r w:rsidRPr="00573DEB">
        <w:rPr>
          <w:szCs w:val="24"/>
        </w:rPr>
        <w:t xml:space="preserve">variables </w:t>
      </w:r>
      <w:r w:rsidRPr="00573DEB">
        <w:t>that can cause confusion about the application date: “</w:t>
      </w:r>
      <w:proofErr w:type="spellStart"/>
      <w:r w:rsidRPr="00573DEB">
        <w:t>data_deposito</w:t>
      </w:r>
      <w:proofErr w:type="spellEnd"/>
      <w:r w:rsidRPr="00573DEB">
        <w:t>” and “</w:t>
      </w:r>
      <w:proofErr w:type="spellStart"/>
      <w:r w:rsidRPr="00573DEB">
        <w:t>data_protocolo_no_inpi</w:t>
      </w:r>
      <w:proofErr w:type="spellEnd"/>
      <w:r w:rsidRPr="00573DEB">
        <w:t>” (INPI protocol date)</w:t>
      </w:r>
      <w:r w:rsidR="004B4B73" w:rsidRPr="00573DEB">
        <w:t xml:space="preserve">.  </w:t>
      </w:r>
    </w:p>
    <w:p w:rsidR="00B000C0" w:rsidRPr="00573DEB" w:rsidRDefault="00B000C0" w:rsidP="004B4B73"/>
    <w:p w:rsidR="00B000C0" w:rsidRPr="00573DEB" w:rsidRDefault="00B000C0" w:rsidP="004B4B73">
      <w:r w:rsidRPr="00573DEB">
        <w:t xml:space="preserve">For the construction of application tables, the </w:t>
      </w:r>
      <w:r w:rsidRPr="00573DEB">
        <w:rPr>
          <w:szCs w:val="24"/>
        </w:rPr>
        <w:t xml:space="preserve">variable </w:t>
      </w:r>
      <w:r w:rsidRPr="00573DEB">
        <w:t>that has been considered is "</w:t>
      </w:r>
      <w:proofErr w:type="spellStart"/>
      <w:r w:rsidRPr="00573DEB">
        <w:t>data_protocolo_no_inpi</w:t>
      </w:r>
      <w:proofErr w:type="spellEnd"/>
      <w:r w:rsidRPr="00573DEB">
        <w:t>" that means: (</w:t>
      </w:r>
      <w:proofErr w:type="spellStart"/>
      <w:r w:rsidRPr="00573DEB">
        <w:t>i</w:t>
      </w:r>
      <w:proofErr w:type="spellEnd"/>
      <w:r w:rsidRPr="00573DEB">
        <w:t>) date of filing in case of applications filed directly with INPI-Brazil and (ii) entrance at the national phase in case of PCT applications</w:t>
      </w:r>
      <w:r w:rsidR="004B4B73" w:rsidRPr="00573DEB">
        <w:t xml:space="preserve">.  </w:t>
      </w:r>
      <w:r w:rsidRPr="00573DEB">
        <w:t>The "</w:t>
      </w:r>
      <w:proofErr w:type="spellStart"/>
      <w:r w:rsidRPr="00573DEB">
        <w:t>data_protocolo_no_inpi</w:t>
      </w:r>
      <w:proofErr w:type="spellEnd"/>
      <w:r w:rsidRPr="00573DEB">
        <w:t>" is the date on which the application is filed in INPI.</w:t>
      </w:r>
    </w:p>
    <w:p w:rsidR="00B000C0" w:rsidRPr="00573DEB" w:rsidRDefault="00B000C0" w:rsidP="004B4B73"/>
    <w:p w:rsidR="00B000C0" w:rsidRPr="00573DEB" w:rsidRDefault="00B000C0" w:rsidP="004B4B73">
      <w:r w:rsidRPr="00573DEB">
        <w:t>The variable “</w:t>
      </w:r>
      <w:proofErr w:type="spellStart"/>
      <w:r w:rsidRPr="00573DEB">
        <w:t>data_deposito</w:t>
      </w:r>
      <w:proofErr w:type="spellEnd"/>
      <w:r w:rsidRPr="00573DEB">
        <w:t>” is used to define the term of protection.</w:t>
      </w:r>
    </w:p>
    <w:p w:rsidR="00B000C0" w:rsidRPr="00573DEB" w:rsidRDefault="00B000C0" w:rsidP="004B4B73"/>
    <w:p w:rsidR="00B73BC3" w:rsidRPr="00573DEB" w:rsidRDefault="00B73BC3" w:rsidP="00B73BC3">
      <w:bookmarkStart w:id="226" w:name="_Toc375213011"/>
      <w:bookmarkStart w:id="227" w:name="_Toc383414461"/>
    </w:p>
    <w:p w:rsidR="00B000C0" w:rsidRPr="00573DEB" w:rsidRDefault="00B000C0" w:rsidP="00B73BC3">
      <w:pPr>
        <w:pStyle w:val="Heading4"/>
      </w:pPr>
      <w:r w:rsidRPr="00573DEB">
        <w:t>PCT and Direct Application</w:t>
      </w:r>
      <w:bookmarkEnd w:id="226"/>
      <w:bookmarkEnd w:id="227"/>
    </w:p>
    <w:p w:rsidR="00B73BC3" w:rsidRPr="00573DEB" w:rsidRDefault="00B73BC3" w:rsidP="004B4B73"/>
    <w:p w:rsidR="00B000C0" w:rsidRPr="00573DEB" w:rsidRDefault="00B000C0" w:rsidP="004B4B73">
      <w:r w:rsidRPr="00573DEB">
        <w:t>To determine whether the application was filed via PCT or directly, when the variable "NO_DO_PCT" is not null, the application filing is defined as PCT, otherwise it is a direct application.</w:t>
      </w:r>
    </w:p>
    <w:p w:rsidR="00B000C0" w:rsidRPr="00573DEB" w:rsidRDefault="00B000C0" w:rsidP="004B4B73"/>
    <w:p w:rsidR="00B73BC3" w:rsidRPr="00573DEB" w:rsidRDefault="00B73BC3" w:rsidP="004B4B73"/>
    <w:p w:rsidR="00B000C0" w:rsidRPr="00573DEB" w:rsidRDefault="00B73BC3" w:rsidP="00B73BC3">
      <w:pPr>
        <w:pStyle w:val="Heading4"/>
      </w:pPr>
      <w:bookmarkStart w:id="228" w:name="_Toc375213006"/>
      <w:bookmarkStart w:id="229" w:name="_Toc383414462"/>
      <w:r w:rsidRPr="00573DEB">
        <w:t>A</w:t>
      </w:r>
      <w:r w:rsidR="00B000C0" w:rsidRPr="00573DEB">
        <w:t>pplicant order</w:t>
      </w:r>
      <w:bookmarkEnd w:id="228"/>
      <w:bookmarkEnd w:id="229"/>
    </w:p>
    <w:p w:rsidR="00B73BC3" w:rsidRPr="00573DEB" w:rsidRDefault="00B73BC3" w:rsidP="004B4B73"/>
    <w:p w:rsidR="00B000C0" w:rsidRPr="00573DEB" w:rsidRDefault="00B000C0" w:rsidP="004B4B73">
      <w:r w:rsidRPr="00573DEB">
        <w:t>A patent application may contain “n” applicants</w:t>
      </w:r>
      <w:r w:rsidR="004B4B73" w:rsidRPr="00573DEB">
        <w:t xml:space="preserve">.  </w:t>
      </w:r>
      <w:r w:rsidRPr="00573DEB">
        <w:t>In the filing form, these applicants are informed in a certain order, at their option</w:t>
      </w:r>
      <w:r w:rsidR="004B4B73" w:rsidRPr="00573DEB">
        <w:t xml:space="preserve">.  </w:t>
      </w:r>
      <w:r w:rsidRPr="00573DEB">
        <w:t>For the elaboration of the tables, the name of the first applicant was used</w:t>
      </w:r>
      <w:r w:rsidR="004B4B73" w:rsidRPr="00573DEB">
        <w:t xml:space="preserve">.  </w:t>
      </w:r>
      <w:r w:rsidRPr="00573DEB">
        <w:t>However, it was detected that some applications had problems in this field, such as:</w:t>
      </w:r>
    </w:p>
    <w:p w:rsidR="00B000C0" w:rsidRPr="00573DEB" w:rsidRDefault="00B000C0" w:rsidP="004B4B73"/>
    <w:p w:rsidR="00B000C0" w:rsidRPr="00573DEB" w:rsidRDefault="00B000C0" w:rsidP="004B4B73">
      <w:pPr>
        <w:pStyle w:val="ListParagraph"/>
        <w:numPr>
          <w:ilvl w:val="0"/>
          <w:numId w:val="21"/>
        </w:numPr>
      </w:pPr>
      <w:r w:rsidRPr="00573DEB">
        <w:t>applications without a first applicant;</w:t>
      </w:r>
    </w:p>
    <w:p w:rsidR="00B000C0" w:rsidRPr="00573DEB" w:rsidRDefault="00B000C0" w:rsidP="004B4B73">
      <w:pPr>
        <w:pStyle w:val="ListParagraph"/>
        <w:numPr>
          <w:ilvl w:val="0"/>
          <w:numId w:val="21"/>
        </w:numPr>
      </w:pPr>
      <w:r w:rsidRPr="00573DEB">
        <w:t>applications with more than one first applicant;</w:t>
      </w:r>
    </w:p>
    <w:p w:rsidR="00B000C0" w:rsidRPr="00573DEB" w:rsidRDefault="00B000C0" w:rsidP="004B4B73">
      <w:pPr>
        <w:pStyle w:val="ListParagraph"/>
        <w:numPr>
          <w:ilvl w:val="0"/>
          <w:numId w:val="21"/>
        </w:numPr>
      </w:pPr>
      <w:proofErr w:type="gramStart"/>
      <w:r w:rsidRPr="00573DEB">
        <w:t>applications</w:t>
      </w:r>
      <w:proofErr w:type="gramEnd"/>
      <w:r w:rsidRPr="00573DEB">
        <w:t xml:space="preserve"> with wrong numbering.</w:t>
      </w:r>
    </w:p>
    <w:p w:rsidR="00B000C0" w:rsidRPr="00573DEB" w:rsidRDefault="00B000C0" w:rsidP="004B4B73"/>
    <w:p w:rsidR="00B000C0" w:rsidRPr="00573DEB" w:rsidRDefault="00B000C0" w:rsidP="004B4B73">
      <w:r w:rsidRPr="00573DEB">
        <w:t>In these applications, the variable "applicant order" was redefined.</w:t>
      </w:r>
    </w:p>
    <w:p w:rsidR="00B000C0" w:rsidRPr="00573DEB" w:rsidRDefault="00B000C0" w:rsidP="004B4B73"/>
    <w:p w:rsidR="00B000C0" w:rsidRPr="00573DEB" w:rsidRDefault="00B000C0" w:rsidP="004B4B73">
      <w:r w:rsidRPr="00573DEB">
        <w:t>This criterion was used because 98% of total patents were filed by applicants from the same country of origin</w:t>
      </w:r>
      <w:r w:rsidR="004B4B73" w:rsidRPr="00573DEB">
        <w:t xml:space="preserve">.  </w:t>
      </w:r>
      <w:r w:rsidRPr="00573DEB">
        <w:t>This means that only 2% of total patent applications were filed jointly by applicants from different countries and among them only a very small number of patents were protected by residents and non-residents together.</w:t>
      </w:r>
    </w:p>
    <w:p w:rsidR="00B000C0" w:rsidRPr="00573DEB" w:rsidRDefault="00B000C0" w:rsidP="004B4B73"/>
    <w:p w:rsidR="00B73BC3" w:rsidRPr="00573DEB" w:rsidRDefault="00B73BC3" w:rsidP="004B4B73"/>
    <w:p w:rsidR="00B000C0" w:rsidRPr="00573DEB" w:rsidRDefault="00B73BC3" w:rsidP="00B73BC3">
      <w:pPr>
        <w:pStyle w:val="Heading4"/>
      </w:pPr>
      <w:bookmarkStart w:id="230" w:name="_Toc383414463"/>
      <w:bookmarkStart w:id="231" w:name="_Toc375213010"/>
      <w:r w:rsidRPr="00573DEB">
        <w:t>R</w:t>
      </w:r>
      <w:r w:rsidR="00B000C0" w:rsidRPr="00573DEB">
        <w:t>esidents</w:t>
      </w:r>
      <w:bookmarkEnd w:id="230"/>
      <w:r w:rsidR="00B000C0" w:rsidRPr="00573DEB">
        <w:t>' identification number</w:t>
      </w:r>
      <w:r w:rsidRPr="00573DEB">
        <w:t>: “CNPJ or CPF”</w:t>
      </w:r>
    </w:p>
    <w:p w:rsidR="00B73BC3" w:rsidRPr="00573DEB" w:rsidRDefault="00B73BC3" w:rsidP="004B4B73"/>
    <w:p w:rsidR="00B000C0" w:rsidRPr="00573DEB" w:rsidRDefault="00B000C0" w:rsidP="004B4B73">
      <w:r w:rsidRPr="00573DEB">
        <w:t>The applicant ID (CNPJ or CPF) is informed in the application form by the applicant</w:t>
      </w:r>
      <w:r w:rsidR="004B4B73" w:rsidRPr="00573DEB">
        <w:t xml:space="preserve">.  </w:t>
      </w:r>
      <w:r w:rsidRPr="00573DEB">
        <w:t xml:space="preserve">In principle the processing of such information should be easy, </w:t>
      </w:r>
      <w:proofErr w:type="spellStart"/>
      <w:r w:rsidRPr="00573DEB">
        <w:t>facilitanting</w:t>
      </w:r>
      <w:proofErr w:type="spellEnd"/>
      <w:r w:rsidRPr="00573DEB">
        <w:t xml:space="preserve"> the identification </w:t>
      </w:r>
      <w:proofErr w:type="gramStart"/>
      <w:r w:rsidRPr="00573DEB">
        <w:t>of  applicants</w:t>
      </w:r>
      <w:proofErr w:type="gramEnd"/>
      <w:r w:rsidRPr="00573DEB">
        <w:t xml:space="preserve"> and also whether they are legal entities (CNPJ) or individuals (CPF)</w:t>
      </w:r>
      <w:r w:rsidR="004B4B73" w:rsidRPr="00573DEB">
        <w:t xml:space="preserve">.  </w:t>
      </w:r>
    </w:p>
    <w:p w:rsidR="00B000C0" w:rsidRPr="00573DEB" w:rsidRDefault="00B000C0" w:rsidP="004B4B73"/>
    <w:p w:rsidR="00B000C0" w:rsidRPr="00573DEB" w:rsidRDefault="00B000C0" w:rsidP="004B4B73">
      <w:r w:rsidRPr="00573DEB">
        <w:t>In raw patent data, however, there are a significant number of resident applicants without its ID</w:t>
      </w:r>
      <w:r w:rsidR="004B4B73" w:rsidRPr="00573DEB">
        <w:t xml:space="preserve">.  </w:t>
      </w:r>
      <w:r w:rsidRPr="00573DEB">
        <w:t>For the period 2000-2011, the patent and utility model database had 15% of resident applicant records with missing “</w:t>
      </w:r>
      <w:proofErr w:type="spellStart"/>
      <w:r w:rsidRPr="00573DEB">
        <w:t>cpf_cnpj</w:t>
      </w:r>
      <w:proofErr w:type="spellEnd"/>
      <w:r w:rsidRPr="00573DEB">
        <w:t>” variable.</w:t>
      </w:r>
    </w:p>
    <w:p w:rsidR="00B000C0" w:rsidRPr="00573DEB" w:rsidRDefault="00B000C0" w:rsidP="004B4B73"/>
    <w:p w:rsidR="00B73BC3" w:rsidRPr="00573DEB" w:rsidRDefault="00B73BC3" w:rsidP="004B4B73"/>
    <w:p w:rsidR="00B000C0" w:rsidRPr="00573DEB" w:rsidRDefault="00B000C0" w:rsidP="00B73BC3">
      <w:pPr>
        <w:pStyle w:val="Heading4"/>
      </w:pPr>
      <w:bookmarkStart w:id="232" w:name="_Toc383414464"/>
      <w:r w:rsidRPr="00573DEB">
        <w:t>Identification of resident applicant</w:t>
      </w:r>
      <w:bookmarkEnd w:id="231"/>
      <w:r w:rsidRPr="00573DEB">
        <w:t>s by type</w:t>
      </w:r>
      <w:bookmarkEnd w:id="232"/>
      <w:r w:rsidRPr="00573DEB">
        <w:t xml:space="preserve"> </w:t>
      </w:r>
    </w:p>
    <w:p w:rsidR="00B73BC3" w:rsidRPr="00573DEB" w:rsidRDefault="00B73BC3" w:rsidP="004B4B73"/>
    <w:p w:rsidR="00B000C0" w:rsidRPr="00573DEB" w:rsidRDefault="00B000C0" w:rsidP="004B4B73">
      <w:r w:rsidRPr="00573DEB">
        <w:t>To classify the type of resident applicants in the period 2000-2011, the following methodology was developed:</w:t>
      </w:r>
      <w:r w:rsidR="00C051D2">
        <w:t xml:space="preserve"> </w:t>
      </w:r>
      <w:r w:rsidRPr="00573DEB">
        <w:t xml:space="preserve"> 1) for applicants with information about “</w:t>
      </w:r>
      <w:proofErr w:type="spellStart"/>
      <w:r w:rsidRPr="00573DEB">
        <w:t>cpf_cnpj</w:t>
      </w:r>
      <w:proofErr w:type="spellEnd"/>
      <w:r w:rsidRPr="00573DEB">
        <w:t>”, the classification was based on the length of this information: those who had 14 characters would be classified as a legal entity and those who had 11 characters as individuals;</w:t>
      </w:r>
      <w:r w:rsidR="00C051D2">
        <w:t xml:space="preserve"> </w:t>
      </w:r>
      <w:r w:rsidRPr="00573DEB">
        <w:t xml:space="preserve"> 2) among applicants already classified as legal entities and applicants with missing “</w:t>
      </w:r>
      <w:proofErr w:type="spellStart"/>
      <w:r w:rsidRPr="00573DEB">
        <w:t>cpf_cnpj</w:t>
      </w:r>
      <w:proofErr w:type="spellEnd"/>
      <w:r w:rsidRPr="00573DEB">
        <w:t>” field, the classification was based on a search of keywords in order to distinguish universities from companies: “S.A.”, “Ltda.” and “EPP” were classified as companies and “</w:t>
      </w:r>
      <w:proofErr w:type="spellStart"/>
      <w:r w:rsidRPr="00573DEB">
        <w:t>Universidade</w:t>
      </w:r>
      <w:proofErr w:type="spellEnd"/>
      <w:r w:rsidRPr="00573DEB">
        <w:t>”, “</w:t>
      </w:r>
      <w:proofErr w:type="spellStart"/>
      <w:r w:rsidRPr="00573DEB">
        <w:t>Faculdade</w:t>
      </w:r>
      <w:proofErr w:type="spellEnd"/>
      <w:r w:rsidRPr="00573DEB">
        <w:t>” and “</w:t>
      </w:r>
      <w:proofErr w:type="spellStart"/>
      <w:r w:rsidRPr="00573DEB">
        <w:t>Educação</w:t>
      </w:r>
      <w:proofErr w:type="spellEnd"/>
      <w:r w:rsidRPr="00573DEB">
        <w:t xml:space="preserve">” as universities; </w:t>
      </w:r>
      <w:r w:rsidR="00C051D2">
        <w:t xml:space="preserve"> </w:t>
      </w:r>
      <w:r w:rsidRPr="00573DEB">
        <w:t>3) manually, it was checked if there were any company or university not classified in the previous steps;</w:t>
      </w:r>
      <w:r w:rsidR="00C051D2">
        <w:t xml:space="preserve"> </w:t>
      </w:r>
      <w:r w:rsidRPr="00573DEB">
        <w:t xml:space="preserve"> and 4) finally, non-classified applicants were defined as individuals.</w:t>
      </w:r>
    </w:p>
    <w:p w:rsidR="00B000C0" w:rsidRPr="00573DEB" w:rsidRDefault="00B000C0" w:rsidP="004B4B73"/>
    <w:p w:rsidR="00B73BC3" w:rsidRPr="00573DEB" w:rsidRDefault="00B73BC3" w:rsidP="004B4B73"/>
    <w:p w:rsidR="00B73BC3" w:rsidRPr="00573DEB" w:rsidRDefault="00B73BC3" w:rsidP="00B73BC3">
      <w:pPr>
        <w:pStyle w:val="Caption"/>
      </w:pPr>
      <w:r w:rsidRPr="00573DEB">
        <w:t>Box A.8</w:t>
      </w:r>
      <w:r w:rsidR="00C051D2">
        <w:t xml:space="preserve">:  </w:t>
      </w:r>
      <w:r w:rsidRPr="00573DEB">
        <w:t xml:space="preserve">Identification of resident applicants by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tblGrid>
      <w:tr w:rsidR="00B000C0" w:rsidRPr="00573DEB" w:rsidTr="004B4B73">
        <w:trPr>
          <w:trHeight w:val="496"/>
        </w:trPr>
        <w:tc>
          <w:tcPr>
            <w:tcW w:w="2960" w:type="dxa"/>
            <w:shd w:val="clear" w:color="auto" w:fill="auto"/>
          </w:tcPr>
          <w:p w:rsidR="00B000C0" w:rsidRPr="00573DEB" w:rsidRDefault="00B000C0" w:rsidP="004B4B73">
            <w:pPr>
              <w:rPr>
                <w:rFonts w:ascii="Arial Narrow" w:hAnsi="Arial Narrow"/>
                <w:sz w:val="20"/>
              </w:rPr>
            </w:pPr>
            <w:r w:rsidRPr="00573DEB">
              <w:rPr>
                <w:rFonts w:ascii="Arial Narrow" w:hAnsi="Arial Narrow"/>
                <w:sz w:val="20"/>
              </w:rPr>
              <w:t>Individuals – 11 characters</w:t>
            </w:r>
          </w:p>
        </w:tc>
      </w:tr>
      <w:tr w:rsidR="00B000C0" w:rsidRPr="00573DEB" w:rsidTr="004B4B73">
        <w:trPr>
          <w:trHeight w:val="496"/>
        </w:trPr>
        <w:tc>
          <w:tcPr>
            <w:tcW w:w="2960" w:type="dxa"/>
            <w:shd w:val="clear" w:color="auto" w:fill="auto"/>
          </w:tcPr>
          <w:p w:rsidR="00B000C0" w:rsidRPr="00573DEB" w:rsidRDefault="00B000C0" w:rsidP="004B4B73">
            <w:pPr>
              <w:rPr>
                <w:rFonts w:ascii="Arial Narrow" w:hAnsi="Arial Narrow"/>
                <w:sz w:val="20"/>
              </w:rPr>
            </w:pPr>
            <w:r w:rsidRPr="00573DEB">
              <w:rPr>
                <w:rFonts w:ascii="Arial Narrow" w:hAnsi="Arial Narrow"/>
                <w:noProof/>
                <w:sz w:val="20"/>
              </w:rPr>
              <mc:AlternateContent>
                <mc:Choice Requires="wps">
                  <w:drawing>
                    <wp:anchor distT="0" distB="0" distL="114300" distR="114300" simplePos="0" relativeHeight="251660288" behindDoc="0" locked="0" layoutInCell="1" allowOverlap="1" wp14:anchorId="3C1BEE63" wp14:editId="16952236">
                      <wp:simplePos x="0" y="0"/>
                      <wp:positionH relativeFrom="column">
                        <wp:posOffset>1980580</wp:posOffset>
                      </wp:positionH>
                      <wp:positionV relativeFrom="paragraph">
                        <wp:posOffset>72183</wp:posOffset>
                      </wp:positionV>
                      <wp:extent cx="919480" cy="570732"/>
                      <wp:effectExtent l="0" t="0" r="13970" b="2032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570732"/>
                              </a:xfrm>
                              <a:prstGeom prst="rect">
                                <a:avLst/>
                              </a:prstGeom>
                              <a:solidFill>
                                <a:srgbClr val="FFFFFF"/>
                              </a:solidFill>
                              <a:ln w="9525">
                                <a:solidFill>
                                  <a:srgbClr val="000000"/>
                                </a:solidFill>
                                <a:miter lim="800000"/>
                                <a:headEnd/>
                                <a:tailEnd/>
                              </a:ln>
                            </wps:spPr>
                            <wps:txbx>
                              <w:txbxContent>
                                <w:p w:rsidR="00A03852" w:rsidRPr="00B73BC3" w:rsidRDefault="00A03852" w:rsidP="004B4B73">
                                  <w:pPr>
                                    <w:rPr>
                                      <w:rFonts w:ascii="Arial Narrow" w:hAnsi="Arial Narrow"/>
                                      <w:sz w:val="20"/>
                                    </w:rPr>
                                  </w:pPr>
                                  <w:r w:rsidRPr="00B73BC3">
                                    <w:rPr>
                                      <w:rFonts w:ascii="Arial Narrow" w:hAnsi="Arial Narrow"/>
                                      <w:sz w:val="20"/>
                                    </w:rPr>
                                    <w:t>Universities and Companies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155.95pt;margin-top:5.7pt;width:72.4pt;height:4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TMMIwIAAEcEAAAOAAAAZHJzL2Uyb0RvYy54bWysU9uO2yAQfa/Uf0C8N3aySZNYcVbbbFNV&#10;2l6k3X4AxjhGBYYCib39+h2wN01vL1V5QAwzHM6cmdlc91qRk3BeginpdJJTIgyHWppDSb887F+t&#10;KPGBmZopMKKkj8LT6+3LF5vOFmIGLahaOIIgxhedLWkbgi2yzPNWaOYnYIVBZwNOs4CmO2S1Yx2i&#10;a5XN8vx11oGrrQMuvMfb28FJtwm/aQQPn5rGi0BUSZFbSLtLexX3bLthxcEx20o+0mD/wEIzafDT&#10;M9QtC4wcnfwNSkvuwEMTJhx0Bk0juUg5YDbT/Jds7ltmRcoFxfH2LJP/f7D84+mzI7Iu6VW+pMQw&#10;jUV6EH0gb6An8Q4V6qwvMPDeYmjo0YGVTtl6ewf8qycGdi0zB3HjHHStYDUynMaX2cXTAcdHkKr7&#10;ADV+xI4BElDfOB3lQ0EIomOlHs/ViWQ4Xq6n6/kKPRxdi2W+vJqlH1jx/Ng6H94J0CQeSuqw+Amc&#10;ne58iGRY8RwS//KgZL2XSiXDHaqdcuTEsFH2aY3oP4UpQzpkspgthvz/CpGn9ScILQN2vJK6pKtz&#10;ECuiam9NnfoxMKmGM1JWZpQxKjdoGPqqH8tSQf2IgjoYOhsnEQ8tuO+UdNjVJfXfjswJStR7g0VZ&#10;T+fzOAbJmC+WMzTcpae69DDDEaqkgZLhuAtpdKJgBm6weI1MwsYqD0xGrtitSe9xsuI4XNop6sf8&#10;b58AAAD//wMAUEsDBBQABgAIAAAAIQBOwll74AAAAAoBAAAPAAAAZHJzL2Rvd25yZXYueG1sTI/L&#10;TsMwEEX3SPyDNUhsEHVMQtqGOBVCAsEOCoKtG0+TCD+C7abh7xlWsJy5R3fO1JvZGjZhiIN3EsQi&#10;A4au9XpwnYS31/vLFbCYlNPKeIcSvjHCpjk9qVWl/dG94LRNHaMSFysloU9prDiPbY9WxYUf0VG2&#10;98GqRGPouA7qSOXW8KssK7lVg6MLvRrxrsf2c3uwElbF4/QRn/Ln97bcm3W6WE4PX0HK87P59gZY&#10;wjn9wfCrT+rQkNPOH5yOzEjIhVgTSoEogBFQXJdLYDtaZCIH3tT8/wvNDwAAAP//AwBQSwECLQAU&#10;AAYACAAAACEAtoM4kv4AAADhAQAAEwAAAAAAAAAAAAAAAAAAAAAAW0NvbnRlbnRfVHlwZXNdLnht&#10;bFBLAQItABQABgAIAAAAIQA4/SH/1gAAAJQBAAALAAAAAAAAAAAAAAAAAC8BAABfcmVscy8ucmVs&#10;c1BLAQItABQABgAIAAAAIQDU2TMMIwIAAEcEAAAOAAAAAAAAAAAAAAAAAC4CAABkcnMvZTJvRG9j&#10;LnhtbFBLAQItABQABgAIAAAAIQBOwll74AAAAAoBAAAPAAAAAAAAAAAAAAAAAH0EAABkcnMvZG93&#10;bnJldi54bWxQSwUGAAAAAAQABADzAAAAigUAAAAA&#10;">
                      <v:textbox>
                        <w:txbxContent>
                          <w:p w:rsidR="00A03852" w:rsidRPr="00B73BC3" w:rsidRDefault="00A03852" w:rsidP="004B4B73">
                            <w:pPr>
                              <w:rPr>
                                <w:rFonts w:ascii="Arial Narrow" w:hAnsi="Arial Narrow"/>
                                <w:sz w:val="20"/>
                              </w:rPr>
                            </w:pPr>
                            <w:r w:rsidRPr="00B73BC3">
                              <w:rPr>
                                <w:rFonts w:ascii="Arial Narrow" w:hAnsi="Arial Narrow"/>
                                <w:sz w:val="20"/>
                              </w:rPr>
                              <w:t>Universities and Companies</w:t>
                            </w:r>
                          </w:p>
                        </w:txbxContent>
                      </v:textbox>
                    </v:shape>
                  </w:pict>
                </mc:Fallback>
              </mc:AlternateContent>
            </w:r>
            <w:r w:rsidRPr="00573DEB">
              <w:rPr>
                <w:rFonts w:ascii="Arial Narrow" w:hAnsi="Arial Narrow"/>
                <w:noProof/>
                <w:sz w:val="20"/>
              </w:rPr>
              <mc:AlternateContent>
                <mc:Choice Requires="wps">
                  <w:drawing>
                    <wp:anchor distT="0" distB="0" distL="114300" distR="114300" simplePos="0" relativeHeight="251661312" behindDoc="0" locked="0" layoutInCell="1" allowOverlap="1" wp14:anchorId="724E27B6" wp14:editId="3B5676DD">
                      <wp:simplePos x="0" y="0"/>
                      <wp:positionH relativeFrom="column">
                        <wp:posOffset>2981325</wp:posOffset>
                      </wp:positionH>
                      <wp:positionV relativeFrom="paragraph">
                        <wp:posOffset>219075</wp:posOffset>
                      </wp:positionV>
                      <wp:extent cx="135890" cy="436880"/>
                      <wp:effectExtent l="0" t="0" r="16510" b="20320"/>
                      <wp:wrapNone/>
                      <wp:docPr id="83" name="Right Brac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43688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3" o:spid="_x0000_s1026" type="#_x0000_t88" style="position:absolute;margin-left:234.75pt;margin-top:17.25pt;width:10.7pt;height:3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JohwIAAAsFAAAOAAAAZHJzL2Uyb0RvYy54bWysVEtv2zAMvg/YfxB0X22nSZcYdYq0QYYB&#10;WVusHXpmZDk2JksapcRpf/0o2elrOw27CBRJ8fHxo84vDq1ie4muMbrg2UnKmdTClI3eFvzH/erT&#10;lDPnQZegjJYFf5SOX8w/fjjvbC5HpjaqlMgoiHZ5Zwtee2/zJHGili24E2OlJmNlsAVPV9wmJUJH&#10;0VuVjNL0LOkMlhaNkM6Rdtkb+TzGryop/E1VOemZKjjV5uOJ8dyEM5mfQ75FsHUjhjLgH6poodGU&#10;9DnUEjywHTZ/hGobgcaZyp8I0yamqhohYw/UTZa+6+auBitjLwSOs88wuf8XVlzvb5E1ZcGnp5xp&#10;aGlG35tt7dklgpCMtARRZ11Onnf2FkOTzq6N+OnIkLyxhIsbfA4VtsGXWmSHiPfjM97y4JkgZXY6&#10;mc5oKoJM49Oz6TTOI4H8+Nii81+kaVkQCo6hsFhXxBr2a+dDEZAfHUNGbVaNUnGwSrOu4LPJaEJJ&#10;gOhVKfAktpYadnrLGagt8VZ4jBGdUU0ZXscucbu5Usj2QNwZr6bZ5bJ3qqGUvXY2SdOBQw78N1P2&#10;6iw96qk014eJZb6JH2pegqv7N9EUsKYnSof8MtJ3aPEF2iBtTPlIY0PT89lZsWoo2hqcvwUkAhOo&#10;tJT+ho5KGcLADBJntcGnv+mDP/GKrJx1tBAE0K8doORMfdXEuFk2HocNipfx5POILvjasnlt0bv2&#10;yhBuGa2/FVEM/l4dxQpN+0C7uwhZyQRaUO5+FMPlyveLStsv5GIR3WhrLPi1vrMiBA84BRzvDw+A&#10;dqCJJ35dm+PyQP6OJ71vz5TFzpuqiSR6wXWgNW1cnMbwO4SVfn2PXi9/2Pw3AAAA//8DAFBLAwQU&#10;AAYACAAAACEAyNO+1d8AAAAKAQAADwAAAGRycy9kb3ducmV2LnhtbEyPQU7DMBBF90jcwRokNoja&#10;NKFq0jhVhUBsWEDhAG7sxBHxOLXdJr09wwpWo9E8/Xm/2s5uYGcTYu9RwsNCADPYeN1jJ+Hr8+V+&#10;DSwmhVoNHo2Ei4mwra+vKlVqP+GHOe9TxygEY6kk2JTGkvPYWONUXPjRIN1aH5xKtIaO66AmCncD&#10;Xwqx4k71SB+sGs2TNc33/uQkLI/PanfE17c7G3R87y7tVIhWytubebcBlsyc/mD41Sd1qMnp4E+o&#10;Ixsk5KvikVAJWU6TgLwQBbADkSLLgNcV/1+h/gEAAP//AwBQSwECLQAUAAYACAAAACEAtoM4kv4A&#10;AADhAQAAEwAAAAAAAAAAAAAAAAAAAAAAW0NvbnRlbnRfVHlwZXNdLnhtbFBLAQItABQABgAIAAAA&#10;IQA4/SH/1gAAAJQBAAALAAAAAAAAAAAAAAAAAC8BAABfcmVscy8ucmVsc1BLAQItABQABgAIAAAA&#10;IQC3PAJohwIAAAsFAAAOAAAAAAAAAAAAAAAAAC4CAABkcnMvZTJvRG9jLnhtbFBLAQItABQABgAI&#10;AAAAIQDI077V3wAAAAoBAAAPAAAAAAAAAAAAAAAAAOEEAABkcnMvZG93bnJldi54bWxQSwUGAAAA&#10;AAQABADzAAAA7QUAAAAA&#10;" adj="560" strokecolor="#4a7ebb"/>
                  </w:pict>
                </mc:Fallback>
              </mc:AlternateContent>
            </w:r>
            <w:r w:rsidRPr="00573DEB">
              <w:rPr>
                <w:rFonts w:ascii="Arial Narrow" w:hAnsi="Arial Narrow"/>
                <w:noProof/>
                <w:sz w:val="20"/>
              </w:rPr>
              <mc:AlternateContent>
                <mc:Choice Requires="wps">
                  <w:drawing>
                    <wp:anchor distT="0" distB="0" distL="114300" distR="114300" simplePos="0" relativeHeight="251659264" behindDoc="0" locked="0" layoutInCell="1" allowOverlap="1" wp14:anchorId="7F1ADEF6" wp14:editId="44E88C09">
                      <wp:simplePos x="0" y="0"/>
                      <wp:positionH relativeFrom="column">
                        <wp:posOffset>1826895</wp:posOffset>
                      </wp:positionH>
                      <wp:positionV relativeFrom="paragraph">
                        <wp:posOffset>-635</wp:posOffset>
                      </wp:positionV>
                      <wp:extent cx="92710" cy="645160"/>
                      <wp:effectExtent l="0" t="0" r="21590" b="21590"/>
                      <wp:wrapNone/>
                      <wp:docPr id="82" name="Right Brac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64516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ight Brace 82" o:spid="_x0000_s1026" type="#_x0000_t88" style="position:absolute;margin-left:143.85pt;margin-top:-.05pt;width:7.3pt;height:5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DshAIAAAoFAAAOAAAAZHJzL2Uyb0RvYy54bWysVEtv2zAMvg/YfxB0X20HSR9GnSJtkGFA&#10;1hZrh54ZWX5gsqhJSpzu14+SnTbtdhp2ESiS4uPjR11e7TvFdtK6FnXBs5OUM6kFlq2uC/79cfXp&#10;nDPnQZegUMuCP0vHr+YfP1z2JpcTbFCV0jIKol3em4I33ps8SZxoZAfuBI3UZKzQduDpauuktNBT&#10;9E4lkzQ9TXq0pbEopHOkXQ5GPo/xq0oKf1dVTnqmCk61+XjaeG7CmcwvIa8tmKYVYxnwD1V00GpK&#10;+hJqCR7Y1rZ/hOpaYdFh5U8EdglWVStk7IG6ydJ33Tw0YGTshcBx5gUm9//CitvdvWVtWfDzCWca&#10;OprRt7ZuPLu2ICQjLUHUG5eT54O5t6FJZ9YofjgyJG8s4eJGn31lu+BLLbJ9xPv5BW+590yQ8mJy&#10;ltFQBFlOp7PsNI4jgfzw1ljnP0vsWBAKbkNdsawINezWzocaID84hoQaV61Sca5Ks56yzCYzSgLE&#10;rkqBJ7Ez1K/TNWegaqKt8DZGdKjaMryOTdp6c6Ms2wFRZ7o6z66Xg1MDpRy0F7M0HSnkwH/FclBn&#10;6UFPpbkhTCzzTfxQ8xJcM7yJpgA1PVE65JeRvWOLr8gGaYPlM03N4kBnZ8SqpWhrcP4eLPGXQKWd&#10;9Hd0VAoJAxwlzhq0v/6mD/5EK7Jy1tM+EEA/t2AlZ+qLJsJdZNNpWKB4mc7OJnSxx5bNsUVvuxsk&#10;3DLafiOiGPy9OoiVxe6JVncRspIJtKDcwyjGy40f9pSWX8jFIrrR0hjwa/1gRAgecAo4Pu6fwJqR&#10;Jp7odYuH3YH8HU8G34Epi63Hqo0kesV1ZDUtXJzG+DmEjT6+R6/XL2z+GwAA//8DAFBLAwQUAAYA&#10;CAAAACEAStpAYOAAAAAJAQAADwAAAGRycy9kb3ducmV2LnhtbEyPy07DMBBF90j8gzVIbFDrJFVJ&#10;CHEqCgKpS0pLWbrxkET4EdlOG/6eYQXL0T2690y1moxmJ/Shd1ZAOk+AoW2c6m0rYPf2PCuAhSit&#10;ktpZFPCNAVb15UUlS+XO9hVP29gyKrGhlAK6GIeS89B0aGSYuwEtZZ/OGxnp9C1XXp6p3GieJckt&#10;N7K3tNDJAR87bL62oxFwV4wv2SY/HG7c+1o/7ddD+PBLIa6vpod7YBGn+AfDrz6pQ01ORzdaFZgW&#10;kBV5TqiAWQqM8kWSLYAdCUzSJfC64v8/qH8AAAD//wMAUEsBAi0AFAAGAAgAAAAhALaDOJL+AAAA&#10;4QEAABMAAAAAAAAAAAAAAAAAAAAAAFtDb250ZW50X1R5cGVzXS54bWxQSwECLQAUAAYACAAAACEA&#10;OP0h/9YAAACUAQAACwAAAAAAAAAAAAAAAAAvAQAAX3JlbHMvLnJlbHNQSwECLQAUAAYACAAAACEA&#10;gi6g7IQCAAAKBQAADgAAAAAAAAAAAAAAAAAuAgAAZHJzL2Uyb0RvYy54bWxQSwECLQAUAAYACAAA&#10;ACEAStpAYOAAAAAJAQAADwAAAAAAAAAAAAAAAADeBAAAZHJzL2Rvd25yZXYueG1sUEsFBgAAAAAE&#10;AAQA8wAAAOsFAAAAAA==&#10;" adj="259" strokecolor="#4a7ebb"/>
                  </w:pict>
                </mc:Fallback>
              </mc:AlternateContent>
            </w:r>
            <w:r w:rsidRPr="00573DEB">
              <w:rPr>
                <w:rFonts w:ascii="Arial Narrow" w:hAnsi="Arial Narrow"/>
                <w:sz w:val="20"/>
              </w:rPr>
              <w:t>Legal entities – 14 characters</w:t>
            </w:r>
          </w:p>
        </w:tc>
      </w:tr>
      <w:tr w:rsidR="00B000C0" w:rsidRPr="00573DEB" w:rsidTr="004B4B73">
        <w:trPr>
          <w:trHeight w:val="508"/>
        </w:trPr>
        <w:tc>
          <w:tcPr>
            <w:tcW w:w="2960" w:type="dxa"/>
            <w:shd w:val="clear" w:color="auto" w:fill="auto"/>
          </w:tcPr>
          <w:p w:rsidR="00B000C0" w:rsidRPr="00573DEB" w:rsidRDefault="00B000C0" w:rsidP="004B4B73">
            <w:pPr>
              <w:rPr>
                <w:rFonts w:ascii="Arial Narrow" w:hAnsi="Arial Narrow"/>
                <w:sz w:val="20"/>
              </w:rPr>
            </w:pPr>
            <w:r w:rsidRPr="00573DEB">
              <w:rPr>
                <w:rFonts w:ascii="Arial Narrow" w:hAnsi="Arial Narrow"/>
                <w:noProof/>
                <w:sz w:val="20"/>
              </w:rPr>
              <mc:AlternateContent>
                <mc:Choice Requires="wps">
                  <w:drawing>
                    <wp:anchor distT="0" distB="0" distL="114300" distR="114300" simplePos="0" relativeHeight="251662336" behindDoc="0" locked="0" layoutInCell="1" allowOverlap="1" wp14:anchorId="28511B19" wp14:editId="4A896227">
                      <wp:simplePos x="0" y="0"/>
                      <wp:positionH relativeFrom="column">
                        <wp:posOffset>3277752</wp:posOffset>
                      </wp:positionH>
                      <wp:positionV relativeFrom="paragraph">
                        <wp:posOffset>16686</wp:posOffset>
                      </wp:positionV>
                      <wp:extent cx="1424763" cy="404037"/>
                      <wp:effectExtent l="0" t="0" r="23495" b="1524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763" cy="404037"/>
                              </a:xfrm>
                              <a:prstGeom prst="rect">
                                <a:avLst/>
                              </a:prstGeom>
                              <a:solidFill>
                                <a:srgbClr val="FFFFFF"/>
                              </a:solidFill>
                              <a:ln w="9525">
                                <a:solidFill>
                                  <a:srgbClr val="000000"/>
                                </a:solidFill>
                                <a:miter lim="800000"/>
                                <a:headEnd/>
                                <a:tailEnd/>
                              </a:ln>
                            </wps:spPr>
                            <wps:txbx>
                              <w:txbxContent>
                                <w:p w:rsidR="00A03852" w:rsidRPr="00B73BC3" w:rsidRDefault="00A03852" w:rsidP="004B4B73">
                                  <w:pPr>
                                    <w:rPr>
                                      <w:rFonts w:ascii="Arial Narrow" w:hAnsi="Arial Narrow"/>
                                      <w:sz w:val="20"/>
                                    </w:rPr>
                                  </w:pPr>
                                  <w:r w:rsidRPr="00B73BC3">
                                    <w:rPr>
                                      <w:rFonts w:ascii="Arial Narrow" w:hAnsi="Arial Narrow"/>
                                      <w:sz w:val="20"/>
                                    </w:rPr>
                                    <w:t>Individuals + Legal entities not classified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1" o:spid="_x0000_s1027" type="#_x0000_t202" style="position:absolute;margin-left:258.1pt;margin-top:1.3pt;width:112.2pt;height:3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JaJwIAAE0EAAAOAAAAZHJzL2Uyb0RvYy54bWysVNtu2zAMfR+wfxD0vthJnaY14hRdugwD&#10;ugvQ7gNkWY6FSaImKbGzrx8lp1nabS/D/CCIInVEnkN6eTNoRfbCeQmmotNJTokwHBppthX9+rh5&#10;c0WJD8w0TIERFT0IT29Wr18te1uKGXSgGuEIghhf9raiXQi2zDLPO6GZn4AVBp0tOM0Cmm6bNY71&#10;iK5VNsvzy6wH11gHXHiPp3ejk64SftsKHj63rReBqIpibiGtLq11XLPVkpVbx2wn+TEN9g9ZaCYN&#10;PnqCumOBkZ2Tv0FpyR14aMOEg86gbSUXqQasZpq/qOahY1akWpAcb080+f8Hyz/tvzgim4peTSkx&#10;TKNGj2II5C0MBI+Qn976EsMeLAaGAc9R51Srt/fAv3liYN0xsxW3zkHfCdZgfulmdnZ1xPERpO4/&#10;QoPvsF2ABDS0TkfykA6C6KjT4aRNzIXHJ4tZsbi8oISjr8iL/GIRk8tY+XTbOh/eC9AkbirqUPuE&#10;zvb3PoyhTyHxMQ9KNhupVDLctl4rR/YM+2STviP6szBlSF/R6/lsPhLwV4g8fX+C0DJgwyupkfFT&#10;ECsjbe9Mk9oxMKnGPVanDBYZeYzUjSSGoR6SZCd5amgOSKyDsb9xHnHTgftBSY+9XVH/fcecoER9&#10;MCjO9bQo4jAko5gvZmi4c0997mGGI1RFAyXjdh3SAEXeDNyiiK1M/MYsx0yOKWPPJoWO8xWH4txO&#10;Ub/+AqufAAAA//8DAFBLAwQUAAYACAAAACEAfbhJ1t4AAAAIAQAADwAAAGRycy9kb3ducmV2Lnht&#10;bEyPQU/DMAyF70j8h8hIXBBLV0Y2St0JIYHYDQaCa9ZkbUXilCbryr/HnOBm+z09f69cT96J0Q6x&#10;C4Qwn2UgLNXBdNQgvL0+XK5AxKTJaBfIInzbCOvq9KTUhQlHerHjNjWCQygWGqFNqS+kjHVrvY6z&#10;0FtibR8GrxOvQyPNoI8c7p3Ms0xJrzviD63u7X1r68/twSOsFk/jR9xcPb/Xau9u0sVyfPwaEM/P&#10;prtbEMlO6c8Mv/iMDhUz7cKBTBQO4XqucrYi5AoE68tFxsMOQfFdVqX8X6D6AQAA//8DAFBLAQIt&#10;ABQABgAIAAAAIQC2gziS/gAAAOEBAAATAAAAAAAAAAAAAAAAAAAAAABbQ29udGVudF9UeXBlc10u&#10;eG1sUEsBAi0AFAAGAAgAAAAhADj9If/WAAAAlAEAAAsAAAAAAAAAAAAAAAAALwEAAF9yZWxzLy5y&#10;ZWxzUEsBAi0AFAAGAAgAAAAhAEBOglonAgAATQQAAA4AAAAAAAAAAAAAAAAALgIAAGRycy9lMm9E&#10;b2MueG1sUEsBAi0AFAAGAAgAAAAhAH24SdbeAAAACAEAAA8AAAAAAAAAAAAAAAAAgQQAAGRycy9k&#10;b3ducmV2LnhtbFBLBQYAAAAABAAEAPMAAACMBQAAAAA=&#10;">
                      <v:textbox>
                        <w:txbxContent>
                          <w:p w:rsidR="00A03852" w:rsidRPr="00B73BC3" w:rsidRDefault="00A03852" w:rsidP="004B4B73">
                            <w:pPr>
                              <w:rPr>
                                <w:rFonts w:ascii="Arial Narrow" w:hAnsi="Arial Narrow"/>
                                <w:sz w:val="20"/>
                              </w:rPr>
                            </w:pPr>
                            <w:r w:rsidRPr="00B73BC3">
                              <w:rPr>
                                <w:rFonts w:ascii="Arial Narrow" w:hAnsi="Arial Narrow"/>
                                <w:sz w:val="20"/>
                              </w:rPr>
                              <w:t>Individuals + Legal entities not classified</w:t>
                            </w:r>
                          </w:p>
                        </w:txbxContent>
                      </v:textbox>
                    </v:shape>
                  </w:pict>
                </mc:Fallback>
              </mc:AlternateContent>
            </w:r>
            <w:r w:rsidRPr="00573DEB">
              <w:rPr>
                <w:rFonts w:ascii="Arial Narrow" w:hAnsi="Arial Narrow"/>
                <w:sz w:val="20"/>
              </w:rPr>
              <w:t>Missing – 15%</w:t>
            </w:r>
          </w:p>
        </w:tc>
      </w:tr>
    </w:tbl>
    <w:p w:rsidR="00B000C0" w:rsidRPr="00573DEB" w:rsidRDefault="00B000C0" w:rsidP="004B4B73"/>
    <w:p w:rsidR="00B73BC3" w:rsidRPr="00573DEB" w:rsidRDefault="00B73BC3">
      <w:pPr>
        <w:widowControl/>
        <w:spacing w:after="200" w:line="276" w:lineRule="auto"/>
      </w:pPr>
      <w:r w:rsidRPr="00573DEB">
        <w:br w:type="page"/>
      </w:r>
    </w:p>
    <w:p w:rsidR="00B000C0" w:rsidRPr="00573DEB" w:rsidRDefault="00B000C0" w:rsidP="00B73BC3">
      <w:pPr>
        <w:pStyle w:val="Heading4"/>
      </w:pPr>
      <w:bookmarkStart w:id="233" w:name="_Toc383414465"/>
      <w:r w:rsidRPr="00573DEB">
        <w:t>Identification of top 10 applicants (residents and non-residents)</w:t>
      </w:r>
      <w:bookmarkEnd w:id="233"/>
    </w:p>
    <w:p w:rsidR="00B000C0" w:rsidRPr="00573DEB" w:rsidRDefault="00B000C0" w:rsidP="004B4B73"/>
    <w:p w:rsidR="00B000C0" w:rsidRPr="00573DEB" w:rsidRDefault="00B000C0" w:rsidP="004B4B73">
      <w:r w:rsidRPr="00573DEB">
        <w:t xml:space="preserve">To create the applicant ranking, some procedures to standardize applicant names were applied: </w:t>
      </w:r>
      <w:r w:rsidR="00C051D2">
        <w:t xml:space="preserve"> </w:t>
      </w:r>
      <w:r w:rsidRPr="00573DEB">
        <w:t xml:space="preserve">(1) blanks and special characters (such as accent marks, quotes, bars, numeral operators, </w:t>
      </w:r>
      <w:r w:rsidR="0090442A" w:rsidRPr="00573DEB">
        <w:rPr>
          <w:i/>
        </w:rPr>
        <w:t xml:space="preserve">and </w:t>
      </w:r>
      <w:r w:rsidR="0090442A" w:rsidRPr="00573DEB">
        <w:t>other symbols</w:t>
      </w:r>
      <w:r w:rsidRPr="00573DEB">
        <w:t>) were removed</w:t>
      </w:r>
      <w:proofErr w:type="gramStart"/>
      <w:r w:rsidRPr="00573DEB">
        <w:t xml:space="preserve">; </w:t>
      </w:r>
      <w:r w:rsidR="00C051D2">
        <w:t xml:space="preserve"> </w:t>
      </w:r>
      <w:r w:rsidRPr="00573DEB">
        <w:t>(</w:t>
      </w:r>
      <w:proofErr w:type="gramEnd"/>
      <w:r w:rsidRPr="00573DEB">
        <w:t>2) similar applicant names were aggregated and (3) spelling mistakes and abbreviated company names were corrected.</w:t>
      </w:r>
    </w:p>
    <w:p w:rsidR="00B000C0" w:rsidRPr="00573DEB" w:rsidRDefault="00B000C0" w:rsidP="004B4B73"/>
    <w:p w:rsidR="00B73BC3" w:rsidRPr="00573DEB" w:rsidRDefault="00B73BC3" w:rsidP="004B4B73"/>
    <w:p w:rsidR="00B000C0" w:rsidRPr="00573DEB" w:rsidRDefault="00B000C0" w:rsidP="00B73BC3">
      <w:pPr>
        <w:pStyle w:val="Heading4"/>
      </w:pPr>
      <w:bookmarkStart w:id="234" w:name="_Toc375213012"/>
      <w:bookmarkStart w:id="235" w:name="_Toc383414466"/>
      <w:r w:rsidRPr="00573DEB">
        <w:t>Economic sector</w:t>
      </w:r>
      <w:bookmarkEnd w:id="234"/>
      <w:bookmarkEnd w:id="235"/>
    </w:p>
    <w:p w:rsidR="00B000C0" w:rsidRPr="00573DEB" w:rsidRDefault="00B000C0" w:rsidP="004B4B73"/>
    <w:p w:rsidR="00B000C0" w:rsidRPr="00573DEB" w:rsidRDefault="00B000C0" w:rsidP="004B4B73">
      <w:r w:rsidRPr="00573DEB">
        <w:t>In order to define from which economic sector comes the patent applicant, the National Classification of Economic Activities (CNAE) was used, corresponding to the classification of ISIC Rev.4</w:t>
      </w:r>
      <w:r w:rsidR="004B4B73" w:rsidRPr="00573DEB">
        <w:t xml:space="preserve">.  </w:t>
      </w:r>
      <w:r w:rsidRPr="00573DEB">
        <w:t>However, only applications that had the applicant's CNPJ available in BADEPI_v1.0 were classified.</w:t>
      </w:r>
    </w:p>
    <w:p w:rsidR="00B000C0" w:rsidRPr="00573DEB" w:rsidRDefault="00B000C0" w:rsidP="004B4B73"/>
    <w:p w:rsidR="00B73BC3" w:rsidRPr="00573DEB" w:rsidRDefault="00B73BC3" w:rsidP="004B4B73"/>
    <w:p w:rsidR="00B000C0" w:rsidRPr="00573DEB" w:rsidRDefault="00B000C0" w:rsidP="00B73BC3">
      <w:pPr>
        <w:pStyle w:val="Heading4"/>
      </w:pPr>
      <w:bookmarkStart w:id="236" w:name="_Toc383414467"/>
      <w:r w:rsidRPr="00573DEB">
        <w:t>Technological Sectors</w:t>
      </w:r>
      <w:bookmarkEnd w:id="236"/>
    </w:p>
    <w:p w:rsidR="00B000C0" w:rsidRPr="00573DEB" w:rsidRDefault="00B000C0" w:rsidP="004B4B73"/>
    <w:p w:rsidR="00B000C0" w:rsidRPr="00573DEB" w:rsidRDefault="00B000C0" w:rsidP="004B4B73">
      <w:r w:rsidRPr="00573DEB">
        <w:t>Patent applications were mapped according to their technological field by using a table to link IPC symbols to the corresponding fields of technology as developed by WIPO's methodology (see www.wipo.int/ipstats/en)</w:t>
      </w:r>
      <w:r w:rsidR="004B4B73" w:rsidRPr="00573DEB">
        <w:t xml:space="preserve">.  </w:t>
      </w:r>
      <w:r w:rsidRPr="00573DEB">
        <w:t>When a patent application was related to multiple fields of technology, it was counted in each field</w:t>
      </w:r>
      <w:r w:rsidR="004B4B73" w:rsidRPr="00573DEB">
        <w:t xml:space="preserve">.  </w:t>
      </w:r>
      <w:r w:rsidRPr="00573DEB">
        <w:t>When a patent application had multiple IPC symbols related to the same field of technology, it was counted just once.</w:t>
      </w:r>
    </w:p>
    <w:p w:rsidR="00B000C0" w:rsidRPr="00573DEB" w:rsidRDefault="00B000C0" w:rsidP="004B4B73"/>
    <w:p w:rsidR="00B73BC3" w:rsidRPr="00573DEB" w:rsidRDefault="00B73BC3" w:rsidP="004B4B73"/>
    <w:p w:rsidR="00B000C0" w:rsidRPr="00573DEB" w:rsidRDefault="00B000C0" w:rsidP="00B73BC3">
      <w:pPr>
        <w:pStyle w:val="Heading3"/>
      </w:pPr>
      <w:bookmarkStart w:id="237" w:name="_Toc383414468"/>
      <w:bookmarkStart w:id="238" w:name="_Toc388619964"/>
      <w:r w:rsidRPr="00573DEB">
        <w:t>Industrial Designs</w:t>
      </w:r>
      <w:bookmarkEnd w:id="237"/>
      <w:bookmarkEnd w:id="238"/>
    </w:p>
    <w:p w:rsidR="00B000C0" w:rsidRPr="00573DEB" w:rsidRDefault="00B000C0" w:rsidP="004B4B73"/>
    <w:p w:rsidR="00B000C0" w:rsidRPr="00573DEB" w:rsidRDefault="00B000C0" w:rsidP="004B4B73">
      <w:r w:rsidRPr="00573DEB">
        <w:t>Raw data from industrial designs were available in the same database containing patent data</w:t>
      </w:r>
      <w:r w:rsidR="004B4B73" w:rsidRPr="00573DEB">
        <w:t xml:space="preserve">.  </w:t>
      </w:r>
      <w:r w:rsidRPr="00573DEB">
        <w:t>As the data have the same structure and faced similar challenges, they were treated very similarly with regard to the following variables: “type”, “applicant order”, “top 10 applicants” and “economic sector”.</w:t>
      </w:r>
    </w:p>
    <w:p w:rsidR="00B000C0" w:rsidRPr="00573DEB" w:rsidRDefault="00B000C0" w:rsidP="004B4B73"/>
    <w:p w:rsidR="00B73BC3" w:rsidRPr="00573DEB" w:rsidRDefault="00B73BC3" w:rsidP="004B4B73"/>
    <w:p w:rsidR="00B000C0" w:rsidRPr="00573DEB" w:rsidRDefault="00B73BC3" w:rsidP="00B73BC3">
      <w:pPr>
        <w:pStyle w:val="Heading4"/>
      </w:pPr>
      <w:r w:rsidRPr="00573DEB">
        <w:t>Applicant order</w:t>
      </w:r>
    </w:p>
    <w:p w:rsidR="00B000C0" w:rsidRPr="00573DEB" w:rsidRDefault="00B000C0" w:rsidP="004B4B73"/>
    <w:p w:rsidR="00B000C0" w:rsidRPr="00573DEB" w:rsidRDefault="00B000C0" w:rsidP="004B4B73">
      <w:pPr>
        <w:rPr>
          <w:szCs w:val="24"/>
        </w:rPr>
      </w:pPr>
      <w:r w:rsidRPr="00573DEB">
        <w:t xml:space="preserve">An </w:t>
      </w:r>
      <w:r w:rsidRPr="00573DEB">
        <w:rPr>
          <w:szCs w:val="24"/>
        </w:rPr>
        <w:t>industrial design</w:t>
      </w:r>
      <w:r w:rsidRPr="00573DEB">
        <w:t xml:space="preserve"> application may contain “n” applicants</w:t>
      </w:r>
      <w:r w:rsidR="004B4B73" w:rsidRPr="00573DEB">
        <w:t xml:space="preserve">.  </w:t>
      </w:r>
      <w:r w:rsidRPr="00573DEB">
        <w:t>In the filing form, these applicants are informed in a certain order, at their option</w:t>
      </w:r>
      <w:r w:rsidR="004B4B73" w:rsidRPr="00573DEB">
        <w:t xml:space="preserve">.  </w:t>
      </w:r>
      <w:r w:rsidRPr="00573DEB">
        <w:t>The first named applicant was used in order to determine the application’s origin</w:t>
      </w:r>
      <w:r w:rsidR="004B4B73" w:rsidRPr="00573DEB">
        <w:t xml:space="preserve">.  </w:t>
      </w:r>
      <w:r w:rsidRPr="00573DEB">
        <w:t>As this variable presented a low level of inconsistency, concentrated in the years 2000-2002, the same treatment used for patents was executed</w:t>
      </w:r>
      <w:r w:rsidR="004B4B73" w:rsidRPr="00573DEB">
        <w:t xml:space="preserve">.  </w:t>
      </w:r>
      <w:r w:rsidRPr="00573DEB">
        <w:rPr>
          <w:szCs w:val="24"/>
        </w:rPr>
        <w:t>In these applications, the variable "applicant order" was redefined.</w:t>
      </w:r>
    </w:p>
    <w:p w:rsidR="00B000C0" w:rsidRPr="00573DEB" w:rsidRDefault="00B000C0" w:rsidP="004B4B73"/>
    <w:p w:rsidR="00B73BC3" w:rsidRPr="00573DEB" w:rsidRDefault="00B73BC3" w:rsidP="004B4B73"/>
    <w:p w:rsidR="00B000C0" w:rsidRPr="00573DEB" w:rsidRDefault="00B73BC3" w:rsidP="00B73BC3">
      <w:pPr>
        <w:pStyle w:val="Heading4"/>
      </w:pPr>
      <w:r w:rsidRPr="00573DEB">
        <w:t>T</w:t>
      </w:r>
      <w:r w:rsidR="00B000C0" w:rsidRPr="00573DEB">
        <w:t>ype of applicant</w:t>
      </w:r>
    </w:p>
    <w:p w:rsidR="00B000C0" w:rsidRPr="00573DEB" w:rsidRDefault="00B000C0" w:rsidP="004B4B73"/>
    <w:p w:rsidR="00B000C0" w:rsidRPr="00573DEB" w:rsidRDefault="00B000C0" w:rsidP="004B4B73">
      <w:r w:rsidRPr="00573DEB">
        <w:t>In industrial design data, a variable that identifies if the applicant is an individual or a legal entity was used, independent if the applicant was resident or non-resident</w:t>
      </w:r>
      <w:r w:rsidR="004B4B73" w:rsidRPr="00573DEB">
        <w:t xml:space="preserve">.  </w:t>
      </w:r>
    </w:p>
    <w:p w:rsidR="00B000C0" w:rsidRPr="00573DEB" w:rsidRDefault="00B000C0" w:rsidP="004B4B73"/>
    <w:p w:rsidR="00B73BC3" w:rsidRPr="00573DEB" w:rsidRDefault="00B73BC3" w:rsidP="004B4B73"/>
    <w:p w:rsidR="00B000C0" w:rsidRPr="00573DEB" w:rsidRDefault="00B73BC3" w:rsidP="00B73BC3">
      <w:pPr>
        <w:pStyle w:val="Heading4"/>
      </w:pPr>
      <w:r w:rsidRPr="00573DEB">
        <w:t>R</w:t>
      </w:r>
      <w:r w:rsidR="00B000C0" w:rsidRPr="00573DEB">
        <w:t>esident's ID number</w:t>
      </w:r>
      <w:r w:rsidRPr="00573DEB">
        <w:t>: Variable “CNPJ or CPF”:</w:t>
      </w:r>
    </w:p>
    <w:p w:rsidR="00B000C0" w:rsidRPr="00573DEB" w:rsidRDefault="00B000C0" w:rsidP="004B4B73"/>
    <w:p w:rsidR="00B000C0" w:rsidRPr="00573DEB" w:rsidRDefault="00B000C0" w:rsidP="004B4B73">
      <w:r w:rsidRPr="00573DEB">
        <w:t>The applicant's ID number (CNPJ or CPF) is informed in the application form by the applicant and in principle it should facilitate the identification of applicants and also if they are legal entities (CNPJ) or individuals (CPF)</w:t>
      </w:r>
      <w:r w:rsidR="004B4B73" w:rsidRPr="00573DEB">
        <w:t xml:space="preserve">.  </w:t>
      </w:r>
      <w:r w:rsidRPr="00573DEB">
        <w:t>In raw industrial design data, however, there are a significant number of resident applicants without their ID</w:t>
      </w:r>
      <w:r w:rsidR="004B4B73" w:rsidRPr="00573DEB">
        <w:t xml:space="preserve">.  </w:t>
      </w:r>
      <w:r w:rsidRPr="00573DEB">
        <w:t>For the period 2000-2011, the industrial design database had 7% of resident applicant records in which the “</w:t>
      </w:r>
      <w:proofErr w:type="spellStart"/>
      <w:r w:rsidRPr="00573DEB">
        <w:t>cpf_cnpj</w:t>
      </w:r>
      <w:proofErr w:type="spellEnd"/>
      <w:r w:rsidRPr="00573DEB">
        <w:t>” variable is missing.</w:t>
      </w:r>
    </w:p>
    <w:p w:rsidR="00B73BC3" w:rsidRPr="00573DEB" w:rsidRDefault="00B73BC3" w:rsidP="004B4B73"/>
    <w:p w:rsidR="00B000C0" w:rsidRPr="00573DEB" w:rsidRDefault="00B000C0" w:rsidP="00B73BC3">
      <w:pPr>
        <w:pStyle w:val="Heading3"/>
      </w:pPr>
      <w:bookmarkStart w:id="239" w:name="_Toc383414471"/>
      <w:bookmarkStart w:id="240" w:name="_Toc388619965"/>
      <w:proofErr w:type="spellStart"/>
      <w:r w:rsidRPr="00573DEB">
        <w:t>Softwares</w:t>
      </w:r>
      <w:bookmarkEnd w:id="239"/>
      <w:bookmarkEnd w:id="240"/>
      <w:proofErr w:type="spellEnd"/>
    </w:p>
    <w:p w:rsidR="00B73BC3" w:rsidRPr="00573DEB" w:rsidRDefault="00B73BC3" w:rsidP="004B4B73"/>
    <w:p w:rsidR="00B000C0" w:rsidRPr="00573DEB" w:rsidRDefault="00B000C0" w:rsidP="00B73BC3">
      <w:pPr>
        <w:pStyle w:val="Heading4"/>
      </w:pPr>
      <w:bookmarkStart w:id="241" w:name="_Toc383414473"/>
      <w:r w:rsidRPr="00573DEB">
        <w:t>Identification of applicants by type</w:t>
      </w:r>
      <w:bookmarkEnd w:id="241"/>
    </w:p>
    <w:p w:rsidR="00B000C0" w:rsidRPr="00573DEB" w:rsidRDefault="00B000C0" w:rsidP="004B4B73"/>
    <w:p w:rsidR="00B000C0" w:rsidRPr="00573DEB" w:rsidRDefault="00B000C0" w:rsidP="004B4B73">
      <w:r w:rsidRPr="00573DEB">
        <w:t>A new variable "</w:t>
      </w:r>
      <w:proofErr w:type="spellStart"/>
      <w:r w:rsidRPr="00573DEB">
        <w:t>natureza_jurídica</w:t>
      </w:r>
      <w:proofErr w:type="spellEnd"/>
      <w:r w:rsidRPr="00573DEB">
        <w:t>" was created to distinguish individuals from legal entities using the variable "CPF_CNPJ"</w:t>
      </w:r>
      <w:r w:rsidR="004B4B73" w:rsidRPr="00573DEB">
        <w:t xml:space="preserve">.  </w:t>
      </w:r>
      <w:r w:rsidRPr="00573DEB">
        <w:t>The raw software data presented complete information for this variable</w:t>
      </w:r>
      <w:r w:rsidR="004B4B73" w:rsidRPr="00573DEB">
        <w:t xml:space="preserve">.  </w:t>
      </w:r>
      <w:r w:rsidRPr="00573DEB">
        <w:t>Only 74 applications, out of a total of 9,728, had no information of applicants</w:t>
      </w:r>
      <w:r w:rsidR="004B4B73" w:rsidRPr="00573DEB">
        <w:t xml:space="preserve">.  </w:t>
      </w:r>
      <w:r w:rsidRPr="00573DEB">
        <w:t>In a total of 11,034 records of applicants, it was not possible to classify the variable "CPF_CNPJ" in 167 records.</w:t>
      </w:r>
    </w:p>
    <w:p w:rsidR="00B000C0" w:rsidRPr="00573DEB" w:rsidRDefault="00B000C0" w:rsidP="004B4B73"/>
    <w:p w:rsidR="00B73BC3" w:rsidRPr="00573DEB" w:rsidRDefault="00B73BC3" w:rsidP="004B4B73"/>
    <w:p w:rsidR="00B000C0" w:rsidRPr="00573DEB" w:rsidRDefault="00B000C0" w:rsidP="00B73BC3">
      <w:pPr>
        <w:pStyle w:val="Heading4"/>
      </w:pPr>
      <w:bookmarkStart w:id="242" w:name="_Toc383414472"/>
      <w:r w:rsidRPr="00573DEB">
        <w:t>Identification of top 10 applicants</w:t>
      </w:r>
      <w:bookmarkEnd w:id="242"/>
    </w:p>
    <w:p w:rsidR="00B000C0" w:rsidRPr="00573DEB" w:rsidRDefault="00B000C0" w:rsidP="004B4B73"/>
    <w:p w:rsidR="00B000C0" w:rsidRPr="00573DEB" w:rsidRDefault="00B000C0" w:rsidP="004B4B73">
      <w:r w:rsidRPr="00573DEB">
        <w:t>The software database presented complete and standardized raw data for the variable "applicant_ name" This allowed INPI to create the ranking of applicants by grouping them by name.</w:t>
      </w:r>
    </w:p>
    <w:p w:rsidR="00B000C0" w:rsidRPr="00573DEB" w:rsidRDefault="00B000C0" w:rsidP="004B4B73"/>
    <w:p w:rsidR="00B000C0" w:rsidRPr="00573DEB" w:rsidRDefault="00B000C0" w:rsidP="004B4B73">
      <w:r w:rsidRPr="00573DEB">
        <w:t xml:space="preserve">The economic sectors informed in Top 10 applicants table were obtained by </w:t>
      </w:r>
      <w:proofErr w:type="spellStart"/>
      <w:r w:rsidRPr="00573DEB">
        <w:t>Receita</w:t>
      </w:r>
      <w:proofErr w:type="spellEnd"/>
      <w:r w:rsidRPr="00573DEB">
        <w:t xml:space="preserve"> Federal do </w:t>
      </w:r>
      <w:proofErr w:type="spellStart"/>
      <w:r w:rsidRPr="00573DEB">
        <w:t>Brasil's</w:t>
      </w:r>
      <w:proofErr w:type="spellEnd"/>
      <w:r w:rsidRPr="00573DEB">
        <w:t xml:space="preserve"> website (</w:t>
      </w:r>
      <w:hyperlink r:id="rId99" w:history="1">
        <w:r w:rsidRPr="00573DEB">
          <w:rPr>
            <w:i/>
            <w:u w:val="single"/>
          </w:rPr>
          <w:t>www.receita.fazenda.gov.br/pessoajuridica/cnpj/cnpjreva/ cnpjreva_solicitacao.asp</w:t>
        </w:r>
      </w:hyperlink>
      <w:r w:rsidRPr="00573DEB">
        <w:t>)</w:t>
      </w:r>
      <w:r w:rsidR="004B4B73" w:rsidRPr="00573DEB">
        <w:t xml:space="preserve">.  </w:t>
      </w:r>
      <w:r w:rsidRPr="00573DEB">
        <w:t>The search was conducted by the company's CNPJ informed in the application.</w:t>
      </w:r>
    </w:p>
    <w:p w:rsidR="00B000C0" w:rsidRPr="00573DEB" w:rsidRDefault="00B000C0" w:rsidP="004B4B73"/>
    <w:p w:rsidR="00B000C0" w:rsidRPr="00573DEB" w:rsidRDefault="00B000C0" w:rsidP="00B73BC3">
      <w:pPr>
        <w:pStyle w:val="Heading3"/>
      </w:pPr>
      <w:bookmarkStart w:id="243" w:name="_Toc383414474"/>
      <w:bookmarkStart w:id="244" w:name="_Toc388619966"/>
      <w:r w:rsidRPr="00573DEB">
        <w:t>Trademarks</w:t>
      </w:r>
      <w:bookmarkEnd w:id="243"/>
      <w:bookmarkEnd w:id="244"/>
    </w:p>
    <w:p w:rsidR="00B000C0" w:rsidRPr="00573DEB" w:rsidRDefault="00B000C0" w:rsidP="004B4B73"/>
    <w:p w:rsidR="00B000C0" w:rsidRPr="00573DEB" w:rsidRDefault="00B000C0" w:rsidP="004B4B73">
      <w:r w:rsidRPr="00573DEB">
        <w:t>Before BAPEPI was developed, INPI carried out a correction of the inconsistencies at BP-INPI as a preparatory step to its migration to the Industrial Property Automation System – IPAS, provided by WIPO to automate the processing of trademarks</w:t>
      </w:r>
      <w:r w:rsidR="004B4B73" w:rsidRPr="00573DEB">
        <w:t xml:space="preserve">.  </w:t>
      </w:r>
      <w:r w:rsidRPr="00573DEB">
        <w:t>In this respect, INPI corrected the data of processes and applicants (individuals or companies)</w:t>
      </w:r>
      <w:r w:rsidR="004B4B73" w:rsidRPr="00573DEB">
        <w:t xml:space="preserve">.  </w:t>
      </w:r>
      <w:r w:rsidRPr="00573DEB">
        <w:t>BADEPI-Trademarks, therefore, incorporated the data with a very low level of inconsistencies</w:t>
      </w:r>
      <w:r w:rsidR="004B4B73" w:rsidRPr="00573DEB">
        <w:t xml:space="preserve">.  </w:t>
      </w:r>
    </w:p>
    <w:p w:rsidR="00B000C0" w:rsidRPr="00573DEB" w:rsidRDefault="00B000C0" w:rsidP="004B4B73"/>
    <w:p w:rsidR="00B000C0" w:rsidRPr="00573DEB" w:rsidRDefault="00B000C0" w:rsidP="004B4B73">
      <w:r w:rsidRPr="00573DEB">
        <w:t>Out of the 1,5 million applications filed between 2000 and 2012, the inconsistencies, as of April, 2013, were the following: 403 missing data regarding the state of origin of resident trademark applicants, 287 missing data  regarding the country of origin of applicants (both residents and non-residents) and 4,352 missing data of “applicants' ID” (CPF or CNPJ) of resident applicants.</w:t>
      </w:r>
    </w:p>
    <w:p w:rsidR="00B000C0" w:rsidRPr="00573DEB" w:rsidRDefault="00B000C0" w:rsidP="004B4B73"/>
    <w:p w:rsidR="00B73BC3" w:rsidRPr="00573DEB" w:rsidRDefault="00B73BC3" w:rsidP="004B4B73"/>
    <w:p w:rsidR="00B000C0" w:rsidRPr="00573DEB" w:rsidRDefault="00B000C0" w:rsidP="00B73BC3">
      <w:pPr>
        <w:pStyle w:val="Heading2"/>
      </w:pPr>
      <w:bookmarkStart w:id="245" w:name="_Toc383414475"/>
      <w:bookmarkStart w:id="246" w:name="_Toc388619967"/>
      <w:r w:rsidRPr="00573DEB">
        <w:t>Data improvements and future updates</w:t>
      </w:r>
      <w:bookmarkEnd w:id="245"/>
      <w:bookmarkEnd w:id="246"/>
    </w:p>
    <w:p w:rsidR="00B73BC3" w:rsidRPr="00573DEB" w:rsidRDefault="00B73BC3" w:rsidP="004B4B73">
      <w:pPr>
        <w:rPr>
          <w:lang w:eastAsia="pt-BR"/>
        </w:rPr>
      </w:pPr>
    </w:p>
    <w:p w:rsidR="00B000C0" w:rsidRPr="00573DEB" w:rsidRDefault="00B000C0" w:rsidP="004B4B73">
      <w:pPr>
        <w:rPr>
          <w:lang w:eastAsia="pt-BR"/>
        </w:rPr>
      </w:pPr>
      <w:r w:rsidRPr="00573DEB">
        <w:rPr>
          <w:lang w:eastAsia="pt-BR"/>
        </w:rPr>
        <w:t>According to the original conceptual model of the development of BADEPI_v1.0, the process of updating the data in the future would demand a new copy of the selected fields from BP-INPI, in which past records, with eventual changes, and the errors and missing data already identified and corrected, would be replaced</w:t>
      </w:r>
      <w:r w:rsidR="00656538" w:rsidRPr="00573DEB">
        <w:rPr>
          <w:lang w:eastAsia="pt-BR"/>
        </w:rPr>
        <w:t>.</w:t>
      </w:r>
      <w:r w:rsidRPr="00573DEB">
        <w:rPr>
          <w:vertAlign w:val="superscript"/>
          <w:lang w:eastAsia="pt-BR"/>
        </w:rPr>
        <w:footnoteReference w:id="37"/>
      </w:r>
      <w:r w:rsidR="004B4B73" w:rsidRPr="00573DEB">
        <w:rPr>
          <w:lang w:eastAsia="pt-BR"/>
        </w:rPr>
        <w:t xml:space="preserve">  </w:t>
      </w:r>
      <w:r w:rsidRPr="00573DEB">
        <w:rPr>
          <w:lang w:eastAsia="pt-BR"/>
        </w:rPr>
        <w:t>It means that updating the data, in this conception, would tend to generate retroactive dynamism, by the very nature of BP.</w:t>
      </w:r>
    </w:p>
    <w:p w:rsidR="00B73BC3" w:rsidRPr="00573DEB" w:rsidRDefault="00B73BC3" w:rsidP="004B4B73">
      <w:pPr>
        <w:rPr>
          <w:lang w:eastAsia="pt-BR"/>
        </w:rPr>
      </w:pPr>
    </w:p>
    <w:p w:rsidR="00B000C0" w:rsidRPr="00573DEB" w:rsidRDefault="00B000C0" w:rsidP="004B4B73">
      <w:pPr>
        <w:rPr>
          <w:lang w:eastAsia="pt-BR"/>
        </w:rPr>
      </w:pPr>
      <w:r w:rsidRPr="00573DEB">
        <w:rPr>
          <w:lang w:eastAsia="pt-BR"/>
        </w:rPr>
        <w:t>Aiming at overcoming this difficulty, a new model was designed and will be implemented in future updates, including in the completion of 2012 data where necessary</w:t>
      </w:r>
      <w:r w:rsidR="004B4B73" w:rsidRPr="00573DEB">
        <w:rPr>
          <w:lang w:eastAsia="pt-BR"/>
        </w:rPr>
        <w:t xml:space="preserve">.  </w:t>
      </w:r>
      <w:r w:rsidRPr="00573DEB">
        <w:rPr>
          <w:lang w:eastAsia="pt-BR"/>
        </w:rPr>
        <w:t>This new model involves the creation of a copy of the tables that contain the records of Patents, Utility Models, Industrial Designs, Trademarks, Contracts, Program and Geographical Indication from INPI’s production database that will act as an intermediate database for the construction of new versions of BADEPI</w:t>
      </w:r>
      <w:r w:rsidR="004B4B73" w:rsidRPr="00573DEB">
        <w:rPr>
          <w:lang w:eastAsia="pt-BR"/>
        </w:rPr>
        <w:t xml:space="preserve">.  </w:t>
      </w:r>
      <w:r w:rsidRPr="00573DEB">
        <w:rPr>
          <w:lang w:eastAsia="pt-BR"/>
        </w:rPr>
        <w:t>The relevance of an intermediate database with raw data is that it is a static database and articulates with the interruption of "retroactive dynamism"</w:t>
      </w:r>
      <w:r w:rsidR="004B4B73" w:rsidRPr="00573DEB">
        <w:rPr>
          <w:lang w:eastAsia="pt-BR"/>
        </w:rPr>
        <w:t xml:space="preserve">.  </w:t>
      </w:r>
      <w:r w:rsidRPr="00573DEB">
        <w:rPr>
          <w:lang w:eastAsia="pt-BR"/>
        </w:rPr>
        <w:t>This version of BADEPI extracted from the intermediate database will be called BADEPI v1.1, replacing BADEPI v1.0</w:t>
      </w:r>
      <w:r w:rsidR="004B4B73" w:rsidRPr="00573DEB">
        <w:rPr>
          <w:lang w:eastAsia="pt-BR"/>
        </w:rPr>
        <w:t xml:space="preserve">.  </w:t>
      </w:r>
      <w:r w:rsidRPr="00573DEB">
        <w:rPr>
          <w:lang w:eastAsia="pt-BR"/>
        </w:rPr>
        <w:t>The diagram below summarizes the new conceptual model proposed herein.</w:t>
      </w:r>
    </w:p>
    <w:p w:rsidR="00B73BC3" w:rsidRPr="00573DEB" w:rsidRDefault="00B73BC3" w:rsidP="004B4B73">
      <w:pPr>
        <w:rPr>
          <w:lang w:eastAsia="pt-BR"/>
        </w:rPr>
      </w:pPr>
    </w:p>
    <w:p w:rsidR="00B000C0" w:rsidRPr="00573DEB" w:rsidRDefault="00B000C0" w:rsidP="004B4B73">
      <w:pPr>
        <w:rPr>
          <w:lang w:eastAsia="pt-BR"/>
        </w:rPr>
      </w:pPr>
    </w:p>
    <w:p w:rsidR="00B000C0" w:rsidRPr="00573DEB" w:rsidRDefault="00B000C0" w:rsidP="004B4B73">
      <w:pPr>
        <w:rPr>
          <w:rStyle w:val="Emphasis"/>
        </w:rPr>
      </w:pPr>
      <w:r w:rsidRPr="00573DEB">
        <w:rPr>
          <w:rStyle w:val="Emphasis"/>
        </w:rPr>
        <w:t>Box A.</w:t>
      </w:r>
      <w:r w:rsidR="00B73BC3" w:rsidRPr="00573DEB">
        <w:rPr>
          <w:rStyle w:val="Emphasis"/>
        </w:rPr>
        <w:t>9</w:t>
      </w:r>
      <w:r w:rsidR="00C051D2">
        <w:rPr>
          <w:rStyle w:val="Emphasis"/>
        </w:rPr>
        <w:t xml:space="preserve">:  </w:t>
      </w:r>
      <w:r w:rsidRPr="00573DEB">
        <w:rPr>
          <w:rStyle w:val="Emphasis"/>
        </w:rPr>
        <w:t>Future updates of INPI’s Statistical Database</w:t>
      </w:r>
    </w:p>
    <w:p w:rsidR="00B000C0" w:rsidRPr="00573DEB" w:rsidRDefault="00B000C0" w:rsidP="004B4B73">
      <w:r w:rsidRPr="00573DEB">
        <w:rPr>
          <w:noProof/>
        </w:rPr>
        <w:drawing>
          <wp:inline distT="0" distB="0" distL="0" distR="0" wp14:anchorId="1387445E" wp14:editId="47568797">
            <wp:extent cx="5263515" cy="39598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63515" cy="3959860"/>
                    </a:xfrm>
                    <a:prstGeom prst="rect">
                      <a:avLst/>
                    </a:prstGeom>
                    <a:noFill/>
                    <a:ln>
                      <a:noFill/>
                    </a:ln>
                  </pic:spPr>
                </pic:pic>
              </a:graphicData>
            </a:graphic>
          </wp:inline>
        </w:drawing>
      </w:r>
    </w:p>
    <w:p w:rsidR="00656538" w:rsidRPr="00573DEB" w:rsidRDefault="00656538" w:rsidP="004B4B73">
      <w:pPr>
        <w:rPr>
          <w:lang w:eastAsia="pt-BR"/>
        </w:rPr>
      </w:pPr>
    </w:p>
    <w:p w:rsidR="00656538" w:rsidRPr="00573DEB" w:rsidRDefault="00656538" w:rsidP="004B4B73">
      <w:pPr>
        <w:rPr>
          <w:lang w:eastAsia="pt-BR"/>
        </w:rPr>
      </w:pPr>
    </w:p>
    <w:p w:rsidR="00B000C0" w:rsidRPr="00573DEB" w:rsidRDefault="00B000C0" w:rsidP="004B4B73">
      <w:pPr>
        <w:rPr>
          <w:lang w:eastAsia="pt-BR"/>
        </w:rPr>
      </w:pPr>
      <w:r w:rsidRPr="00573DEB">
        <w:rPr>
          <w:lang w:eastAsia="pt-BR"/>
        </w:rPr>
        <w:t>From the BADEPI v1.1 a series of procedures will be applied for identifying and correcting inconsistencies, resulting in the creation of BADEPI v2.0</w:t>
      </w:r>
      <w:r w:rsidR="004B4B73" w:rsidRPr="00573DEB">
        <w:rPr>
          <w:lang w:eastAsia="pt-BR"/>
        </w:rPr>
        <w:t xml:space="preserve">.  </w:t>
      </w:r>
      <w:r w:rsidRPr="00573DEB">
        <w:rPr>
          <w:lang w:eastAsia="pt-BR"/>
        </w:rPr>
        <w:t>This version, in turn, will be the basis of INPI’s Statistical Yearbook of Intellectual Property on the internet (web interface) and shared with a larger network of qualified specialists</w:t>
      </w:r>
      <w:r w:rsidR="00656538" w:rsidRPr="00573DEB">
        <w:rPr>
          <w:lang w:eastAsia="pt-BR"/>
        </w:rPr>
        <w:t>.</w:t>
      </w:r>
      <w:r w:rsidRPr="00573DEB">
        <w:rPr>
          <w:vertAlign w:val="superscript"/>
          <w:lang w:eastAsia="pt-BR"/>
        </w:rPr>
        <w:footnoteReference w:id="38"/>
      </w:r>
    </w:p>
    <w:p w:rsidR="00656538" w:rsidRPr="00573DEB" w:rsidRDefault="00656538" w:rsidP="004B4B73">
      <w:pPr>
        <w:rPr>
          <w:lang w:eastAsia="pt-BR"/>
        </w:rPr>
      </w:pPr>
    </w:p>
    <w:p w:rsidR="00B000C0" w:rsidRPr="00573DEB" w:rsidRDefault="00B000C0" w:rsidP="004B4B73">
      <w:pPr>
        <w:rPr>
          <w:lang w:eastAsia="pt-BR"/>
        </w:rPr>
      </w:pPr>
      <w:r w:rsidRPr="00573DEB">
        <w:rPr>
          <w:lang w:eastAsia="pt-BR"/>
        </w:rPr>
        <w:t>The process will be repeated annually, incorporating only data from each subsequent year</w:t>
      </w:r>
      <w:r w:rsidR="004B4B73" w:rsidRPr="00573DEB">
        <w:rPr>
          <w:lang w:eastAsia="pt-BR"/>
        </w:rPr>
        <w:t xml:space="preserve">.  </w:t>
      </w:r>
      <w:r w:rsidRPr="00573DEB">
        <w:rPr>
          <w:lang w:eastAsia="pt-BR"/>
        </w:rPr>
        <w:t>It will also repeat the list of procedures for dealing with inconsistencies and other improvements suggested by the network of qualified specialists</w:t>
      </w:r>
      <w:r w:rsidR="004B4B73" w:rsidRPr="00573DEB">
        <w:rPr>
          <w:lang w:eastAsia="pt-BR"/>
        </w:rPr>
        <w:t xml:space="preserve">.  </w:t>
      </w:r>
      <w:r w:rsidRPr="00573DEB">
        <w:rPr>
          <w:lang w:eastAsia="pt-BR"/>
        </w:rPr>
        <w:t>As a result, past data that has already been treated in BADEPI will no longer be replaced with each new extraction of BP-INPI, preserving the process of cleaning the database of inconsistencies as done previously.</w:t>
      </w:r>
    </w:p>
    <w:p w:rsidR="00B000C0" w:rsidRPr="00573DEB" w:rsidRDefault="00B000C0" w:rsidP="004B4B73">
      <w:pPr>
        <w:rPr>
          <w:lang w:eastAsia="pt-BR"/>
        </w:rPr>
      </w:pPr>
    </w:p>
    <w:p w:rsidR="00656538" w:rsidRDefault="00656538" w:rsidP="004B4B73">
      <w:pPr>
        <w:rPr>
          <w:lang w:eastAsia="pt-BR"/>
        </w:rPr>
      </w:pPr>
    </w:p>
    <w:p w:rsidR="00FF1D6B" w:rsidRDefault="00FF1D6B" w:rsidP="004B4B73">
      <w:pPr>
        <w:rPr>
          <w:lang w:eastAsia="pt-BR"/>
        </w:rPr>
      </w:pPr>
    </w:p>
    <w:p w:rsidR="00FF1D6B" w:rsidRPr="00573DEB" w:rsidRDefault="00FF1D6B" w:rsidP="004B4B73">
      <w:pPr>
        <w:rPr>
          <w:lang w:eastAsia="pt-BR"/>
        </w:rPr>
      </w:pPr>
    </w:p>
    <w:p w:rsidR="00656538" w:rsidRPr="00573DEB" w:rsidRDefault="00656538" w:rsidP="004B4B73">
      <w:pPr>
        <w:rPr>
          <w:lang w:eastAsia="pt-BR"/>
        </w:rPr>
      </w:pPr>
    </w:p>
    <w:p w:rsidR="00B000C0" w:rsidRPr="00573DEB" w:rsidRDefault="00B000C0" w:rsidP="00656538">
      <w:pPr>
        <w:pStyle w:val="Heading2"/>
      </w:pPr>
      <w:bookmarkStart w:id="247" w:name="_Toc383414476"/>
      <w:bookmarkStart w:id="248" w:name="_Toc388619968"/>
      <w:r w:rsidRPr="00573DEB">
        <w:t>New procedures for identification and correction of inconsistencies</w:t>
      </w:r>
      <w:bookmarkEnd w:id="247"/>
      <w:bookmarkEnd w:id="248"/>
    </w:p>
    <w:p w:rsidR="00B000C0" w:rsidRPr="00573DEB" w:rsidRDefault="00B000C0" w:rsidP="004B4B73"/>
    <w:p w:rsidR="00B000C0" w:rsidRPr="00573DEB" w:rsidRDefault="00B000C0" w:rsidP="004B4B73">
      <w:r w:rsidRPr="00573DEB">
        <w:t>As presented above, the raw data have missing values or invalid information that have been already identified and quantified for the production of this report</w:t>
      </w:r>
      <w:r w:rsidR="004B4B73" w:rsidRPr="00573DEB">
        <w:t xml:space="preserve">.  </w:t>
      </w:r>
      <w:r w:rsidRPr="00573DEB">
        <w:t>Some of them were already treated and now need to be automated, while others need to receive new treatments for cleaning and harmonization.</w:t>
      </w:r>
    </w:p>
    <w:p w:rsidR="00B000C0" w:rsidRPr="00573DEB" w:rsidRDefault="00B000C0" w:rsidP="004B4B73"/>
    <w:p w:rsidR="00B000C0" w:rsidRPr="00573DEB" w:rsidRDefault="00B000C0" w:rsidP="004B4B73">
      <w:r w:rsidRPr="00573DEB">
        <w:t>The processing and the integration with external databases (databases from either INPI or other institutions) will allow the reduction of the number of records with missing values, the correction of invalid information and thus the improvement of BADEPI’s quality.</w:t>
      </w:r>
    </w:p>
    <w:p w:rsidR="00B000C0" w:rsidRPr="00573DEB" w:rsidRDefault="00B000C0" w:rsidP="004B4B73"/>
    <w:p w:rsidR="00B000C0" w:rsidRPr="00573DEB" w:rsidRDefault="00B000C0" w:rsidP="004B4B73">
      <w:r w:rsidRPr="00573DEB">
        <w:t>The main variables that need new treatment are:</w:t>
      </w:r>
    </w:p>
    <w:p w:rsidR="00B000C0" w:rsidRPr="00573DEB" w:rsidRDefault="00B000C0" w:rsidP="004B4B73"/>
    <w:p w:rsidR="00B000C0" w:rsidRPr="00573DEB" w:rsidRDefault="00B000C0" w:rsidP="00656538">
      <w:pPr>
        <w:pStyle w:val="Heading3"/>
      </w:pPr>
      <w:bookmarkStart w:id="249" w:name="_Toc383414477"/>
      <w:bookmarkStart w:id="250" w:name="_Toc388619969"/>
      <w:r w:rsidRPr="00573DEB">
        <w:t xml:space="preserve">Variable “CNPJ or CPF”: </w:t>
      </w:r>
      <w:r w:rsidR="008C2A2F">
        <w:t xml:space="preserve"> </w:t>
      </w:r>
      <w:r w:rsidRPr="00573DEB">
        <w:t>applicant ID for residents</w:t>
      </w:r>
      <w:bookmarkEnd w:id="249"/>
      <w:bookmarkEnd w:id="250"/>
    </w:p>
    <w:p w:rsidR="00656538" w:rsidRPr="00573DEB" w:rsidRDefault="00656538" w:rsidP="00656538"/>
    <w:p w:rsidR="00B000C0" w:rsidRPr="00573DEB" w:rsidRDefault="00B000C0" w:rsidP="004B4B73">
      <w:pPr>
        <w:rPr>
          <w:lang w:eastAsia="pt-BR"/>
        </w:rPr>
      </w:pPr>
      <w:r w:rsidRPr="00573DEB">
        <w:rPr>
          <w:lang w:eastAsia="pt-BR"/>
        </w:rPr>
        <w:t>INPI will use the PAG database (INPI’s database that contains the records of fee payments for INPI's services) to find, through the application number, the applicant's ID number (CNPJ for legal entities or CPF for individuals), where this information remains missing, and associate it with the name of the applicant.</w:t>
      </w:r>
    </w:p>
    <w:p w:rsidR="00656538" w:rsidRPr="00573DEB" w:rsidRDefault="00656538" w:rsidP="004B4B73">
      <w:pPr>
        <w:rPr>
          <w:lang w:eastAsia="pt-BR"/>
        </w:rPr>
      </w:pPr>
    </w:p>
    <w:p w:rsidR="00B000C0" w:rsidRPr="00573DEB" w:rsidRDefault="00B000C0" w:rsidP="004B4B73">
      <w:pPr>
        <w:rPr>
          <w:lang w:eastAsia="pt-BR"/>
        </w:rPr>
      </w:pPr>
      <w:r w:rsidRPr="00573DEB">
        <w:rPr>
          <w:lang w:eastAsia="pt-BR"/>
        </w:rPr>
        <w:t>INPI will search, for every type of protection and between the different types, records of homonymous legal entities when in at least one of them information of its CNPJ is available and in another such information is missing</w:t>
      </w:r>
      <w:r w:rsidR="004B4B73" w:rsidRPr="00573DEB">
        <w:rPr>
          <w:lang w:eastAsia="pt-BR"/>
        </w:rPr>
        <w:t xml:space="preserve">.  </w:t>
      </w:r>
      <w:r w:rsidRPr="00573DEB">
        <w:rPr>
          <w:lang w:eastAsia="pt-BR"/>
        </w:rPr>
        <w:t>The information of the available CNPJ will be attributed to other homonyms records without this information</w:t>
      </w:r>
      <w:r w:rsidR="004B4B73" w:rsidRPr="00573DEB">
        <w:rPr>
          <w:lang w:eastAsia="pt-BR"/>
        </w:rPr>
        <w:t xml:space="preserve">.  </w:t>
      </w:r>
    </w:p>
    <w:p w:rsidR="00656538" w:rsidRPr="00573DEB" w:rsidRDefault="00656538" w:rsidP="004B4B73">
      <w:pPr>
        <w:rPr>
          <w:lang w:eastAsia="pt-BR"/>
        </w:rPr>
      </w:pPr>
    </w:p>
    <w:p w:rsidR="00B000C0" w:rsidRPr="00573DEB" w:rsidRDefault="00B000C0" w:rsidP="004B4B73">
      <w:pPr>
        <w:rPr>
          <w:lang w:eastAsia="pt-BR"/>
        </w:rPr>
      </w:pPr>
      <w:r w:rsidRPr="00573DEB">
        <w:rPr>
          <w:lang w:eastAsia="pt-BR"/>
        </w:rPr>
        <w:t>INPI will also use the database of Annual Social Information Registry (RAIS) of the Ministry of Labor and Employment (MTE) to search through the name of the applicants that are legal entities and remain with missing CNPJ</w:t>
      </w:r>
      <w:r w:rsidR="004B4B73" w:rsidRPr="00573DEB">
        <w:rPr>
          <w:lang w:eastAsia="pt-BR"/>
        </w:rPr>
        <w:t xml:space="preserve">.  </w:t>
      </w:r>
      <w:r w:rsidRPr="00573DEB">
        <w:rPr>
          <w:lang w:eastAsia="pt-BR"/>
        </w:rPr>
        <w:t>The CNPJ located in RAIS database will be attributed to these missing records</w:t>
      </w:r>
      <w:r w:rsidR="004B4B73" w:rsidRPr="00573DEB">
        <w:rPr>
          <w:lang w:eastAsia="pt-BR"/>
        </w:rPr>
        <w:t xml:space="preserve">.  </w:t>
      </w:r>
    </w:p>
    <w:p w:rsidR="00656538" w:rsidRPr="00573DEB" w:rsidRDefault="00656538" w:rsidP="004B4B73">
      <w:pPr>
        <w:rPr>
          <w:lang w:eastAsia="pt-BR"/>
        </w:rPr>
      </w:pPr>
    </w:p>
    <w:p w:rsidR="00B000C0" w:rsidRPr="00573DEB" w:rsidRDefault="00B000C0" w:rsidP="004B4B73">
      <w:pPr>
        <w:rPr>
          <w:lang w:eastAsia="pt-BR"/>
        </w:rPr>
      </w:pPr>
      <w:r w:rsidRPr="00573DEB">
        <w:rPr>
          <w:lang w:eastAsia="pt-BR"/>
        </w:rPr>
        <w:t>With these procedures, the number of records with missing data will significantly reduce.</w:t>
      </w:r>
    </w:p>
    <w:p w:rsidR="00B000C0" w:rsidRPr="00573DEB" w:rsidRDefault="00B000C0" w:rsidP="004B4B73"/>
    <w:p w:rsidR="00656538" w:rsidRPr="00573DEB" w:rsidRDefault="00656538" w:rsidP="004B4B73"/>
    <w:p w:rsidR="00B000C0" w:rsidRPr="00573DEB" w:rsidRDefault="00B000C0" w:rsidP="00656538">
      <w:pPr>
        <w:pStyle w:val="Heading3"/>
      </w:pPr>
      <w:bookmarkStart w:id="251" w:name="_Toc383414478"/>
      <w:bookmarkStart w:id="252" w:name="_Toc388619970"/>
      <w:r w:rsidRPr="00573DEB">
        <w:t>Identification of resident applicants by type</w:t>
      </w:r>
      <w:bookmarkEnd w:id="251"/>
      <w:bookmarkEnd w:id="252"/>
    </w:p>
    <w:p w:rsidR="00B000C0" w:rsidRPr="00573DEB" w:rsidRDefault="00B000C0" w:rsidP="004B4B73"/>
    <w:p w:rsidR="00B000C0" w:rsidRPr="00573DEB" w:rsidRDefault="00B000C0" w:rsidP="004B4B73">
      <w:r w:rsidRPr="00573DEB">
        <w:t>Resident applicants will be classified by their legal nature according to the field’s length: 14 characters for a legal entity and 11 characters for individuals</w:t>
      </w:r>
      <w:r w:rsidR="004B4B73" w:rsidRPr="00573DEB">
        <w:t xml:space="preserve">.  </w:t>
      </w:r>
      <w:r w:rsidRPr="00573DEB">
        <w:t>For those records with missing ID numbers, they will be classified by a keyword search.</w:t>
      </w:r>
    </w:p>
    <w:p w:rsidR="00B000C0" w:rsidRPr="00573DEB" w:rsidRDefault="00B000C0" w:rsidP="004B4B73"/>
    <w:p w:rsidR="00656538" w:rsidRPr="00573DEB" w:rsidRDefault="00656538" w:rsidP="004B4B73"/>
    <w:p w:rsidR="00B000C0" w:rsidRPr="00573DEB" w:rsidRDefault="00B000C0" w:rsidP="00656538">
      <w:pPr>
        <w:pStyle w:val="Heading3"/>
      </w:pPr>
      <w:bookmarkStart w:id="253" w:name="_Toc383414479"/>
      <w:bookmarkStart w:id="254" w:name="_Toc388619971"/>
      <w:r w:rsidRPr="00573DEB">
        <w:t>Name of applicants, inventor and authors</w:t>
      </w:r>
      <w:bookmarkEnd w:id="253"/>
      <w:bookmarkEnd w:id="254"/>
    </w:p>
    <w:p w:rsidR="00B000C0" w:rsidRPr="00573DEB" w:rsidRDefault="00B000C0" w:rsidP="004B4B73"/>
    <w:p w:rsidR="00B000C0" w:rsidRPr="00573DEB" w:rsidRDefault="00B000C0" w:rsidP="004B4B73">
      <w:r w:rsidRPr="00573DEB">
        <w:t xml:space="preserve">Procedures to standardize applicant names to remove blanks and special characters (such as accent marks, quotes, bars, numeral operators, </w:t>
      </w:r>
      <w:proofErr w:type="gramStart"/>
      <w:r w:rsidRPr="00573DEB">
        <w:rPr>
          <w:i/>
        </w:rPr>
        <w:t>underline</w:t>
      </w:r>
      <w:proofErr w:type="gramEnd"/>
      <w:r w:rsidRPr="00573DEB">
        <w:t>) will be applied.</w:t>
      </w:r>
    </w:p>
    <w:p w:rsidR="00B000C0" w:rsidRPr="00573DEB" w:rsidRDefault="00B000C0" w:rsidP="004B4B73"/>
    <w:p w:rsidR="00656538" w:rsidRPr="00573DEB" w:rsidRDefault="00656538" w:rsidP="004B4B73"/>
    <w:p w:rsidR="00B000C0" w:rsidRPr="00573DEB" w:rsidRDefault="00B000C0" w:rsidP="00656538">
      <w:pPr>
        <w:pStyle w:val="Heading3"/>
      </w:pPr>
      <w:bookmarkStart w:id="255" w:name="_Toc383414480"/>
      <w:bookmarkStart w:id="256" w:name="_Toc388619972"/>
      <w:r w:rsidRPr="00573DEB">
        <w:t>City of origin of resident applicants</w:t>
      </w:r>
      <w:bookmarkEnd w:id="255"/>
      <w:bookmarkEnd w:id="256"/>
    </w:p>
    <w:p w:rsidR="00656538" w:rsidRPr="00573DEB" w:rsidRDefault="00656538" w:rsidP="004B4B73">
      <w:pPr>
        <w:rPr>
          <w:lang w:eastAsia="pt-BR"/>
        </w:rPr>
      </w:pPr>
    </w:p>
    <w:p w:rsidR="00B000C0" w:rsidRPr="00573DEB" w:rsidRDefault="00B000C0" w:rsidP="004B4B73">
      <w:pPr>
        <w:rPr>
          <w:lang w:eastAsia="pt-BR"/>
        </w:rPr>
      </w:pPr>
      <w:r w:rsidRPr="00573DEB">
        <w:rPr>
          <w:lang w:eastAsia="pt-BR"/>
        </w:rPr>
        <w:t xml:space="preserve">The 3 errors identified for classifying by city of origin are: </w:t>
      </w:r>
      <w:proofErr w:type="spellStart"/>
      <w:r w:rsidRPr="00573DEB">
        <w:rPr>
          <w:lang w:eastAsia="pt-BR"/>
        </w:rPr>
        <w:t>i</w:t>
      </w:r>
      <w:proofErr w:type="spellEnd"/>
      <w:r w:rsidRPr="00573DEB">
        <w:rPr>
          <w:lang w:eastAsia="pt-BR"/>
        </w:rPr>
        <w:t>) missing names, ii) invalid names different from the IBGE list of cities, or iii) the name of the city does not correspond to the state informed</w:t>
      </w:r>
      <w:r w:rsidR="00656538" w:rsidRPr="00573DEB">
        <w:rPr>
          <w:lang w:eastAsia="pt-BR"/>
        </w:rPr>
        <w:t>.</w:t>
      </w:r>
    </w:p>
    <w:p w:rsidR="00656538" w:rsidRPr="00573DEB" w:rsidRDefault="00656538" w:rsidP="004B4B73">
      <w:pPr>
        <w:rPr>
          <w:lang w:eastAsia="pt-BR"/>
        </w:rPr>
      </w:pPr>
    </w:p>
    <w:p w:rsidR="00B000C0" w:rsidRPr="00573DEB" w:rsidRDefault="00B000C0" w:rsidP="004B4B73">
      <w:pPr>
        <w:rPr>
          <w:lang w:eastAsia="pt-BR"/>
        </w:rPr>
      </w:pPr>
      <w:r w:rsidRPr="00573DEB">
        <w:rPr>
          <w:lang w:eastAsia="pt-BR"/>
        </w:rPr>
        <w:t>The procedure that will be adopted in order to identify the municipality associated with the applicant in BADEPI includes the use of the CNPJ number to search in the RAIS database the correct information.</w:t>
      </w:r>
    </w:p>
    <w:p w:rsidR="00656538" w:rsidRPr="00573DEB" w:rsidRDefault="00656538" w:rsidP="004B4B73">
      <w:pPr>
        <w:rPr>
          <w:lang w:eastAsia="pt-BR"/>
        </w:rPr>
      </w:pPr>
    </w:p>
    <w:p w:rsidR="00B000C0" w:rsidRPr="00573DEB" w:rsidRDefault="00B000C0" w:rsidP="00656538">
      <w:pPr>
        <w:pStyle w:val="Heading1"/>
      </w:pPr>
      <w:bookmarkStart w:id="257" w:name="_Toc366845900"/>
      <w:bookmarkStart w:id="258" w:name="_Toc367700242"/>
      <w:bookmarkStart w:id="259" w:name="_Toc388619973"/>
      <w:r w:rsidRPr="00573DEB">
        <w:t>Statistical Annex</w:t>
      </w:r>
      <w:bookmarkEnd w:id="257"/>
      <w:bookmarkEnd w:id="258"/>
      <w:bookmarkEnd w:id="259"/>
    </w:p>
    <w:p w:rsidR="00656538" w:rsidRPr="00573DEB" w:rsidRDefault="00656538" w:rsidP="00656538"/>
    <w:p w:rsidR="00B000C0" w:rsidRPr="00573DEB" w:rsidRDefault="00B000C0" w:rsidP="00656538">
      <w:pPr>
        <w:pStyle w:val="Heading2"/>
      </w:pPr>
      <w:bookmarkStart w:id="260" w:name="_Toc388619974"/>
      <w:bookmarkStart w:id="261" w:name="_Toc366845901"/>
      <w:bookmarkStart w:id="262" w:name="_Toc367700243"/>
      <w:r w:rsidRPr="00573DEB">
        <w:t>Patents</w:t>
      </w:r>
      <w:bookmarkEnd w:id="260"/>
    </w:p>
    <w:p w:rsidR="00B000C0" w:rsidRPr="00573DEB" w:rsidRDefault="00B000C0" w:rsidP="004B4B73"/>
    <w:p w:rsidR="00B000C0" w:rsidRPr="00573DEB" w:rsidRDefault="008C2A2F" w:rsidP="00656538">
      <w:pPr>
        <w:pStyle w:val="Caption"/>
      </w:pPr>
      <w:bookmarkStart w:id="263" w:name="_Toc366845902"/>
      <w:bookmarkStart w:id="264" w:name="_Toc367700244"/>
      <w:bookmarkStart w:id="265" w:name="_Toc388619975"/>
      <w:bookmarkEnd w:id="261"/>
      <w:bookmarkEnd w:id="262"/>
      <w:r>
        <w:t xml:space="preserve">Table A.1:  </w:t>
      </w:r>
      <w:r w:rsidR="00B000C0" w:rsidRPr="00573DEB">
        <w:t>Patent applications by route</w:t>
      </w:r>
      <w:bookmarkEnd w:id="263"/>
      <w:bookmarkEnd w:id="264"/>
      <w:r w:rsidR="00B000C0" w:rsidRPr="00573DEB">
        <w:t>, 2000-2011</w:t>
      </w:r>
      <w:bookmarkEnd w:id="265"/>
    </w:p>
    <w:tbl>
      <w:tblPr>
        <w:tblW w:w="4560" w:type="dxa"/>
        <w:tblInd w:w="70" w:type="dxa"/>
        <w:tblCellMar>
          <w:left w:w="70" w:type="dxa"/>
          <w:right w:w="70" w:type="dxa"/>
        </w:tblCellMar>
        <w:tblLook w:val="04A0" w:firstRow="1" w:lastRow="0" w:firstColumn="1" w:lastColumn="0" w:noHBand="0" w:noVBand="1"/>
      </w:tblPr>
      <w:tblGrid>
        <w:gridCol w:w="1217"/>
        <w:gridCol w:w="1200"/>
        <w:gridCol w:w="1200"/>
        <w:gridCol w:w="1200"/>
      </w:tblGrid>
      <w:tr w:rsidR="00B000C0" w:rsidRPr="00573DEB" w:rsidTr="004B4B73">
        <w:trPr>
          <w:trHeight w:val="300"/>
        </w:trPr>
        <w:tc>
          <w:tcPr>
            <w:tcW w:w="96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Application Year</w:t>
            </w:r>
          </w:p>
        </w:tc>
        <w:tc>
          <w:tcPr>
            <w:tcW w:w="120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Direct</w:t>
            </w:r>
          </w:p>
        </w:tc>
        <w:tc>
          <w:tcPr>
            <w:tcW w:w="120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Via PCT</w:t>
            </w:r>
          </w:p>
        </w:tc>
        <w:tc>
          <w:tcPr>
            <w:tcW w:w="120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Total</w:t>
            </w:r>
          </w:p>
        </w:tc>
      </w:tr>
      <w:tr w:rsidR="00B000C0" w:rsidRPr="00573DEB" w:rsidTr="004B4B73">
        <w:trPr>
          <w:trHeight w:val="300"/>
        </w:trPr>
        <w:tc>
          <w:tcPr>
            <w:tcW w:w="9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2000</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6,848 </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10,595 </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17,443 </w:t>
            </w:r>
          </w:p>
        </w:tc>
      </w:tr>
      <w:tr w:rsidR="00B000C0" w:rsidRPr="00573DEB" w:rsidTr="004B4B73">
        <w:trPr>
          <w:trHeight w:val="300"/>
        </w:trPr>
        <w:tc>
          <w:tcPr>
            <w:tcW w:w="9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2001</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6,721 </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11,188 </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17,909 </w:t>
            </w:r>
          </w:p>
        </w:tc>
      </w:tr>
      <w:tr w:rsidR="00B000C0" w:rsidRPr="00573DEB" w:rsidTr="004B4B73">
        <w:trPr>
          <w:trHeight w:val="300"/>
        </w:trPr>
        <w:tc>
          <w:tcPr>
            <w:tcW w:w="9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2002</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5,937 </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10,751 </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16,688 </w:t>
            </w:r>
          </w:p>
        </w:tc>
      </w:tr>
      <w:tr w:rsidR="00B000C0" w:rsidRPr="00573DEB" w:rsidTr="004B4B73">
        <w:trPr>
          <w:trHeight w:val="300"/>
        </w:trPr>
        <w:tc>
          <w:tcPr>
            <w:tcW w:w="9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2003</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6,036 </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10,379 </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16,415 </w:t>
            </w:r>
          </w:p>
        </w:tc>
      </w:tr>
      <w:tr w:rsidR="00B000C0" w:rsidRPr="00573DEB" w:rsidTr="004B4B73">
        <w:trPr>
          <w:trHeight w:val="300"/>
        </w:trPr>
        <w:tc>
          <w:tcPr>
            <w:tcW w:w="9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2004</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6,418 </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10,292 </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16,710 </w:t>
            </w:r>
          </w:p>
        </w:tc>
      </w:tr>
      <w:tr w:rsidR="00B000C0" w:rsidRPr="00573DEB" w:rsidTr="004B4B73">
        <w:trPr>
          <w:trHeight w:val="300"/>
        </w:trPr>
        <w:tc>
          <w:tcPr>
            <w:tcW w:w="9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2005</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6,473 </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12,014 </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18,487 </w:t>
            </w:r>
          </w:p>
        </w:tc>
      </w:tr>
      <w:tr w:rsidR="00B000C0" w:rsidRPr="00573DEB" w:rsidTr="004B4B73">
        <w:trPr>
          <w:trHeight w:val="300"/>
        </w:trPr>
        <w:tc>
          <w:tcPr>
            <w:tcW w:w="9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2006</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6,710 </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13,135 </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19,845 </w:t>
            </w:r>
          </w:p>
        </w:tc>
      </w:tr>
      <w:tr w:rsidR="00B000C0" w:rsidRPr="00573DEB" w:rsidTr="004B4B73">
        <w:trPr>
          <w:trHeight w:val="300"/>
        </w:trPr>
        <w:tc>
          <w:tcPr>
            <w:tcW w:w="9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2007</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6,488 </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15,167 </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21,655 </w:t>
            </w:r>
          </w:p>
        </w:tc>
      </w:tr>
      <w:tr w:rsidR="00B000C0" w:rsidRPr="00573DEB" w:rsidTr="004B4B73">
        <w:trPr>
          <w:trHeight w:val="300"/>
        </w:trPr>
        <w:tc>
          <w:tcPr>
            <w:tcW w:w="9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2008</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6,787 </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16,363 </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23,150 </w:t>
            </w:r>
          </w:p>
        </w:tc>
      </w:tr>
      <w:tr w:rsidR="00B000C0" w:rsidRPr="00573DEB" w:rsidTr="004B4B73">
        <w:trPr>
          <w:trHeight w:val="300"/>
        </w:trPr>
        <w:tc>
          <w:tcPr>
            <w:tcW w:w="9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2009</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6,250 </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16,151 </w:t>
            </w:r>
          </w:p>
        </w:tc>
        <w:tc>
          <w:tcPr>
            <w:tcW w:w="12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22,401 </w:t>
            </w:r>
          </w:p>
        </w:tc>
      </w:tr>
      <w:tr w:rsidR="00B000C0" w:rsidRPr="00573DEB" w:rsidTr="004B4B73">
        <w:trPr>
          <w:trHeight w:val="300"/>
        </w:trPr>
        <w:tc>
          <w:tcPr>
            <w:tcW w:w="960" w:type="dxa"/>
            <w:tcBorders>
              <w:top w:val="nil"/>
              <w:left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2010</w:t>
            </w:r>
          </w:p>
        </w:tc>
        <w:tc>
          <w:tcPr>
            <w:tcW w:w="1200" w:type="dxa"/>
            <w:tcBorders>
              <w:top w:val="nil"/>
              <w:left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6,277 </w:t>
            </w:r>
          </w:p>
        </w:tc>
        <w:tc>
          <w:tcPr>
            <w:tcW w:w="1200" w:type="dxa"/>
            <w:tcBorders>
              <w:top w:val="nil"/>
              <w:left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18,705 </w:t>
            </w:r>
          </w:p>
        </w:tc>
        <w:tc>
          <w:tcPr>
            <w:tcW w:w="1200" w:type="dxa"/>
            <w:tcBorders>
              <w:top w:val="nil"/>
              <w:left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24,982 </w:t>
            </w:r>
          </w:p>
        </w:tc>
      </w:tr>
      <w:tr w:rsidR="00B000C0" w:rsidRPr="00573DEB" w:rsidTr="004B4B73">
        <w:trPr>
          <w:trHeight w:val="300"/>
        </w:trPr>
        <w:tc>
          <w:tcPr>
            <w:tcW w:w="960" w:type="dxa"/>
            <w:tcBorders>
              <w:top w:val="nil"/>
              <w:left w:val="nil"/>
              <w:bottom w:val="single" w:sz="4"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2011</w:t>
            </w:r>
          </w:p>
        </w:tc>
        <w:tc>
          <w:tcPr>
            <w:tcW w:w="1200" w:type="dxa"/>
            <w:tcBorders>
              <w:top w:val="nil"/>
              <w:left w:val="nil"/>
              <w:bottom w:val="single" w:sz="4"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7,303 </w:t>
            </w:r>
          </w:p>
        </w:tc>
        <w:tc>
          <w:tcPr>
            <w:tcW w:w="1200" w:type="dxa"/>
            <w:tcBorders>
              <w:top w:val="nil"/>
              <w:left w:val="nil"/>
              <w:bottom w:val="single" w:sz="4"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21,244 </w:t>
            </w:r>
          </w:p>
        </w:tc>
        <w:tc>
          <w:tcPr>
            <w:tcW w:w="1200" w:type="dxa"/>
            <w:tcBorders>
              <w:top w:val="nil"/>
              <w:left w:val="nil"/>
              <w:bottom w:val="single" w:sz="4"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28,547 </w:t>
            </w:r>
          </w:p>
        </w:tc>
      </w:tr>
    </w:tbl>
    <w:p w:rsidR="00B000C0" w:rsidRPr="00573DEB" w:rsidRDefault="00B000C0" w:rsidP="004B4B73"/>
    <w:p w:rsidR="00B000C0" w:rsidRPr="00573DEB" w:rsidRDefault="008C2A2F" w:rsidP="00656538">
      <w:pPr>
        <w:pStyle w:val="Caption"/>
      </w:pPr>
      <w:bookmarkStart w:id="266" w:name="_Toc388619976"/>
      <w:bookmarkStart w:id="267" w:name="_Toc366845903"/>
      <w:bookmarkStart w:id="268" w:name="_Toc367700245"/>
      <w:r>
        <w:t xml:space="preserve">Table A.2:  </w:t>
      </w:r>
      <w:r w:rsidR="00B000C0" w:rsidRPr="00573DEB">
        <w:t>Patent applications by origin, 2000-2011</w:t>
      </w:r>
      <w:bookmarkEnd w:id="266"/>
    </w:p>
    <w:tbl>
      <w:tblPr>
        <w:tblW w:w="6780" w:type="dxa"/>
        <w:tblInd w:w="70" w:type="dxa"/>
        <w:tblCellMar>
          <w:left w:w="70" w:type="dxa"/>
          <w:right w:w="70" w:type="dxa"/>
        </w:tblCellMar>
        <w:tblLook w:val="04A0" w:firstRow="1" w:lastRow="0" w:firstColumn="1" w:lastColumn="0" w:noHBand="0" w:noVBand="1"/>
      </w:tblPr>
      <w:tblGrid>
        <w:gridCol w:w="1217"/>
        <w:gridCol w:w="1400"/>
        <w:gridCol w:w="1400"/>
        <w:gridCol w:w="1400"/>
        <w:gridCol w:w="1400"/>
      </w:tblGrid>
      <w:tr w:rsidR="00B000C0" w:rsidRPr="00573DEB" w:rsidTr="004B4B73">
        <w:trPr>
          <w:trHeight w:val="300"/>
        </w:trPr>
        <w:tc>
          <w:tcPr>
            <w:tcW w:w="1180" w:type="dxa"/>
            <w:tcBorders>
              <w:top w:val="single" w:sz="8" w:space="0" w:color="auto"/>
              <w:left w:val="nil"/>
              <w:bottom w:val="single" w:sz="4" w:space="0" w:color="auto"/>
              <w:right w:val="nil"/>
            </w:tcBorders>
            <w:shd w:val="clear" w:color="auto" w:fill="auto"/>
            <w:noWrap/>
            <w:vAlign w:val="center"/>
            <w:hideMark/>
          </w:tcPr>
          <w:bookmarkEnd w:id="267"/>
          <w:bookmarkEnd w:id="268"/>
          <w:p w:rsidR="00B000C0" w:rsidRPr="00573DEB" w:rsidRDefault="00B000C0" w:rsidP="004B4B73">
            <w:pPr>
              <w:rPr>
                <w:lang w:eastAsia="pt-BR"/>
              </w:rPr>
            </w:pPr>
            <w:r w:rsidRPr="00573DEB">
              <w:rPr>
                <w:lang w:eastAsia="pt-BR"/>
              </w:rPr>
              <w:t>Application Year</w:t>
            </w:r>
          </w:p>
        </w:tc>
        <w:tc>
          <w:tcPr>
            <w:tcW w:w="140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Non-Resident</w:t>
            </w:r>
          </w:p>
        </w:tc>
        <w:tc>
          <w:tcPr>
            <w:tcW w:w="140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Resident</w:t>
            </w:r>
          </w:p>
        </w:tc>
        <w:tc>
          <w:tcPr>
            <w:tcW w:w="140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Not Available</w:t>
            </w:r>
          </w:p>
        </w:tc>
        <w:tc>
          <w:tcPr>
            <w:tcW w:w="140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Total</w:t>
            </w:r>
          </w:p>
        </w:tc>
      </w:tr>
      <w:tr w:rsidR="00B000C0" w:rsidRPr="00573DEB" w:rsidTr="004B4B73">
        <w:trPr>
          <w:trHeight w:val="300"/>
        </w:trPr>
        <w:tc>
          <w:tcPr>
            <w:tcW w:w="118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2000</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14,224</w:t>
            </w:r>
          </w:p>
        </w:tc>
        <w:tc>
          <w:tcPr>
            <w:tcW w:w="140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3,214</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5</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17,443</w:t>
            </w:r>
          </w:p>
        </w:tc>
      </w:tr>
      <w:tr w:rsidR="00B000C0" w:rsidRPr="00573DEB" w:rsidTr="004B4B73">
        <w:trPr>
          <w:trHeight w:val="300"/>
        </w:trPr>
        <w:tc>
          <w:tcPr>
            <w:tcW w:w="118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2001</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14,457</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3,451</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1</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17,909</w:t>
            </w:r>
          </w:p>
        </w:tc>
      </w:tr>
      <w:tr w:rsidR="00B000C0" w:rsidRPr="00573DEB" w:rsidTr="004B4B73">
        <w:trPr>
          <w:trHeight w:val="300"/>
        </w:trPr>
        <w:tc>
          <w:tcPr>
            <w:tcW w:w="118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2002</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13,203</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3,485</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16,688</w:t>
            </w:r>
          </w:p>
        </w:tc>
      </w:tr>
      <w:tr w:rsidR="00B000C0" w:rsidRPr="00573DEB" w:rsidTr="004B4B73">
        <w:trPr>
          <w:trHeight w:val="300"/>
        </w:trPr>
        <w:tc>
          <w:tcPr>
            <w:tcW w:w="118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2003</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12,545</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3,867</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3</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16,415</w:t>
            </w:r>
          </w:p>
        </w:tc>
      </w:tr>
      <w:tr w:rsidR="00B000C0" w:rsidRPr="00573DEB" w:rsidTr="004B4B73">
        <w:trPr>
          <w:trHeight w:val="300"/>
        </w:trPr>
        <w:tc>
          <w:tcPr>
            <w:tcW w:w="118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2004</w:t>
            </w:r>
          </w:p>
        </w:tc>
        <w:tc>
          <w:tcPr>
            <w:tcW w:w="140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12,666</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4,044</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16,710</w:t>
            </w:r>
          </w:p>
        </w:tc>
      </w:tr>
      <w:tr w:rsidR="00B000C0" w:rsidRPr="00573DEB" w:rsidTr="004B4B73">
        <w:trPr>
          <w:trHeight w:val="300"/>
        </w:trPr>
        <w:tc>
          <w:tcPr>
            <w:tcW w:w="118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2005</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14,432</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4,054</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1</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18,487</w:t>
            </w:r>
          </w:p>
        </w:tc>
      </w:tr>
      <w:tr w:rsidR="00B000C0" w:rsidRPr="00573DEB" w:rsidTr="004B4B73">
        <w:trPr>
          <w:trHeight w:val="300"/>
        </w:trPr>
        <w:tc>
          <w:tcPr>
            <w:tcW w:w="118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2006</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15,883</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3,956</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6</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19,845</w:t>
            </w:r>
          </w:p>
        </w:tc>
      </w:tr>
      <w:tr w:rsidR="00B000C0" w:rsidRPr="00573DEB" w:rsidTr="004B4B73">
        <w:trPr>
          <w:trHeight w:val="300"/>
        </w:trPr>
        <w:tc>
          <w:tcPr>
            <w:tcW w:w="118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2007</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17,461</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4,194</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21,655</w:t>
            </w:r>
          </w:p>
        </w:tc>
      </w:tr>
      <w:tr w:rsidR="00B000C0" w:rsidRPr="00573DEB" w:rsidTr="004B4B73">
        <w:trPr>
          <w:trHeight w:val="300"/>
        </w:trPr>
        <w:tc>
          <w:tcPr>
            <w:tcW w:w="118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2008</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18,870</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4,280</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23,150</w:t>
            </w:r>
          </w:p>
        </w:tc>
      </w:tr>
      <w:tr w:rsidR="00B000C0" w:rsidRPr="00573DEB" w:rsidTr="004B4B73">
        <w:trPr>
          <w:trHeight w:val="300"/>
        </w:trPr>
        <w:tc>
          <w:tcPr>
            <w:tcW w:w="118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2009</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18,129</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4,272</w:t>
            </w: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14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22,401</w:t>
            </w:r>
          </w:p>
        </w:tc>
      </w:tr>
      <w:tr w:rsidR="00B000C0" w:rsidRPr="00573DEB" w:rsidTr="004B4B73">
        <w:trPr>
          <w:trHeight w:val="300"/>
        </w:trPr>
        <w:tc>
          <w:tcPr>
            <w:tcW w:w="1180" w:type="dxa"/>
            <w:tcBorders>
              <w:top w:val="nil"/>
              <w:left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2010</w:t>
            </w:r>
          </w:p>
        </w:tc>
        <w:tc>
          <w:tcPr>
            <w:tcW w:w="1400" w:type="dxa"/>
            <w:tcBorders>
              <w:top w:val="nil"/>
              <w:left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20,754</w:t>
            </w:r>
          </w:p>
        </w:tc>
        <w:tc>
          <w:tcPr>
            <w:tcW w:w="1400" w:type="dxa"/>
            <w:tcBorders>
              <w:top w:val="nil"/>
              <w:left w:val="nil"/>
              <w:right w:val="nil"/>
            </w:tcBorders>
            <w:shd w:val="clear" w:color="auto" w:fill="auto"/>
            <w:noWrap/>
            <w:vAlign w:val="bottom"/>
            <w:hideMark/>
          </w:tcPr>
          <w:p w:rsidR="00B000C0" w:rsidRPr="00573DEB" w:rsidRDefault="00B000C0" w:rsidP="004B4B73">
            <w:pPr>
              <w:rPr>
                <w:lang w:eastAsia="pt-BR"/>
              </w:rPr>
            </w:pPr>
            <w:r w:rsidRPr="00573DEB">
              <w:rPr>
                <w:lang w:eastAsia="pt-BR"/>
              </w:rPr>
              <w:t>4,228</w:t>
            </w:r>
          </w:p>
        </w:tc>
        <w:tc>
          <w:tcPr>
            <w:tcW w:w="1400" w:type="dxa"/>
            <w:tcBorders>
              <w:top w:val="nil"/>
              <w:left w:val="nil"/>
              <w:right w:val="nil"/>
            </w:tcBorders>
            <w:shd w:val="clear" w:color="auto" w:fill="auto"/>
            <w:noWrap/>
            <w:vAlign w:val="bottom"/>
            <w:hideMark/>
          </w:tcPr>
          <w:p w:rsidR="00B000C0" w:rsidRPr="00573DEB" w:rsidRDefault="00B000C0" w:rsidP="004B4B73">
            <w:pPr>
              <w:rPr>
                <w:lang w:eastAsia="pt-BR"/>
              </w:rPr>
            </w:pPr>
          </w:p>
        </w:tc>
        <w:tc>
          <w:tcPr>
            <w:tcW w:w="1400" w:type="dxa"/>
            <w:tcBorders>
              <w:top w:val="nil"/>
              <w:left w:val="nil"/>
              <w:right w:val="nil"/>
            </w:tcBorders>
            <w:shd w:val="clear" w:color="auto" w:fill="auto"/>
            <w:noWrap/>
            <w:vAlign w:val="bottom"/>
            <w:hideMark/>
          </w:tcPr>
          <w:p w:rsidR="00B000C0" w:rsidRPr="00573DEB" w:rsidRDefault="00B000C0" w:rsidP="004B4B73">
            <w:pPr>
              <w:rPr>
                <w:lang w:eastAsia="pt-BR"/>
              </w:rPr>
            </w:pPr>
            <w:r w:rsidRPr="00573DEB">
              <w:rPr>
                <w:lang w:eastAsia="pt-BR"/>
              </w:rPr>
              <w:t>24,982</w:t>
            </w:r>
          </w:p>
        </w:tc>
      </w:tr>
      <w:tr w:rsidR="00B000C0" w:rsidRPr="00573DEB" w:rsidTr="004B4B73">
        <w:trPr>
          <w:trHeight w:val="300"/>
        </w:trPr>
        <w:tc>
          <w:tcPr>
            <w:tcW w:w="1180" w:type="dxa"/>
            <w:tcBorders>
              <w:top w:val="nil"/>
              <w:left w:val="nil"/>
              <w:bottom w:val="single" w:sz="4"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2011</w:t>
            </w:r>
          </w:p>
        </w:tc>
        <w:tc>
          <w:tcPr>
            <w:tcW w:w="1400" w:type="dxa"/>
            <w:tcBorders>
              <w:top w:val="nil"/>
              <w:left w:val="nil"/>
              <w:bottom w:val="single" w:sz="4"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23,852</w:t>
            </w:r>
          </w:p>
        </w:tc>
        <w:tc>
          <w:tcPr>
            <w:tcW w:w="1400" w:type="dxa"/>
            <w:tcBorders>
              <w:top w:val="nil"/>
              <w:left w:val="nil"/>
              <w:bottom w:val="single" w:sz="4"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4,695</w:t>
            </w:r>
          </w:p>
        </w:tc>
        <w:tc>
          <w:tcPr>
            <w:tcW w:w="1400" w:type="dxa"/>
            <w:tcBorders>
              <w:top w:val="nil"/>
              <w:left w:val="nil"/>
              <w:bottom w:val="single" w:sz="4" w:space="0" w:color="auto"/>
              <w:right w:val="nil"/>
            </w:tcBorders>
            <w:shd w:val="clear" w:color="auto" w:fill="auto"/>
            <w:noWrap/>
            <w:vAlign w:val="bottom"/>
            <w:hideMark/>
          </w:tcPr>
          <w:p w:rsidR="00B000C0" w:rsidRPr="00573DEB" w:rsidRDefault="00B000C0" w:rsidP="004B4B73">
            <w:pPr>
              <w:rPr>
                <w:lang w:eastAsia="pt-BR"/>
              </w:rPr>
            </w:pPr>
          </w:p>
        </w:tc>
        <w:tc>
          <w:tcPr>
            <w:tcW w:w="1400" w:type="dxa"/>
            <w:tcBorders>
              <w:top w:val="nil"/>
              <w:left w:val="nil"/>
              <w:bottom w:val="single" w:sz="4"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28,547</w:t>
            </w:r>
          </w:p>
        </w:tc>
      </w:tr>
    </w:tbl>
    <w:p w:rsidR="00B000C0" w:rsidRPr="00573DEB" w:rsidRDefault="00B000C0" w:rsidP="004B4B73">
      <w:pPr>
        <w:rPr>
          <w:lang w:eastAsia="pt-BR"/>
        </w:rPr>
      </w:pPr>
    </w:p>
    <w:p w:rsidR="00656538" w:rsidRPr="00573DEB" w:rsidRDefault="00656538">
      <w:pPr>
        <w:widowControl/>
        <w:spacing w:after="200" w:line="276" w:lineRule="auto"/>
        <w:rPr>
          <w:lang w:eastAsia="pt-BR"/>
        </w:rPr>
      </w:pPr>
      <w:r w:rsidRPr="00573DEB">
        <w:rPr>
          <w:lang w:eastAsia="pt-BR"/>
        </w:rPr>
        <w:br w:type="page"/>
      </w:r>
    </w:p>
    <w:p w:rsidR="00656538" w:rsidRPr="00573DEB" w:rsidRDefault="00656538" w:rsidP="004B4B73">
      <w:pPr>
        <w:rPr>
          <w:lang w:eastAsia="pt-BR"/>
        </w:rPr>
      </w:pPr>
    </w:p>
    <w:p w:rsidR="00B000C0" w:rsidRPr="00573DEB" w:rsidRDefault="008C2A2F" w:rsidP="00656538">
      <w:pPr>
        <w:pStyle w:val="Caption"/>
      </w:pPr>
      <w:bookmarkStart w:id="269" w:name="_Toc388619977"/>
      <w:r>
        <w:t xml:space="preserve">Table A.3:  </w:t>
      </w:r>
      <w:r w:rsidR="00B000C0" w:rsidRPr="00573DEB">
        <w:t>Patent applications by route and origin, 2000-2011</w:t>
      </w:r>
      <w:bookmarkEnd w:id="269"/>
    </w:p>
    <w:tbl>
      <w:tblPr>
        <w:tblW w:w="0" w:type="auto"/>
        <w:tblCellMar>
          <w:left w:w="70" w:type="dxa"/>
          <w:right w:w="70" w:type="dxa"/>
        </w:tblCellMar>
        <w:tblLook w:val="04A0" w:firstRow="1" w:lastRow="0" w:firstColumn="1" w:lastColumn="0" w:noHBand="0" w:noVBand="1"/>
      </w:tblPr>
      <w:tblGrid>
        <w:gridCol w:w="921"/>
        <w:gridCol w:w="813"/>
        <w:gridCol w:w="936"/>
        <w:gridCol w:w="936"/>
        <w:gridCol w:w="813"/>
        <w:gridCol w:w="764"/>
        <w:gridCol w:w="834"/>
        <w:gridCol w:w="1095"/>
        <w:gridCol w:w="753"/>
        <w:gridCol w:w="936"/>
      </w:tblGrid>
      <w:tr w:rsidR="00B000C0" w:rsidRPr="00573DEB" w:rsidTr="004B4B73">
        <w:trPr>
          <w:trHeight w:val="300"/>
        </w:trPr>
        <w:tc>
          <w:tcPr>
            <w:tcW w:w="921" w:type="dxa"/>
            <w:vMerge w:val="restart"/>
            <w:tcBorders>
              <w:top w:val="single" w:sz="8" w:space="0" w:color="auto"/>
              <w:left w:val="nil"/>
              <w:bottom w:val="single" w:sz="4" w:space="0" w:color="000000"/>
              <w:right w:val="nil"/>
            </w:tcBorders>
            <w:shd w:val="clear" w:color="auto" w:fill="auto"/>
            <w:noWrap/>
            <w:vAlign w:val="center"/>
            <w:hideMark/>
          </w:tcPr>
          <w:p w:rsidR="00B000C0" w:rsidRPr="00573DEB" w:rsidRDefault="00B000C0" w:rsidP="004B4B73">
            <w:pPr>
              <w:rPr>
                <w:lang w:eastAsia="pt-BR"/>
              </w:rPr>
            </w:pPr>
            <w:r w:rsidRPr="00573DEB">
              <w:rPr>
                <w:lang w:eastAsia="pt-BR"/>
              </w:rPr>
              <w:t>Year</w:t>
            </w:r>
          </w:p>
        </w:tc>
        <w:tc>
          <w:tcPr>
            <w:tcW w:w="2448" w:type="dxa"/>
            <w:gridSpan w:val="3"/>
            <w:tcBorders>
              <w:top w:val="single" w:sz="8" w:space="0" w:color="auto"/>
              <w:left w:val="nil"/>
              <w:bottom w:val="single" w:sz="4" w:space="0" w:color="auto"/>
              <w:right w:val="nil"/>
            </w:tcBorders>
            <w:shd w:val="clear" w:color="auto" w:fill="auto"/>
            <w:noWrap/>
            <w:vAlign w:val="center"/>
            <w:hideMark/>
          </w:tcPr>
          <w:p w:rsidR="00B000C0" w:rsidRPr="00573DEB" w:rsidRDefault="00B000C0" w:rsidP="00573DEB">
            <w:pPr>
              <w:jc w:val="center"/>
              <w:rPr>
                <w:lang w:eastAsia="pt-BR"/>
              </w:rPr>
            </w:pPr>
            <w:r w:rsidRPr="00573DEB">
              <w:rPr>
                <w:lang w:eastAsia="pt-BR"/>
              </w:rPr>
              <w:t>Non-Resident</w:t>
            </w:r>
          </w:p>
        </w:tc>
        <w:tc>
          <w:tcPr>
            <w:tcW w:w="2384" w:type="dxa"/>
            <w:gridSpan w:val="3"/>
            <w:tcBorders>
              <w:top w:val="single" w:sz="8" w:space="0" w:color="auto"/>
              <w:left w:val="nil"/>
              <w:bottom w:val="single" w:sz="4" w:space="0" w:color="auto"/>
              <w:right w:val="nil"/>
            </w:tcBorders>
            <w:shd w:val="clear" w:color="auto" w:fill="auto"/>
            <w:noWrap/>
            <w:vAlign w:val="center"/>
            <w:hideMark/>
          </w:tcPr>
          <w:p w:rsidR="00B000C0" w:rsidRPr="00573DEB" w:rsidRDefault="00B000C0" w:rsidP="00573DEB">
            <w:pPr>
              <w:jc w:val="center"/>
              <w:rPr>
                <w:lang w:eastAsia="pt-BR"/>
              </w:rPr>
            </w:pPr>
            <w:r w:rsidRPr="00573DEB">
              <w:rPr>
                <w:lang w:eastAsia="pt-BR"/>
              </w:rPr>
              <w:t>Resident</w:t>
            </w:r>
          </w:p>
        </w:tc>
        <w:tc>
          <w:tcPr>
            <w:tcW w:w="2518" w:type="dxa"/>
            <w:gridSpan w:val="3"/>
            <w:tcBorders>
              <w:top w:val="single" w:sz="8" w:space="0" w:color="auto"/>
              <w:left w:val="nil"/>
              <w:bottom w:val="single" w:sz="4" w:space="0" w:color="auto"/>
              <w:right w:val="nil"/>
            </w:tcBorders>
            <w:shd w:val="clear" w:color="auto" w:fill="auto"/>
            <w:noWrap/>
            <w:vAlign w:val="center"/>
            <w:hideMark/>
          </w:tcPr>
          <w:p w:rsidR="00B000C0" w:rsidRPr="00573DEB" w:rsidRDefault="00B000C0" w:rsidP="00573DEB">
            <w:pPr>
              <w:jc w:val="center"/>
              <w:rPr>
                <w:lang w:eastAsia="pt-BR"/>
              </w:rPr>
            </w:pPr>
            <w:r w:rsidRPr="00573DEB">
              <w:rPr>
                <w:lang w:eastAsia="pt-BR"/>
              </w:rPr>
              <w:t>Not Available</w:t>
            </w:r>
          </w:p>
        </w:tc>
      </w:tr>
      <w:tr w:rsidR="00B000C0" w:rsidRPr="00573DEB" w:rsidTr="004B4B73">
        <w:trPr>
          <w:trHeight w:val="300"/>
        </w:trPr>
        <w:tc>
          <w:tcPr>
            <w:tcW w:w="921" w:type="dxa"/>
            <w:vMerge/>
            <w:tcBorders>
              <w:top w:val="single" w:sz="8" w:space="0" w:color="auto"/>
              <w:left w:val="nil"/>
              <w:bottom w:val="single" w:sz="4" w:space="0" w:color="000000"/>
              <w:right w:val="nil"/>
            </w:tcBorders>
            <w:vAlign w:val="center"/>
            <w:hideMark/>
          </w:tcPr>
          <w:p w:rsidR="00B000C0" w:rsidRPr="00573DEB" w:rsidRDefault="00B000C0" w:rsidP="004B4B73">
            <w:pPr>
              <w:rPr>
                <w:lang w:eastAsia="pt-BR"/>
              </w:rPr>
            </w:pPr>
          </w:p>
        </w:tc>
        <w:tc>
          <w:tcPr>
            <w:tcW w:w="709" w:type="dxa"/>
            <w:tcBorders>
              <w:top w:val="nil"/>
              <w:left w:val="nil"/>
              <w:bottom w:val="single" w:sz="4" w:space="0" w:color="auto"/>
              <w:right w:val="nil"/>
            </w:tcBorders>
            <w:shd w:val="clear" w:color="auto" w:fill="auto"/>
            <w:noWrap/>
            <w:vAlign w:val="center"/>
            <w:hideMark/>
          </w:tcPr>
          <w:p w:rsidR="00B000C0" w:rsidRPr="00573DEB" w:rsidRDefault="00B000C0" w:rsidP="00573DEB">
            <w:pPr>
              <w:jc w:val="center"/>
              <w:rPr>
                <w:lang w:eastAsia="pt-BR"/>
              </w:rPr>
            </w:pPr>
            <w:r w:rsidRPr="00573DEB">
              <w:rPr>
                <w:lang w:eastAsia="pt-BR"/>
              </w:rPr>
              <w:t>Direct</w:t>
            </w:r>
          </w:p>
        </w:tc>
        <w:tc>
          <w:tcPr>
            <w:tcW w:w="850" w:type="dxa"/>
            <w:tcBorders>
              <w:top w:val="nil"/>
              <w:left w:val="nil"/>
              <w:bottom w:val="single" w:sz="4" w:space="0" w:color="auto"/>
              <w:right w:val="nil"/>
            </w:tcBorders>
            <w:shd w:val="clear" w:color="auto" w:fill="auto"/>
            <w:noWrap/>
            <w:vAlign w:val="center"/>
            <w:hideMark/>
          </w:tcPr>
          <w:p w:rsidR="00B000C0" w:rsidRPr="00573DEB" w:rsidRDefault="00B000C0" w:rsidP="00573DEB">
            <w:pPr>
              <w:jc w:val="center"/>
              <w:rPr>
                <w:lang w:eastAsia="pt-BR"/>
              </w:rPr>
            </w:pPr>
            <w:r w:rsidRPr="00573DEB">
              <w:rPr>
                <w:lang w:eastAsia="pt-BR"/>
              </w:rPr>
              <w:t>Via PCT</w:t>
            </w:r>
          </w:p>
        </w:tc>
        <w:tc>
          <w:tcPr>
            <w:tcW w:w="889" w:type="dxa"/>
            <w:tcBorders>
              <w:top w:val="single" w:sz="8" w:space="0" w:color="auto"/>
              <w:left w:val="nil"/>
              <w:bottom w:val="single" w:sz="4" w:space="0" w:color="000000"/>
              <w:right w:val="nil"/>
            </w:tcBorders>
            <w:shd w:val="clear" w:color="auto" w:fill="auto"/>
            <w:vAlign w:val="center"/>
            <w:hideMark/>
          </w:tcPr>
          <w:p w:rsidR="00B000C0" w:rsidRPr="00573DEB" w:rsidRDefault="00B000C0" w:rsidP="00573DEB">
            <w:pPr>
              <w:jc w:val="center"/>
              <w:rPr>
                <w:lang w:eastAsia="pt-BR"/>
              </w:rPr>
            </w:pPr>
            <w:r w:rsidRPr="00573DEB">
              <w:rPr>
                <w:lang w:eastAsia="pt-BR"/>
              </w:rPr>
              <w:t>Total</w:t>
            </w:r>
          </w:p>
        </w:tc>
        <w:tc>
          <w:tcPr>
            <w:tcW w:w="786" w:type="dxa"/>
            <w:tcBorders>
              <w:top w:val="nil"/>
              <w:left w:val="nil"/>
              <w:bottom w:val="single" w:sz="4" w:space="0" w:color="auto"/>
              <w:right w:val="nil"/>
            </w:tcBorders>
            <w:shd w:val="clear" w:color="auto" w:fill="auto"/>
            <w:noWrap/>
            <w:vAlign w:val="center"/>
            <w:hideMark/>
          </w:tcPr>
          <w:p w:rsidR="00B000C0" w:rsidRPr="00573DEB" w:rsidRDefault="00B000C0" w:rsidP="00573DEB">
            <w:pPr>
              <w:jc w:val="center"/>
              <w:rPr>
                <w:lang w:eastAsia="pt-BR"/>
              </w:rPr>
            </w:pPr>
            <w:r w:rsidRPr="00573DEB">
              <w:rPr>
                <w:lang w:eastAsia="pt-BR"/>
              </w:rPr>
              <w:t>Direct</w:t>
            </w:r>
          </w:p>
        </w:tc>
        <w:tc>
          <w:tcPr>
            <w:tcW w:w="764" w:type="dxa"/>
            <w:tcBorders>
              <w:top w:val="nil"/>
              <w:left w:val="nil"/>
              <w:bottom w:val="single" w:sz="4" w:space="0" w:color="auto"/>
              <w:right w:val="nil"/>
            </w:tcBorders>
            <w:shd w:val="clear" w:color="auto" w:fill="auto"/>
            <w:noWrap/>
            <w:vAlign w:val="center"/>
            <w:hideMark/>
          </w:tcPr>
          <w:p w:rsidR="00B000C0" w:rsidRPr="00573DEB" w:rsidRDefault="00B000C0" w:rsidP="00573DEB">
            <w:pPr>
              <w:jc w:val="center"/>
              <w:rPr>
                <w:lang w:eastAsia="pt-BR"/>
              </w:rPr>
            </w:pPr>
            <w:r w:rsidRPr="00573DEB">
              <w:rPr>
                <w:lang w:eastAsia="pt-BR"/>
              </w:rPr>
              <w:t>Via PCT</w:t>
            </w:r>
          </w:p>
        </w:tc>
        <w:tc>
          <w:tcPr>
            <w:tcW w:w="834" w:type="dxa"/>
            <w:tcBorders>
              <w:top w:val="single" w:sz="8" w:space="0" w:color="auto"/>
              <w:left w:val="nil"/>
              <w:bottom w:val="single" w:sz="4" w:space="0" w:color="000000"/>
              <w:right w:val="nil"/>
            </w:tcBorders>
            <w:shd w:val="clear" w:color="auto" w:fill="auto"/>
            <w:vAlign w:val="center"/>
            <w:hideMark/>
          </w:tcPr>
          <w:p w:rsidR="00B000C0" w:rsidRPr="00573DEB" w:rsidRDefault="00B000C0" w:rsidP="00573DEB">
            <w:pPr>
              <w:jc w:val="center"/>
              <w:rPr>
                <w:lang w:eastAsia="pt-BR"/>
              </w:rPr>
            </w:pPr>
            <w:r w:rsidRPr="00573DEB">
              <w:rPr>
                <w:lang w:eastAsia="pt-BR"/>
              </w:rPr>
              <w:t>Total</w:t>
            </w:r>
          </w:p>
        </w:tc>
        <w:tc>
          <w:tcPr>
            <w:tcW w:w="1095" w:type="dxa"/>
            <w:tcBorders>
              <w:top w:val="nil"/>
              <w:left w:val="nil"/>
              <w:bottom w:val="single" w:sz="4" w:space="0" w:color="auto"/>
              <w:right w:val="nil"/>
            </w:tcBorders>
            <w:shd w:val="clear" w:color="auto" w:fill="auto"/>
            <w:noWrap/>
            <w:vAlign w:val="center"/>
            <w:hideMark/>
          </w:tcPr>
          <w:p w:rsidR="00B000C0" w:rsidRPr="00573DEB" w:rsidRDefault="00B000C0" w:rsidP="00573DEB">
            <w:pPr>
              <w:jc w:val="center"/>
              <w:rPr>
                <w:lang w:eastAsia="pt-BR"/>
              </w:rPr>
            </w:pPr>
            <w:r w:rsidRPr="00573DEB">
              <w:rPr>
                <w:lang w:eastAsia="pt-BR"/>
              </w:rPr>
              <w:t>Direct</w:t>
            </w:r>
          </w:p>
        </w:tc>
        <w:tc>
          <w:tcPr>
            <w:tcW w:w="753" w:type="dxa"/>
            <w:tcBorders>
              <w:top w:val="nil"/>
              <w:left w:val="nil"/>
              <w:bottom w:val="single" w:sz="4" w:space="0" w:color="auto"/>
              <w:right w:val="nil"/>
            </w:tcBorders>
            <w:shd w:val="clear" w:color="auto" w:fill="auto"/>
            <w:noWrap/>
            <w:vAlign w:val="center"/>
            <w:hideMark/>
          </w:tcPr>
          <w:p w:rsidR="00B000C0" w:rsidRPr="00573DEB" w:rsidRDefault="00B000C0" w:rsidP="00573DEB">
            <w:pPr>
              <w:jc w:val="center"/>
              <w:rPr>
                <w:lang w:eastAsia="pt-BR"/>
              </w:rPr>
            </w:pPr>
            <w:r w:rsidRPr="00573DEB">
              <w:rPr>
                <w:lang w:eastAsia="pt-BR"/>
              </w:rPr>
              <w:t>Via PCT</w:t>
            </w:r>
          </w:p>
        </w:tc>
        <w:tc>
          <w:tcPr>
            <w:tcW w:w="0" w:type="auto"/>
            <w:tcBorders>
              <w:top w:val="single" w:sz="8" w:space="0" w:color="auto"/>
              <w:left w:val="nil"/>
              <w:bottom w:val="single" w:sz="4" w:space="0" w:color="000000"/>
              <w:right w:val="nil"/>
            </w:tcBorders>
            <w:shd w:val="clear" w:color="auto" w:fill="auto"/>
            <w:vAlign w:val="center"/>
            <w:hideMark/>
          </w:tcPr>
          <w:p w:rsidR="00B000C0" w:rsidRPr="00573DEB" w:rsidRDefault="00B000C0" w:rsidP="00573DEB">
            <w:pPr>
              <w:jc w:val="center"/>
              <w:rPr>
                <w:lang w:eastAsia="pt-BR"/>
              </w:rPr>
            </w:pPr>
            <w:r w:rsidRPr="00573DEB">
              <w:rPr>
                <w:lang w:eastAsia="pt-BR"/>
              </w:rPr>
              <w:t>Total</w:t>
            </w:r>
          </w:p>
        </w:tc>
      </w:tr>
      <w:tr w:rsidR="00B000C0" w:rsidRPr="00573DEB" w:rsidTr="004B4B73">
        <w:trPr>
          <w:trHeight w:val="300"/>
        </w:trPr>
        <w:tc>
          <w:tcPr>
            <w:tcW w:w="921"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2000</w:t>
            </w:r>
          </w:p>
        </w:tc>
        <w:tc>
          <w:tcPr>
            <w:tcW w:w="70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3,662</w:t>
            </w:r>
          </w:p>
        </w:tc>
        <w:tc>
          <w:tcPr>
            <w:tcW w:w="850"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10,562</w:t>
            </w:r>
          </w:p>
        </w:tc>
        <w:tc>
          <w:tcPr>
            <w:tcW w:w="88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14,224</w:t>
            </w:r>
          </w:p>
        </w:tc>
        <w:tc>
          <w:tcPr>
            <w:tcW w:w="786"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3,181</w:t>
            </w:r>
          </w:p>
        </w:tc>
        <w:tc>
          <w:tcPr>
            <w:tcW w:w="76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33</w:t>
            </w:r>
          </w:p>
        </w:tc>
        <w:tc>
          <w:tcPr>
            <w:tcW w:w="83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3,214</w:t>
            </w:r>
          </w:p>
        </w:tc>
        <w:tc>
          <w:tcPr>
            <w:tcW w:w="1095"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5</w:t>
            </w:r>
          </w:p>
        </w:tc>
        <w:tc>
          <w:tcPr>
            <w:tcW w:w="753"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17,443</w:t>
            </w:r>
          </w:p>
        </w:tc>
      </w:tr>
      <w:tr w:rsidR="00B000C0" w:rsidRPr="00573DEB" w:rsidTr="004B4B73">
        <w:trPr>
          <w:trHeight w:val="300"/>
        </w:trPr>
        <w:tc>
          <w:tcPr>
            <w:tcW w:w="921"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2001</w:t>
            </w:r>
          </w:p>
        </w:tc>
        <w:tc>
          <w:tcPr>
            <w:tcW w:w="70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3,300</w:t>
            </w:r>
          </w:p>
        </w:tc>
        <w:tc>
          <w:tcPr>
            <w:tcW w:w="850"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11,157</w:t>
            </w:r>
          </w:p>
        </w:tc>
        <w:tc>
          <w:tcPr>
            <w:tcW w:w="88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14,457</w:t>
            </w:r>
          </w:p>
        </w:tc>
        <w:tc>
          <w:tcPr>
            <w:tcW w:w="786"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3,420</w:t>
            </w:r>
          </w:p>
        </w:tc>
        <w:tc>
          <w:tcPr>
            <w:tcW w:w="76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31</w:t>
            </w:r>
          </w:p>
        </w:tc>
        <w:tc>
          <w:tcPr>
            <w:tcW w:w="83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3,451</w:t>
            </w:r>
          </w:p>
        </w:tc>
        <w:tc>
          <w:tcPr>
            <w:tcW w:w="1095"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w:t>
            </w:r>
          </w:p>
        </w:tc>
        <w:tc>
          <w:tcPr>
            <w:tcW w:w="753"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17,909</w:t>
            </w:r>
          </w:p>
        </w:tc>
      </w:tr>
      <w:tr w:rsidR="00B000C0" w:rsidRPr="00573DEB" w:rsidTr="004B4B73">
        <w:trPr>
          <w:trHeight w:val="300"/>
        </w:trPr>
        <w:tc>
          <w:tcPr>
            <w:tcW w:w="921"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2002</w:t>
            </w:r>
          </w:p>
        </w:tc>
        <w:tc>
          <w:tcPr>
            <w:tcW w:w="70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2,469</w:t>
            </w:r>
          </w:p>
        </w:tc>
        <w:tc>
          <w:tcPr>
            <w:tcW w:w="850"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10,734</w:t>
            </w:r>
          </w:p>
        </w:tc>
        <w:tc>
          <w:tcPr>
            <w:tcW w:w="88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13,203</w:t>
            </w:r>
          </w:p>
        </w:tc>
        <w:tc>
          <w:tcPr>
            <w:tcW w:w="786"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3,468</w:t>
            </w:r>
          </w:p>
        </w:tc>
        <w:tc>
          <w:tcPr>
            <w:tcW w:w="76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17</w:t>
            </w:r>
          </w:p>
        </w:tc>
        <w:tc>
          <w:tcPr>
            <w:tcW w:w="83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3,485</w:t>
            </w:r>
          </w:p>
        </w:tc>
        <w:tc>
          <w:tcPr>
            <w:tcW w:w="1095"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p>
        </w:tc>
        <w:tc>
          <w:tcPr>
            <w:tcW w:w="753"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16,688</w:t>
            </w:r>
          </w:p>
        </w:tc>
      </w:tr>
      <w:tr w:rsidR="00B000C0" w:rsidRPr="00573DEB" w:rsidTr="004B4B73">
        <w:trPr>
          <w:trHeight w:val="300"/>
        </w:trPr>
        <w:tc>
          <w:tcPr>
            <w:tcW w:w="921"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2003</w:t>
            </w:r>
          </w:p>
        </w:tc>
        <w:tc>
          <w:tcPr>
            <w:tcW w:w="70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2,184</w:t>
            </w:r>
          </w:p>
        </w:tc>
        <w:tc>
          <w:tcPr>
            <w:tcW w:w="850"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10,361</w:t>
            </w:r>
          </w:p>
        </w:tc>
        <w:tc>
          <w:tcPr>
            <w:tcW w:w="88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12,545</w:t>
            </w:r>
          </w:p>
        </w:tc>
        <w:tc>
          <w:tcPr>
            <w:tcW w:w="786"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3,850</w:t>
            </w:r>
          </w:p>
        </w:tc>
        <w:tc>
          <w:tcPr>
            <w:tcW w:w="76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17</w:t>
            </w:r>
          </w:p>
        </w:tc>
        <w:tc>
          <w:tcPr>
            <w:tcW w:w="83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3,867</w:t>
            </w:r>
          </w:p>
        </w:tc>
        <w:tc>
          <w:tcPr>
            <w:tcW w:w="1095"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2</w:t>
            </w:r>
          </w:p>
        </w:tc>
        <w:tc>
          <w:tcPr>
            <w:tcW w:w="753"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w:t>
            </w:r>
          </w:p>
        </w:tc>
        <w:tc>
          <w:tcPr>
            <w:tcW w:w="0" w:type="auto"/>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16,415</w:t>
            </w:r>
          </w:p>
        </w:tc>
      </w:tr>
      <w:tr w:rsidR="00B000C0" w:rsidRPr="00573DEB" w:rsidTr="004B4B73">
        <w:trPr>
          <w:trHeight w:val="300"/>
        </w:trPr>
        <w:tc>
          <w:tcPr>
            <w:tcW w:w="921"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2004</w:t>
            </w:r>
          </w:p>
        </w:tc>
        <w:tc>
          <w:tcPr>
            <w:tcW w:w="70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2,393</w:t>
            </w:r>
          </w:p>
        </w:tc>
        <w:tc>
          <w:tcPr>
            <w:tcW w:w="850"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10,273</w:t>
            </w:r>
          </w:p>
        </w:tc>
        <w:tc>
          <w:tcPr>
            <w:tcW w:w="88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12,666</w:t>
            </w:r>
          </w:p>
        </w:tc>
        <w:tc>
          <w:tcPr>
            <w:tcW w:w="786"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4,025</w:t>
            </w:r>
          </w:p>
        </w:tc>
        <w:tc>
          <w:tcPr>
            <w:tcW w:w="76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19</w:t>
            </w:r>
          </w:p>
        </w:tc>
        <w:tc>
          <w:tcPr>
            <w:tcW w:w="83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4,044</w:t>
            </w:r>
          </w:p>
        </w:tc>
        <w:tc>
          <w:tcPr>
            <w:tcW w:w="1095"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p>
        </w:tc>
        <w:tc>
          <w:tcPr>
            <w:tcW w:w="753"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16,710</w:t>
            </w:r>
          </w:p>
        </w:tc>
      </w:tr>
      <w:tr w:rsidR="00B000C0" w:rsidRPr="00573DEB" w:rsidTr="004B4B73">
        <w:trPr>
          <w:trHeight w:val="300"/>
        </w:trPr>
        <w:tc>
          <w:tcPr>
            <w:tcW w:w="921"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2005</w:t>
            </w:r>
          </w:p>
        </w:tc>
        <w:tc>
          <w:tcPr>
            <w:tcW w:w="70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2,441</w:t>
            </w:r>
          </w:p>
        </w:tc>
        <w:tc>
          <w:tcPr>
            <w:tcW w:w="850"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11,991</w:t>
            </w:r>
          </w:p>
        </w:tc>
        <w:tc>
          <w:tcPr>
            <w:tcW w:w="88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14,432</w:t>
            </w:r>
          </w:p>
        </w:tc>
        <w:tc>
          <w:tcPr>
            <w:tcW w:w="786"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4,031</w:t>
            </w:r>
          </w:p>
        </w:tc>
        <w:tc>
          <w:tcPr>
            <w:tcW w:w="76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23</w:t>
            </w:r>
          </w:p>
        </w:tc>
        <w:tc>
          <w:tcPr>
            <w:tcW w:w="83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4,054</w:t>
            </w:r>
          </w:p>
        </w:tc>
        <w:tc>
          <w:tcPr>
            <w:tcW w:w="1095"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w:t>
            </w:r>
          </w:p>
        </w:tc>
        <w:tc>
          <w:tcPr>
            <w:tcW w:w="753"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18,487</w:t>
            </w:r>
          </w:p>
        </w:tc>
      </w:tr>
      <w:tr w:rsidR="00B000C0" w:rsidRPr="00573DEB" w:rsidTr="004B4B73">
        <w:trPr>
          <w:trHeight w:val="300"/>
        </w:trPr>
        <w:tc>
          <w:tcPr>
            <w:tcW w:w="921"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2006</w:t>
            </w:r>
          </w:p>
        </w:tc>
        <w:tc>
          <w:tcPr>
            <w:tcW w:w="70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2,773</w:t>
            </w:r>
          </w:p>
        </w:tc>
        <w:tc>
          <w:tcPr>
            <w:tcW w:w="850"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13,110</w:t>
            </w:r>
          </w:p>
        </w:tc>
        <w:tc>
          <w:tcPr>
            <w:tcW w:w="88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15,883</w:t>
            </w:r>
          </w:p>
        </w:tc>
        <w:tc>
          <w:tcPr>
            <w:tcW w:w="786"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3,936</w:t>
            </w:r>
          </w:p>
        </w:tc>
        <w:tc>
          <w:tcPr>
            <w:tcW w:w="76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20</w:t>
            </w:r>
          </w:p>
        </w:tc>
        <w:tc>
          <w:tcPr>
            <w:tcW w:w="83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3,956</w:t>
            </w:r>
          </w:p>
        </w:tc>
        <w:tc>
          <w:tcPr>
            <w:tcW w:w="1095"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w:t>
            </w:r>
          </w:p>
        </w:tc>
        <w:tc>
          <w:tcPr>
            <w:tcW w:w="753"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5</w:t>
            </w:r>
          </w:p>
        </w:tc>
        <w:tc>
          <w:tcPr>
            <w:tcW w:w="0" w:type="auto"/>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19,845</w:t>
            </w:r>
          </w:p>
        </w:tc>
      </w:tr>
      <w:tr w:rsidR="00B000C0" w:rsidRPr="00573DEB" w:rsidTr="004B4B73">
        <w:trPr>
          <w:trHeight w:val="300"/>
        </w:trPr>
        <w:tc>
          <w:tcPr>
            <w:tcW w:w="921"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2007</w:t>
            </w:r>
          </w:p>
        </w:tc>
        <w:tc>
          <w:tcPr>
            <w:tcW w:w="70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2,330</w:t>
            </w:r>
          </w:p>
        </w:tc>
        <w:tc>
          <w:tcPr>
            <w:tcW w:w="850"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15,131</w:t>
            </w:r>
          </w:p>
        </w:tc>
        <w:tc>
          <w:tcPr>
            <w:tcW w:w="88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17,461</w:t>
            </w:r>
          </w:p>
        </w:tc>
        <w:tc>
          <w:tcPr>
            <w:tcW w:w="786"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4,158</w:t>
            </w:r>
          </w:p>
        </w:tc>
        <w:tc>
          <w:tcPr>
            <w:tcW w:w="76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36</w:t>
            </w:r>
          </w:p>
        </w:tc>
        <w:tc>
          <w:tcPr>
            <w:tcW w:w="83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4,194</w:t>
            </w:r>
          </w:p>
        </w:tc>
        <w:tc>
          <w:tcPr>
            <w:tcW w:w="1095"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p>
        </w:tc>
        <w:tc>
          <w:tcPr>
            <w:tcW w:w="753"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21,655</w:t>
            </w:r>
          </w:p>
        </w:tc>
      </w:tr>
      <w:tr w:rsidR="00B000C0" w:rsidRPr="00573DEB" w:rsidTr="004B4B73">
        <w:trPr>
          <w:trHeight w:val="300"/>
        </w:trPr>
        <w:tc>
          <w:tcPr>
            <w:tcW w:w="921"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2008</w:t>
            </w:r>
          </w:p>
        </w:tc>
        <w:tc>
          <w:tcPr>
            <w:tcW w:w="70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2,536</w:t>
            </w:r>
          </w:p>
        </w:tc>
        <w:tc>
          <w:tcPr>
            <w:tcW w:w="850"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16,334</w:t>
            </w:r>
          </w:p>
        </w:tc>
        <w:tc>
          <w:tcPr>
            <w:tcW w:w="88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18,870</w:t>
            </w:r>
          </w:p>
        </w:tc>
        <w:tc>
          <w:tcPr>
            <w:tcW w:w="786"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4,251</w:t>
            </w:r>
          </w:p>
        </w:tc>
        <w:tc>
          <w:tcPr>
            <w:tcW w:w="76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29</w:t>
            </w:r>
          </w:p>
        </w:tc>
        <w:tc>
          <w:tcPr>
            <w:tcW w:w="83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4,280</w:t>
            </w:r>
          </w:p>
        </w:tc>
        <w:tc>
          <w:tcPr>
            <w:tcW w:w="1095"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p>
        </w:tc>
        <w:tc>
          <w:tcPr>
            <w:tcW w:w="753"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23,150</w:t>
            </w:r>
          </w:p>
        </w:tc>
      </w:tr>
      <w:tr w:rsidR="00B000C0" w:rsidRPr="00573DEB" w:rsidTr="004B4B73">
        <w:trPr>
          <w:trHeight w:val="300"/>
        </w:trPr>
        <w:tc>
          <w:tcPr>
            <w:tcW w:w="921"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2009</w:t>
            </w:r>
          </w:p>
        </w:tc>
        <w:tc>
          <w:tcPr>
            <w:tcW w:w="70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2,047</w:t>
            </w:r>
          </w:p>
        </w:tc>
        <w:tc>
          <w:tcPr>
            <w:tcW w:w="850"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16,082</w:t>
            </w:r>
          </w:p>
        </w:tc>
        <w:tc>
          <w:tcPr>
            <w:tcW w:w="88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18,129</w:t>
            </w:r>
          </w:p>
        </w:tc>
        <w:tc>
          <w:tcPr>
            <w:tcW w:w="786"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4,203</w:t>
            </w:r>
          </w:p>
        </w:tc>
        <w:tc>
          <w:tcPr>
            <w:tcW w:w="76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69</w:t>
            </w:r>
          </w:p>
        </w:tc>
        <w:tc>
          <w:tcPr>
            <w:tcW w:w="83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4,272</w:t>
            </w:r>
          </w:p>
        </w:tc>
        <w:tc>
          <w:tcPr>
            <w:tcW w:w="1095"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p>
        </w:tc>
        <w:tc>
          <w:tcPr>
            <w:tcW w:w="753"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22,401</w:t>
            </w:r>
          </w:p>
        </w:tc>
      </w:tr>
      <w:tr w:rsidR="00B000C0" w:rsidRPr="00573DEB" w:rsidTr="004B4B73">
        <w:trPr>
          <w:trHeight w:val="300"/>
        </w:trPr>
        <w:tc>
          <w:tcPr>
            <w:tcW w:w="921"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2010</w:t>
            </w:r>
          </w:p>
        </w:tc>
        <w:tc>
          <w:tcPr>
            <w:tcW w:w="70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2,111</w:t>
            </w:r>
          </w:p>
        </w:tc>
        <w:tc>
          <w:tcPr>
            <w:tcW w:w="850"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18,643</w:t>
            </w:r>
          </w:p>
        </w:tc>
        <w:tc>
          <w:tcPr>
            <w:tcW w:w="88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20,754</w:t>
            </w:r>
          </w:p>
        </w:tc>
        <w:tc>
          <w:tcPr>
            <w:tcW w:w="786"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4,166</w:t>
            </w:r>
          </w:p>
        </w:tc>
        <w:tc>
          <w:tcPr>
            <w:tcW w:w="76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62</w:t>
            </w:r>
          </w:p>
        </w:tc>
        <w:tc>
          <w:tcPr>
            <w:tcW w:w="83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4,228</w:t>
            </w:r>
          </w:p>
        </w:tc>
        <w:tc>
          <w:tcPr>
            <w:tcW w:w="1095"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p>
        </w:tc>
        <w:tc>
          <w:tcPr>
            <w:tcW w:w="753"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24,982</w:t>
            </w:r>
          </w:p>
        </w:tc>
      </w:tr>
      <w:tr w:rsidR="00B000C0" w:rsidRPr="00573DEB" w:rsidTr="004B4B73">
        <w:trPr>
          <w:trHeight w:val="300"/>
        </w:trPr>
        <w:tc>
          <w:tcPr>
            <w:tcW w:w="921"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2011</w:t>
            </w:r>
          </w:p>
        </w:tc>
        <w:tc>
          <w:tcPr>
            <w:tcW w:w="70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2,676</w:t>
            </w:r>
          </w:p>
        </w:tc>
        <w:tc>
          <w:tcPr>
            <w:tcW w:w="850"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21,176</w:t>
            </w:r>
          </w:p>
        </w:tc>
        <w:tc>
          <w:tcPr>
            <w:tcW w:w="889"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23,852</w:t>
            </w:r>
          </w:p>
        </w:tc>
        <w:tc>
          <w:tcPr>
            <w:tcW w:w="786"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4,627</w:t>
            </w:r>
          </w:p>
        </w:tc>
        <w:tc>
          <w:tcPr>
            <w:tcW w:w="76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68</w:t>
            </w:r>
          </w:p>
        </w:tc>
        <w:tc>
          <w:tcPr>
            <w:tcW w:w="834"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4,695</w:t>
            </w:r>
          </w:p>
        </w:tc>
        <w:tc>
          <w:tcPr>
            <w:tcW w:w="1095"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p>
        </w:tc>
        <w:tc>
          <w:tcPr>
            <w:tcW w:w="753" w:type="dxa"/>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28,547</w:t>
            </w:r>
          </w:p>
        </w:tc>
      </w:tr>
      <w:tr w:rsidR="00B000C0" w:rsidRPr="00573DEB" w:rsidTr="004B4B73">
        <w:trPr>
          <w:trHeight w:val="315"/>
        </w:trPr>
        <w:tc>
          <w:tcPr>
            <w:tcW w:w="921" w:type="dxa"/>
            <w:tcBorders>
              <w:top w:val="nil"/>
              <w:left w:val="nil"/>
              <w:bottom w:val="single" w:sz="8"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Total</w:t>
            </w:r>
          </w:p>
        </w:tc>
        <w:tc>
          <w:tcPr>
            <w:tcW w:w="709" w:type="dxa"/>
            <w:tcBorders>
              <w:top w:val="nil"/>
              <w:left w:val="nil"/>
              <w:bottom w:val="single" w:sz="8" w:space="0" w:color="auto"/>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30,922</w:t>
            </w:r>
          </w:p>
        </w:tc>
        <w:tc>
          <w:tcPr>
            <w:tcW w:w="850" w:type="dxa"/>
            <w:tcBorders>
              <w:top w:val="nil"/>
              <w:left w:val="nil"/>
              <w:bottom w:val="single" w:sz="8" w:space="0" w:color="auto"/>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165,554</w:t>
            </w:r>
          </w:p>
        </w:tc>
        <w:tc>
          <w:tcPr>
            <w:tcW w:w="889" w:type="dxa"/>
            <w:tcBorders>
              <w:top w:val="nil"/>
              <w:left w:val="nil"/>
              <w:bottom w:val="single" w:sz="8" w:space="0" w:color="auto"/>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196,476</w:t>
            </w:r>
          </w:p>
        </w:tc>
        <w:tc>
          <w:tcPr>
            <w:tcW w:w="786" w:type="dxa"/>
            <w:tcBorders>
              <w:top w:val="nil"/>
              <w:left w:val="nil"/>
              <w:bottom w:val="single" w:sz="8" w:space="0" w:color="auto"/>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47,316</w:t>
            </w:r>
          </w:p>
        </w:tc>
        <w:tc>
          <w:tcPr>
            <w:tcW w:w="764" w:type="dxa"/>
            <w:tcBorders>
              <w:top w:val="nil"/>
              <w:left w:val="nil"/>
              <w:bottom w:val="single" w:sz="8" w:space="0" w:color="auto"/>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424</w:t>
            </w:r>
          </w:p>
        </w:tc>
        <w:tc>
          <w:tcPr>
            <w:tcW w:w="834" w:type="dxa"/>
            <w:tcBorders>
              <w:top w:val="nil"/>
              <w:left w:val="nil"/>
              <w:bottom w:val="single" w:sz="8" w:space="0" w:color="auto"/>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47,740</w:t>
            </w:r>
          </w:p>
        </w:tc>
        <w:tc>
          <w:tcPr>
            <w:tcW w:w="1095" w:type="dxa"/>
            <w:tcBorders>
              <w:top w:val="nil"/>
              <w:left w:val="nil"/>
              <w:bottom w:val="single" w:sz="8" w:space="0" w:color="auto"/>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10</w:t>
            </w:r>
          </w:p>
        </w:tc>
        <w:tc>
          <w:tcPr>
            <w:tcW w:w="753" w:type="dxa"/>
            <w:tcBorders>
              <w:top w:val="nil"/>
              <w:left w:val="nil"/>
              <w:bottom w:val="single" w:sz="8" w:space="0" w:color="auto"/>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6</w:t>
            </w:r>
          </w:p>
        </w:tc>
        <w:tc>
          <w:tcPr>
            <w:tcW w:w="0" w:type="auto"/>
            <w:tcBorders>
              <w:top w:val="nil"/>
              <w:left w:val="nil"/>
              <w:bottom w:val="single" w:sz="8" w:space="0" w:color="auto"/>
              <w:right w:val="nil"/>
            </w:tcBorders>
            <w:shd w:val="clear" w:color="auto" w:fill="auto"/>
            <w:noWrap/>
            <w:vAlign w:val="bottom"/>
            <w:hideMark/>
          </w:tcPr>
          <w:p w:rsidR="00B000C0" w:rsidRPr="00573DEB" w:rsidRDefault="00B000C0" w:rsidP="00573DEB">
            <w:pPr>
              <w:jc w:val="center"/>
              <w:rPr>
                <w:lang w:eastAsia="pt-BR"/>
              </w:rPr>
            </w:pPr>
            <w:r w:rsidRPr="00573DEB">
              <w:rPr>
                <w:lang w:eastAsia="pt-BR"/>
              </w:rPr>
              <w:t>244,232</w:t>
            </w:r>
          </w:p>
        </w:tc>
      </w:tr>
    </w:tbl>
    <w:p w:rsidR="00B000C0" w:rsidRPr="00573DEB" w:rsidRDefault="00B000C0" w:rsidP="004B4B73"/>
    <w:p w:rsidR="00656538" w:rsidRPr="00573DEB" w:rsidRDefault="00656538">
      <w:pPr>
        <w:widowControl/>
        <w:spacing w:after="200" w:line="276" w:lineRule="auto"/>
      </w:pPr>
      <w:r w:rsidRPr="00573DEB">
        <w:br w:type="page"/>
      </w:r>
    </w:p>
    <w:p w:rsidR="00B000C0" w:rsidRPr="00573DEB" w:rsidRDefault="00B000C0" w:rsidP="004B4B73"/>
    <w:p w:rsidR="00B000C0" w:rsidRPr="00573DEB" w:rsidRDefault="008C2A2F" w:rsidP="00656538">
      <w:pPr>
        <w:pStyle w:val="Caption"/>
        <w:rPr>
          <w:rFonts w:cs="Calibri"/>
        </w:rPr>
      </w:pPr>
      <w:bookmarkStart w:id="270" w:name="_Toc388619978"/>
      <w:r>
        <w:t xml:space="preserve">Table A.4:  </w:t>
      </w:r>
      <w:r w:rsidR="00B000C0" w:rsidRPr="00573DEB">
        <w:t>Patent applications by countries</w:t>
      </w:r>
      <w:r w:rsidR="00656538" w:rsidRPr="00573DEB">
        <w:t xml:space="preserve"> or regions</w:t>
      </w:r>
      <w:r w:rsidR="00B000C0" w:rsidRPr="00573DEB">
        <w:t>, 2000-2011</w:t>
      </w:r>
      <w:bookmarkEnd w:id="270"/>
    </w:p>
    <w:tbl>
      <w:tblPr>
        <w:tblW w:w="9588" w:type="dxa"/>
        <w:tblInd w:w="70" w:type="dxa"/>
        <w:tblLayout w:type="fixed"/>
        <w:tblCellMar>
          <w:left w:w="0" w:type="dxa"/>
          <w:right w:w="0" w:type="dxa"/>
        </w:tblCellMar>
        <w:tblLook w:val="04A0" w:firstRow="1" w:lastRow="0" w:firstColumn="1" w:lastColumn="0" w:noHBand="0" w:noVBand="1"/>
      </w:tblPr>
      <w:tblGrid>
        <w:gridCol w:w="2472"/>
        <w:gridCol w:w="593"/>
        <w:gridCol w:w="593"/>
        <w:gridCol w:w="593"/>
        <w:gridCol w:w="593"/>
        <w:gridCol w:w="593"/>
        <w:gridCol w:w="593"/>
        <w:gridCol w:w="593"/>
        <w:gridCol w:w="593"/>
        <w:gridCol w:w="593"/>
        <w:gridCol w:w="593"/>
        <w:gridCol w:w="593"/>
        <w:gridCol w:w="593"/>
      </w:tblGrid>
      <w:tr w:rsidR="00656538" w:rsidRPr="00573DEB" w:rsidTr="00656538">
        <w:trPr>
          <w:trHeight w:val="300"/>
        </w:trPr>
        <w:tc>
          <w:tcPr>
            <w:tcW w:w="2472" w:type="dxa"/>
            <w:tcBorders>
              <w:top w:val="single" w:sz="8" w:space="0" w:color="auto"/>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Country</w:t>
            </w:r>
          </w:p>
        </w:tc>
        <w:tc>
          <w:tcPr>
            <w:tcW w:w="593" w:type="dxa"/>
            <w:tcBorders>
              <w:top w:val="single" w:sz="8" w:space="0" w:color="auto"/>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2000</w:t>
            </w:r>
          </w:p>
        </w:tc>
        <w:tc>
          <w:tcPr>
            <w:tcW w:w="593" w:type="dxa"/>
            <w:tcBorders>
              <w:top w:val="single" w:sz="8" w:space="0" w:color="auto"/>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2001</w:t>
            </w:r>
          </w:p>
        </w:tc>
        <w:tc>
          <w:tcPr>
            <w:tcW w:w="593" w:type="dxa"/>
            <w:tcBorders>
              <w:top w:val="single" w:sz="8" w:space="0" w:color="auto"/>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2002</w:t>
            </w:r>
          </w:p>
        </w:tc>
        <w:tc>
          <w:tcPr>
            <w:tcW w:w="593" w:type="dxa"/>
            <w:tcBorders>
              <w:top w:val="single" w:sz="8" w:space="0" w:color="auto"/>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2003</w:t>
            </w:r>
          </w:p>
        </w:tc>
        <w:tc>
          <w:tcPr>
            <w:tcW w:w="593" w:type="dxa"/>
            <w:tcBorders>
              <w:top w:val="single" w:sz="8" w:space="0" w:color="auto"/>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2004</w:t>
            </w:r>
          </w:p>
        </w:tc>
        <w:tc>
          <w:tcPr>
            <w:tcW w:w="593" w:type="dxa"/>
            <w:tcBorders>
              <w:top w:val="single" w:sz="8" w:space="0" w:color="auto"/>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2005</w:t>
            </w:r>
          </w:p>
        </w:tc>
        <w:tc>
          <w:tcPr>
            <w:tcW w:w="593" w:type="dxa"/>
            <w:tcBorders>
              <w:top w:val="single" w:sz="8" w:space="0" w:color="auto"/>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2006</w:t>
            </w:r>
          </w:p>
        </w:tc>
        <w:tc>
          <w:tcPr>
            <w:tcW w:w="593" w:type="dxa"/>
            <w:tcBorders>
              <w:top w:val="single" w:sz="8" w:space="0" w:color="auto"/>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2007</w:t>
            </w:r>
          </w:p>
        </w:tc>
        <w:tc>
          <w:tcPr>
            <w:tcW w:w="593" w:type="dxa"/>
            <w:tcBorders>
              <w:top w:val="single" w:sz="8" w:space="0" w:color="auto"/>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2008</w:t>
            </w:r>
          </w:p>
        </w:tc>
        <w:tc>
          <w:tcPr>
            <w:tcW w:w="593" w:type="dxa"/>
            <w:tcBorders>
              <w:top w:val="single" w:sz="8" w:space="0" w:color="auto"/>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2009</w:t>
            </w:r>
          </w:p>
        </w:tc>
        <w:tc>
          <w:tcPr>
            <w:tcW w:w="593" w:type="dxa"/>
            <w:tcBorders>
              <w:top w:val="single" w:sz="8" w:space="0" w:color="auto"/>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2010</w:t>
            </w:r>
          </w:p>
        </w:tc>
        <w:tc>
          <w:tcPr>
            <w:tcW w:w="593" w:type="dxa"/>
            <w:tcBorders>
              <w:top w:val="single" w:sz="8" w:space="0" w:color="auto"/>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2011</w:t>
            </w:r>
          </w:p>
        </w:tc>
      </w:tr>
      <w:tr w:rsidR="00656538" w:rsidRPr="00573DEB" w:rsidTr="00656538">
        <w:trPr>
          <w:trHeight w:val="315"/>
        </w:trPr>
        <w:tc>
          <w:tcPr>
            <w:tcW w:w="2472" w:type="dxa"/>
            <w:tcBorders>
              <w:top w:val="nil"/>
              <w:left w:val="nil"/>
              <w:bottom w:val="single" w:sz="8" w:space="0" w:color="auto"/>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Total</w:t>
            </w:r>
          </w:p>
        </w:tc>
        <w:tc>
          <w:tcPr>
            <w:tcW w:w="593" w:type="dxa"/>
            <w:tcBorders>
              <w:top w:val="nil"/>
              <w:left w:val="nil"/>
              <w:bottom w:val="single" w:sz="8"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17,443</w:t>
            </w:r>
          </w:p>
        </w:tc>
        <w:tc>
          <w:tcPr>
            <w:tcW w:w="593" w:type="dxa"/>
            <w:tcBorders>
              <w:top w:val="nil"/>
              <w:left w:val="nil"/>
              <w:bottom w:val="single" w:sz="8"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17,909</w:t>
            </w:r>
          </w:p>
        </w:tc>
        <w:tc>
          <w:tcPr>
            <w:tcW w:w="593" w:type="dxa"/>
            <w:tcBorders>
              <w:top w:val="nil"/>
              <w:left w:val="nil"/>
              <w:bottom w:val="single" w:sz="8"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16,688</w:t>
            </w:r>
          </w:p>
        </w:tc>
        <w:tc>
          <w:tcPr>
            <w:tcW w:w="593" w:type="dxa"/>
            <w:tcBorders>
              <w:top w:val="nil"/>
              <w:left w:val="nil"/>
              <w:bottom w:val="single" w:sz="8"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16,415</w:t>
            </w:r>
          </w:p>
        </w:tc>
        <w:tc>
          <w:tcPr>
            <w:tcW w:w="593" w:type="dxa"/>
            <w:tcBorders>
              <w:top w:val="nil"/>
              <w:left w:val="nil"/>
              <w:bottom w:val="single" w:sz="8"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16,710</w:t>
            </w:r>
          </w:p>
        </w:tc>
        <w:tc>
          <w:tcPr>
            <w:tcW w:w="593" w:type="dxa"/>
            <w:tcBorders>
              <w:top w:val="nil"/>
              <w:left w:val="nil"/>
              <w:bottom w:val="single" w:sz="8"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18,487</w:t>
            </w:r>
          </w:p>
        </w:tc>
        <w:tc>
          <w:tcPr>
            <w:tcW w:w="593" w:type="dxa"/>
            <w:tcBorders>
              <w:top w:val="nil"/>
              <w:left w:val="nil"/>
              <w:bottom w:val="single" w:sz="8"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19,845</w:t>
            </w:r>
          </w:p>
        </w:tc>
        <w:tc>
          <w:tcPr>
            <w:tcW w:w="593" w:type="dxa"/>
            <w:tcBorders>
              <w:top w:val="nil"/>
              <w:left w:val="nil"/>
              <w:bottom w:val="single" w:sz="8"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21,655</w:t>
            </w:r>
          </w:p>
        </w:tc>
        <w:tc>
          <w:tcPr>
            <w:tcW w:w="593" w:type="dxa"/>
            <w:tcBorders>
              <w:top w:val="nil"/>
              <w:left w:val="nil"/>
              <w:bottom w:val="single" w:sz="8"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23,150</w:t>
            </w:r>
          </w:p>
        </w:tc>
        <w:tc>
          <w:tcPr>
            <w:tcW w:w="593" w:type="dxa"/>
            <w:tcBorders>
              <w:top w:val="nil"/>
              <w:left w:val="nil"/>
              <w:bottom w:val="single" w:sz="8"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22,401</w:t>
            </w:r>
          </w:p>
        </w:tc>
        <w:tc>
          <w:tcPr>
            <w:tcW w:w="593" w:type="dxa"/>
            <w:tcBorders>
              <w:top w:val="nil"/>
              <w:left w:val="nil"/>
              <w:bottom w:val="single" w:sz="8"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24,982</w:t>
            </w:r>
          </w:p>
        </w:tc>
        <w:tc>
          <w:tcPr>
            <w:tcW w:w="593" w:type="dxa"/>
            <w:tcBorders>
              <w:top w:val="nil"/>
              <w:left w:val="nil"/>
              <w:bottom w:val="single" w:sz="8"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28,547</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United States of America</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6,249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6,089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5,433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4,946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5,415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6,153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6,337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6,856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6,990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6,869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7,561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8,194</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Brazil</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3,214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3,451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3,485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3,867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4,044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4,054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3,956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4,194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4,280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4,272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4,228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4,695</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Germany</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2,071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2,248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1,944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1,837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1,719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1,765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2,034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2,093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2,444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2,133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2,477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2,818</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Japan</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718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876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755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714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629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745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902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1,042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1,226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1,477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1,923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2,599</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France</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1,059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961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931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922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820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1,063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1,131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1,193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1,337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1,422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1,675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1,780</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Switzerland</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537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548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593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731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717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873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965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1,157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1,289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1,154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1,216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1,251</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Netherlands</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476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539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601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495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547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570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590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693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789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739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845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1,148</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United Kingdom</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506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486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433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464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402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436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490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518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592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556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667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821</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Italy</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353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371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389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461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390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445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479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543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578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503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579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623</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China</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91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127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121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182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233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547</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Sweden</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585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492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353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275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337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378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434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454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641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493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510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513</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Canada</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224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212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196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188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215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229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251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238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230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310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438</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Belgium</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149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131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95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110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125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243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236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235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221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295</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Republic of Korea</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197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214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167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170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330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389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397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340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331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252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285</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Spain</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116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98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130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110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118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129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175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196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182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164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256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261</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Denmark</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100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109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95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110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138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150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187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179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212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247</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Norway</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113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134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141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176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225</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Austria</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112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115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98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158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208</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Finland</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138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180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226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120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142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176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230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224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154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227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184</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Australia</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127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184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144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145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138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140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189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184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148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185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183</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Israel</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90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136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168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119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143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170</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India</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97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133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91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146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146</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Virgin Islands (British)</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90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113</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Taiwan, Province of China</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78</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Luxembourg</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67</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Ireland</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57</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Mexico</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55</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South Africa</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43</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New Zealand</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40</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Singapore</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40</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Argentina</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32</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Russian Federation</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30</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Portugal</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28</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Chile</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21</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Malaysia</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20</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Turkey</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10</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18</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Hungary</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9</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17</w:t>
            </w:r>
          </w:p>
        </w:tc>
      </w:tr>
      <w:tr w:rsidR="00656538" w:rsidRPr="00573DEB" w:rsidTr="00656538">
        <w:trPr>
          <w:trHeight w:val="300"/>
        </w:trPr>
        <w:tc>
          <w:tcPr>
            <w:tcW w:w="2472" w:type="dxa"/>
            <w:tcBorders>
              <w:top w:val="nil"/>
              <w:left w:val="nil"/>
              <w:bottom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Liechtenstein</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6</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w:t>
            </w:r>
          </w:p>
        </w:tc>
        <w:tc>
          <w:tcPr>
            <w:tcW w:w="593" w:type="dxa"/>
            <w:tcBorders>
              <w:top w:val="nil"/>
              <w:left w:val="nil"/>
              <w:bottom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17</w:t>
            </w:r>
          </w:p>
        </w:tc>
      </w:tr>
      <w:tr w:rsidR="00656538" w:rsidRPr="00573DEB" w:rsidTr="00D67C75">
        <w:trPr>
          <w:trHeight w:val="300"/>
        </w:trPr>
        <w:tc>
          <w:tcPr>
            <w:tcW w:w="2472" w:type="dxa"/>
            <w:tcBorders>
              <w:top w:val="nil"/>
              <w:left w:val="nil"/>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Barbados</w:t>
            </w:r>
          </w:p>
        </w:tc>
        <w:tc>
          <w:tcPr>
            <w:tcW w:w="593" w:type="dxa"/>
            <w:tcBorders>
              <w:top w:val="nil"/>
              <w:left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3</w:t>
            </w:r>
          </w:p>
        </w:tc>
        <w:tc>
          <w:tcPr>
            <w:tcW w:w="593" w:type="dxa"/>
            <w:tcBorders>
              <w:top w:val="nil"/>
              <w:left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w:t>
            </w:r>
          </w:p>
        </w:tc>
        <w:tc>
          <w:tcPr>
            <w:tcW w:w="593" w:type="dxa"/>
            <w:tcBorders>
              <w:top w:val="nil"/>
              <w:left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w:t>
            </w:r>
          </w:p>
        </w:tc>
        <w:tc>
          <w:tcPr>
            <w:tcW w:w="593" w:type="dxa"/>
            <w:tcBorders>
              <w:top w:val="nil"/>
              <w:left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w:t>
            </w:r>
          </w:p>
        </w:tc>
        <w:tc>
          <w:tcPr>
            <w:tcW w:w="593" w:type="dxa"/>
            <w:tcBorders>
              <w:top w:val="nil"/>
              <w:left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7</w:t>
            </w:r>
          </w:p>
        </w:tc>
        <w:tc>
          <w:tcPr>
            <w:tcW w:w="593" w:type="dxa"/>
            <w:tcBorders>
              <w:top w:val="nil"/>
              <w:left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w:t>
            </w:r>
          </w:p>
        </w:tc>
        <w:tc>
          <w:tcPr>
            <w:tcW w:w="593" w:type="dxa"/>
            <w:tcBorders>
              <w:top w:val="nil"/>
              <w:left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w:t>
            </w:r>
          </w:p>
        </w:tc>
        <w:tc>
          <w:tcPr>
            <w:tcW w:w="593" w:type="dxa"/>
            <w:tcBorders>
              <w:top w:val="nil"/>
              <w:left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11</w:t>
            </w:r>
          </w:p>
        </w:tc>
        <w:tc>
          <w:tcPr>
            <w:tcW w:w="593" w:type="dxa"/>
            <w:tcBorders>
              <w:top w:val="nil"/>
              <w:left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9</w:t>
            </w:r>
          </w:p>
        </w:tc>
        <w:tc>
          <w:tcPr>
            <w:tcW w:w="593" w:type="dxa"/>
            <w:tcBorders>
              <w:top w:val="nil"/>
              <w:left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w:t>
            </w:r>
          </w:p>
        </w:tc>
        <w:tc>
          <w:tcPr>
            <w:tcW w:w="593" w:type="dxa"/>
            <w:tcBorders>
              <w:top w:val="nil"/>
              <w:left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w:t>
            </w:r>
          </w:p>
        </w:tc>
        <w:tc>
          <w:tcPr>
            <w:tcW w:w="593" w:type="dxa"/>
            <w:tcBorders>
              <w:top w:val="nil"/>
              <w:left w:val="nil"/>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16</w:t>
            </w:r>
          </w:p>
        </w:tc>
      </w:tr>
      <w:tr w:rsidR="00656538" w:rsidRPr="00573DEB" w:rsidTr="00D67C75">
        <w:trPr>
          <w:trHeight w:val="300"/>
        </w:trPr>
        <w:tc>
          <w:tcPr>
            <w:tcW w:w="2472" w:type="dxa"/>
            <w:tcBorders>
              <w:top w:val="nil"/>
              <w:left w:val="nil"/>
              <w:bottom w:val="single" w:sz="4" w:space="0" w:color="auto"/>
              <w:right w:val="nil"/>
            </w:tcBorders>
            <w:shd w:val="clear" w:color="auto" w:fill="auto"/>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Colombia</w:t>
            </w:r>
          </w:p>
        </w:tc>
        <w:tc>
          <w:tcPr>
            <w:tcW w:w="593" w:type="dxa"/>
            <w:tcBorders>
              <w:top w:val="nil"/>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w:t>
            </w:r>
          </w:p>
        </w:tc>
        <w:tc>
          <w:tcPr>
            <w:tcW w:w="593" w:type="dxa"/>
            <w:tcBorders>
              <w:top w:val="nil"/>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w:t>
            </w:r>
          </w:p>
        </w:tc>
        <w:tc>
          <w:tcPr>
            <w:tcW w:w="593" w:type="dxa"/>
            <w:tcBorders>
              <w:top w:val="nil"/>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w:t>
            </w:r>
          </w:p>
        </w:tc>
        <w:tc>
          <w:tcPr>
            <w:tcW w:w="593" w:type="dxa"/>
            <w:tcBorders>
              <w:top w:val="nil"/>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w:t>
            </w:r>
          </w:p>
        </w:tc>
        <w:tc>
          <w:tcPr>
            <w:tcW w:w="593" w:type="dxa"/>
            <w:tcBorders>
              <w:top w:val="nil"/>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5</w:t>
            </w:r>
          </w:p>
        </w:tc>
        <w:tc>
          <w:tcPr>
            <w:tcW w:w="593" w:type="dxa"/>
            <w:tcBorders>
              <w:top w:val="nil"/>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w:t>
            </w:r>
          </w:p>
        </w:tc>
        <w:tc>
          <w:tcPr>
            <w:tcW w:w="593" w:type="dxa"/>
            <w:tcBorders>
              <w:top w:val="nil"/>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2</w:t>
            </w:r>
          </w:p>
        </w:tc>
        <w:tc>
          <w:tcPr>
            <w:tcW w:w="593" w:type="dxa"/>
            <w:tcBorders>
              <w:top w:val="nil"/>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4</w:t>
            </w:r>
          </w:p>
        </w:tc>
        <w:tc>
          <w:tcPr>
            <w:tcW w:w="593" w:type="dxa"/>
            <w:tcBorders>
              <w:top w:val="nil"/>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8</w:t>
            </w:r>
          </w:p>
        </w:tc>
        <w:tc>
          <w:tcPr>
            <w:tcW w:w="593" w:type="dxa"/>
            <w:tcBorders>
              <w:top w:val="nil"/>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11</w:t>
            </w:r>
          </w:p>
        </w:tc>
        <w:tc>
          <w:tcPr>
            <w:tcW w:w="593" w:type="dxa"/>
            <w:tcBorders>
              <w:top w:val="nil"/>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12</w:t>
            </w:r>
          </w:p>
        </w:tc>
        <w:tc>
          <w:tcPr>
            <w:tcW w:w="593" w:type="dxa"/>
            <w:tcBorders>
              <w:top w:val="nil"/>
              <w:left w:val="nil"/>
              <w:bottom w:val="single" w:sz="4" w:space="0" w:color="auto"/>
              <w:right w:val="nil"/>
            </w:tcBorders>
            <w:shd w:val="clear" w:color="auto" w:fill="auto"/>
            <w:noWrap/>
            <w:vAlign w:val="bottom"/>
            <w:hideMark/>
          </w:tcPr>
          <w:p w:rsidR="00656538" w:rsidRPr="00573DEB" w:rsidRDefault="00656538" w:rsidP="004B4B73">
            <w:pPr>
              <w:rPr>
                <w:rFonts w:ascii="Arial Narrow" w:hAnsi="Arial Narrow"/>
                <w:sz w:val="20"/>
                <w:szCs w:val="20"/>
                <w:lang w:eastAsia="pt-BR"/>
              </w:rPr>
            </w:pPr>
            <w:r w:rsidRPr="00573DEB">
              <w:rPr>
                <w:rFonts w:ascii="Arial Narrow" w:hAnsi="Arial Narrow"/>
                <w:sz w:val="20"/>
                <w:szCs w:val="20"/>
                <w:lang w:eastAsia="pt-BR"/>
              </w:rPr>
              <w:t>16</w:t>
            </w:r>
          </w:p>
        </w:tc>
      </w:tr>
    </w:tbl>
    <w:p w:rsidR="00656538" w:rsidRPr="008C2A2F" w:rsidRDefault="00D67C75" w:rsidP="00D67C75">
      <w:pPr>
        <w:pStyle w:val="Captionnotes"/>
        <w:rPr>
          <w:i w:val="0"/>
        </w:rPr>
      </w:pPr>
      <w:bookmarkStart w:id="271" w:name="_Toc388619979"/>
      <w:r w:rsidRPr="008C2A2F">
        <w:rPr>
          <w:i w:val="0"/>
        </w:rPr>
        <w:t>Note: Only first 40 reported.</w:t>
      </w:r>
    </w:p>
    <w:p w:rsidR="00656538" w:rsidRPr="00573DEB" w:rsidRDefault="00656538">
      <w:pPr>
        <w:widowControl/>
        <w:spacing w:after="200" w:line="276" w:lineRule="auto"/>
      </w:pPr>
      <w:r w:rsidRPr="00573DEB">
        <w:br w:type="page"/>
      </w:r>
    </w:p>
    <w:p w:rsidR="00B000C0" w:rsidRPr="00573DEB" w:rsidRDefault="008C2A2F" w:rsidP="00656538">
      <w:pPr>
        <w:pStyle w:val="Caption"/>
        <w:rPr>
          <w:rFonts w:cs="Calibri"/>
        </w:rPr>
      </w:pPr>
      <w:r>
        <w:t xml:space="preserve">Table A.5:  </w:t>
      </w:r>
      <w:r w:rsidR="00B000C0" w:rsidRPr="00573DEB">
        <w:t>Patent applications by Brazilian states, 2000-2011</w:t>
      </w:r>
      <w:bookmarkEnd w:id="271"/>
    </w:p>
    <w:tbl>
      <w:tblPr>
        <w:tblW w:w="9720" w:type="dxa"/>
        <w:tblLayout w:type="fixed"/>
        <w:tblCellMar>
          <w:left w:w="0" w:type="dxa"/>
          <w:right w:w="0" w:type="dxa"/>
        </w:tblCellMar>
        <w:tblLook w:val="04A0" w:firstRow="1" w:lastRow="0" w:firstColumn="1" w:lastColumn="0" w:noHBand="0" w:noVBand="1"/>
      </w:tblPr>
      <w:tblGrid>
        <w:gridCol w:w="1605"/>
        <w:gridCol w:w="624"/>
        <w:gridCol w:w="624"/>
        <w:gridCol w:w="624"/>
        <w:gridCol w:w="624"/>
        <w:gridCol w:w="625"/>
        <w:gridCol w:w="624"/>
        <w:gridCol w:w="624"/>
        <w:gridCol w:w="624"/>
        <w:gridCol w:w="625"/>
        <w:gridCol w:w="624"/>
        <w:gridCol w:w="624"/>
        <w:gridCol w:w="624"/>
        <w:gridCol w:w="625"/>
      </w:tblGrid>
      <w:tr w:rsidR="00D67C75" w:rsidRPr="00573DEB" w:rsidTr="00D67C75">
        <w:trPr>
          <w:trHeight w:val="300"/>
        </w:trPr>
        <w:tc>
          <w:tcPr>
            <w:tcW w:w="1605" w:type="dxa"/>
            <w:tcBorders>
              <w:top w:val="single" w:sz="8" w:space="0" w:color="auto"/>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Brazilian States</w:t>
            </w:r>
          </w:p>
        </w:tc>
        <w:tc>
          <w:tcPr>
            <w:tcW w:w="624" w:type="dxa"/>
            <w:tcBorders>
              <w:top w:val="single" w:sz="8" w:space="0" w:color="auto"/>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2000</w:t>
            </w:r>
          </w:p>
        </w:tc>
        <w:tc>
          <w:tcPr>
            <w:tcW w:w="624" w:type="dxa"/>
            <w:tcBorders>
              <w:top w:val="single" w:sz="8" w:space="0" w:color="auto"/>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2001</w:t>
            </w:r>
          </w:p>
        </w:tc>
        <w:tc>
          <w:tcPr>
            <w:tcW w:w="624" w:type="dxa"/>
            <w:tcBorders>
              <w:top w:val="single" w:sz="8" w:space="0" w:color="auto"/>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2002</w:t>
            </w:r>
          </w:p>
        </w:tc>
        <w:tc>
          <w:tcPr>
            <w:tcW w:w="624" w:type="dxa"/>
            <w:tcBorders>
              <w:top w:val="single" w:sz="8" w:space="0" w:color="auto"/>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2003</w:t>
            </w:r>
          </w:p>
        </w:tc>
        <w:tc>
          <w:tcPr>
            <w:tcW w:w="625" w:type="dxa"/>
            <w:tcBorders>
              <w:top w:val="single" w:sz="8" w:space="0" w:color="auto"/>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2004</w:t>
            </w:r>
          </w:p>
        </w:tc>
        <w:tc>
          <w:tcPr>
            <w:tcW w:w="624" w:type="dxa"/>
            <w:tcBorders>
              <w:top w:val="single" w:sz="8" w:space="0" w:color="auto"/>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2005</w:t>
            </w:r>
          </w:p>
        </w:tc>
        <w:tc>
          <w:tcPr>
            <w:tcW w:w="624" w:type="dxa"/>
            <w:tcBorders>
              <w:top w:val="single" w:sz="8" w:space="0" w:color="auto"/>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2006</w:t>
            </w:r>
          </w:p>
        </w:tc>
        <w:tc>
          <w:tcPr>
            <w:tcW w:w="624" w:type="dxa"/>
            <w:tcBorders>
              <w:top w:val="single" w:sz="8" w:space="0" w:color="auto"/>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2007</w:t>
            </w:r>
          </w:p>
        </w:tc>
        <w:tc>
          <w:tcPr>
            <w:tcW w:w="625" w:type="dxa"/>
            <w:tcBorders>
              <w:top w:val="single" w:sz="8" w:space="0" w:color="auto"/>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2008</w:t>
            </w:r>
          </w:p>
        </w:tc>
        <w:tc>
          <w:tcPr>
            <w:tcW w:w="624" w:type="dxa"/>
            <w:tcBorders>
              <w:top w:val="single" w:sz="8" w:space="0" w:color="auto"/>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2009</w:t>
            </w:r>
          </w:p>
        </w:tc>
        <w:tc>
          <w:tcPr>
            <w:tcW w:w="624" w:type="dxa"/>
            <w:tcBorders>
              <w:top w:val="single" w:sz="8" w:space="0" w:color="auto"/>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2010</w:t>
            </w:r>
          </w:p>
        </w:tc>
        <w:tc>
          <w:tcPr>
            <w:tcW w:w="624" w:type="dxa"/>
            <w:tcBorders>
              <w:top w:val="single" w:sz="8" w:space="0" w:color="auto"/>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2011</w:t>
            </w:r>
          </w:p>
        </w:tc>
        <w:tc>
          <w:tcPr>
            <w:tcW w:w="625" w:type="dxa"/>
            <w:tcBorders>
              <w:top w:val="single" w:sz="8" w:space="0" w:color="auto"/>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Total</w:t>
            </w:r>
          </w:p>
        </w:tc>
      </w:tr>
      <w:tr w:rsidR="00D67C75" w:rsidRPr="00573DEB" w:rsidTr="00D67C75">
        <w:trPr>
          <w:trHeight w:val="300"/>
        </w:trPr>
        <w:tc>
          <w:tcPr>
            <w:tcW w:w="1605"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Total</w:t>
            </w:r>
          </w:p>
        </w:tc>
        <w:tc>
          <w:tcPr>
            <w:tcW w:w="624"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3,214</w:t>
            </w:r>
          </w:p>
        </w:tc>
        <w:tc>
          <w:tcPr>
            <w:tcW w:w="624"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3,451</w:t>
            </w:r>
          </w:p>
        </w:tc>
        <w:tc>
          <w:tcPr>
            <w:tcW w:w="624"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3,485</w:t>
            </w:r>
          </w:p>
        </w:tc>
        <w:tc>
          <w:tcPr>
            <w:tcW w:w="624"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3,867</w:t>
            </w:r>
          </w:p>
        </w:tc>
        <w:tc>
          <w:tcPr>
            <w:tcW w:w="625"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4,044</w:t>
            </w:r>
          </w:p>
        </w:tc>
        <w:tc>
          <w:tcPr>
            <w:tcW w:w="624"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4,054</w:t>
            </w:r>
          </w:p>
        </w:tc>
        <w:tc>
          <w:tcPr>
            <w:tcW w:w="624"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3,956</w:t>
            </w:r>
          </w:p>
        </w:tc>
        <w:tc>
          <w:tcPr>
            <w:tcW w:w="624"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4,194</w:t>
            </w:r>
          </w:p>
        </w:tc>
        <w:tc>
          <w:tcPr>
            <w:tcW w:w="625"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4,280</w:t>
            </w:r>
          </w:p>
        </w:tc>
        <w:tc>
          <w:tcPr>
            <w:tcW w:w="624"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4,272</w:t>
            </w:r>
          </w:p>
        </w:tc>
        <w:tc>
          <w:tcPr>
            <w:tcW w:w="624"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4,228</w:t>
            </w:r>
          </w:p>
        </w:tc>
        <w:tc>
          <w:tcPr>
            <w:tcW w:w="624"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4,695</w:t>
            </w:r>
          </w:p>
        </w:tc>
        <w:tc>
          <w:tcPr>
            <w:tcW w:w="625"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47,740</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São Paulo</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1,524</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1,585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1,620</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1,790</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1,830</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1,801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1,731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1,857</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1,848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1,844</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1,800</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1,992</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21,222</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 xml:space="preserve">Minas </w:t>
            </w:r>
            <w:proofErr w:type="spellStart"/>
            <w:r w:rsidRPr="00573DEB">
              <w:rPr>
                <w:rFonts w:ascii="Arial Narrow" w:hAnsi="Arial Narrow"/>
                <w:sz w:val="20"/>
                <w:szCs w:val="20"/>
                <w:lang w:eastAsia="pt-BR"/>
              </w:rPr>
              <w:t>Gerais</w:t>
            </w:r>
            <w:proofErr w:type="spellEnd"/>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269</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347</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339</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395</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363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378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400</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489</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396</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427</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471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471</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4,745</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Rio de Janeiro</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298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291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332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322</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412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394</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378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384</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388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373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334</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359</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4,265</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 xml:space="preserve">Rio Grande do </w:t>
            </w:r>
            <w:proofErr w:type="spellStart"/>
            <w:r w:rsidRPr="00573DEB">
              <w:rPr>
                <w:rFonts w:ascii="Arial Narrow" w:hAnsi="Arial Narrow"/>
                <w:sz w:val="20"/>
                <w:szCs w:val="20"/>
                <w:lang w:eastAsia="pt-BR"/>
              </w:rPr>
              <w:t>Sul</w:t>
            </w:r>
            <w:proofErr w:type="spellEnd"/>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239</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240</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260</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296</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341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330</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346</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334</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377</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339</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327</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419</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3,848</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Paraná</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209</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203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233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288</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326</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331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332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374</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392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414</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340</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370</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3,812</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Santa Catarina</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158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217</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190</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256</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256</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268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247</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233</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310</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269</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320</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288</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3,012</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Distrito Federal</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73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57</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75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80</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91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76</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87</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52</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66</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63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82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95</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897</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Bahia</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39</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59</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62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63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71</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91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93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112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131</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867</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roofErr w:type="spellStart"/>
            <w:r w:rsidRPr="00573DEB">
              <w:rPr>
                <w:rFonts w:ascii="Arial Narrow" w:hAnsi="Arial Narrow"/>
                <w:sz w:val="20"/>
                <w:szCs w:val="20"/>
                <w:lang w:eastAsia="pt-BR"/>
              </w:rPr>
              <w:t>Espírito</w:t>
            </w:r>
            <w:proofErr w:type="spellEnd"/>
            <w:r w:rsidRPr="00573DEB">
              <w:rPr>
                <w:rFonts w:ascii="Arial Narrow" w:hAnsi="Arial Narrow"/>
                <w:sz w:val="20"/>
                <w:szCs w:val="20"/>
                <w:lang w:eastAsia="pt-BR"/>
              </w:rPr>
              <w:t xml:space="preserve"> Santo</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59</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70</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59</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63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69</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73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70</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78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63</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767</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roofErr w:type="spellStart"/>
            <w:r w:rsidRPr="00573DEB">
              <w:rPr>
                <w:rFonts w:ascii="Arial Narrow" w:hAnsi="Arial Narrow"/>
                <w:sz w:val="20"/>
                <w:szCs w:val="20"/>
                <w:lang w:eastAsia="pt-BR"/>
              </w:rPr>
              <w:t>Goiás</w:t>
            </w:r>
            <w:proofErr w:type="spellEnd"/>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49</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77</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63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75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46</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65</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60</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54</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82</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714</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roofErr w:type="spellStart"/>
            <w:r w:rsidRPr="00573DEB">
              <w:rPr>
                <w:rFonts w:ascii="Arial Narrow" w:hAnsi="Arial Narrow"/>
                <w:sz w:val="20"/>
                <w:szCs w:val="20"/>
                <w:lang w:eastAsia="pt-BR"/>
              </w:rPr>
              <w:t>Ceará</w:t>
            </w:r>
            <w:proofErr w:type="spellEnd"/>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37</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36</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44</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50</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49</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57</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67</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72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74</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628</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Pernambuco</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47</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49</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39</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60</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49</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40</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46</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76</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611</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Amazonas</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9</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21</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39</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26</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24</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26</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47</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44</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346</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roofErr w:type="spellStart"/>
            <w:r w:rsidRPr="00573DEB">
              <w:rPr>
                <w:rFonts w:ascii="Arial Narrow" w:hAnsi="Arial Narrow"/>
                <w:sz w:val="20"/>
                <w:szCs w:val="20"/>
                <w:lang w:eastAsia="pt-BR"/>
              </w:rPr>
              <w:t>Paraíba</w:t>
            </w:r>
            <w:proofErr w:type="spellEnd"/>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12</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30</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18</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24</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29</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33</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259</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Rio Grande do Norte</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19</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10</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22</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30</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20</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24</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24</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234</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roofErr w:type="spellStart"/>
            <w:r w:rsidRPr="00573DEB">
              <w:rPr>
                <w:rFonts w:ascii="Arial Narrow" w:hAnsi="Arial Narrow"/>
                <w:sz w:val="20"/>
                <w:szCs w:val="20"/>
                <w:lang w:eastAsia="pt-BR"/>
              </w:rPr>
              <w:t>Mato</w:t>
            </w:r>
            <w:proofErr w:type="spellEnd"/>
            <w:r w:rsidRPr="00573DEB">
              <w:rPr>
                <w:rFonts w:ascii="Arial Narrow" w:hAnsi="Arial Narrow"/>
                <w:sz w:val="20"/>
                <w:szCs w:val="20"/>
                <w:lang w:eastAsia="pt-BR"/>
              </w:rPr>
              <w:t xml:space="preserve"> Grosso</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13</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37</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25</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230</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roofErr w:type="spellStart"/>
            <w:r w:rsidRPr="00573DEB">
              <w:rPr>
                <w:rFonts w:ascii="Arial Narrow" w:hAnsi="Arial Narrow"/>
                <w:sz w:val="20"/>
                <w:szCs w:val="20"/>
                <w:lang w:eastAsia="pt-BR"/>
              </w:rPr>
              <w:t>Pará</w:t>
            </w:r>
            <w:proofErr w:type="spellEnd"/>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9</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16</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9</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16</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19</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24</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26</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201</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roofErr w:type="spellStart"/>
            <w:r w:rsidRPr="00573DEB">
              <w:rPr>
                <w:rFonts w:ascii="Arial Narrow" w:hAnsi="Arial Narrow"/>
                <w:sz w:val="20"/>
                <w:szCs w:val="20"/>
                <w:lang w:eastAsia="pt-BR"/>
              </w:rPr>
              <w:t>Mato</w:t>
            </w:r>
            <w:proofErr w:type="spellEnd"/>
            <w:r w:rsidRPr="00573DEB">
              <w:rPr>
                <w:rFonts w:ascii="Arial Narrow" w:hAnsi="Arial Narrow"/>
                <w:sz w:val="20"/>
                <w:szCs w:val="20"/>
                <w:lang w:eastAsia="pt-BR"/>
              </w:rPr>
              <w:t xml:space="preserve"> Grosso do </w:t>
            </w:r>
            <w:proofErr w:type="spellStart"/>
            <w:r w:rsidRPr="00573DEB">
              <w:rPr>
                <w:rFonts w:ascii="Arial Narrow" w:hAnsi="Arial Narrow"/>
                <w:sz w:val="20"/>
                <w:szCs w:val="20"/>
                <w:lang w:eastAsia="pt-BR"/>
              </w:rPr>
              <w:t>Sul</w:t>
            </w:r>
            <w:proofErr w:type="spellEnd"/>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10</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17</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10</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11</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19</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20</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17</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18</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19</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20</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193</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Sergipe</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6</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6</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10</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9</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17</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9</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33</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135</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roofErr w:type="spellStart"/>
            <w:r w:rsidRPr="00573DEB">
              <w:rPr>
                <w:rFonts w:ascii="Arial Narrow" w:hAnsi="Arial Narrow"/>
                <w:sz w:val="20"/>
                <w:szCs w:val="20"/>
                <w:lang w:eastAsia="pt-BR"/>
              </w:rPr>
              <w:t>Maranhão</w:t>
            </w:r>
            <w:proofErr w:type="spellEnd"/>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9</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6</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8</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7</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19</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18</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106</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Alagoas</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9</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6</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7</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14</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11</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89</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roofErr w:type="spellStart"/>
            <w:r w:rsidRPr="00573DEB">
              <w:rPr>
                <w:rFonts w:ascii="Arial Narrow" w:hAnsi="Arial Narrow"/>
                <w:sz w:val="20"/>
                <w:szCs w:val="20"/>
                <w:lang w:eastAsia="pt-BR"/>
              </w:rPr>
              <w:t>Rondônia</w:t>
            </w:r>
            <w:proofErr w:type="spellEnd"/>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6</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7</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8</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7</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6</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6</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14</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73</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roofErr w:type="spellStart"/>
            <w:r w:rsidRPr="00573DEB">
              <w:rPr>
                <w:rFonts w:ascii="Arial Narrow" w:hAnsi="Arial Narrow"/>
                <w:sz w:val="20"/>
                <w:szCs w:val="20"/>
                <w:lang w:eastAsia="pt-BR"/>
              </w:rPr>
              <w:t>Piauí</w:t>
            </w:r>
            <w:proofErr w:type="spellEnd"/>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7</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6</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20</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64</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Tocantins</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8</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3</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40</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Acre</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5</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20</w:t>
            </w:r>
          </w:p>
        </w:tc>
      </w:tr>
      <w:tr w:rsidR="00D67C75" w:rsidRPr="00573DEB" w:rsidTr="00D67C75">
        <w:trPr>
          <w:trHeight w:val="300"/>
        </w:trPr>
        <w:tc>
          <w:tcPr>
            <w:tcW w:w="160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roofErr w:type="spellStart"/>
            <w:r w:rsidRPr="00573DEB">
              <w:rPr>
                <w:rFonts w:ascii="Arial Narrow" w:hAnsi="Arial Narrow"/>
                <w:sz w:val="20"/>
                <w:szCs w:val="20"/>
                <w:lang w:eastAsia="pt-BR"/>
              </w:rPr>
              <w:t>Amapá</w:t>
            </w:r>
            <w:proofErr w:type="spellEnd"/>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w:t>
            </w:r>
          </w:p>
        </w:tc>
        <w:tc>
          <w:tcPr>
            <w:tcW w:w="624"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w:t>
            </w:r>
          </w:p>
        </w:tc>
        <w:tc>
          <w:tcPr>
            <w:tcW w:w="625" w:type="dxa"/>
            <w:tcBorders>
              <w:top w:val="nil"/>
              <w:left w:val="nil"/>
              <w:bottom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17</w:t>
            </w:r>
          </w:p>
        </w:tc>
      </w:tr>
      <w:tr w:rsidR="00D67C75" w:rsidRPr="00573DEB" w:rsidTr="00D67C75">
        <w:trPr>
          <w:trHeight w:val="300"/>
        </w:trPr>
        <w:tc>
          <w:tcPr>
            <w:tcW w:w="1605" w:type="dxa"/>
            <w:tcBorders>
              <w:top w:val="nil"/>
              <w:left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Roraima</w:t>
            </w:r>
          </w:p>
        </w:tc>
        <w:tc>
          <w:tcPr>
            <w:tcW w:w="624" w:type="dxa"/>
            <w:tcBorders>
              <w:top w:val="nil"/>
              <w:left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w:t>
            </w:r>
          </w:p>
        </w:tc>
        <w:tc>
          <w:tcPr>
            <w:tcW w:w="624" w:type="dxa"/>
            <w:tcBorders>
              <w:top w:val="nil"/>
              <w:left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
        </w:tc>
        <w:tc>
          <w:tcPr>
            <w:tcW w:w="624" w:type="dxa"/>
            <w:tcBorders>
              <w:top w:val="nil"/>
              <w:left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w:t>
            </w:r>
          </w:p>
        </w:tc>
        <w:tc>
          <w:tcPr>
            <w:tcW w:w="624" w:type="dxa"/>
            <w:tcBorders>
              <w:top w:val="nil"/>
              <w:left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w:t>
            </w:r>
          </w:p>
        </w:tc>
        <w:tc>
          <w:tcPr>
            <w:tcW w:w="625" w:type="dxa"/>
            <w:tcBorders>
              <w:top w:val="nil"/>
              <w:left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
        </w:tc>
        <w:tc>
          <w:tcPr>
            <w:tcW w:w="624" w:type="dxa"/>
            <w:tcBorders>
              <w:top w:val="nil"/>
              <w:left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w:t>
            </w:r>
          </w:p>
        </w:tc>
        <w:tc>
          <w:tcPr>
            <w:tcW w:w="624" w:type="dxa"/>
            <w:tcBorders>
              <w:top w:val="nil"/>
              <w:left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w:t>
            </w:r>
          </w:p>
        </w:tc>
        <w:tc>
          <w:tcPr>
            <w:tcW w:w="624" w:type="dxa"/>
            <w:tcBorders>
              <w:top w:val="nil"/>
              <w:left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4</w:t>
            </w:r>
          </w:p>
        </w:tc>
        <w:tc>
          <w:tcPr>
            <w:tcW w:w="625" w:type="dxa"/>
            <w:tcBorders>
              <w:top w:val="nil"/>
              <w:left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
        </w:tc>
        <w:tc>
          <w:tcPr>
            <w:tcW w:w="624" w:type="dxa"/>
            <w:tcBorders>
              <w:top w:val="nil"/>
              <w:left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w:t>
            </w:r>
          </w:p>
        </w:tc>
        <w:tc>
          <w:tcPr>
            <w:tcW w:w="624" w:type="dxa"/>
            <w:tcBorders>
              <w:top w:val="nil"/>
              <w:left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w:t>
            </w:r>
          </w:p>
        </w:tc>
        <w:tc>
          <w:tcPr>
            <w:tcW w:w="624" w:type="dxa"/>
            <w:tcBorders>
              <w:top w:val="nil"/>
              <w:left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w:t>
            </w:r>
          </w:p>
        </w:tc>
        <w:tc>
          <w:tcPr>
            <w:tcW w:w="625" w:type="dxa"/>
            <w:tcBorders>
              <w:top w:val="nil"/>
              <w:left w:val="nil"/>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17</w:t>
            </w:r>
          </w:p>
        </w:tc>
      </w:tr>
      <w:tr w:rsidR="00D67C75" w:rsidRPr="00573DEB" w:rsidTr="00D67C75">
        <w:trPr>
          <w:trHeight w:val="300"/>
        </w:trPr>
        <w:tc>
          <w:tcPr>
            <w:tcW w:w="1605"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Others</w:t>
            </w:r>
          </w:p>
        </w:tc>
        <w:tc>
          <w:tcPr>
            <w:tcW w:w="624"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91</w:t>
            </w:r>
          </w:p>
        </w:tc>
        <w:tc>
          <w:tcPr>
            <w:tcW w:w="624"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125</w:t>
            </w:r>
          </w:p>
        </w:tc>
        <w:tc>
          <w:tcPr>
            <w:tcW w:w="624"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84</w:t>
            </w:r>
          </w:p>
        </w:tc>
        <w:tc>
          <w:tcPr>
            <w:tcW w:w="624"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20</w:t>
            </w:r>
          </w:p>
        </w:tc>
        <w:tc>
          <w:tcPr>
            <w:tcW w:w="625"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7</w:t>
            </w:r>
          </w:p>
        </w:tc>
        <w:tc>
          <w:tcPr>
            <w:tcW w:w="624"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
        </w:tc>
        <w:tc>
          <w:tcPr>
            <w:tcW w:w="624"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
        </w:tc>
        <w:tc>
          <w:tcPr>
            <w:tcW w:w="624"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
        </w:tc>
        <w:tc>
          <w:tcPr>
            <w:tcW w:w="625"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
        </w:tc>
        <w:tc>
          <w:tcPr>
            <w:tcW w:w="624"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
        </w:tc>
        <w:tc>
          <w:tcPr>
            <w:tcW w:w="624"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p>
        </w:tc>
        <w:tc>
          <w:tcPr>
            <w:tcW w:w="624"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w:t>
            </w:r>
          </w:p>
        </w:tc>
        <w:tc>
          <w:tcPr>
            <w:tcW w:w="625" w:type="dxa"/>
            <w:tcBorders>
              <w:top w:val="nil"/>
              <w:left w:val="nil"/>
              <w:bottom w:val="single" w:sz="4" w:space="0" w:color="auto"/>
              <w:right w:val="nil"/>
            </w:tcBorders>
            <w:shd w:val="clear" w:color="auto" w:fill="auto"/>
            <w:noWrap/>
            <w:vAlign w:val="bottom"/>
            <w:hideMark/>
          </w:tcPr>
          <w:p w:rsidR="00D67C75" w:rsidRPr="00573DEB" w:rsidRDefault="00D67C75" w:rsidP="004B4B73">
            <w:pPr>
              <w:rPr>
                <w:rFonts w:ascii="Arial Narrow" w:hAnsi="Arial Narrow"/>
                <w:sz w:val="20"/>
                <w:szCs w:val="20"/>
                <w:lang w:eastAsia="pt-BR"/>
              </w:rPr>
            </w:pPr>
            <w:r w:rsidRPr="00573DEB">
              <w:rPr>
                <w:rFonts w:ascii="Arial Narrow" w:hAnsi="Arial Narrow"/>
                <w:sz w:val="20"/>
                <w:szCs w:val="20"/>
                <w:lang w:eastAsia="pt-BR"/>
              </w:rPr>
              <w:t>1</w:t>
            </w:r>
          </w:p>
        </w:tc>
      </w:tr>
    </w:tbl>
    <w:p w:rsidR="00B000C0" w:rsidRPr="00573DEB" w:rsidRDefault="00B000C0" w:rsidP="004B4B73">
      <w:bookmarkStart w:id="272" w:name="_Toc366845908"/>
      <w:bookmarkStart w:id="273" w:name="_Toc367700248"/>
    </w:p>
    <w:p w:rsidR="00B000C0" w:rsidRPr="00573DEB" w:rsidRDefault="008C2A2F" w:rsidP="00656538">
      <w:pPr>
        <w:pStyle w:val="Caption"/>
        <w:rPr>
          <w:rFonts w:cs="Calibri"/>
        </w:rPr>
      </w:pPr>
      <w:bookmarkStart w:id="274" w:name="_Toc388619980"/>
      <w:r>
        <w:t xml:space="preserve">Table A.6:  </w:t>
      </w:r>
      <w:r w:rsidR="00B000C0" w:rsidRPr="00573DEB">
        <w:t>Patent applications by type of Brazilian applicants, 2000-2011</w:t>
      </w:r>
      <w:bookmarkEnd w:id="272"/>
      <w:bookmarkEnd w:id="273"/>
      <w:bookmarkEnd w:id="274"/>
    </w:p>
    <w:tbl>
      <w:tblPr>
        <w:tblW w:w="7212" w:type="dxa"/>
        <w:tblInd w:w="70" w:type="dxa"/>
        <w:tblCellMar>
          <w:left w:w="70" w:type="dxa"/>
          <w:right w:w="70" w:type="dxa"/>
        </w:tblCellMar>
        <w:tblLook w:val="04A0" w:firstRow="1" w:lastRow="0" w:firstColumn="1" w:lastColumn="0" w:noHBand="0" w:noVBand="1"/>
      </w:tblPr>
      <w:tblGrid>
        <w:gridCol w:w="1120"/>
        <w:gridCol w:w="1260"/>
        <w:gridCol w:w="2015"/>
        <w:gridCol w:w="1557"/>
        <w:gridCol w:w="1260"/>
      </w:tblGrid>
      <w:tr w:rsidR="00B000C0" w:rsidRPr="00573DEB" w:rsidTr="004B4B73">
        <w:trPr>
          <w:trHeight w:val="255"/>
        </w:trPr>
        <w:tc>
          <w:tcPr>
            <w:tcW w:w="1120" w:type="dxa"/>
            <w:vMerge w:val="restart"/>
            <w:tcBorders>
              <w:top w:val="single" w:sz="8" w:space="0" w:color="auto"/>
              <w:left w:val="nil"/>
              <w:bottom w:val="single" w:sz="4" w:space="0" w:color="000000"/>
              <w:right w:val="nil"/>
            </w:tcBorders>
            <w:shd w:val="clear" w:color="auto" w:fill="auto"/>
            <w:vAlign w:val="center"/>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Year</w:t>
            </w:r>
          </w:p>
        </w:tc>
        <w:tc>
          <w:tcPr>
            <w:tcW w:w="1260" w:type="dxa"/>
            <w:vMerge w:val="restart"/>
            <w:tcBorders>
              <w:top w:val="single" w:sz="8" w:space="0" w:color="auto"/>
              <w:left w:val="nil"/>
              <w:bottom w:val="single" w:sz="4" w:space="0" w:color="000000"/>
              <w:right w:val="nil"/>
            </w:tcBorders>
            <w:shd w:val="clear" w:color="auto" w:fill="auto"/>
            <w:noWrap/>
            <w:vAlign w:val="center"/>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Individual</w:t>
            </w:r>
          </w:p>
        </w:tc>
        <w:tc>
          <w:tcPr>
            <w:tcW w:w="3572" w:type="dxa"/>
            <w:gridSpan w:val="2"/>
            <w:tcBorders>
              <w:top w:val="single" w:sz="8" w:space="0" w:color="auto"/>
              <w:left w:val="nil"/>
              <w:bottom w:val="single" w:sz="4" w:space="0" w:color="auto"/>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Legal Entity</w:t>
            </w:r>
          </w:p>
        </w:tc>
        <w:tc>
          <w:tcPr>
            <w:tcW w:w="1260" w:type="dxa"/>
            <w:vMerge w:val="restart"/>
            <w:tcBorders>
              <w:top w:val="single" w:sz="8" w:space="0" w:color="auto"/>
              <w:left w:val="nil"/>
              <w:bottom w:val="single" w:sz="4" w:space="0" w:color="000000"/>
              <w:right w:val="nil"/>
            </w:tcBorders>
            <w:shd w:val="clear" w:color="auto" w:fill="auto"/>
            <w:noWrap/>
            <w:vAlign w:val="center"/>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Total</w:t>
            </w:r>
          </w:p>
        </w:tc>
      </w:tr>
      <w:tr w:rsidR="00B000C0" w:rsidRPr="00573DEB" w:rsidTr="004B4B73">
        <w:trPr>
          <w:trHeight w:val="255"/>
        </w:trPr>
        <w:tc>
          <w:tcPr>
            <w:tcW w:w="1120" w:type="dxa"/>
            <w:vMerge/>
            <w:tcBorders>
              <w:top w:val="single" w:sz="8" w:space="0" w:color="auto"/>
              <w:left w:val="nil"/>
              <w:bottom w:val="single" w:sz="4" w:space="0" w:color="000000"/>
              <w:right w:val="nil"/>
            </w:tcBorders>
            <w:vAlign w:val="center"/>
            <w:hideMark/>
          </w:tcPr>
          <w:p w:rsidR="00B000C0" w:rsidRPr="00573DEB" w:rsidRDefault="00B000C0" w:rsidP="004B4B73">
            <w:pPr>
              <w:rPr>
                <w:rFonts w:ascii="Arial Narrow" w:hAnsi="Arial Narrow"/>
                <w:sz w:val="20"/>
                <w:szCs w:val="20"/>
                <w:lang w:eastAsia="pt-BR"/>
              </w:rPr>
            </w:pPr>
          </w:p>
        </w:tc>
        <w:tc>
          <w:tcPr>
            <w:tcW w:w="1260" w:type="dxa"/>
            <w:vMerge/>
            <w:tcBorders>
              <w:top w:val="single" w:sz="8" w:space="0" w:color="auto"/>
              <w:left w:val="nil"/>
              <w:bottom w:val="single" w:sz="4" w:space="0" w:color="000000"/>
              <w:right w:val="nil"/>
            </w:tcBorders>
            <w:vAlign w:val="center"/>
            <w:hideMark/>
          </w:tcPr>
          <w:p w:rsidR="00B000C0" w:rsidRPr="00573DEB" w:rsidRDefault="00B000C0" w:rsidP="004B4B73">
            <w:pPr>
              <w:rPr>
                <w:rFonts w:ascii="Arial Narrow" w:hAnsi="Arial Narrow"/>
                <w:sz w:val="20"/>
                <w:szCs w:val="20"/>
                <w:lang w:eastAsia="pt-BR"/>
              </w:rPr>
            </w:pPr>
          </w:p>
        </w:tc>
        <w:tc>
          <w:tcPr>
            <w:tcW w:w="2015" w:type="dxa"/>
            <w:tcBorders>
              <w:top w:val="nil"/>
              <w:left w:val="nil"/>
              <w:bottom w:val="single" w:sz="4" w:space="0" w:color="auto"/>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University</w:t>
            </w:r>
          </w:p>
        </w:tc>
        <w:tc>
          <w:tcPr>
            <w:tcW w:w="1557" w:type="dxa"/>
            <w:tcBorders>
              <w:top w:val="nil"/>
              <w:left w:val="nil"/>
              <w:bottom w:val="single" w:sz="4" w:space="0" w:color="auto"/>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Company</w:t>
            </w:r>
          </w:p>
        </w:tc>
        <w:tc>
          <w:tcPr>
            <w:tcW w:w="1260" w:type="dxa"/>
            <w:vMerge/>
            <w:tcBorders>
              <w:top w:val="single" w:sz="8" w:space="0" w:color="auto"/>
              <w:left w:val="nil"/>
              <w:bottom w:val="single" w:sz="4" w:space="0" w:color="000000"/>
              <w:right w:val="nil"/>
            </w:tcBorders>
            <w:vAlign w:val="center"/>
            <w:hideMark/>
          </w:tcPr>
          <w:p w:rsidR="00B000C0" w:rsidRPr="00573DEB" w:rsidRDefault="00B000C0" w:rsidP="004B4B73">
            <w:pPr>
              <w:rPr>
                <w:rFonts w:ascii="Arial Narrow" w:hAnsi="Arial Narrow"/>
                <w:sz w:val="20"/>
                <w:szCs w:val="20"/>
                <w:lang w:eastAsia="pt-BR"/>
              </w:rPr>
            </w:pPr>
          </w:p>
        </w:tc>
      </w:tr>
      <w:tr w:rsidR="00B000C0" w:rsidRPr="00573DEB" w:rsidTr="004B4B73">
        <w:trPr>
          <w:trHeight w:val="255"/>
        </w:trPr>
        <w:tc>
          <w:tcPr>
            <w:tcW w:w="112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2000</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2,286</w:t>
            </w:r>
          </w:p>
        </w:tc>
        <w:tc>
          <w:tcPr>
            <w:tcW w:w="2015"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65</w:t>
            </w:r>
          </w:p>
        </w:tc>
        <w:tc>
          <w:tcPr>
            <w:tcW w:w="1557"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861</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3,212</w:t>
            </w:r>
          </w:p>
        </w:tc>
      </w:tr>
      <w:tr w:rsidR="00B000C0" w:rsidRPr="00573DEB" w:rsidTr="004B4B73">
        <w:trPr>
          <w:trHeight w:val="255"/>
        </w:trPr>
        <w:tc>
          <w:tcPr>
            <w:tcW w:w="112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2001</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2,480</w:t>
            </w:r>
          </w:p>
        </w:tc>
        <w:tc>
          <w:tcPr>
            <w:tcW w:w="2015"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68</w:t>
            </w:r>
          </w:p>
        </w:tc>
        <w:tc>
          <w:tcPr>
            <w:tcW w:w="1557"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906</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3,454</w:t>
            </w:r>
          </w:p>
        </w:tc>
      </w:tr>
      <w:tr w:rsidR="00B000C0" w:rsidRPr="00573DEB" w:rsidTr="004B4B73">
        <w:trPr>
          <w:trHeight w:val="255"/>
        </w:trPr>
        <w:tc>
          <w:tcPr>
            <w:tcW w:w="112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2002</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2,352</w:t>
            </w:r>
          </w:p>
        </w:tc>
        <w:tc>
          <w:tcPr>
            <w:tcW w:w="2015"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167</w:t>
            </w:r>
          </w:p>
        </w:tc>
        <w:tc>
          <w:tcPr>
            <w:tcW w:w="1557"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974</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3,493</w:t>
            </w:r>
          </w:p>
        </w:tc>
      </w:tr>
      <w:tr w:rsidR="00B000C0" w:rsidRPr="00573DEB" w:rsidTr="004B4B73">
        <w:trPr>
          <w:trHeight w:val="255"/>
        </w:trPr>
        <w:tc>
          <w:tcPr>
            <w:tcW w:w="112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2003</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2,549</w:t>
            </w:r>
          </w:p>
        </w:tc>
        <w:tc>
          <w:tcPr>
            <w:tcW w:w="2015"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170</w:t>
            </w:r>
          </w:p>
        </w:tc>
        <w:tc>
          <w:tcPr>
            <w:tcW w:w="1557"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1,148</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3,867</w:t>
            </w:r>
          </w:p>
        </w:tc>
      </w:tr>
      <w:tr w:rsidR="00B000C0" w:rsidRPr="00573DEB" w:rsidTr="004B4B73">
        <w:trPr>
          <w:trHeight w:val="255"/>
        </w:trPr>
        <w:tc>
          <w:tcPr>
            <w:tcW w:w="112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2004</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2,614</w:t>
            </w:r>
          </w:p>
        </w:tc>
        <w:tc>
          <w:tcPr>
            <w:tcW w:w="2015"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186</w:t>
            </w:r>
          </w:p>
        </w:tc>
        <w:tc>
          <w:tcPr>
            <w:tcW w:w="1557"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1,247</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4,047</w:t>
            </w:r>
          </w:p>
        </w:tc>
      </w:tr>
      <w:tr w:rsidR="00B000C0" w:rsidRPr="00573DEB" w:rsidTr="004B4B73">
        <w:trPr>
          <w:trHeight w:val="255"/>
        </w:trPr>
        <w:tc>
          <w:tcPr>
            <w:tcW w:w="112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2005</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2,560</w:t>
            </w:r>
          </w:p>
        </w:tc>
        <w:tc>
          <w:tcPr>
            <w:tcW w:w="2015"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227</w:t>
            </w:r>
          </w:p>
        </w:tc>
        <w:tc>
          <w:tcPr>
            <w:tcW w:w="1557"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1,279</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4,066</w:t>
            </w:r>
          </w:p>
        </w:tc>
      </w:tr>
      <w:tr w:rsidR="00B000C0" w:rsidRPr="00573DEB" w:rsidTr="004B4B73">
        <w:trPr>
          <w:trHeight w:val="255"/>
        </w:trPr>
        <w:tc>
          <w:tcPr>
            <w:tcW w:w="112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2006</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2,468</w:t>
            </w:r>
          </w:p>
        </w:tc>
        <w:tc>
          <w:tcPr>
            <w:tcW w:w="2015"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237</w:t>
            </w:r>
          </w:p>
        </w:tc>
        <w:tc>
          <w:tcPr>
            <w:tcW w:w="1557"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1,251</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3,956</w:t>
            </w:r>
          </w:p>
        </w:tc>
      </w:tr>
      <w:tr w:rsidR="00B000C0" w:rsidRPr="00573DEB" w:rsidTr="004B4B73">
        <w:trPr>
          <w:trHeight w:val="255"/>
        </w:trPr>
        <w:tc>
          <w:tcPr>
            <w:tcW w:w="112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2007</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2,607</w:t>
            </w:r>
          </w:p>
        </w:tc>
        <w:tc>
          <w:tcPr>
            <w:tcW w:w="2015"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323</w:t>
            </w:r>
          </w:p>
        </w:tc>
        <w:tc>
          <w:tcPr>
            <w:tcW w:w="1557"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1,270</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4,200</w:t>
            </w:r>
          </w:p>
        </w:tc>
      </w:tr>
      <w:tr w:rsidR="00B000C0" w:rsidRPr="00573DEB" w:rsidTr="004B4B73">
        <w:trPr>
          <w:trHeight w:val="255"/>
        </w:trPr>
        <w:tc>
          <w:tcPr>
            <w:tcW w:w="112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2008</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2,621</w:t>
            </w:r>
          </w:p>
        </w:tc>
        <w:tc>
          <w:tcPr>
            <w:tcW w:w="2015"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359</w:t>
            </w:r>
          </w:p>
        </w:tc>
        <w:tc>
          <w:tcPr>
            <w:tcW w:w="1557"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1,320</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4,300</w:t>
            </w:r>
          </w:p>
        </w:tc>
      </w:tr>
      <w:tr w:rsidR="00B000C0" w:rsidRPr="00573DEB" w:rsidTr="004B4B73">
        <w:trPr>
          <w:trHeight w:val="255"/>
        </w:trPr>
        <w:tc>
          <w:tcPr>
            <w:tcW w:w="112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2009</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2,521</w:t>
            </w:r>
          </w:p>
        </w:tc>
        <w:tc>
          <w:tcPr>
            <w:tcW w:w="2015"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386</w:t>
            </w:r>
          </w:p>
        </w:tc>
        <w:tc>
          <w:tcPr>
            <w:tcW w:w="1557"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1,370</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4,277</w:t>
            </w:r>
          </w:p>
        </w:tc>
      </w:tr>
      <w:tr w:rsidR="00B000C0" w:rsidRPr="00573DEB" w:rsidTr="004B4B73">
        <w:trPr>
          <w:trHeight w:val="255"/>
        </w:trPr>
        <w:tc>
          <w:tcPr>
            <w:tcW w:w="1120" w:type="dxa"/>
            <w:tcBorders>
              <w:top w:val="nil"/>
              <w:left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2010</w:t>
            </w:r>
          </w:p>
        </w:tc>
        <w:tc>
          <w:tcPr>
            <w:tcW w:w="1260" w:type="dxa"/>
            <w:tcBorders>
              <w:top w:val="nil"/>
              <w:left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2,332</w:t>
            </w:r>
          </w:p>
        </w:tc>
        <w:tc>
          <w:tcPr>
            <w:tcW w:w="2015" w:type="dxa"/>
            <w:tcBorders>
              <w:top w:val="nil"/>
              <w:left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455</w:t>
            </w:r>
          </w:p>
        </w:tc>
        <w:tc>
          <w:tcPr>
            <w:tcW w:w="1557" w:type="dxa"/>
            <w:tcBorders>
              <w:top w:val="nil"/>
              <w:left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1,456</w:t>
            </w:r>
          </w:p>
        </w:tc>
        <w:tc>
          <w:tcPr>
            <w:tcW w:w="1260" w:type="dxa"/>
            <w:tcBorders>
              <w:top w:val="nil"/>
              <w:left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4,243</w:t>
            </w:r>
          </w:p>
        </w:tc>
      </w:tr>
      <w:tr w:rsidR="00B000C0" w:rsidRPr="00573DEB" w:rsidTr="004B4B73">
        <w:trPr>
          <w:trHeight w:val="255"/>
        </w:trPr>
        <w:tc>
          <w:tcPr>
            <w:tcW w:w="1120" w:type="dxa"/>
            <w:tcBorders>
              <w:top w:val="nil"/>
              <w:left w:val="nil"/>
              <w:bottom w:val="single" w:sz="4" w:space="0" w:color="auto"/>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2011</w:t>
            </w:r>
          </w:p>
        </w:tc>
        <w:tc>
          <w:tcPr>
            <w:tcW w:w="1260" w:type="dxa"/>
            <w:tcBorders>
              <w:top w:val="nil"/>
              <w:left w:val="nil"/>
              <w:bottom w:val="single" w:sz="4" w:space="0" w:color="auto"/>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2,459</w:t>
            </w:r>
          </w:p>
        </w:tc>
        <w:tc>
          <w:tcPr>
            <w:tcW w:w="2015" w:type="dxa"/>
            <w:tcBorders>
              <w:top w:val="nil"/>
              <w:left w:val="nil"/>
              <w:bottom w:val="single" w:sz="4" w:space="0" w:color="auto"/>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652</w:t>
            </w:r>
          </w:p>
        </w:tc>
        <w:tc>
          <w:tcPr>
            <w:tcW w:w="1557" w:type="dxa"/>
            <w:tcBorders>
              <w:top w:val="nil"/>
              <w:left w:val="nil"/>
              <w:bottom w:val="single" w:sz="4" w:space="0" w:color="auto"/>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1,619</w:t>
            </w:r>
          </w:p>
        </w:tc>
        <w:tc>
          <w:tcPr>
            <w:tcW w:w="1260" w:type="dxa"/>
            <w:tcBorders>
              <w:top w:val="nil"/>
              <w:left w:val="nil"/>
              <w:bottom w:val="single" w:sz="4" w:space="0" w:color="auto"/>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4,730</w:t>
            </w:r>
          </w:p>
        </w:tc>
      </w:tr>
    </w:tbl>
    <w:p w:rsidR="00D67C75" w:rsidRPr="00573DEB" w:rsidRDefault="00D67C75">
      <w:pPr>
        <w:widowControl/>
        <w:spacing w:after="200" w:line="276" w:lineRule="auto"/>
      </w:pPr>
      <w:r w:rsidRPr="00573DEB">
        <w:br w:type="page"/>
      </w:r>
    </w:p>
    <w:p w:rsidR="00656538" w:rsidRPr="00573DEB" w:rsidRDefault="00656538" w:rsidP="004B4B73"/>
    <w:p w:rsidR="00B000C0" w:rsidRPr="00573DEB" w:rsidRDefault="008C2A2F" w:rsidP="00656538">
      <w:pPr>
        <w:pStyle w:val="Caption"/>
      </w:pPr>
      <w:bookmarkStart w:id="275" w:name="_Toc388619981"/>
      <w:r>
        <w:t xml:space="preserve">Table A.7:  </w:t>
      </w:r>
      <w:r w:rsidR="00B000C0" w:rsidRPr="00573DEB">
        <w:t>Patent applications by technological sector, 2000-2011</w:t>
      </w:r>
      <w:bookmarkEnd w:id="275"/>
    </w:p>
    <w:tbl>
      <w:tblPr>
        <w:tblW w:w="5020" w:type="pct"/>
        <w:tblLayout w:type="fixed"/>
        <w:tblCellMar>
          <w:left w:w="0" w:type="dxa"/>
          <w:right w:w="0" w:type="dxa"/>
        </w:tblCellMar>
        <w:tblLook w:val="04A0" w:firstRow="1" w:lastRow="0" w:firstColumn="1" w:lastColumn="0" w:noHBand="0" w:noVBand="1"/>
      </w:tblPr>
      <w:tblGrid>
        <w:gridCol w:w="452"/>
        <w:gridCol w:w="2267"/>
        <w:gridCol w:w="425"/>
        <w:gridCol w:w="498"/>
        <w:gridCol w:w="498"/>
        <w:gridCol w:w="497"/>
        <w:gridCol w:w="497"/>
        <w:gridCol w:w="497"/>
        <w:gridCol w:w="497"/>
        <w:gridCol w:w="497"/>
        <w:gridCol w:w="497"/>
        <w:gridCol w:w="497"/>
        <w:gridCol w:w="495"/>
        <w:gridCol w:w="495"/>
        <w:gridCol w:w="495"/>
        <w:gridCol w:w="573"/>
      </w:tblGrid>
      <w:tr w:rsidR="00B000C0" w:rsidRPr="00573DEB" w:rsidTr="00D67C75">
        <w:trPr>
          <w:trHeight w:val="315"/>
        </w:trPr>
        <w:tc>
          <w:tcPr>
            <w:tcW w:w="233" w:type="pct"/>
            <w:tcBorders>
              <w:top w:val="single" w:sz="8" w:space="0" w:color="auto"/>
              <w:left w:val="nil"/>
              <w:bottom w:val="single" w:sz="4" w:space="0" w:color="auto"/>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p>
        </w:tc>
        <w:tc>
          <w:tcPr>
            <w:tcW w:w="1171" w:type="pct"/>
            <w:tcBorders>
              <w:top w:val="single" w:sz="8" w:space="0" w:color="auto"/>
              <w:left w:val="nil"/>
              <w:bottom w:val="single" w:sz="4" w:space="0" w:color="auto"/>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Field</w:t>
            </w:r>
          </w:p>
        </w:tc>
        <w:tc>
          <w:tcPr>
            <w:tcW w:w="219" w:type="pct"/>
            <w:tcBorders>
              <w:top w:val="single" w:sz="8" w:space="0" w:color="auto"/>
              <w:left w:val="nil"/>
              <w:bottom w:val="single" w:sz="4" w:space="0" w:color="auto"/>
              <w:right w:val="nil"/>
            </w:tcBorders>
            <w:shd w:val="clear" w:color="auto" w:fill="auto"/>
            <w:noWrap/>
            <w:vAlign w:val="bottom"/>
            <w:hideMark/>
          </w:tcPr>
          <w:p w:rsidR="00B000C0" w:rsidRPr="00573DEB" w:rsidRDefault="00D67C75" w:rsidP="00D67C75">
            <w:pPr>
              <w:jc w:val="center"/>
              <w:rPr>
                <w:rFonts w:ascii="Arial Narrow" w:hAnsi="Arial Narrow"/>
                <w:sz w:val="20"/>
                <w:szCs w:val="20"/>
                <w:lang w:eastAsia="pt-BR"/>
              </w:rPr>
            </w:pPr>
            <w:r w:rsidRPr="00573DEB">
              <w:rPr>
                <w:rFonts w:ascii="Arial Narrow" w:hAnsi="Arial Narrow"/>
                <w:sz w:val="20"/>
                <w:szCs w:val="20"/>
                <w:lang w:eastAsia="pt-BR"/>
              </w:rPr>
              <w:t>TEC</w:t>
            </w:r>
          </w:p>
        </w:tc>
        <w:tc>
          <w:tcPr>
            <w:tcW w:w="257" w:type="pct"/>
            <w:tcBorders>
              <w:top w:val="single" w:sz="8" w:space="0" w:color="auto"/>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2000</w:t>
            </w:r>
          </w:p>
        </w:tc>
        <w:tc>
          <w:tcPr>
            <w:tcW w:w="257" w:type="pct"/>
            <w:tcBorders>
              <w:top w:val="single" w:sz="8" w:space="0" w:color="auto"/>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2001</w:t>
            </w:r>
          </w:p>
        </w:tc>
        <w:tc>
          <w:tcPr>
            <w:tcW w:w="257" w:type="pct"/>
            <w:tcBorders>
              <w:top w:val="single" w:sz="8" w:space="0" w:color="auto"/>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2002</w:t>
            </w:r>
          </w:p>
        </w:tc>
        <w:tc>
          <w:tcPr>
            <w:tcW w:w="257" w:type="pct"/>
            <w:tcBorders>
              <w:top w:val="single" w:sz="8" w:space="0" w:color="auto"/>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2003</w:t>
            </w:r>
          </w:p>
        </w:tc>
        <w:tc>
          <w:tcPr>
            <w:tcW w:w="257" w:type="pct"/>
            <w:tcBorders>
              <w:top w:val="single" w:sz="8" w:space="0" w:color="auto"/>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2004</w:t>
            </w:r>
          </w:p>
        </w:tc>
        <w:tc>
          <w:tcPr>
            <w:tcW w:w="257" w:type="pct"/>
            <w:tcBorders>
              <w:top w:val="single" w:sz="8" w:space="0" w:color="auto"/>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2005</w:t>
            </w:r>
          </w:p>
        </w:tc>
        <w:tc>
          <w:tcPr>
            <w:tcW w:w="257" w:type="pct"/>
            <w:tcBorders>
              <w:top w:val="single" w:sz="8" w:space="0" w:color="auto"/>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2006</w:t>
            </w:r>
          </w:p>
        </w:tc>
        <w:tc>
          <w:tcPr>
            <w:tcW w:w="257" w:type="pct"/>
            <w:tcBorders>
              <w:top w:val="single" w:sz="8" w:space="0" w:color="auto"/>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2007</w:t>
            </w:r>
          </w:p>
        </w:tc>
        <w:tc>
          <w:tcPr>
            <w:tcW w:w="257" w:type="pct"/>
            <w:tcBorders>
              <w:top w:val="single" w:sz="8" w:space="0" w:color="auto"/>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2008</w:t>
            </w:r>
          </w:p>
        </w:tc>
        <w:tc>
          <w:tcPr>
            <w:tcW w:w="256" w:type="pct"/>
            <w:tcBorders>
              <w:top w:val="single" w:sz="8" w:space="0" w:color="auto"/>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2009</w:t>
            </w:r>
          </w:p>
        </w:tc>
        <w:tc>
          <w:tcPr>
            <w:tcW w:w="256" w:type="pct"/>
            <w:tcBorders>
              <w:top w:val="single" w:sz="8" w:space="0" w:color="auto"/>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2010</w:t>
            </w:r>
          </w:p>
        </w:tc>
        <w:tc>
          <w:tcPr>
            <w:tcW w:w="256" w:type="pct"/>
            <w:tcBorders>
              <w:top w:val="single" w:sz="8" w:space="0" w:color="auto"/>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2011</w:t>
            </w:r>
          </w:p>
        </w:tc>
        <w:tc>
          <w:tcPr>
            <w:tcW w:w="297" w:type="pct"/>
            <w:tcBorders>
              <w:top w:val="single" w:sz="8" w:space="0" w:color="auto"/>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Total</w:t>
            </w:r>
          </w:p>
        </w:tc>
      </w:tr>
      <w:tr w:rsidR="00B000C0" w:rsidRPr="00573DEB" w:rsidTr="00D67C75">
        <w:trPr>
          <w:trHeight w:val="330"/>
        </w:trPr>
        <w:tc>
          <w:tcPr>
            <w:tcW w:w="233" w:type="pct"/>
            <w:vMerge w:val="restart"/>
            <w:tcBorders>
              <w:top w:val="nil"/>
              <w:left w:val="nil"/>
              <w:right w:val="nil"/>
            </w:tcBorders>
            <w:shd w:val="clear" w:color="auto" w:fill="auto"/>
            <w:textDirection w:val="btLr"/>
            <w:vAlign w:val="center"/>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Electrical engineering</w:t>
            </w: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Electrical machinery, apparatus, energy</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822</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807</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724</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600</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572</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634</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789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851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962</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934</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1,134</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1,345</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10,174</w:t>
            </w:r>
          </w:p>
        </w:tc>
      </w:tr>
      <w:tr w:rsidR="00B000C0" w:rsidRPr="00573DEB" w:rsidTr="00D67C75">
        <w:trPr>
          <w:trHeight w:val="315"/>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Audio-visual technology</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2</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475</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461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409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390</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415</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571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541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505</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575</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624</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689</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865</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6,520</w:t>
            </w:r>
          </w:p>
        </w:tc>
      </w:tr>
      <w:tr w:rsidR="00B000C0" w:rsidRPr="00573DEB" w:rsidTr="00D67C75">
        <w:trPr>
          <w:trHeight w:val="315"/>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Telecommunications</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3</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1,066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909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664</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570</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553</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757</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797</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801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781</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744</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652</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784</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9,078</w:t>
            </w:r>
          </w:p>
        </w:tc>
      </w:tr>
      <w:tr w:rsidR="00B000C0" w:rsidRPr="00573DEB" w:rsidTr="00D67C75">
        <w:trPr>
          <w:trHeight w:val="315"/>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Digital communication</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4</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296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285</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252</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299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343</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423</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536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645</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726</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970</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1,151</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1,219</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7,145</w:t>
            </w:r>
          </w:p>
        </w:tc>
      </w:tr>
      <w:tr w:rsidR="00B000C0" w:rsidRPr="00573DEB" w:rsidTr="00D67C75">
        <w:trPr>
          <w:trHeight w:val="315"/>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Basic communication processes</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5</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97</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80</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67</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75</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83</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76</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77</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100</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987</w:t>
            </w:r>
          </w:p>
        </w:tc>
      </w:tr>
      <w:tr w:rsidR="00B000C0" w:rsidRPr="00573DEB" w:rsidTr="00D67C75">
        <w:trPr>
          <w:trHeight w:val="315"/>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Computer technology</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480</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529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520</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534</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585</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710</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642</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801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909</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862</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934</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1,108</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8,614</w:t>
            </w:r>
          </w:p>
        </w:tc>
      </w:tr>
      <w:tr w:rsidR="00B000C0" w:rsidRPr="00573DEB" w:rsidTr="00D67C75">
        <w:trPr>
          <w:trHeight w:val="315"/>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IT methods for management</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7</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24</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103</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162</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215</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226</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268</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277</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1,359</w:t>
            </w:r>
          </w:p>
        </w:tc>
      </w:tr>
      <w:tr w:rsidR="00B000C0" w:rsidRPr="00573DEB" w:rsidTr="00D67C75">
        <w:trPr>
          <w:trHeight w:val="315"/>
        </w:trPr>
        <w:tc>
          <w:tcPr>
            <w:tcW w:w="233" w:type="pct"/>
            <w:vMerge/>
            <w:tcBorders>
              <w:left w:val="nil"/>
              <w:bottom w:val="single" w:sz="4" w:space="0" w:color="auto"/>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single" w:sz="4" w:space="0" w:color="auto"/>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Semiconductors</w:t>
            </w:r>
          </w:p>
        </w:tc>
        <w:tc>
          <w:tcPr>
            <w:tcW w:w="219"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8</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38</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51</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47</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39</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36</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38</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66</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87</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107</w:t>
            </w:r>
          </w:p>
        </w:tc>
        <w:tc>
          <w:tcPr>
            <w:tcW w:w="256"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168</w:t>
            </w:r>
          </w:p>
        </w:tc>
        <w:tc>
          <w:tcPr>
            <w:tcW w:w="256"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180</w:t>
            </w:r>
          </w:p>
        </w:tc>
        <w:tc>
          <w:tcPr>
            <w:tcW w:w="256"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252</w:t>
            </w:r>
          </w:p>
        </w:tc>
        <w:tc>
          <w:tcPr>
            <w:tcW w:w="29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1,109</w:t>
            </w:r>
          </w:p>
        </w:tc>
      </w:tr>
      <w:tr w:rsidR="00B000C0" w:rsidRPr="00573DEB" w:rsidTr="00D67C75">
        <w:trPr>
          <w:trHeight w:val="315"/>
        </w:trPr>
        <w:tc>
          <w:tcPr>
            <w:tcW w:w="233" w:type="pct"/>
            <w:vMerge w:val="restart"/>
            <w:tcBorders>
              <w:top w:val="single" w:sz="4" w:space="0" w:color="auto"/>
              <w:left w:val="nil"/>
              <w:right w:val="nil"/>
            </w:tcBorders>
            <w:shd w:val="clear" w:color="auto" w:fill="auto"/>
            <w:textDirection w:val="btLr"/>
            <w:vAlign w:val="center"/>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Instruments</w:t>
            </w:r>
          </w:p>
        </w:tc>
        <w:tc>
          <w:tcPr>
            <w:tcW w:w="1171" w:type="pct"/>
            <w:tcBorders>
              <w:top w:val="single" w:sz="4" w:space="0" w:color="auto"/>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Optics</w:t>
            </w:r>
          </w:p>
        </w:tc>
        <w:tc>
          <w:tcPr>
            <w:tcW w:w="219"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9</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293</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297</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254</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175</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197</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242</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266</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295</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307</w:t>
            </w:r>
          </w:p>
        </w:tc>
        <w:tc>
          <w:tcPr>
            <w:tcW w:w="256"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277</w:t>
            </w:r>
          </w:p>
        </w:tc>
        <w:tc>
          <w:tcPr>
            <w:tcW w:w="256"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361</w:t>
            </w:r>
          </w:p>
        </w:tc>
        <w:tc>
          <w:tcPr>
            <w:tcW w:w="256"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595</w:t>
            </w:r>
          </w:p>
        </w:tc>
        <w:tc>
          <w:tcPr>
            <w:tcW w:w="29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3,559</w:t>
            </w:r>
          </w:p>
        </w:tc>
      </w:tr>
      <w:tr w:rsidR="00B000C0" w:rsidRPr="00573DEB" w:rsidTr="00D67C75">
        <w:trPr>
          <w:trHeight w:val="315"/>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Measurement</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10</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638</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699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547</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578</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574</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603</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783</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981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1,091</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1,045</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1,331</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1,373</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10,243</w:t>
            </w:r>
          </w:p>
        </w:tc>
      </w:tr>
      <w:tr w:rsidR="00B000C0" w:rsidRPr="00573DEB" w:rsidTr="00D67C75">
        <w:trPr>
          <w:trHeight w:val="315"/>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Analysis of biological materials</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11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0</w:t>
            </w:r>
          </w:p>
        </w:tc>
      </w:tr>
      <w:tr w:rsidR="00B000C0" w:rsidRPr="00573DEB" w:rsidTr="00D67C75">
        <w:trPr>
          <w:trHeight w:val="315"/>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Control</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12</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356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347</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345</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301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279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320</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285</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396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418</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368</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428</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441</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4,284</w:t>
            </w:r>
          </w:p>
        </w:tc>
      </w:tr>
      <w:tr w:rsidR="00B000C0" w:rsidRPr="00573DEB" w:rsidTr="00D67C75">
        <w:trPr>
          <w:trHeight w:val="315"/>
        </w:trPr>
        <w:tc>
          <w:tcPr>
            <w:tcW w:w="233" w:type="pct"/>
            <w:vMerge/>
            <w:tcBorders>
              <w:left w:val="nil"/>
              <w:bottom w:val="single" w:sz="4" w:space="0" w:color="auto"/>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single" w:sz="4" w:space="0" w:color="auto"/>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Medical technology</w:t>
            </w:r>
          </w:p>
        </w:tc>
        <w:tc>
          <w:tcPr>
            <w:tcW w:w="219"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13</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930</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943</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945</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980</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982</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1,125</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1,429</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1,515</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1,520</w:t>
            </w:r>
          </w:p>
        </w:tc>
        <w:tc>
          <w:tcPr>
            <w:tcW w:w="256"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1,475</w:t>
            </w:r>
          </w:p>
        </w:tc>
        <w:tc>
          <w:tcPr>
            <w:tcW w:w="256"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1,596</w:t>
            </w:r>
          </w:p>
        </w:tc>
        <w:tc>
          <w:tcPr>
            <w:tcW w:w="256"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1,926</w:t>
            </w:r>
          </w:p>
        </w:tc>
        <w:tc>
          <w:tcPr>
            <w:tcW w:w="29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15,366</w:t>
            </w:r>
          </w:p>
        </w:tc>
      </w:tr>
      <w:tr w:rsidR="00B000C0" w:rsidRPr="00573DEB" w:rsidTr="00D67C75">
        <w:trPr>
          <w:trHeight w:val="315"/>
        </w:trPr>
        <w:tc>
          <w:tcPr>
            <w:tcW w:w="233" w:type="pct"/>
            <w:vMerge w:val="restart"/>
            <w:tcBorders>
              <w:top w:val="single" w:sz="4" w:space="0" w:color="auto"/>
              <w:left w:val="nil"/>
              <w:right w:val="nil"/>
            </w:tcBorders>
            <w:shd w:val="clear" w:color="auto" w:fill="auto"/>
            <w:textDirection w:val="btLr"/>
            <w:vAlign w:val="center"/>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Chemistry</w:t>
            </w:r>
          </w:p>
        </w:tc>
        <w:tc>
          <w:tcPr>
            <w:tcW w:w="1171" w:type="pct"/>
            <w:tcBorders>
              <w:top w:val="single" w:sz="4" w:space="0" w:color="auto"/>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Organic fine chemistry</w:t>
            </w:r>
          </w:p>
        </w:tc>
        <w:tc>
          <w:tcPr>
            <w:tcW w:w="219"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14</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1,603</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1,690</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1,697</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1,653</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1,860</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2,183</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2,506</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2,839</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2,795</w:t>
            </w:r>
          </w:p>
        </w:tc>
        <w:tc>
          <w:tcPr>
            <w:tcW w:w="256"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2,562</w:t>
            </w:r>
          </w:p>
        </w:tc>
        <w:tc>
          <w:tcPr>
            <w:tcW w:w="256"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2,489</w:t>
            </w:r>
          </w:p>
        </w:tc>
        <w:tc>
          <w:tcPr>
            <w:tcW w:w="256"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2,401</w:t>
            </w:r>
          </w:p>
        </w:tc>
        <w:tc>
          <w:tcPr>
            <w:tcW w:w="29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26,278</w:t>
            </w:r>
          </w:p>
        </w:tc>
      </w:tr>
      <w:tr w:rsidR="00B000C0" w:rsidRPr="00573DEB" w:rsidTr="00D67C75">
        <w:trPr>
          <w:trHeight w:val="315"/>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Biotechnology</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15</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826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763</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728</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682</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686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815</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971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1,169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1,289</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1,321</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1,549</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1,632</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12,431</w:t>
            </w:r>
          </w:p>
        </w:tc>
      </w:tr>
      <w:tr w:rsidR="00B000C0" w:rsidRPr="00573DEB" w:rsidTr="00D67C75">
        <w:trPr>
          <w:trHeight w:val="315"/>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Pharmaceuticals</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16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1,858</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2,058</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1,945</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2,088</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2,439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2,800</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3,032</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3,248</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3,411</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2,978</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3,013</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2,927</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31,797</w:t>
            </w:r>
          </w:p>
        </w:tc>
      </w:tr>
      <w:tr w:rsidR="00B000C0" w:rsidRPr="00573DEB" w:rsidTr="00D67C75">
        <w:trPr>
          <w:trHeight w:val="315"/>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Macromolecular chemistry, polymers</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17</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1,017</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961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923</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863</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689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784</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852</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1,008</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1,029</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889</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1,032</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1,177</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11,224</w:t>
            </w:r>
          </w:p>
        </w:tc>
      </w:tr>
      <w:tr w:rsidR="00B000C0" w:rsidRPr="00573DEB" w:rsidTr="00D67C75">
        <w:trPr>
          <w:trHeight w:val="315"/>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Food chemistry</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18</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496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504</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451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472</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515</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605</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647</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753</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829</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855</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820</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827</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7,774</w:t>
            </w:r>
          </w:p>
        </w:tc>
      </w:tr>
      <w:tr w:rsidR="00B000C0" w:rsidRPr="00573DEB" w:rsidTr="00D67C75">
        <w:trPr>
          <w:trHeight w:val="315"/>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 xml:space="preserve">Basic materials chemistry </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19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1,201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1,316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1,272</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1,169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1,337</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1,280</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1,572</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1,710</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1,820</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1,753</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1,886</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2,150</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18,466</w:t>
            </w:r>
          </w:p>
        </w:tc>
      </w:tr>
      <w:tr w:rsidR="00B000C0" w:rsidRPr="00573DEB" w:rsidTr="00D67C75">
        <w:trPr>
          <w:trHeight w:val="315"/>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Materials, metallurgy</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20</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607</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604</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543</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567</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546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620</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698</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780</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895</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735</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875</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1,008</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8,478</w:t>
            </w:r>
          </w:p>
        </w:tc>
      </w:tr>
      <w:tr w:rsidR="00B000C0" w:rsidRPr="00573DEB" w:rsidTr="00D67C75">
        <w:trPr>
          <w:trHeight w:val="315"/>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Surface technology, coating</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21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401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479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427</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450</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423</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508</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457</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607</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569</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528</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574</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674</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6,097</w:t>
            </w:r>
          </w:p>
        </w:tc>
      </w:tr>
      <w:tr w:rsidR="00B000C0" w:rsidRPr="00573DEB" w:rsidTr="00D67C75">
        <w:trPr>
          <w:trHeight w:val="315"/>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 xml:space="preserve">Micro-structural and </w:t>
            </w:r>
            <w:proofErr w:type="spellStart"/>
            <w:r w:rsidRPr="00573DEB">
              <w:rPr>
                <w:rFonts w:ascii="Arial Narrow" w:hAnsi="Arial Narrow"/>
                <w:sz w:val="20"/>
                <w:szCs w:val="20"/>
                <w:lang w:eastAsia="pt-BR"/>
              </w:rPr>
              <w:t>nano</w:t>
            </w:r>
            <w:proofErr w:type="spellEnd"/>
            <w:r w:rsidRPr="00573DEB">
              <w:rPr>
                <w:rFonts w:ascii="Arial Narrow" w:hAnsi="Arial Narrow"/>
                <w:sz w:val="20"/>
                <w:szCs w:val="20"/>
                <w:lang w:eastAsia="pt-BR"/>
              </w:rPr>
              <w:t>-technology</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22</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74</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28</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23</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20</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37</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42</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254</w:t>
            </w:r>
          </w:p>
        </w:tc>
      </w:tr>
      <w:tr w:rsidR="00B000C0" w:rsidRPr="00573DEB" w:rsidTr="00D67C75">
        <w:trPr>
          <w:trHeight w:val="315"/>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Chemical engineering</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23</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776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823</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778</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761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741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835</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990</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1,128</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1,135</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1,140</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1,328</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1,388</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11,823</w:t>
            </w:r>
          </w:p>
        </w:tc>
      </w:tr>
      <w:tr w:rsidR="00B000C0" w:rsidRPr="00573DEB" w:rsidTr="00D67C75">
        <w:trPr>
          <w:trHeight w:val="315"/>
        </w:trPr>
        <w:tc>
          <w:tcPr>
            <w:tcW w:w="233" w:type="pct"/>
            <w:vMerge/>
            <w:tcBorders>
              <w:left w:val="nil"/>
              <w:bottom w:val="single" w:sz="4" w:space="0" w:color="auto"/>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single" w:sz="4" w:space="0" w:color="auto"/>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Environmental technology</w:t>
            </w:r>
          </w:p>
        </w:tc>
        <w:tc>
          <w:tcPr>
            <w:tcW w:w="219"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24</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279</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294</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257</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271</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283</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263</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334</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418</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501</w:t>
            </w:r>
          </w:p>
        </w:tc>
        <w:tc>
          <w:tcPr>
            <w:tcW w:w="256"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492</w:t>
            </w:r>
          </w:p>
        </w:tc>
        <w:tc>
          <w:tcPr>
            <w:tcW w:w="256"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556</w:t>
            </w:r>
          </w:p>
        </w:tc>
        <w:tc>
          <w:tcPr>
            <w:tcW w:w="256"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593</w:t>
            </w:r>
          </w:p>
        </w:tc>
        <w:tc>
          <w:tcPr>
            <w:tcW w:w="29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4,541</w:t>
            </w:r>
          </w:p>
        </w:tc>
      </w:tr>
      <w:tr w:rsidR="00B000C0" w:rsidRPr="00573DEB" w:rsidTr="00D67C75">
        <w:trPr>
          <w:trHeight w:val="360"/>
        </w:trPr>
        <w:tc>
          <w:tcPr>
            <w:tcW w:w="233" w:type="pct"/>
            <w:vMerge w:val="restart"/>
            <w:tcBorders>
              <w:top w:val="single" w:sz="4" w:space="0" w:color="auto"/>
              <w:left w:val="nil"/>
              <w:right w:val="nil"/>
            </w:tcBorders>
            <w:shd w:val="clear" w:color="auto" w:fill="auto"/>
            <w:textDirection w:val="btLr"/>
            <w:vAlign w:val="center"/>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Mechanical engineering</w:t>
            </w:r>
          </w:p>
        </w:tc>
        <w:tc>
          <w:tcPr>
            <w:tcW w:w="1171" w:type="pct"/>
            <w:tcBorders>
              <w:top w:val="single" w:sz="4" w:space="0" w:color="auto"/>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Handling</w:t>
            </w:r>
          </w:p>
        </w:tc>
        <w:tc>
          <w:tcPr>
            <w:tcW w:w="219"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25</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817</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886</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821</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797</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869</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925</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921</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1,068</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1,050</w:t>
            </w:r>
          </w:p>
        </w:tc>
        <w:tc>
          <w:tcPr>
            <w:tcW w:w="256"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878</w:t>
            </w:r>
          </w:p>
        </w:tc>
        <w:tc>
          <w:tcPr>
            <w:tcW w:w="256"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992</w:t>
            </w:r>
          </w:p>
        </w:tc>
        <w:tc>
          <w:tcPr>
            <w:tcW w:w="256"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1,041</w:t>
            </w:r>
          </w:p>
        </w:tc>
        <w:tc>
          <w:tcPr>
            <w:tcW w:w="29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11,065</w:t>
            </w:r>
          </w:p>
        </w:tc>
      </w:tr>
      <w:tr w:rsidR="00B000C0" w:rsidRPr="00573DEB" w:rsidTr="00D67C75">
        <w:trPr>
          <w:trHeight w:val="360"/>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Machine tools</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26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478</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481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410</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466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479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500</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602</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654</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651</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599</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672</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728</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6,720</w:t>
            </w:r>
          </w:p>
        </w:tc>
      </w:tr>
      <w:tr w:rsidR="00B000C0" w:rsidRPr="00573DEB" w:rsidTr="00D67C75">
        <w:trPr>
          <w:trHeight w:val="360"/>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Engines, pumps, turbines</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27</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539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596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489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532</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513</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472</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548</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637</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712</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674</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846</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909</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7,467</w:t>
            </w:r>
          </w:p>
        </w:tc>
      </w:tr>
      <w:tr w:rsidR="00B000C0" w:rsidRPr="00573DEB" w:rsidTr="00D67C75">
        <w:trPr>
          <w:trHeight w:val="360"/>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Textile and paper machines</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28</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638</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613</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549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584</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560</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611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678</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663</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627</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585</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643</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627</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7,378</w:t>
            </w:r>
          </w:p>
        </w:tc>
      </w:tr>
      <w:tr w:rsidR="00B000C0" w:rsidRPr="00573DEB" w:rsidTr="00D67C75">
        <w:trPr>
          <w:trHeight w:val="360"/>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Other special machines</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29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984</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979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966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1,007</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941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1,056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1,067</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1,149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1,303</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1,197</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1,301</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1,309</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13,259</w:t>
            </w:r>
          </w:p>
        </w:tc>
      </w:tr>
      <w:tr w:rsidR="00B000C0" w:rsidRPr="00573DEB" w:rsidTr="00D67C75">
        <w:trPr>
          <w:trHeight w:val="360"/>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Thermal processes and apparatus</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30</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257</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385</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239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263</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285</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276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340</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370</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379</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338</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453</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521</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4,106</w:t>
            </w:r>
          </w:p>
        </w:tc>
      </w:tr>
      <w:tr w:rsidR="00B000C0" w:rsidRPr="00573DEB" w:rsidTr="00D67C75">
        <w:trPr>
          <w:trHeight w:val="360"/>
        </w:trPr>
        <w:tc>
          <w:tcPr>
            <w:tcW w:w="233" w:type="pct"/>
            <w:vMerge/>
            <w:tcBorders>
              <w:left w:val="nil"/>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Mechanical elements</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31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792</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806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748</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766</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771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705</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771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847</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944</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910</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968</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1,125</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10,153</w:t>
            </w:r>
          </w:p>
        </w:tc>
      </w:tr>
      <w:tr w:rsidR="00B000C0" w:rsidRPr="00573DEB" w:rsidTr="00D67C75">
        <w:trPr>
          <w:trHeight w:val="360"/>
        </w:trPr>
        <w:tc>
          <w:tcPr>
            <w:tcW w:w="233" w:type="pct"/>
            <w:vMerge/>
            <w:tcBorders>
              <w:left w:val="nil"/>
              <w:bottom w:val="single" w:sz="4" w:space="0" w:color="auto"/>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p>
        </w:tc>
        <w:tc>
          <w:tcPr>
            <w:tcW w:w="1171" w:type="pct"/>
            <w:tcBorders>
              <w:top w:val="nil"/>
              <w:left w:val="nil"/>
              <w:bottom w:val="single" w:sz="4" w:space="0" w:color="auto"/>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Transport</w:t>
            </w:r>
          </w:p>
        </w:tc>
        <w:tc>
          <w:tcPr>
            <w:tcW w:w="219"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32</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1,029</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1,029</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965</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875</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811</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860</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990</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1,093</w:t>
            </w:r>
          </w:p>
        </w:tc>
        <w:tc>
          <w:tcPr>
            <w:tcW w:w="25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1,351</w:t>
            </w:r>
          </w:p>
        </w:tc>
        <w:tc>
          <w:tcPr>
            <w:tcW w:w="256"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1,243</w:t>
            </w:r>
          </w:p>
        </w:tc>
        <w:tc>
          <w:tcPr>
            <w:tcW w:w="256"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1,366</w:t>
            </w:r>
          </w:p>
        </w:tc>
        <w:tc>
          <w:tcPr>
            <w:tcW w:w="256"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1,579</w:t>
            </w:r>
          </w:p>
        </w:tc>
        <w:tc>
          <w:tcPr>
            <w:tcW w:w="297" w:type="pct"/>
            <w:tcBorders>
              <w:top w:val="nil"/>
              <w:left w:val="nil"/>
              <w:bottom w:val="single" w:sz="4"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13,191</w:t>
            </w:r>
          </w:p>
        </w:tc>
      </w:tr>
      <w:tr w:rsidR="00B000C0" w:rsidRPr="00573DEB" w:rsidTr="00D67C75">
        <w:trPr>
          <w:trHeight w:val="315"/>
        </w:trPr>
        <w:tc>
          <w:tcPr>
            <w:tcW w:w="233" w:type="pct"/>
            <w:vMerge w:val="restart"/>
            <w:tcBorders>
              <w:top w:val="single" w:sz="4" w:space="0" w:color="auto"/>
              <w:left w:val="nil"/>
              <w:right w:val="nil"/>
            </w:tcBorders>
            <w:shd w:val="clear" w:color="auto" w:fill="auto"/>
            <w:textDirection w:val="btLr"/>
            <w:vAlign w:val="center"/>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Other fields</w:t>
            </w:r>
          </w:p>
        </w:tc>
        <w:tc>
          <w:tcPr>
            <w:tcW w:w="1171" w:type="pct"/>
            <w:tcBorders>
              <w:top w:val="single" w:sz="4" w:space="0" w:color="auto"/>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Furniture, games</w:t>
            </w:r>
          </w:p>
        </w:tc>
        <w:tc>
          <w:tcPr>
            <w:tcW w:w="219"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33</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442</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388</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477</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445</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534</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474</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504</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567</w:t>
            </w:r>
          </w:p>
        </w:tc>
        <w:tc>
          <w:tcPr>
            <w:tcW w:w="25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523</w:t>
            </w:r>
          </w:p>
        </w:tc>
        <w:tc>
          <w:tcPr>
            <w:tcW w:w="256"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498</w:t>
            </w:r>
          </w:p>
        </w:tc>
        <w:tc>
          <w:tcPr>
            <w:tcW w:w="256"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492</w:t>
            </w:r>
          </w:p>
        </w:tc>
        <w:tc>
          <w:tcPr>
            <w:tcW w:w="256"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492</w:t>
            </w:r>
          </w:p>
        </w:tc>
        <w:tc>
          <w:tcPr>
            <w:tcW w:w="297" w:type="pct"/>
            <w:tcBorders>
              <w:top w:val="single" w:sz="4" w:space="0" w:color="auto"/>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5,836</w:t>
            </w:r>
          </w:p>
        </w:tc>
      </w:tr>
      <w:tr w:rsidR="00B000C0" w:rsidRPr="00573DEB" w:rsidTr="00D67C75">
        <w:trPr>
          <w:trHeight w:val="315"/>
        </w:trPr>
        <w:tc>
          <w:tcPr>
            <w:tcW w:w="233" w:type="pct"/>
            <w:vMerge/>
            <w:tcBorders>
              <w:left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p>
        </w:tc>
        <w:tc>
          <w:tcPr>
            <w:tcW w:w="1171" w:type="pct"/>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Other consumer goods</w:t>
            </w:r>
          </w:p>
        </w:tc>
        <w:tc>
          <w:tcPr>
            <w:tcW w:w="219" w:type="pct"/>
            <w:tcBorders>
              <w:top w:val="nil"/>
              <w:left w:val="nil"/>
              <w:bottom w:val="nil"/>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34</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511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513</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448</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469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529</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598</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561</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632</w:t>
            </w:r>
          </w:p>
        </w:tc>
        <w:tc>
          <w:tcPr>
            <w:tcW w:w="25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669</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662</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656</w:t>
            </w:r>
          </w:p>
        </w:tc>
        <w:tc>
          <w:tcPr>
            <w:tcW w:w="256"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710</w:t>
            </w:r>
          </w:p>
        </w:tc>
        <w:tc>
          <w:tcPr>
            <w:tcW w:w="297" w:type="pct"/>
            <w:tcBorders>
              <w:top w:val="nil"/>
              <w:left w:val="nil"/>
              <w:bottom w:val="nil"/>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6,958</w:t>
            </w:r>
          </w:p>
        </w:tc>
      </w:tr>
      <w:tr w:rsidR="00B000C0" w:rsidRPr="00573DEB" w:rsidTr="00D67C75">
        <w:trPr>
          <w:trHeight w:val="330"/>
        </w:trPr>
        <w:tc>
          <w:tcPr>
            <w:tcW w:w="233" w:type="pct"/>
            <w:vMerge/>
            <w:tcBorders>
              <w:left w:val="nil"/>
              <w:bottom w:val="single" w:sz="8" w:space="0" w:color="auto"/>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p>
        </w:tc>
        <w:tc>
          <w:tcPr>
            <w:tcW w:w="1171" w:type="pct"/>
            <w:tcBorders>
              <w:top w:val="nil"/>
              <w:left w:val="nil"/>
              <w:bottom w:val="single" w:sz="8" w:space="0" w:color="auto"/>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Civil engineering</w:t>
            </w:r>
          </w:p>
        </w:tc>
        <w:tc>
          <w:tcPr>
            <w:tcW w:w="219" w:type="pct"/>
            <w:tcBorders>
              <w:top w:val="nil"/>
              <w:left w:val="nil"/>
              <w:bottom w:val="single" w:sz="8" w:space="0" w:color="auto"/>
              <w:right w:val="nil"/>
            </w:tcBorders>
            <w:shd w:val="clear" w:color="auto" w:fill="auto"/>
            <w:noWrap/>
            <w:vAlign w:val="bottom"/>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35</w:t>
            </w:r>
          </w:p>
        </w:tc>
        <w:tc>
          <w:tcPr>
            <w:tcW w:w="257" w:type="pct"/>
            <w:tcBorders>
              <w:top w:val="nil"/>
              <w:left w:val="nil"/>
              <w:bottom w:val="single" w:sz="8"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715</w:t>
            </w:r>
          </w:p>
        </w:tc>
        <w:tc>
          <w:tcPr>
            <w:tcW w:w="257" w:type="pct"/>
            <w:tcBorders>
              <w:top w:val="nil"/>
              <w:left w:val="nil"/>
              <w:bottom w:val="single" w:sz="8"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745</w:t>
            </w:r>
          </w:p>
        </w:tc>
        <w:tc>
          <w:tcPr>
            <w:tcW w:w="257" w:type="pct"/>
            <w:tcBorders>
              <w:top w:val="nil"/>
              <w:left w:val="nil"/>
              <w:bottom w:val="single" w:sz="8"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732</w:t>
            </w:r>
          </w:p>
        </w:tc>
        <w:tc>
          <w:tcPr>
            <w:tcW w:w="257" w:type="pct"/>
            <w:tcBorders>
              <w:top w:val="nil"/>
              <w:left w:val="nil"/>
              <w:bottom w:val="single" w:sz="8"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728</w:t>
            </w:r>
          </w:p>
        </w:tc>
        <w:tc>
          <w:tcPr>
            <w:tcW w:w="257" w:type="pct"/>
            <w:tcBorders>
              <w:top w:val="nil"/>
              <w:left w:val="nil"/>
              <w:bottom w:val="single" w:sz="8"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725</w:t>
            </w:r>
          </w:p>
        </w:tc>
        <w:tc>
          <w:tcPr>
            <w:tcW w:w="257" w:type="pct"/>
            <w:tcBorders>
              <w:top w:val="nil"/>
              <w:left w:val="nil"/>
              <w:bottom w:val="single" w:sz="8"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701</w:t>
            </w:r>
          </w:p>
        </w:tc>
        <w:tc>
          <w:tcPr>
            <w:tcW w:w="257" w:type="pct"/>
            <w:tcBorders>
              <w:top w:val="nil"/>
              <w:left w:val="nil"/>
              <w:bottom w:val="single" w:sz="8"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789</w:t>
            </w:r>
          </w:p>
        </w:tc>
        <w:tc>
          <w:tcPr>
            <w:tcW w:w="257" w:type="pct"/>
            <w:tcBorders>
              <w:top w:val="nil"/>
              <w:left w:val="nil"/>
              <w:bottom w:val="single" w:sz="8"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810</w:t>
            </w:r>
          </w:p>
        </w:tc>
        <w:tc>
          <w:tcPr>
            <w:tcW w:w="257" w:type="pct"/>
            <w:tcBorders>
              <w:top w:val="nil"/>
              <w:left w:val="nil"/>
              <w:bottom w:val="single" w:sz="8"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960</w:t>
            </w:r>
          </w:p>
        </w:tc>
        <w:tc>
          <w:tcPr>
            <w:tcW w:w="256" w:type="pct"/>
            <w:tcBorders>
              <w:top w:val="nil"/>
              <w:left w:val="nil"/>
              <w:bottom w:val="single" w:sz="8"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1,094</w:t>
            </w:r>
          </w:p>
        </w:tc>
        <w:tc>
          <w:tcPr>
            <w:tcW w:w="256" w:type="pct"/>
            <w:tcBorders>
              <w:top w:val="nil"/>
              <w:left w:val="nil"/>
              <w:bottom w:val="single" w:sz="8"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1,259</w:t>
            </w:r>
          </w:p>
        </w:tc>
        <w:tc>
          <w:tcPr>
            <w:tcW w:w="256" w:type="pct"/>
            <w:tcBorders>
              <w:top w:val="nil"/>
              <w:left w:val="nil"/>
              <w:bottom w:val="single" w:sz="8"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1,312</w:t>
            </w:r>
          </w:p>
        </w:tc>
        <w:tc>
          <w:tcPr>
            <w:tcW w:w="297" w:type="pct"/>
            <w:tcBorders>
              <w:top w:val="nil"/>
              <w:left w:val="nil"/>
              <w:bottom w:val="single" w:sz="8" w:space="0" w:color="auto"/>
              <w:right w:val="nil"/>
            </w:tcBorders>
            <w:shd w:val="clear" w:color="auto" w:fill="auto"/>
            <w:noWrap/>
            <w:vAlign w:val="bottom"/>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10,570</w:t>
            </w:r>
          </w:p>
        </w:tc>
      </w:tr>
    </w:tbl>
    <w:p w:rsidR="00B000C0" w:rsidRPr="00573DEB" w:rsidRDefault="00B000C0" w:rsidP="004B4B73">
      <w:pPr>
        <w:sectPr w:rsidR="00B000C0" w:rsidRPr="00573DEB" w:rsidSect="004B4B73">
          <w:footerReference w:type="default" r:id="rId101"/>
          <w:type w:val="continuous"/>
          <w:pgSz w:w="11906" w:h="16838"/>
          <w:pgMar w:top="1412" w:right="1134" w:bottom="1412" w:left="1134" w:header="709" w:footer="709" w:gutter="0"/>
          <w:cols w:space="720"/>
          <w:docGrid w:linePitch="360"/>
        </w:sectPr>
      </w:pPr>
    </w:p>
    <w:p w:rsidR="00656538" w:rsidRPr="00573DEB" w:rsidRDefault="00656538">
      <w:pPr>
        <w:widowControl/>
        <w:spacing w:after="200" w:line="276" w:lineRule="auto"/>
      </w:pPr>
    </w:p>
    <w:p w:rsidR="00B000C0" w:rsidRPr="00573DEB" w:rsidRDefault="00B000C0" w:rsidP="004B4B73"/>
    <w:p w:rsidR="00B000C0" w:rsidRPr="00573DEB" w:rsidRDefault="008C2A2F" w:rsidP="00D67C75">
      <w:pPr>
        <w:pStyle w:val="Caption"/>
      </w:pPr>
      <w:bookmarkStart w:id="276" w:name="_Toc388619982"/>
      <w:r>
        <w:t xml:space="preserve">Table A.8:  </w:t>
      </w:r>
      <w:r w:rsidR="00B000C0" w:rsidRPr="00573DEB">
        <w:t>Patent applications by technological sector and origin</w:t>
      </w:r>
      <w:proofErr w:type="gramStart"/>
      <w:r w:rsidR="00B000C0" w:rsidRPr="00573DEB">
        <w:t>,  2011</w:t>
      </w:r>
      <w:bookmarkEnd w:id="276"/>
      <w:proofErr w:type="gramEnd"/>
    </w:p>
    <w:tbl>
      <w:tblPr>
        <w:tblW w:w="0" w:type="auto"/>
        <w:tblLayout w:type="fixed"/>
        <w:tblCellMar>
          <w:left w:w="0" w:type="dxa"/>
          <w:right w:w="0" w:type="dxa"/>
        </w:tblCellMar>
        <w:tblLook w:val="04A0" w:firstRow="1" w:lastRow="0" w:firstColumn="1" w:lastColumn="0" w:noHBand="0" w:noVBand="1"/>
      </w:tblPr>
      <w:tblGrid>
        <w:gridCol w:w="360"/>
        <w:gridCol w:w="3021"/>
        <w:gridCol w:w="2019"/>
        <w:gridCol w:w="1260"/>
        <w:gridCol w:w="900"/>
        <w:gridCol w:w="540"/>
        <w:gridCol w:w="990"/>
      </w:tblGrid>
      <w:tr w:rsidR="00B000C0" w:rsidRPr="00573DEB" w:rsidTr="00D67C75">
        <w:trPr>
          <w:trHeight w:val="288"/>
        </w:trPr>
        <w:tc>
          <w:tcPr>
            <w:tcW w:w="360" w:type="dxa"/>
            <w:vMerge w:val="restart"/>
            <w:tcBorders>
              <w:top w:val="single" w:sz="8" w:space="0" w:color="auto"/>
              <w:left w:val="nil"/>
              <w:bottom w:val="single" w:sz="8" w:space="0" w:color="000000"/>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p>
        </w:tc>
        <w:tc>
          <w:tcPr>
            <w:tcW w:w="3021" w:type="dxa"/>
            <w:vMerge w:val="restart"/>
            <w:tcBorders>
              <w:top w:val="single" w:sz="8" w:space="0" w:color="auto"/>
              <w:left w:val="nil"/>
              <w:bottom w:val="single" w:sz="8" w:space="0" w:color="000000"/>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Field</w:t>
            </w:r>
          </w:p>
        </w:tc>
        <w:tc>
          <w:tcPr>
            <w:tcW w:w="2019" w:type="dxa"/>
            <w:vMerge w:val="restart"/>
            <w:tcBorders>
              <w:top w:val="single" w:sz="8" w:space="0" w:color="auto"/>
              <w:left w:val="nil"/>
              <w:bottom w:val="single" w:sz="8" w:space="0" w:color="000000"/>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Sector</w:t>
            </w:r>
          </w:p>
        </w:tc>
        <w:tc>
          <w:tcPr>
            <w:tcW w:w="2700" w:type="dxa"/>
            <w:gridSpan w:val="3"/>
            <w:tcBorders>
              <w:top w:val="single" w:sz="8" w:space="0" w:color="auto"/>
              <w:left w:val="nil"/>
              <w:bottom w:val="single" w:sz="8" w:space="0" w:color="auto"/>
              <w:right w:val="nil"/>
            </w:tcBorders>
            <w:shd w:val="clear" w:color="auto" w:fill="auto"/>
            <w:noWrap/>
            <w:vAlign w:val="center"/>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2011</w:t>
            </w:r>
          </w:p>
        </w:tc>
        <w:tc>
          <w:tcPr>
            <w:tcW w:w="990" w:type="dxa"/>
            <w:vMerge w:val="restart"/>
            <w:tcBorders>
              <w:top w:val="single" w:sz="8" w:space="0" w:color="auto"/>
              <w:left w:val="nil"/>
              <w:bottom w:val="single" w:sz="8" w:space="0" w:color="000000"/>
              <w:right w:val="nil"/>
            </w:tcBorders>
            <w:shd w:val="clear" w:color="auto" w:fill="auto"/>
            <w:vAlign w:val="center"/>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Total</w:t>
            </w:r>
          </w:p>
        </w:tc>
      </w:tr>
      <w:tr w:rsidR="00B000C0" w:rsidRPr="00573DEB" w:rsidTr="00D67C75">
        <w:trPr>
          <w:trHeight w:val="288"/>
        </w:trPr>
        <w:tc>
          <w:tcPr>
            <w:tcW w:w="360" w:type="dxa"/>
            <w:vMerge/>
            <w:tcBorders>
              <w:top w:val="single" w:sz="8" w:space="0" w:color="auto"/>
              <w:left w:val="nil"/>
              <w:bottom w:val="single" w:sz="8" w:space="0" w:color="000000"/>
              <w:right w:val="nil"/>
            </w:tcBorders>
            <w:vAlign w:val="center"/>
            <w:hideMark/>
          </w:tcPr>
          <w:p w:rsidR="00B000C0" w:rsidRPr="00573DEB" w:rsidRDefault="00B000C0" w:rsidP="00D67C75">
            <w:pPr>
              <w:rPr>
                <w:rFonts w:ascii="Arial Narrow" w:hAnsi="Arial Narrow"/>
                <w:sz w:val="20"/>
                <w:szCs w:val="20"/>
                <w:lang w:eastAsia="pt-BR"/>
              </w:rPr>
            </w:pPr>
          </w:p>
        </w:tc>
        <w:tc>
          <w:tcPr>
            <w:tcW w:w="3021" w:type="dxa"/>
            <w:vMerge/>
            <w:tcBorders>
              <w:top w:val="single" w:sz="8" w:space="0" w:color="auto"/>
              <w:left w:val="nil"/>
              <w:bottom w:val="single" w:sz="8" w:space="0" w:color="000000"/>
              <w:right w:val="nil"/>
            </w:tcBorders>
            <w:vAlign w:val="center"/>
            <w:hideMark/>
          </w:tcPr>
          <w:p w:rsidR="00B000C0" w:rsidRPr="00573DEB" w:rsidRDefault="00B000C0" w:rsidP="00D67C75">
            <w:pPr>
              <w:rPr>
                <w:rFonts w:ascii="Arial Narrow" w:hAnsi="Arial Narrow"/>
                <w:sz w:val="20"/>
                <w:szCs w:val="20"/>
                <w:lang w:eastAsia="pt-BR"/>
              </w:rPr>
            </w:pPr>
          </w:p>
        </w:tc>
        <w:tc>
          <w:tcPr>
            <w:tcW w:w="2019" w:type="dxa"/>
            <w:vMerge/>
            <w:tcBorders>
              <w:top w:val="single" w:sz="8" w:space="0" w:color="auto"/>
              <w:left w:val="nil"/>
              <w:bottom w:val="single" w:sz="8" w:space="0" w:color="000000"/>
              <w:right w:val="nil"/>
            </w:tcBorders>
            <w:vAlign w:val="center"/>
            <w:hideMark/>
          </w:tcPr>
          <w:p w:rsidR="00B000C0" w:rsidRPr="00573DEB" w:rsidRDefault="00B000C0" w:rsidP="00D67C75">
            <w:pPr>
              <w:rPr>
                <w:rFonts w:ascii="Arial Narrow" w:hAnsi="Arial Narrow"/>
                <w:sz w:val="20"/>
                <w:szCs w:val="20"/>
                <w:lang w:eastAsia="pt-BR"/>
              </w:rPr>
            </w:pPr>
          </w:p>
        </w:tc>
        <w:tc>
          <w:tcPr>
            <w:tcW w:w="1260" w:type="dxa"/>
            <w:tcBorders>
              <w:top w:val="nil"/>
              <w:left w:val="nil"/>
              <w:bottom w:val="single" w:sz="8" w:space="0" w:color="auto"/>
              <w:right w:val="nil"/>
            </w:tcBorders>
            <w:shd w:val="clear" w:color="auto" w:fill="auto"/>
            <w:noWrap/>
            <w:vAlign w:val="center"/>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Non-Residents</w:t>
            </w:r>
          </w:p>
        </w:tc>
        <w:tc>
          <w:tcPr>
            <w:tcW w:w="900" w:type="dxa"/>
            <w:tcBorders>
              <w:top w:val="nil"/>
              <w:left w:val="nil"/>
              <w:bottom w:val="single" w:sz="8" w:space="0" w:color="auto"/>
              <w:right w:val="nil"/>
            </w:tcBorders>
            <w:shd w:val="clear" w:color="auto" w:fill="auto"/>
            <w:noWrap/>
            <w:vAlign w:val="center"/>
            <w:hideMark/>
          </w:tcPr>
          <w:p w:rsidR="00B000C0" w:rsidRPr="00573DEB" w:rsidRDefault="00B000C0" w:rsidP="00D67C75">
            <w:pPr>
              <w:jc w:val="center"/>
              <w:rPr>
                <w:rFonts w:ascii="Arial Narrow" w:hAnsi="Arial Narrow"/>
                <w:sz w:val="20"/>
                <w:szCs w:val="20"/>
                <w:lang w:eastAsia="pt-BR"/>
              </w:rPr>
            </w:pPr>
            <w:r w:rsidRPr="00573DEB">
              <w:rPr>
                <w:rFonts w:ascii="Arial Narrow" w:hAnsi="Arial Narrow"/>
                <w:sz w:val="20"/>
                <w:szCs w:val="20"/>
                <w:lang w:eastAsia="pt-BR"/>
              </w:rPr>
              <w:t>Residents</w:t>
            </w:r>
          </w:p>
        </w:tc>
        <w:tc>
          <w:tcPr>
            <w:tcW w:w="540" w:type="dxa"/>
            <w:tcBorders>
              <w:top w:val="nil"/>
              <w:left w:val="nil"/>
              <w:bottom w:val="single" w:sz="8" w:space="0" w:color="auto"/>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N.A.</w:t>
            </w:r>
          </w:p>
        </w:tc>
        <w:tc>
          <w:tcPr>
            <w:tcW w:w="990" w:type="dxa"/>
            <w:vMerge/>
            <w:tcBorders>
              <w:top w:val="single" w:sz="8" w:space="0" w:color="auto"/>
              <w:left w:val="nil"/>
              <w:bottom w:val="single" w:sz="8" w:space="0" w:color="000000"/>
              <w:right w:val="nil"/>
            </w:tcBorders>
            <w:vAlign w:val="center"/>
            <w:hideMark/>
          </w:tcPr>
          <w:p w:rsidR="00B000C0" w:rsidRPr="00573DEB" w:rsidRDefault="00B000C0" w:rsidP="00D67C75">
            <w:pPr>
              <w:jc w:val="right"/>
              <w:rPr>
                <w:rFonts w:ascii="Arial Narrow" w:hAnsi="Arial Narrow"/>
                <w:sz w:val="20"/>
                <w:szCs w:val="20"/>
                <w:lang w:eastAsia="pt-BR"/>
              </w:rPr>
            </w:pP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1</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Electrical machinery, apparatus, energy</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Electrical engineering</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1,206</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139</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1,345</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2</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Audio-visual technology</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Electrical engineering</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802</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63</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865</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3</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Telecommunications</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Electrical engineering</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728</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56</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784</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4</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Digital communication</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Electrical engineering</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1,178</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41</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1,219</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5</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Basic communication processes</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Electrical engineering</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93</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100</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6</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Computer technology</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Electrical engineering</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1,019</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89</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1,108</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7</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IT methods for management</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Electrical engineering</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240</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37</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277</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8</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Semiconductors</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Electrical engineering</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246</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252</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9</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Optics</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Instruments</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572</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23</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595</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10</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Measurement</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Instruments</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1,227</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146</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1,373</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11</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Analysis of biological materials</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Instruments</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0</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12</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Control</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Instruments</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340</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101</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441</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13</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Medical technology</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Instruments</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1,740</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186</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1,926</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14</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Organic fine chemistry</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Chemistry</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2,297</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104</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2,401</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15</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Biotechnology</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Chemistry</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1,555</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76</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w:t>
            </w: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1,632</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16</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Pharmaceuticals</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Chemistry</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2,778</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148</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w:t>
            </w: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2,927</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17</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Macromolecular chemistry, polymers</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Chemistry</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1,117</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60</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1,177</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18</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Food chemistry</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Chemistry</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732</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95</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827</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19</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 xml:space="preserve">Basic materials chemistry </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Chemistry</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1,987</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163</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2,150</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20</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Materials, metallurgy</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Chemistry</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910</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97</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w:t>
            </w: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1,008</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21</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Surface technology, coating</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Chemistry</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627</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46</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w:t>
            </w: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674</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22</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 xml:space="preserve">Micro-structural and </w:t>
            </w:r>
            <w:proofErr w:type="spellStart"/>
            <w:r w:rsidRPr="00573DEB">
              <w:rPr>
                <w:rFonts w:ascii="Arial Narrow" w:hAnsi="Arial Narrow"/>
                <w:sz w:val="20"/>
                <w:szCs w:val="20"/>
                <w:lang w:eastAsia="pt-BR"/>
              </w:rPr>
              <w:t>nano</w:t>
            </w:r>
            <w:proofErr w:type="spellEnd"/>
            <w:r w:rsidRPr="00573DEB">
              <w:rPr>
                <w:rFonts w:ascii="Arial Narrow" w:hAnsi="Arial Narrow"/>
                <w:sz w:val="20"/>
                <w:szCs w:val="20"/>
                <w:lang w:eastAsia="pt-BR"/>
              </w:rPr>
              <w:t>-technology</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Chemistry</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19</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23</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42</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23</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Chemical engineering</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Chemistry</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1,254</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134</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1,388</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24</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Environmental technology</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Chemistry</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528</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64</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w:t>
            </w: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593</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25</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Handling</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Mechanical engineering</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897</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144</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1,041</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26</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Machine tools</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Mechanical engineering</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671</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57</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728</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27</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Engines, pumps, turbines</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Mechanical engineering</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820</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88</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w:t>
            </w: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909</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28</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Textile and paper machines</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Mechanical engineering</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567</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59</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w:t>
            </w: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627</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29</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Other special machines</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Mechanical engineering</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1,083</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225</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w:t>
            </w: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1,309</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30</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Thermal processes and apparatus</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Mechanical engineering</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435</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86</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521</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31</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Mechanical elements</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Mechanical engineering</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1,011</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114</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1,125</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32</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Transport</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Mechanical engineering</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1,396</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182</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w:t>
            </w: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1,579</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33</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Furniture, games</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Other fields</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359</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133</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492</w:t>
            </w:r>
          </w:p>
        </w:tc>
      </w:tr>
      <w:tr w:rsidR="00B000C0" w:rsidRPr="00573DEB" w:rsidTr="00D67C75">
        <w:trPr>
          <w:trHeight w:val="288"/>
        </w:trPr>
        <w:tc>
          <w:tcPr>
            <w:tcW w:w="360"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34</w:t>
            </w:r>
          </w:p>
        </w:tc>
        <w:tc>
          <w:tcPr>
            <w:tcW w:w="3021" w:type="dxa"/>
            <w:tcBorders>
              <w:top w:val="nil"/>
              <w:left w:val="nil"/>
              <w:bottom w:val="nil"/>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Other consumer goods</w:t>
            </w:r>
          </w:p>
        </w:tc>
        <w:tc>
          <w:tcPr>
            <w:tcW w:w="2019" w:type="dxa"/>
            <w:tcBorders>
              <w:top w:val="nil"/>
              <w:left w:val="nil"/>
              <w:bottom w:val="nil"/>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Other fields</w:t>
            </w:r>
          </w:p>
        </w:tc>
        <w:tc>
          <w:tcPr>
            <w:tcW w:w="126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556</w:t>
            </w:r>
          </w:p>
        </w:tc>
        <w:tc>
          <w:tcPr>
            <w:tcW w:w="90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154</w:t>
            </w:r>
          </w:p>
        </w:tc>
        <w:tc>
          <w:tcPr>
            <w:tcW w:w="54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p>
        </w:tc>
        <w:tc>
          <w:tcPr>
            <w:tcW w:w="990" w:type="dxa"/>
            <w:tcBorders>
              <w:top w:val="nil"/>
              <w:left w:val="nil"/>
              <w:bottom w:val="nil"/>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710</w:t>
            </w:r>
          </w:p>
        </w:tc>
      </w:tr>
      <w:tr w:rsidR="00B000C0" w:rsidRPr="00573DEB" w:rsidTr="00D67C75">
        <w:trPr>
          <w:trHeight w:val="288"/>
        </w:trPr>
        <w:tc>
          <w:tcPr>
            <w:tcW w:w="360" w:type="dxa"/>
            <w:tcBorders>
              <w:top w:val="nil"/>
              <w:left w:val="nil"/>
              <w:bottom w:val="single" w:sz="8" w:space="0" w:color="auto"/>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35</w:t>
            </w:r>
          </w:p>
        </w:tc>
        <w:tc>
          <w:tcPr>
            <w:tcW w:w="3021" w:type="dxa"/>
            <w:tcBorders>
              <w:top w:val="nil"/>
              <w:left w:val="nil"/>
              <w:bottom w:val="single" w:sz="8" w:space="0" w:color="auto"/>
              <w:right w:val="nil"/>
            </w:tcBorders>
            <w:shd w:val="clear" w:color="auto" w:fill="auto"/>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Civil engineering</w:t>
            </w:r>
          </w:p>
        </w:tc>
        <w:tc>
          <w:tcPr>
            <w:tcW w:w="2019" w:type="dxa"/>
            <w:tcBorders>
              <w:top w:val="nil"/>
              <w:left w:val="nil"/>
              <w:bottom w:val="single" w:sz="8" w:space="0" w:color="auto"/>
              <w:right w:val="nil"/>
            </w:tcBorders>
            <w:shd w:val="clear" w:color="auto" w:fill="auto"/>
            <w:noWrap/>
            <w:vAlign w:val="center"/>
            <w:hideMark/>
          </w:tcPr>
          <w:p w:rsidR="00B000C0" w:rsidRPr="00573DEB" w:rsidRDefault="00B000C0" w:rsidP="00D67C75">
            <w:pPr>
              <w:rPr>
                <w:rFonts w:ascii="Arial Narrow" w:hAnsi="Arial Narrow"/>
                <w:sz w:val="20"/>
                <w:szCs w:val="20"/>
                <w:lang w:eastAsia="pt-BR"/>
              </w:rPr>
            </w:pPr>
            <w:r w:rsidRPr="00573DEB">
              <w:rPr>
                <w:rFonts w:ascii="Arial Narrow" w:hAnsi="Arial Narrow"/>
                <w:sz w:val="20"/>
                <w:szCs w:val="20"/>
                <w:lang w:eastAsia="pt-BR"/>
              </w:rPr>
              <w:t>Other fields</w:t>
            </w:r>
          </w:p>
        </w:tc>
        <w:tc>
          <w:tcPr>
            <w:tcW w:w="1260" w:type="dxa"/>
            <w:tcBorders>
              <w:top w:val="nil"/>
              <w:left w:val="nil"/>
              <w:bottom w:val="single" w:sz="8" w:space="0" w:color="auto"/>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1,073</w:t>
            </w:r>
          </w:p>
        </w:tc>
        <w:tc>
          <w:tcPr>
            <w:tcW w:w="900" w:type="dxa"/>
            <w:tcBorders>
              <w:top w:val="nil"/>
              <w:left w:val="nil"/>
              <w:bottom w:val="single" w:sz="8" w:space="0" w:color="auto"/>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237</w:t>
            </w:r>
          </w:p>
        </w:tc>
        <w:tc>
          <w:tcPr>
            <w:tcW w:w="540" w:type="dxa"/>
            <w:tcBorders>
              <w:top w:val="nil"/>
              <w:left w:val="nil"/>
              <w:bottom w:val="single" w:sz="8" w:space="0" w:color="auto"/>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2</w:t>
            </w:r>
          </w:p>
        </w:tc>
        <w:tc>
          <w:tcPr>
            <w:tcW w:w="990" w:type="dxa"/>
            <w:tcBorders>
              <w:top w:val="nil"/>
              <w:left w:val="nil"/>
              <w:bottom w:val="single" w:sz="8" w:space="0" w:color="auto"/>
              <w:right w:val="nil"/>
            </w:tcBorders>
            <w:shd w:val="clear" w:color="auto" w:fill="auto"/>
            <w:noWrap/>
            <w:vAlign w:val="center"/>
            <w:hideMark/>
          </w:tcPr>
          <w:p w:rsidR="00B000C0" w:rsidRPr="00573DEB" w:rsidRDefault="00B000C0" w:rsidP="00D67C75">
            <w:pPr>
              <w:jc w:val="right"/>
              <w:rPr>
                <w:rFonts w:ascii="Arial Narrow" w:hAnsi="Arial Narrow"/>
                <w:sz w:val="20"/>
                <w:szCs w:val="20"/>
                <w:lang w:eastAsia="pt-BR"/>
              </w:rPr>
            </w:pPr>
            <w:r w:rsidRPr="00573DEB">
              <w:rPr>
                <w:rFonts w:ascii="Arial Narrow" w:hAnsi="Arial Narrow"/>
                <w:sz w:val="20"/>
                <w:szCs w:val="20"/>
                <w:lang w:eastAsia="pt-BR"/>
              </w:rPr>
              <w:t>1,312</w:t>
            </w:r>
          </w:p>
        </w:tc>
      </w:tr>
    </w:tbl>
    <w:p w:rsidR="00D67C75" w:rsidRPr="00573DEB" w:rsidRDefault="00D67C75" w:rsidP="004B4B73"/>
    <w:p w:rsidR="00D67C75" w:rsidRPr="00573DEB" w:rsidRDefault="00D67C75">
      <w:pPr>
        <w:widowControl/>
        <w:spacing w:after="200" w:line="276" w:lineRule="auto"/>
      </w:pPr>
      <w:r w:rsidRPr="00573DEB">
        <w:br w:type="page"/>
      </w:r>
    </w:p>
    <w:p w:rsidR="00B000C0" w:rsidRPr="00573DEB" w:rsidRDefault="00B000C0" w:rsidP="004B4B73"/>
    <w:p w:rsidR="00B000C0" w:rsidRPr="00573DEB" w:rsidRDefault="00B000C0" w:rsidP="004B4B73"/>
    <w:p w:rsidR="00B000C0" w:rsidRPr="00573DEB" w:rsidRDefault="008C2A2F" w:rsidP="00656538">
      <w:pPr>
        <w:pStyle w:val="Caption"/>
      </w:pPr>
      <w:bookmarkStart w:id="277" w:name="_Toc388619983"/>
      <w:r>
        <w:t xml:space="preserve">Table A.9:  </w:t>
      </w:r>
      <w:r w:rsidR="00B000C0" w:rsidRPr="00573DEB">
        <w:t>Patent applications by economic sector, 2006-2011</w:t>
      </w:r>
      <w:bookmarkEnd w:id="277"/>
    </w:p>
    <w:tbl>
      <w:tblPr>
        <w:tblW w:w="9583" w:type="dxa"/>
        <w:tblInd w:w="55" w:type="dxa"/>
        <w:tblLayout w:type="fixed"/>
        <w:tblCellMar>
          <w:left w:w="0" w:type="dxa"/>
          <w:right w:w="0" w:type="dxa"/>
        </w:tblCellMar>
        <w:tblLook w:val="04A0" w:firstRow="1" w:lastRow="0" w:firstColumn="1" w:lastColumn="0" w:noHBand="0" w:noVBand="1"/>
      </w:tblPr>
      <w:tblGrid>
        <w:gridCol w:w="5829"/>
        <w:gridCol w:w="536"/>
        <w:gridCol w:w="536"/>
        <w:gridCol w:w="536"/>
        <w:gridCol w:w="537"/>
        <w:gridCol w:w="536"/>
        <w:gridCol w:w="536"/>
        <w:gridCol w:w="537"/>
      </w:tblGrid>
      <w:tr w:rsidR="00EB5F15" w:rsidRPr="00573DEB" w:rsidTr="00EB5F15">
        <w:trPr>
          <w:trHeight w:val="375"/>
        </w:trPr>
        <w:tc>
          <w:tcPr>
            <w:tcW w:w="5829" w:type="dxa"/>
            <w:tcBorders>
              <w:top w:val="single" w:sz="8" w:space="0" w:color="auto"/>
              <w:left w:val="nil"/>
              <w:bottom w:val="single" w:sz="4" w:space="0" w:color="auto"/>
              <w:right w:val="nil"/>
            </w:tcBorders>
            <w:shd w:val="clear" w:color="auto" w:fill="auto"/>
            <w:noWrap/>
            <w:vAlign w:val="center"/>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 xml:space="preserve">Economic Sector </w:t>
            </w:r>
          </w:p>
          <w:p w:rsidR="00EB5F15" w:rsidRPr="00573DEB" w:rsidRDefault="00EB5F15" w:rsidP="004B4B73">
            <w:pPr>
              <w:rPr>
                <w:rFonts w:ascii="Arial Narrow" w:hAnsi="Arial Narrow" w:cs="Times New Roman"/>
                <w:bCs/>
                <w:color w:val="000000"/>
                <w:sz w:val="20"/>
                <w:szCs w:val="20"/>
                <w:lang w:eastAsia="pt-BR"/>
              </w:rPr>
            </w:pPr>
            <w:r w:rsidRPr="00573DEB">
              <w:rPr>
                <w:rFonts w:ascii="Arial Narrow" w:hAnsi="Arial Narrow" w:cs="Times New Roman"/>
                <w:bCs/>
                <w:color w:val="000000"/>
                <w:sz w:val="20"/>
                <w:szCs w:val="20"/>
                <w:lang w:eastAsia="pt-BR"/>
              </w:rPr>
              <w:t>(</w:t>
            </w:r>
            <w:r w:rsidRPr="00573DEB">
              <w:rPr>
                <w:rFonts w:ascii="Arial Narrow" w:hAnsi="Arial Narrow"/>
                <w:sz w:val="20"/>
                <w:szCs w:val="20"/>
              </w:rPr>
              <w:t>2 digits level of ISIC Rev.4)</w:t>
            </w:r>
          </w:p>
        </w:tc>
        <w:tc>
          <w:tcPr>
            <w:tcW w:w="536" w:type="dxa"/>
            <w:tcBorders>
              <w:top w:val="single" w:sz="8" w:space="0" w:color="auto"/>
              <w:left w:val="nil"/>
              <w:bottom w:val="single" w:sz="4" w:space="0" w:color="auto"/>
              <w:right w:val="nil"/>
            </w:tcBorders>
            <w:shd w:val="clear" w:color="auto" w:fill="auto"/>
            <w:noWrap/>
            <w:vAlign w:val="center"/>
            <w:hideMark/>
          </w:tcPr>
          <w:p w:rsidR="00EB5F15" w:rsidRPr="00573DEB" w:rsidRDefault="00EB5F15" w:rsidP="00EB5F15">
            <w:pPr>
              <w:jc w:val="center"/>
              <w:rPr>
                <w:rFonts w:ascii="Arial Narrow" w:hAnsi="Arial Narrow"/>
                <w:sz w:val="20"/>
                <w:szCs w:val="20"/>
                <w:lang w:eastAsia="pt-BR"/>
              </w:rPr>
            </w:pPr>
            <w:r w:rsidRPr="00573DEB">
              <w:rPr>
                <w:rFonts w:ascii="Arial Narrow" w:hAnsi="Arial Narrow"/>
                <w:sz w:val="20"/>
                <w:szCs w:val="20"/>
                <w:lang w:eastAsia="pt-BR"/>
              </w:rPr>
              <w:t>2006</w:t>
            </w:r>
          </w:p>
        </w:tc>
        <w:tc>
          <w:tcPr>
            <w:tcW w:w="536" w:type="dxa"/>
            <w:tcBorders>
              <w:top w:val="single" w:sz="8" w:space="0" w:color="auto"/>
              <w:left w:val="nil"/>
              <w:bottom w:val="single" w:sz="4" w:space="0" w:color="auto"/>
              <w:right w:val="nil"/>
            </w:tcBorders>
            <w:shd w:val="clear" w:color="auto" w:fill="auto"/>
            <w:noWrap/>
            <w:vAlign w:val="center"/>
            <w:hideMark/>
          </w:tcPr>
          <w:p w:rsidR="00EB5F15" w:rsidRPr="00573DEB" w:rsidRDefault="00EB5F15" w:rsidP="00EB5F15">
            <w:pPr>
              <w:jc w:val="center"/>
              <w:rPr>
                <w:rFonts w:ascii="Arial Narrow" w:hAnsi="Arial Narrow"/>
                <w:sz w:val="20"/>
                <w:szCs w:val="20"/>
                <w:lang w:eastAsia="pt-BR"/>
              </w:rPr>
            </w:pPr>
            <w:r w:rsidRPr="00573DEB">
              <w:rPr>
                <w:rFonts w:ascii="Arial Narrow" w:hAnsi="Arial Narrow"/>
                <w:sz w:val="20"/>
                <w:szCs w:val="20"/>
                <w:lang w:eastAsia="pt-BR"/>
              </w:rPr>
              <w:t>2007</w:t>
            </w:r>
          </w:p>
        </w:tc>
        <w:tc>
          <w:tcPr>
            <w:tcW w:w="536" w:type="dxa"/>
            <w:tcBorders>
              <w:top w:val="single" w:sz="8" w:space="0" w:color="auto"/>
              <w:left w:val="nil"/>
              <w:bottom w:val="single" w:sz="4" w:space="0" w:color="auto"/>
              <w:right w:val="nil"/>
            </w:tcBorders>
            <w:shd w:val="clear" w:color="auto" w:fill="auto"/>
            <w:noWrap/>
            <w:vAlign w:val="center"/>
            <w:hideMark/>
          </w:tcPr>
          <w:p w:rsidR="00EB5F15" w:rsidRPr="00573DEB" w:rsidRDefault="00EB5F15" w:rsidP="00EB5F15">
            <w:pPr>
              <w:jc w:val="center"/>
              <w:rPr>
                <w:rFonts w:ascii="Arial Narrow" w:hAnsi="Arial Narrow"/>
                <w:sz w:val="20"/>
                <w:szCs w:val="20"/>
                <w:lang w:eastAsia="pt-BR"/>
              </w:rPr>
            </w:pPr>
            <w:r w:rsidRPr="00573DEB">
              <w:rPr>
                <w:rFonts w:ascii="Arial Narrow" w:hAnsi="Arial Narrow"/>
                <w:sz w:val="20"/>
                <w:szCs w:val="20"/>
                <w:lang w:eastAsia="pt-BR"/>
              </w:rPr>
              <w:t>2008</w:t>
            </w:r>
          </w:p>
        </w:tc>
        <w:tc>
          <w:tcPr>
            <w:tcW w:w="537" w:type="dxa"/>
            <w:tcBorders>
              <w:top w:val="single" w:sz="8" w:space="0" w:color="auto"/>
              <w:left w:val="nil"/>
              <w:bottom w:val="single" w:sz="4" w:space="0" w:color="auto"/>
              <w:right w:val="nil"/>
            </w:tcBorders>
            <w:shd w:val="clear" w:color="auto" w:fill="auto"/>
            <w:noWrap/>
            <w:vAlign w:val="center"/>
            <w:hideMark/>
          </w:tcPr>
          <w:p w:rsidR="00EB5F15" w:rsidRPr="00573DEB" w:rsidRDefault="00EB5F15" w:rsidP="00EB5F15">
            <w:pPr>
              <w:jc w:val="center"/>
              <w:rPr>
                <w:rFonts w:ascii="Arial Narrow" w:hAnsi="Arial Narrow"/>
                <w:sz w:val="20"/>
                <w:szCs w:val="20"/>
                <w:lang w:eastAsia="pt-BR"/>
              </w:rPr>
            </w:pPr>
            <w:r w:rsidRPr="00573DEB">
              <w:rPr>
                <w:rFonts w:ascii="Arial Narrow" w:hAnsi="Arial Narrow"/>
                <w:sz w:val="20"/>
                <w:szCs w:val="20"/>
                <w:lang w:eastAsia="pt-BR"/>
              </w:rPr>
              <w:t>2009</w:t>
            </w:r>
          </w:p>
        </w:tc>
        <w:tc>
          <w:tcPr>
            <w:tcW w:w="536" w:type="dxa"/>
            <w:tcBorders>
              <w:top w:val="single" w:sz="8" w:space="0" w:color="auto"/>
              <w:left w:val="nil"/>
              <w:bottom w:val="single" w:sz="4" w:space="0" w:color="auto"/>
              <w:right w:val="nil"/>
            </w:tcBorders>
            <w:shd w:val="clear" w:color="auto" w:fill="auto"/>
            <w:noWrap/>
            <w:vAlign w:val="center"/>
            <w:hideMark/>
          </w:tcPr>
          <w:p w:rsidR="00EB5F15" w:rsidRPr="00573DEB" w:rsidRDefault="00EB5F15" w:rsidP="00EB5F15">
            <w:pPr>
              <w:jc w:val="center"/>
              <w:rPr>
                <w:rFonts w:ascii="Arial Narrow" w:hAnsi="Arial Narrow"/>
                <w:sz w:val="20"/>
                <w:szCs w:val="20"/>
                <w:lang w:eastAsia="pt-BR"/>
              </w:rPr>
            </w:pPr>
            <w:r w:rsidRPr="00573DEB">
              <w:rPr>
                <w:rFonts w:ascii="Arial Narrow" w:hAnsi="Arial Narrow"/>
                <w:sz w:val="20"/>
                <w:szCs w:val="20"/>
                <w:lang w:eastAsia="pt-BR"/>
              </w:rPr>
              <w:t>2010</w:t>
            </w:r>
          </w:p>
        </w:tc>
        <w:tc>
          <w:tcPr>
            <w:tcW w:w="536" w:type="dxa"/>
            <w:tcBorders>
              <w:top w:val="single" w:sz="8" w:space="0" w:color="auto"/>
              <w:left w:val="nil"/>
              <w:bottom w:val="single" w:sz="4" w:space="0" w:color="auto"/>
              <w:right w:val="nil"/>
            </w:tcBorders>
            <w:shd w:val="clear" w:color="auto" w:fill="auto"/>
            <w:noWrap/>
            <w:vAlign w:val="center"/>
            <w:hideMark/>
          </w:tcPr>
          <w:p w:rsidR="00EB5F15" w:rsidRPr="00573DEB" w:rsidRDefault="00EB5F15" w:rsidP="00EB5F15">
            <w:pPr>
              <w:jc w:val="center"/>
              <w:rPr>
                <w:rFonts w:ascii="Arial Narrow" w:hAnsi="Arial Narrow"/>
                <w:sz w:val="20"/>
                <w:szCs w:val="20"/>
                <w:lang w:eastAsia="pt-BR"/>
              </w:rPr>
            </w:pPr>
            <w:r w:rsidRPr="00573DEB">
              <w:rPr>
                <w:rFonts w:ascii="Arial Narrow" w:hAnsi="Arial Narrow"/>
                <w:sz w:val="20"/>
                <w:szCs w:val="20"/>
                <w:lang w:eastAsia="pt-BR"/>
              </w:rPr>
              <w:t>2011</w:t>
            </w:r>
          </w:p>
        </w:tc>
        <w:tc>
          <w:tcPr>
            <w:tcW w:w="537" w:type="dxa"/>
            <w:tcBorders>
              <w:top w:val="single" w:sz="8" w:space="0" w:color="auto"/>
              <w:left w:val="nil"/>
              <w:bottom w:val="single" w:sz="4" w:space="0" w:color="auto"/>
              <w:right w:val="nil"/>
            </w:tcBorders>
            <w:shd w:val="clear" w:color="auto" w:fill="auto"/>
            <w:noWrap/>
            <w:vAlign w:val="center"/>
            <w:hideMark/>
          </w:tcPr>
          <w:p w:rsidR="00EB5F15" w:rsidRPr="00573DEB" w:rsidRDefault="00EB5F15" w:rsidP="00EB5F15">
            <w:pPr>
              <w:jc w:val="center"/>
              <w:rPr>
                <w:rFonts w:ascii="Arial Narrow" w:hAnsi="Arial Narrow"/>
                <w:sz w:val="20"/>
                <w:szCs w:val="20"/>
                <w:lang w:eastAsia="pt-BR"/>
              </w:rPr>
            </w:pPr>
            <w:r w:rsidRPr="00573DEB">
              <w:rPr>
                <w:rFonts w:ascii="Arial Narrow" w:hAnsi="Arial Narrow"/>
                <w:sz w:val="20"/>
                <w:szCs w:val="20"/>
                <w:lang w:eastAsia="pt-BR"/>
              </w:rPr>
              <w:t>Total</w:t>
            </w:r>
          </w:p>
        </w:tc>
      </w:tr>
      <w:tr w:rsidR="00EB5F15" w:rsidRPr="00573DEB" w:rsidTr="00EB5F15">
        <w:trPr>
          <w:trHeight w:val="315"/>
        </w:trPr>
        <w:tc>
          <w:tcPr>
            <w:tcW w:w="5829" w:type="dxa"/>
            <w:tcBorders>
              <w:top w:val="nil"/>
              <w:left w:val="nil"/>
              <w:bottom w:val="single" w:sz="8" w:space="0" w:color="auto"/>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Total</w:t>
            </w:r>
          </w:p>
        </w:tc>
        <w:tc>
          <w:tcPr>
            <w:tcW w:w="536" w:type="dxa"/>
            <w:tcBorders>
              <w:top w:val="nil"/>
              <w:left w:val="nil"/>
              <w:bottom w:val="single" w:sz="8" w:space="0" w:color="auto"/>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650</w:t>
            </w:r>
          </w:p>
        </w:tc>
        <w:tc>
          <w:tcPr>
            <w:tcW w:w="536" w:type="dxa"/>
            <w:tcBorders>
              <w:top w:val="nil"/>
              <w:left w:val="nil"/>
              <w:bottom w:val="single" w:sz="8" w:space="0" w:color="auto"/>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671</w:t>
            </w:r>
          </w:p>
        </w:tc>
        <w:tc>
          <w:tcPr>
            <w:tcW w:w="536" w:type="dxa"/>
            <w:tcBorders>
              <w:top w:val="nil"/>
              <w:left w:val="nil"/>
              <w:bottom w:val="single" w:sz="8" w:space="0" w:color="auto"/>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776</w:t>
            </w:r>
          </w:p>
        </w:tc>
        <w:tc>
          <w:tcPr>
            <w:tcW w:w="537" w:type="dxa"/>
            <w:tcBorders>
              <w:top w:val="nil"/>
              <w:left w:val="nil"/>
              <w:bottom w:val="single" w:sz="8" w:space="0" w:color="auto"/>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858</w:t>
            </w:r>
          </w:p>
        </w:tc>
        <w:tc>
          <w:tcPr>
            <w:tcW w:w="536" w:type="dxa"/>
            <w:tcBorders>
              <w:top w:val="nil"/>
              <w:left w:val="nil"/>
              <w:bottom w:val="single" w:sz="8" w:space="0" w:color="auto"/>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801</w:t>
            </w:r>
          </w:p>
        </w:tc>
        <w:tc>
          <w:tcPr>
            <w:tcW w:w="536" w:type="dxa"/>
            <w:tcBorders>
              <w:top w:val="nil"/>
              <w:left w:val="nil"/>
              <w:bottom w:val="single" w:sz="8" w:space="0" w:color="auto"/>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737</w:t>
            </w:r>
          </w:p>
        </w:tc>
        <w:tc>
          <w:tcPr>
            <w:tcW w:w="537" w:type="dxa"/>
            <w:tcBorders>
              <w:top w:val="nil"/>
              <w:left w:val="nil"/>
              <w:bottom w:val="single" w:sz="8" w:space="0" w:color="auto"/>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4,493</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N.A.</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99</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86</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108</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101</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107</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240</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741</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 xml:space="preserve">Manufacture of machinery and equipment </w:t>
            </w:r>
            <w:proofErr w:type="spellStart"/>
            <w:r w:rsidRPr="00573DEB">
              <w:rPr>
                <w:rFonts w:ascii="Arial Narrow" w:hAnsi="Arial Narrow"/>
                <w:sz w:val="20"/>
                <w:szCs w:val="20"/>
                <w:lang w:eastAsia="pt-BR"/>
              </w:rPr>
              <w:t>n,e,c</w:t>
            </w:r>
            <w:proofErr w:type="spellEnd"/>
            <w:r w:rsidRPr="00573DEB">
              <w:rPr>
                <w:rFonts w:ascii="Arial Narrow" w:hAnsi="Arial Narrow"/>
                <w:sz w:val="20"/>
                <w:szCs w:val="20"/>
                <w:lang w:eastAsia="pt-BR"/>
              </w:rPr>
              <w:t>,</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71</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84</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106</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125</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137</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94</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617</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Manufacture of rubber and plastics products</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45</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64</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56</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74</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63</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40</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342</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Manufacture of fabricated metal products, except machinery and equipment</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66</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38</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56</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66</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54</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42</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322</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Manufacture of electrical equipment</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37</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42</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54</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53</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29</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34</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249</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Manufacture of motor vehicles, trailers and semi-trailers</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26</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37</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45</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54</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45</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31</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238</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Other manufacturing</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45</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27</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30</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41</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36</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26</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205</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Wholesale trade, except of motor vehicles and motorcycles</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29</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25</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30</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37</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35</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28</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184</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Manufacture of furniture</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17</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25</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31</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41</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18</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17</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149</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Retail trade, except of motor vehicles and motorcycles</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27</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23</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22</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24</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35</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14</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145</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Education</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10</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20</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19</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26</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34</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25</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134</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Manufacture of computer, electronic and optical products</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15</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32</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21</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23</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29</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13</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133</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Manufacture of paper and paper products</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13</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17</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23</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18</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20</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13</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104</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Manufacture of leather and related products</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13</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15</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10</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37</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17</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10</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102</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Manufacture of chemicals and chemical products</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13</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7</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14</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7</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11</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6</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58</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Manufacture of basic metals</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6</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8</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15</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8</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8</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9</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54</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Manufacture of textiles</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14</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13</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8</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5</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46</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Manufacture of other transport equipment</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12</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7</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10</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6</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5</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44</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Manufacture of other non-metallic mineral products</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5</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10</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10</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8</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7</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43</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Rental and leasing activities</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12</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9</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6</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35</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Manufacture of wearing apparel</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10</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9</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5</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32</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Manufacture of wood and of products of wood and cork, except furniture; manufacture of articles of straw and plaiting materials</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9</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7</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7</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32</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Repair and installation of machinery and equipment</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17</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30</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Wholesale and retail trade and repair of motor vehicles and motorcycles</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6</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7</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8</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29</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Manufacture of food products</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6</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6</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7</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28</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 xml:space="preserve">Public administration and </w:t>
            </w:r>
            <w:proofErr w:type="spellStart"/>
            <w:r w:rsidRPr="00573DEB">
              <w:rPr>
                <w:rFonts w:ascii="Arial Narrow" w:hAnsi="Arial Narrow"/>
                <w:sz w:val="20"/>
                <w:szCs w:val="20"/>
                <w:lang w:eastAsia="pt-BR"/>
              </w:rPr>
              <w:t>defence</w:t>
            </w:r>
            <w:proofErr w:type="spellEnd"/>
            <w:r w:rsidRPr="00573DEB">
              <w:rPr>
                <w:rFonts w:ascii="Arial Narrow" w:hAnsi="Arial Narrow"/>
                <w:sz w:val="20"/>
                <w:szCs w:val="20"/>
                <w:lang w:eastAsia="pt-BR"/>
              </w:rPr>
              <w:t>; compulsory social security</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11</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5</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25</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Architectural and engineering activities; technical testing and analysis</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8</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24</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Scientific research and development</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5</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6</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21</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Computer programming, consultancy and related activities</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5</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20</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Civil engineering</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8</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18</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Advertising and market research</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5</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5</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18</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Human health activities</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6</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5</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18</w:t>
            </w:r>
          </w:p>
        </w:tc>
      </w:tr>
      <w:tr w:rsidR="00EB5F15" w:rsidRPr="00573DEB" w:rsidTr="00EB5F15">
        <w:trPr>
          <w:trHeight w:val="300"/>
        </w:trPr>
        <w:tc>
          <w:tcPr>
            <w:tcW w:w="5829" w:type="dxa"/>
            <w:tcBorders>
              <w:top w:val="nil"/>
              <w:left w:val="nil"/>
              <w:bottom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Printing and reproduction of recorded media</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5</w:t>
            </w: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p>
        </w:tc>
        <w:tc>
          <w:tcPr>
            <w:tcW w:w="536"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6</w:t>
            </w:r>
          </w:p>
        </w:tc>
        <w:tc>
          <w:tcPr>
            <w:tcW w:w="537" w:type="dxa"/>
            <w:tcBorders>
              <w:top w:val="nil"/>
              <w:left w:val="nil"/>
              <w:bottom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17</w:t>
            </w:r>
          </w:p>
        </w:tc>
      </w:tr>
      <w:tr w:rsidR="00EB5F15" w:rsidRPr="00573DEB" w:rsidTr="00EB5F15">
        <w:trPr>
          <w:trHeight w:val="300"/>
        </w:trPr>
        <w:tc>
          <w:tcPr>
            <w:tcW w:w="5829" w:type="dxa"/>
            <w:tcBorders>
              <w:top w:val="nil"/>
              <w:left w:val="nil"/>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Financial service activities, except insurance and pension funding</w:t>
            </w:r>
          </w:p>
        </w:tc>
        <w:tc>
          <w:tcPr>
            <w:tcW w:w="536" w:type="dxa"/>
            <w:tcBorders>
              <w:top w:val="nil"/>
              <w:left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w:t>
            </w:r>
          </w:p>
        </w:tc>
        <w:tc>
          <w:tcPr>
            <w:tcW w:w="536" w:type="dxa"/>
            <w:tcBorders>
              <w:top w:val="nil"/>
              <w:left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w:t>
            </w:r>
          </w:p>
        </w:tc>
        <w:tc>
          <w:tcPr>
            <w:tcW w:w="536" w:type="dxa"/>
            <w:tcBorders>
              <w:top w:val="nil"/>
              <w:left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7" w:type="dxa"/>
            <w:tcBorders>
              <w:top w:val="nil"/>
              <w:left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3</w:t>
            </w:r>
          </w:p>
        </w:tc>
        <w:tc>
          <w:tcPr>
            <w:tcW w:w="536" w:type="dxa"/>
            <w:tcBorders>
              <w:top w:val="nil"/>
              <w:left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6" w:type="dxa"/>
            <w:tcBorders>
              <w:top w:val="nil"/>
              <w:left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5</w:t>
            </w:r>
          </w:p>
        </w:tc>
        <w:tc>
          <w:tcPr>
            <w:tcW w:w="537" w:type="dxa"/>
            <w:tcBorders>
              <w:top w:val="nil"/>
              <w:left w:val="nil"/>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16</w:t>
            </w:r>
          </w:p>
        </w:tc>
      </w:tr>
      <w:tr w:rsidR="00EB5F15" w:rsidRPr="00573DEB" w:rsidTr="00EB5F15">
        <w:trPr>
          <w:trHeight w:val="300"/>
        </w:trPr>
        <w:tc>
          <w:tcPr>
            <w:tcW w:w="5829" w:type="dxa"/>
            <w:tcBorders>
              <w:top w:val="nil"/>
              <w:left w:val="nil"/>
              <w:bottom w:val="single" w:sz="4" w:space="0" w:color="auto"/>
              <w:right w:val="nil"/>
            </w:tcBorders>
            <w:shd w:val="clear" w:color="auto" w:fill="auto"/>
            <w:noWrap/>
            <w:vAlign w:val="bottom"/>
            <w:hideMark/>
          </w:tcPr>
          <w:p w:rsidR="00EB5F15" w:rsidRPr="00573DEB" w:rsidRDefault="00EB5F15" w:rsidP="004B4B73">
            <w:pPr>
              <w:rPr>
                <w:rFonts w:ascii="Arial Narrow" w:hAnsi="Arial Narrow"/>
                <w:sz w:val="20"/>
                <w:szCs w:val="20"/>
                <w:lang w:eastAsia="pt-BR"/>
              </w:rPr>
            </w:pPr>
            <w:r w:rsidRPr="00573DEB">
              <w:rPr>
                <w:rFonts w:ascii="Arial Narrow" w:hAnsi="Arial Narrow"/>
                <w:sz w:val="20"/>
                <w:szCs w:val="20"/>
                <w:lang w:eastAsia="pt-BR"/>
              </w:rPr>
              <w:t>Other professional, scientific and technical activities</w:t>
            </w:r>
          </w:p>
        </w:tc>
        <w:tc>
          <w:tcPr>
            <w:tcW w:w="536" w:type="dxa"/>
            <w:tcBorders>
              <w:top w:val="nil"/>
              <w:left w:val="nil"/>
              <w:bottom w:val="single" w:sz="4" w:space="0" w:color="auto"/>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6" w:type="dxa"/>
            <w:tcBorders>
              <w:top w:val="nil"/>
              <w:left w:val="nil"/>
              <w:bottom w:val="single" w:sz="4" w:space="0" w:color="auto"/>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6" w:type="dxa"/>
            <w:tcBorders>
              <w:top w:val="nil"/>
              <w:left w:val="nil"/>
              <w:bottom w:val="single" w:sz="4" w:space="0" w:color="auto"/>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w:t>
            </w:r>
          </w:p>
        </w:tc>
        <w:tc>
          <w:tcPr>
            <w:tcW w:w="537" w:type="dxa"/>
            <w:tcBorders>
              <w:top w:val="nil"/>
              <w:left w:val="nil"/>
              <w:bottom w:val="single" w:sz="4" w:space="0" w:color="auto"/>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4</w:t>
            </w:r>
          </w:p>
        </w:tc>
        <w:tc>
          <w:tcPr>
            <w:tcW w:w="536" w:type="dxa"/>
            <w:tcBorders>
              <w:top w:val="nil"/>
              <w:left w:val="nil"/>
              <w:bottom w:val="single" w:sz="4" w:space="0" w:color="auto"/>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w:t>
            </w:r>
          </w:p>
        </w:tc>
        <w:tc>
          <w:tcPr>
            <w:tcW w:w="536" w:type="dxa"/>
            <w:tcBorders>
              <w:top w:val="nil"/>
              <w:left w:val="nil"/>
              <w:bottom w:val="single" w:sz="4" w:space="0" w:color="auto"/>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2</w:t>
            </w:r>
          </w:p>
        </w:tc>
        <w:tc>
          <w:tcPr>
            <w:tcW w:w="537" w:type="dxa"/>
            <w:tcBorders>
              <w:top w:val="nil"/>
              <w:left w:val="nil"/>
              <w:bottom w:val="single" w:sz="4" w:space="0" w:color="auto"/>
              <w:right w:val="nil"/>
            </w:tcBorders>
            <w:shd w:val="clear" w:color="auto" w:fill="auto"/>
            <w:noWrap/>
            <w:vAlign w:val="bottom"/>
            <w:hideMark/>
          </w:tcPr>
          <w:p w:rsidR="00EB5F15" w:rsidRPr="00573DEB" w:rsidRDefault="00EB5F15" w:rsidP="00EB5F15">
            <w:pPr>
              <w:jc w:val="right"/>
              <w:rPr>
                <w:rFonts w:ascii="Arial Narrow" w:hAnsi="Arial Narrow"/>
                <w:sz w:val="20"/>
                <w:szCs w:val="20"/>
                <w:lang w:eastAsia="pt-BR"/>
              </w:rPr>
            </w:pPr>
            <w:r w:rsidRPr="00573DEB">
              <w:rPr>
                <w:rFonts w:ascii="Arial Narrow" w:hAnsi="Arial Narrow"/>
                <w:sz w:val="20"/>
                <w:szCs w:val="20"/>
                <w:lang w:eastAsia="pt-BR"/>
              </w:rPr>
              <w:t>15</w:t>
            </w:r>
          </w:p>
        </w:tc>
      </w:tr>
    </w:tbl>
    <w:p w:rsidR="00656538" w:rsidRPr="008C2A2F" w:rsidRDefault="00B000C0" w:rsidP="00656538">
      <w:pPr>
        <w:pStyle w:val="Captionnotes"/>
        <w:rPr>
          <w:i w:val="0"/>
        </w:rPr>
      </w:pPr>
      <w:r w:rsidRPr="008C2A2F">
        <w:rPr>
          <w:i w:val="0"/>
        </w:rPr>
        <w:t>Economic sector data are not available for all resident companies, because part of them had missing information for CNPJ and thus could not be classified</w:t>
      </w:r>
      <w:bookmarkStart w:id="278" w:name="_Toc366845909"/>
      <w:bookmarkStart w:id="279" w:name="_Toc367700249"/>
      <w:r w:rsidR="00EB5F15" w:rsidRPr="008C2A2F">
        <w:rPr>
          <w:i w:val="0"/>
        </w:rPr>
        <w:t>. Only first 35 sectors reported.</w:t>
      </w:r>
    </w:p>
    <w:p w:rsidR="00656538" w:rsidRPr="00573DEB" w:rsidRDefault="00656538" w:rsidP="00656538"/>
    <w:p w:rsidR="00656538" w:rsidRPr="00573DEB" w:rsidRDefault="00656538">
      <w:pPr>
        <w:widowControl/>
        <w:spacing w:after="200" w:line="276" w:lineRule="auto"/>
      </w:pPr>
      <w:r w:rsidRPr="00573DEB">
        <w:br w:type="page"/>
      </w:r>
    </w:p>
    <w:p w:rsidR="00656538" w:rsidRPr="00573DEB" w:rsidRDefault="00656538" w:rsidP="00656538"/>
    <w:p w:rsidR="00B000C0" w:rsidRPr="00573DEB" w:rsidRDefault="008C2A2F" w:rsidP="00656538">
      <w:pPr>
        <w:pStyle w:val="Caption"/>
      </w:pPr>
      <w:bookmarkStart w:id="280" w:name="_Toc388619984"/>
      <w:r>
        <w:t xml:space="preserve">Table A.10:  </w:t>
      </w:r>
      <w:r w:rsidR="00B000C0" w:rsidRPr="00573DEB">
        <w:t>Patent</w:t>
      </w:r>
      <w:bookmarkEnd w:id="278"/>
      <w:bookmarkEnd w:id="279"/>
      <w:r w:rsidR="00B000C0" w:rsidRPr="00573DEB">
        <w:t xml:space="preserve"> grants </w:t>
      </w:r>
      <w:bookmarkStart w:id="281" w:name="_Toc366845910"/>
      <w:bookmarkStart w:id="282" w:name="_Toc367700250"/>
      <w:r w:rsidR="00B000C0" w:rsidRPr="00573DEB">
        <w:t>by origin</w:t>
      </w:r>
      <w:bookmarkEnd w:id="281"/>
      <w:bookmarkEnd w:id="282"/>
      <w:r w:rsidR="00B000C0" w:rsidRPr="00573DEB">
        <w:t>, 2000-2011</w:t>
      </w:r>
      <w:bookmarkEnd w:id="280"/>
    </w:p>
    <w:tbl>
      <w:tblPr>
        <w:tblW w:w="4840" w:type="dxa"/>
        <w:tblInd w:w="70" w:type="dxa"/>
        <w:tblCellMar>
          <w:left w:w="70" w:type="dxa"/>
          <w:right w:w="70" w:type="dxa"/>
        </w:tblCellMar>
        <w:tblLook w:val="04A0" w:firstRow="1" w:lastRow="0" w:firstColumn="1" w:lastColumn="0" w:noHBand="0" w:noVBand="1"/>
      </w:tblPr>
      <w:tblGrid>
        <w:gridCol w:w="820"/>
        <w:gridCol w:w="1260"/>
        <w:gridCol w:w="1460"/>
        <w:gridCol w:w="1300"/>
      </w:tblGrid>
      <w:tr w:rsidR="00B000C0" w:rsidRPr="00573DEB" w:rsidTr="004B4B73">
        <w:trPr>
          <w:trHeight w:val="255"/>
        </w:trPr>
        <w:tc>
          <w:tcPr>
            <w:tcW w:w="820"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4B4B73">
            <w:pPr>
              <w:rPr>
                <w:lang w:eastAsia="pt-BR"/>
              </w:rPr>
            </w:pPr>
            <w:r w:rsidRPr="00573DEB">
              <w:rPr>
                <w:lang w:eastAsia="pt-BR"/>
              </w:rPr>
              <w:t>Year</w:t>
            </w:r>
          </w:p>
        </w:tc>
        <w:tc>
          <w:tcPr>
            <w:tcW w:w="126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Residents</w:t>
            </w:r>
          </w:p>
        </w:tc>
        <w:tc>
          <w:tcPr>
            <w:tcW w:w="146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Non-Residents</w:t>
            </w:r>
          </w:p>
        </w:tc>
        <w:tc>
          <w:tcPr>
            <w:tcW w:w="130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Total</w:t>
            </w:r>
          </w:p>
        </w:tc>
      </w:tr>
      <w:tr w:rsidR="00B000C0" w:rsidRPr="00573DEB" w:rsidTr="004B4B73">
        <w:trPr>
          <w:trHeight w:val="255"/>
        </w:trPr>
        <w:tc>
          <w:tcPr>
            <w:tcW w:w="8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2000</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651</w:t>
            </w:r>
          </w:p>
        </w:tc>
        <w:tc>
          <w:tcPr>
            <w:tcW w:w="14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5,355</w:t>
            </w:r>
          </w:p>
        </w:tc>
        <w:tc>
          <w:tcPr>
            <w:tcW w:w="13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6,006</w:t>
            </w:r>
          </w:p>
        </w:tc>
      </w:tr>
      <w:tr w:rsidR="00B000C0" w:rsidRPr="00573DEB" w:rsidTr="004B4B73">
        <w:trPr>
          <w:trHeight w:val="255"/>
        </w:trPr>
        <w:tc>
          <w:tcPr>
            <w:tcW w:w="8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2001</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383</w:t>
            </w:r>
          </w:p>
        </w:tc>
        <w:tc>
          <w:tcPr>
            <w:tcW w:w="14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2,865</w:t>
            </w:r>
          </w:p>
        </w:tc>
        <w:tc>
          <w:tcPr>
            <w:tcW w:w="13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3,248</w:t>
            </w:r>
          </w:p>
        </w:tc>
      </w:tr>
      <w:tr w:rsidR="00B000C0" w:rsidRPr="00573DEB" w:rsidTr="004B4B73">
        <w:trPr>
          <w:trHeight w:val="255"/>
        </w:trPr>
        <w:tc>
          <w:tcPr>
            <w:tcW w:w="8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2002</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338</w:t>
            </w:r>
          </w:p>
        </w:tc>
        <w:tc>
          <w:tcPr>
            <w:tcW w:w="14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3,958</w:t>
            </w:r>
          </w:p>
        </w:tc>
        <w:tc>
          <w:tcPr>
            <w:tcW w:w="13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4,296</w:t>
            </w:r>
          </w:p>
        </w:tc>
      </w:tr>
      <w:tr w:rsidR="00B000C0" w:rsidRPr="00573DEB" w:rsidTr="004B4B73">
        <w:trPr>
          <w:trHeight w:val="255"/>
        </w:trPr>
        <w:tc>
          <w:tcPr>
            <w:tcW w:w="8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2003</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400</w:t>
            </w:r>
          </w:p>
        </w:tc>
        <w:tc>
          <w:tcPr>
            <w:tcW w:w="14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3,689</w:t>
            </w:r>
          </w:p>
        </w:tc>
        <w:tc>
          <w:tcPr>
            <w:tcW w:w="13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4,089</w:t>
            </w:r>
          </w:p>
        </w:tc>
      </w:tr>
      <w:tr w:rsidR="00B000C0" w:rsidRPr="00573DEB" w:rsidTr="004B4B73">
        <w:trPr>
          <w:trHeight w:val="255"/>
        </w:trPr>
        <w:tc>
          <w:tcPr>
            <w:tcW w:w="8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2004</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270</w:t>
            </w:r>
          </w:p>
        </w:tc>
        <w:tc>
          <w:tcPr>
            <w:tcW w:w="14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1,896</w:t>
            </w:r>
          </w:p>
        </w:tc>
        <w:tc>
          <w:tcPr>
            <w:tcW w:w="13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2,166</w:t>
            </w:r>
          </w:p>
        </w:tc>
      </w:tr>
      <w:tr w:rsidR="00B000C0" w:rsidRPr="00573DEB" w:rsidTr="004B4B73">
        <w:trPr>
          <w:trHeight w:val="255"/>
        </w:trPr>
        <w:tc>
          <w:tcPr>
            <w:tcW w:w="8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2005</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246</w:t>
            </w:r>
          </w:p>
        </w:tc>
        <w:tc>
          <w:tcPr>
            <w:tcW w:w="14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2,182</w:t>
            </w:r>
          </w:p>
        </w:tc>
        <w:tc>
          <w:tcPr>
            <w:tcW w:w="13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2,428</w:t>
            </w:r>
          </w:p>
        </w:tc>
      </w:tr>
      <w:tr w:rsidR="00B000C0" w:rsidRPr="00573DEB" w:rsidTr="004B4B73">
        <w:trPr>
          <w:trHeight w:val="255"/>
        </w:trPr>
        <w:tc>
          <w:tcPr>
            <w:tcW w:w="8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2006</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231</w:t>
            </w:r>
          </w:p>
        </w:tc>
        <w:tc>
          <w:tcPr>
            <w:tcW w:w="14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2,226</w:t>
            </w:r>
          </w:p>
        </w:tc>
        <w:tc>
          <w:tcPr>
            <w:tcW w:w="13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2,457</w:t>
            </w:r>
          </w:p>
        </w:tc>
      </w:tr>
      <w:tr w:rsidR="00B000C0" w:rsidRPr="00573DEB" w:rsidTr="004B4B73">
        <w:trPr>
          <w:trHeight w:val="255"/>
        </w:trPr>
        <w:tc>
          <w:tcPr>
            <w:tcW w:w="8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2007</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197</w:t>
            </w:r>
          </w:p>
        </w:tc>
        <w:tc>
          <w:tcPr>
            <w:tcW w:w="14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1,434</w:t>
            </w:r>
          </w:p>
        </w:tc>
        <w:tc>
          <w:tcPr>
            <w:tcW w:w="13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1,631</w:t>
            </w:r>
          </w:p>
        </w:tc>
      </w:tr>
      <w:tr w:rsidR="00B000C0" w:rsidRPr="00573DEB" w:rsidTr="004B4B73">
        <w:trPr>
          <w:trHeight w:val="255"/>
        </w:trPr>
        <w:tc>
          <w:tcPr>
            <w:tcW w:w="8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2008</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234</w:t>
            </w:r>
          </w:p>
        </w:tc>
        <w:tc>
          <w:tcPr>
            <w:tcW w:w="14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2,276</w:t>
            </w:r>
          </w:p>
        </w:tc>
        <w:tc>
          <w:tcPr>
            <w:tcW w:w="13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2,510</w:t>
            </w:r>
          </w:p>
        </w:tc>
      </w:tr>
      <w:tr w:rsidR="00B000C0" w:rsidRPr="00573DEB" w:rsidTr="004B4B73">
        <w:trPr>
          <w:trHeight w:val="255"/>
        </w:trPr>
        <w:tc>
          <w:tcPr>
            <w:tcW w:w="8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2009</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342</w:t>
            </w:r>
          </w:p>
        </w:tc>
        <w:tc>
          <w:tcPr>
            <w:tcW w:w="14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2,428</w:t>
            </w:r>
          </w:p>
        </w:tc>
        <w:tc>
          <w:tcPr>
            <w:tcW w:w="13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2,770</w:t>
            </w:r>
          </w:p>
        </w:tc>
      </w:tr>
      <w:tr w:rsidR="00B000C0" w:rsidRPr="00573DEB" w:rsidTr="004B4B73">
        <w:trPr>
          <w:trHeight w:val="255"/>
        </w:trPr>
        <w:tc>
          <w:tcPr>
            <w:tcW w:w="8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2010</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313</w:t>
            </w:r>
          </w:p>
        </w:tc>
        <w:tc>
          <w:tcPr>
            <w:tcW w:w="14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2,925</w:t>
            </w:r>
          </w:p>
        </w:tc>
        <w:tc>
          <w:tcPr>
            <w:tcW w:w="13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3,238</w:t>
            </w:r>
          </w:p>
        </w:tc>
      </w:tr>
      <w:tr w:rsidR="00B000C0" w:rsidRPr="00573DEB" w:rsidTr="004B4B73">
        <w:trPr>
          <w:trHeight w:val="255"/>
        </w:trPr>
        <w:tc>
          <w:tcPr>
            <w:tcW w:w="8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2011</w:t>
            </w:r>
          </w:p>
        </w:tc>
        <w:tc>
          <w:tcPr>
            <w:tcW w:w="12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380</w:t>
            </w:r>
          </w:p>
        </w:tc>
        <w:tc>
          <w:tcPr>
            <w:tcW w:w="14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3,057</w:t>
            </w:r>
          </w:p>
        </w:tc>
        <w:tc>
          <w:tcPr>
            <w:tcW w:w="130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3,437</w:t>
            </w:r>
          </w:p>
        </w:tc>
      </w:tr>
      <w:tr w:rsidR="00B000C0" w:rsidRPr="00573DEB" w:rsidTr="004B4B73">
        <w:trPr>
          <w:trHeight w:val="270"/>
        </w:trPr>
        <w:tc>
          <w:tcPr>
            <w:tcW w:w="820" w:type="dxa"/>
            <w:tcBorders>
              <w:top w:val="nil"/>
              <w:left w:val="nil"/>
              <w:bottom w:val="single" w:sz="8"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Total</w:t>
            </w:r>
          </w:p>
        </w:tc>
        <w:tc>
          <w:tcPr>
            <w:tcW w:w="1260" w:type="dxa"/>
            <w:tcBorders>
              <w:top w:val="nil"/>
              <w:left w:val="nil"/>
              <w:bottom w:val="single" w:sz="8"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3,985</w:t>
            </w:r>
          </w:p>
        </w:tc>
        <w:tc>
          <w:tcPr>
            <w:tcW w:w="1460" w:type="dxa"/>
            <w:tcBorders>
              <w:top w:val="nil"/>
              <w:left w:val="nil"/>
              <w:bottom w:val="single" w:sz="8"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34,291</w:t>
            </w:r>
          </w:p>
        </w:tc>
        <w:tc>
          <w:tcPr>
            <w:tcW w:w="1300" w:type="dxa"/>
            <w:tcBorders>
              <w:top w:val="nil"/>
              <w:left w:val="nil"/>
              <w:bottom w:val="single" w:sz="8"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38,276</w:t>
            </w:r>
          </w:p>
        </w:tc>
      </w:tr>
    </w:tbl>
    <w:p w:rsidR="00B000C0" w:rsidRPr="00573DEB" w:rsidRDefault="00B000C0" w:rsidP="004B4B73"/>
    <w:p w:rsidR="00B000C0" w:rsidRPr="00573DEB" w:rsidRDefault="00B000C0" w:rsidP="004B4B73">
      <w:pPr>
        <w:pStyle w:val="Heading1"/>
        <w:rPr>
          <w:rFonts w:cs="Times New Roman"/>
        </w:rPr>
      </w:pPr>
      <w:bookmarkStart w:id="283" w:name="_Toc388619985"/>
      <w:bookmarkStart w:id="284" w:name="_Toc366845913"/>
      <w:bookmarkStart w:id="285" w:name="_Toc367700253"/>
      <w:r w:rsidRPr="00573DEB">
        <w:t>Utility Models</w:t>
      </w:r>
      <w:bookmarkEnd w:id="283"/>
    </w:p>
    <w:bookmarkEnd w:id="284"/>
    <w:bookmarkEnd w:id="285"/>
    <w:p w:rsidR="00B000C0" w:rsidRPr="00573DEB" w:rsidRDefault="00B000C0" w:rsidP="004B4B73"/>
    <w:p w:rsidR="00B000C0" w:rsidRPr="00573DEB" w:rsidRDefault="008C2A2F" w:rsidP="00B447C7">
      <w:pPr>
        <w:pStyle w:val="Caption"/>
      </w:pPr>
      <w:bookmarkStart w:id="286" w:name="_Toc388619986"/>
      <w:r>
        <w:t xml:space="preserve">Table A.10:  </w:t>
      </w:r>
      <w:r w:rsidR="00B000C0" w:rsidRPr="00573DEB">
        <w:t>Utility Model applications by route, 2000-2011</w:t>
      </w:r>
      <w:bookmarkEnd w:id="286"/>
    </w:p>
    <w:tbl>
      <w:tblPr>
        <w:tblW w:w="0" w:type="auto"/>
        <w:tblInd w:w="55" w:type="dxa"/>
        <w:tblCellMar>
          <w:left w:w="70" w:type="dxa"/>
          <w:right w:w="70" w:type="dxa"/>
        </w:tblCellMar>
        <w:tblLook w:val="04A0" w:firstRow="1" w:lastRow="0" w:firstColumn="1" w:lastColumn="0" w:noHBand="0" w:noVBand="1"/>
      </w:tblPr>
      <w:tblGrid>
        <w:gridCol w:w="866"/>
        <w:gridCol w:w="1400"/>
        <w:gridCol w:w="1194"/>
        <w:gridCol w:w="1437"/>
        <w:gridCol w:w="1088"/>
      </w:tblGrid>
      <w:tr w:rsidR="00B000C0" w:rsidRPr="00573DEB" w:rsidTr="004B4B73">
        <w:trPr>
          <w:trHeight w:val="300"/>
        </w:trPr>
        <w:tc>
          <w:tcPr>
            <w:tcW w:w="866"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4B4B73">
            <w:pPr>
              <w:rPr>
                <w:lang w:eastAsia="pt-BR"/>
              </w:rPr>
            </w:pPr>
            <w:r w:rsidRPr="00573DEB">
              <w:rPr>
                <w:lang w:eastAsia="pt-BR"/>
              </w:rPr>
              <w:t>Year</w:t>
            </w:r>
          </w:p>
        </w:tc>
        <w:tc>
          <w:tcPr>
            <w:tcW w:w="0" w:type="auto"/>
            <w:tcBorders>
              <w:top w:val="single" w:sz="8" w:space="0" w:color="auto"/>
              <w:left w:val="nil"/>
              <w:bottom w:val="single" w:sz="4"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Non-resident</w:t>
            </w:r>
          </w:p>
        </w:tc>
        <w:tc>
          <w:tcPr>
            <w:tcW w:w="1194" w:type="dxa"/>
            <w:tcBorders>
              <w:top w:val="single" w:sz="8" w:space="0" w:color="auto"/>
              <w:left w:val="nil"/>
              <w:bottom w:val="single" w:sz="4"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Resident</w:t>
            </w:r>
          </w:p>
        </w:tc>
        <w:tc>
          <w:tcPr>
            <w:tcW w:w="0" w:type="auto"/>
            <w:tcBorders>
              <w:top w:val="single" w:sz="8" w:space="0" w:color="auto"/>
              <w:left w:val="nil"/>
              <w:bottom w:val="single" w:sz="4"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Not Available</w:t>
            </w:r>
          </w:p>
        </w:tc>
        <w:tc>
          <w:tcPr>
            <w:tcW w:w="1088" w:type="dxa"/>
            <w:tcBorders>
              <w:top w:val="single" w:sz="8" w:space="0" w:color="auto"/>
              <w:left w:val="nil"/>
              <w:bottom w:val="single" w:sz="4"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Total</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2000</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95 </w:t>
            </w:r>
          </w:p>
        </w:tc>
        <w:tc>
          <w:tcPr>
            <w:tcW w:w="1194"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3,235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1088"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3,330 </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2001</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96 </w:t>
            </w:r>
          </w:p>
        </w:tc>
        <w:tc>
          <w:tcPr>
            <w:tcW w:w="1194"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3,459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1 </w:t>
            </w:r>
          </w:p>
        </w:tc>
        <w:tc>
          <w:tcPr>
            <w:tcW w:w="1088"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3,556 </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2002</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60 </w:t>
            </w:r>
          </w:p>
        </w:tc>
        <w:tc>
          <w:tcPr>
            <w:tcW w:w="1194"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3,482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1088"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3,542 </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2003</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55 </w:t>
            </w:r>
          </w:p>
        </w:tc>
        <w:tc>
          <w:tcPr>
            <w:tcW w:w="1194"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3,579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1 </w:t>
            </w:r>
          </w:p>
        </w:tc>
        <w:tc>
          <w:tcPr>
            <w:tcW w:w="1088"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3,635 </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2004</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56 </w:t>
            </w:r>
          </w:p>
        </w:tc>
        <w:tc>
          <w:tcPr>
            <w:tcW w:w="1194"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3,542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1088"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3,598 </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2005</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57 </w:t>
            </w:r>
          </w:p>
        </w:tc>
        <w:tc>
          <w:tcPr>
            <w:tcW w:w="1194"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3,185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1088"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3,242 </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2006</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56 </w:t>
            </w:r>
          </w:p>
        </w:tc>
        <w:tc>
          <w:tcPr>
            <w:tcW w:w="1194"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3,125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1088"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3,181 </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2007</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37 </w:t>
            </w:r>
          </w:p>
        </w:tc>
        <w:tc>
          <w:tcPr>
            <w:tcW w:w="1194"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3,007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1088"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3,044 </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2008</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62 </w:t>
            </w:r>
          </w:p>
        </w:tc>
        <w:tc>
          <w:tcPr>
            <w:tcW w:w="1194"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3,340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1088"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3,402 </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2009</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41 </w:t>
            </w:r>
          </w:p>
        </w:tc>
        <w:tc>
          <w:tcPr>
            <w:tcW w:w="1194"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3,343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1088"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3,384 </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2010</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87 </w:t>
            </w:r>
          </w:p>
        </w:tc>
        <w:tc>
          <w:tcPr>
            <w:tcW w:w="1194"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2,917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1088"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3,004 </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2011</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123 </w:t>
            </w:r>
          </w:p>
        </w:tc>
        <w:tc>
          <w:tcPr>
            <w:tcW w:w="1194"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2,982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1088" w:type="dxa"/>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3,105 </w:t>
            </w:r>
          </w:p>
        </w:tc>
      </w:tr>
      <w:tr w:rsidR="00B000C0" w:rsidRPr="00573DEB" w:rsidTr="004B4B73">
        <w:trPr>
          <w:trHeight w:val="315"/>
        </w:trPr>
        <w:tc>
          <w:tcPr>
            <w:tcW w:w="866" w:type="dxa"/>
            <w:tcBorders>
              <w:top w:val="nil"/>
              <w:left w:val="nil"/>
              <w:bottom w:val="single" w:sz="8"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Total</w:t>
            </w:r>
          </w:p>
        </w:tc>
        <w:tc>
          <w:tcPr>
            <w:tcW w:w="0" w:type="auto"/>
            <w:tcBorders>
              <w:top w:val="nil"/>
              <w:left w:val="nil"/>
              <w:bottom w:val="single" w:sz="8" w:space="0" w:color="auto"/>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825 </w:t>
            </w:r>
          </w:p>
        </w:tc>
        <w:tc>
          <w:tcPr>
            <w:tcW w:w="1194" w:type="dxa"/>
            <w:tcBorders>
              <w:top w:val="nil"/>
              <w:left w:val="nil"/>
              <w:bottom w:val="single" w:sz="8" w:space="0" w:color="auto"/>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39,196 </w:t>
            </w:r>
          </w:p>
        </w:tc>
        <w:tc>
          <w:tcPr>
            <w:tcW w:w="0" w:type="auto"/>
            <w:tcBorders>
              <w:top w:val="nil"/>
              <w:left w:val="nil"/>
              <w:bottom w:val="single" w:sz="8"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2 </w:t>
            </w:r>
          </w:p>
        </w:tc>
        <w:tc>
          <w:tcPr>
            <w:tcW w:w="1088" w:type="dxa"/>
            <w:tcBorders>
              <w:top w:val="nil"/>
              <w:left w:val="nil"/>
              <w:bottom w:val="single" w:sz="8" w:space="0" w:color="auto"/>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40,023 </w:t>
            </w:r>
          </w:p>
        </w:tc>
      </w:tr>
    </w:tbl>
    <w:p w:rsidR="00B447C7" w:rsidRPr="00573DEB" w:rsidRDefault="00B447C7" w:rsidP="004B4B73"/>
    <w:p w:rsidR="00B447C7" w:rsidRPr="00573DEB" w:rsidRDefault="00B447C7">
      <w:pPr>
        <w:widowControl/>
        <w:spacing w:after="200" w:line="276" w:lineRule="auto"/>
      </w:pPr>
      <w:r w:rsidRPr="00573DEB">
        <w:br w:type="page"/>
      </w:r>
    </w:p>
    <w:p w:rsidR="00B000C0" w:rsidRPr="00573DEB" w:rsidRDefault="00B000C0" w:rsidP="004B4B73"/>
    <w:p w:rsidR="00B000C0" w:rsidRPr="00573DEB" w:rsidRDefault="008C2A2F" w:rsidP="00B447C7">
      <w:pPr>
        <w:pStyle w:val="Caption"/>
      </w:pPr>
      <w:bookmarkStart w:id="287" w:name="_Toc366845915"/>
      <w:bookmarkStart w:id="288" w:name="_Toc367700255"/>
      <w:bookmarkStart w:id="289" w:name="_Toc388619987"/>
      <w:r>
        <w:t xml:space="preserve">Table A.11:  </w:t>
      </w:r>
      <w:r w:rsidR="00B000C0" w:rsidRPr="00573DEB">
        <w:t>Utility Model applications by origin</w:t>
      </w:r>
      <w:bookmarkEnd w:id="287"/>
      <w:bookmarkEnd w:id="288"/>
      <w:r w:rsidR="00B000C0" w:rsidRPr="00573DEB">
        <w:t>, 2000-2011</w:t>
      </w:r>
      <w:bookmarkEnd w:id="289"/>
    </w:p>
    <w:tbl>
      <w:tblPr>
        <w:tblW w:w="0" w:type="auto"/>
        <w:tblInd w:w="55" w:type="dxa"/>
        <w:tblCellMar>
          <w:left w:w="70" w:type="dxa"/>
          <w:right w:w="70" w:type="dxa"/>
        </w:tblCellMar>
        <w:tblLook w:val="04A0" w:firstRow="1" w:lastRow="0" w:firstColumn="1" w:lastColumn="0" w:noHBand="0" w:noVBand="1"/>
      </w:tblPr>
      <w:tblGrid>
        <w:gridCol w:w="630"/>
        <w:gridCol w:w="1400"/>
        <w:gridCol w:w="1009"/>
        <w:gridCol w:w="1437"/>
        <w:gridCol w:w="936"/>
      </w:tblGrid>
      <w:tr w:rsidR="00B000C0" w:rsidRPr="00573DEB" w:rsidTr="004B4B73">
        <w:trPr>
          <w:trHeight w:val="300"/>
        </w:trPr>
        <w:tc>
          <w:tcPr>
            <w:tcW w:w="0" w:type="auto"/>
            <w:tcBorders>
              <w:top w:val="single" w:sz="8" w:space="0" w:color="auto"/>
              <w:left w:val="nil"/>
              <w:bottom w:val="single" w:sz="4" w:space="0" w:color="auto"/>
              <w:right w:val="nil"/>
            </w:tcBorders>
            <w:shd w:val="clear" w:color="auto" w:fill="auto"/>
            <w:vAlign w:val="center"/>
            <w:hideMark/>
          </w:tcPr>
          <w:p w:rsidR="00B000C0" w:rsidRPr="00573DEB" w:rsidRDefault="00B000C0" w:rsidP="004B4B73">
            <w:pPr>
              <w:rPr>
                <w:lang w:eastAsia="pt-BR"/>
              </w:rPr>
            </w:pPr>
            <w:r w:rsidRPr="00573DEB">
              <w:rPr>
                <w:lang w:eastAsia="pt-BR"/>
              </w:rPr>
              <w:t>Year</w:t>
            </w:r>
          </w:p>
        </w:tc>
        <w:tc>
          <w:tcPr>
            <w:tcW w:w="0" w:type="auto"/>
            <w:tcBorders>
              <w:top w:val="single" w:sz="8" w:space="0" w:color="auto"/>
              <w:left w:val="nil"/>
              <w:bottom w:val="single" w:sz="4"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Non-resident</w:t>
            </w:r>
          </w:p>
        </w:tc>
        <w:tc>
          <w:tcPr>
            <w:tcW w:w="0" w:type="auto"/>
            <w:tcBorders>
              <w:top w:val="single" w:sz="8" w:space="0" w:color="auto"/>
              <w:left w:val="nil"/>
              <w:bottom w:val="single" w:sz="4"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Resident</w:t>
            </w:r>
          </w:p>
        </w:tc>
        <w:tc>
          <w:tcPr>
            <w:tcW w:w="0" w:type="auto"/>
            <w:tcBorders>
              <w:top w:val="single" w:sz="8" w:space="0" w:color="auto"/>
              <w:left w:val="nil"/>
              <w:bottom w:val="single" w:sz="4"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Not Available</w:t>
            </w:r>
          </w:p>
        </w:tc>
        <w:tc>
          <w:tcPr>
            <w:tcW w:w="0" w:type="auto"/>
            <w:tcBorders>
              <w:top w:val="single" w:sz="8" w:space="0" w:color="auto"/>
              <w:left w:val="nil"/>
              <w:bottom w:val="single" w:sz="4"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Total</w:t>
            </w: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2000</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95 </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3,235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3,330 </w:t>
            </w: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2001</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96 </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3,459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1 </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3,556 </w:t>
            </w: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2002</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60 </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3,482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3,542 </w:t>
            </w: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2003</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55 </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3,579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1 </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3,635 </w:t>
            </w: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2004</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56 </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3,542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3,598 </w:t>
            </w: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2005</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57 </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3,185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3,242 </w:t>
            </w: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2006</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56 </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3,125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3,181 </w:t>
            </w: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2007</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37 </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3,007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3,044 </w:t>
            </w: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2008</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62 </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3,340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3,402 </w:t>
            </w: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2009</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41 </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3,343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3,384 </w:t>
            </w: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2010</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87 </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2,917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3,004 </w:t>
            </w: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2011</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123 </w:t>
            </w: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2,982 </w:t>
            </w:r>
          </w:p>
        </w:tc>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3,105 </w:t>
            </w:r>
          </w:p>
        </w:tc>
      </w:tr>
      <w:tr w:rsidR="00B000C0" w:rsidRPr="00573DEB" w:rsidTr="004B4B73">
        <w:trPr>
          <w:trHeight w:val="315"/>
        </w:trPr>
        <w:tc>
          <w:tcPr>
            <w:tcW w:w="0" w:type="auto"/>
            <w:tcBorders>
              <w:top w:val="nil"/>
              <w:left w:val="nil"/>
              <w:bottom w:val="single" w:sz="8"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Total</w:t>
            </w:r>
          </w:p>
        </w:tc>
        <w:tc>
          <w:tcPr>
            <w:tcW w:w="0" w:type="auto"/>
            <w:tcBorders>
              <w:top w:val="nil"/>
              <w:left w:val="nil"/>
              <w:bottom w:val="single" w:sz="8" w:space="0" w:color="auto"/>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825 </w:t>
            </w:r>
          </w:p>
        </w:tc>
        <w:tc>
          <w:tcPr>
            <w:tcW w:w="0" w:type="auto"/>
            <w:tcBorders>
              <w:top w:val="nil"/>
              <w:left w:val="nil"/>
              <w:bottom w:val="single" w:sz="8" w:space="0" w:color="auto"/>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39,196 </w:t>
            </w:r>
          </w:p>
        </w:tc>
        <w:tc>
          <w:tcPr>
            <w:tcW w:w="0" w:type="auto"/>
            <w:tcBorders>
              <w:top w:val="nil"/>
              <w:left w:val="nil"/>
              <w:bottom w:val="single" w:sz="8"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2 </w:t>
            </w:r>
          </w:p>
        </w:tc>
        <w:tc>
          <w:tcPr>
            <w:tcW w:w="0" w:type="auto"/>
            <w:tcBorders>
              <w:top w:val="nil"/>
              <w:left w:val="nil"/>
              <w:bottom w:val="single" w:sz="8" w:space="0" w:color="auto"/>
              <w:right w:val="nil"/>
            </w:tcBorders>
            <w:shd w:val="clear" w:color="auto" w:fill="auto"/>
            <w:noWrap/>
            <w:vAlign w:val="bottom"/>
            <w:hideMark/>
          </w:tcPr>
          <w:p w:rsidR="00B000C0" w:rsidRPr="00573DEB" w:rsidRDefault="004B4B73" w:rsidP="004B4B73">
            <w:pPr>
              <w:rPr>
                <w:lang w:eastAsia="pt-BR"/>
              </w:rPr>
            </w:pPr>
            <w:r w:rsidRPr="00573DEB">
              <w:rPr>
                <w:lang w:eastAsia="pt-BR"/>
              </w:rPr>
              <w:t xml:space="preserve">  </w:t>
            </w:r>
            <w:r w:rsidR="00B000C0" w:rsidRPr="00573DEB">
              <w:rPr>
                <w:lang w:eastAsia="pt-BR"/>
              </w:rPr>
              <w:t xml:space="preserve">40,023 </w:t>
            </w:r>
          </w:p>
        </w:tc>
      </w:tr>
    </w:tbl>
    <w:p w:rsidR="00B447C7" w:rsidRPr="00573DEB" w:rsidRDefault="00B447C7" w:rsidP="004B4B73"/>
    <w:p w:rsidR="00B000C0" w:rsidRPr="00573DEB" w:rsidRDefault="008C2A2F" w:rsidP="00B447C7">
      <w:pPr>
        <w:pStyle w:val="Caption"/>
      </w:pPr>
      <w:bookmarkStart w:id="290" w:name="_Toc388619988"/>
      <w:r>
        <w:t xml:space="preserve">Table A.12:  </w:t>
      </w:r>
      <w:r w:rsidR="00B000C0" w:rsidRPr="00573DEB">
        <w:t>Utility Model applications by origin and route, 2000-2011</w:t>
      </w:r>
      <w:bookmarkEnd w:id="290"/>
    </w:p>
    <w:tbl>
      <w:tblPr>
        <w:tblW w:w="7573" w:type="dxa"/>
        <w:tblInd w:w="55" w:type="dxa"/>
        <w:tblCellMar>
          <w:left w:w="70" w:type="dxa"/>
          <w:right w:w="70" w:type="dxa"/>
        </w:tblCellMar>
        <w:tblLook w:val="04A0" w:firstRow="1" w:lastRow="0" w:firstColumn="1" w:lastColumn="0" w:noHBand="0" w:noVBand="1"/>
      </w:tblPr>
      <w:tblGrid>
        <w:gridCol w:w="1060"/>
        <w:gridCol w:w="722"/>
        <w:gridCol w:w="680"/>
        <w:gridCol w:w="722"/>
        <w:gridCol w:w="813"/>
        <w:gridCol w:w="680"/>
        <w:gridCol w:w="813"/>
        <w:gridCol w:w="755"/>
        <w:gridCol w:w="755"/>
        <w:gridCol w:w="755"/>
      </w:tblGrid>
      <w:tr w:rsidR="00B000C0" w:rsidRPr="00573DEB" w:rsidTr="004B4B73">
        <w:trPr>
          <w:trHeight w:val="300"/>
        </w:trPr>
        <w:tc>
          <w:tcPr>
            <w:tcW w:w="1060" w:type="dxa"/>
            <w:vMerge w:val="restart"/>
            <w:tcBorders>
              <w:top w:val="single" w:sz="8" w:space="0" w:color="auto"/>
              <w:left w:val="nil"/>
              <w:bottom w:val="single" w:sz="4" w:space="0" w:color="000000"/>
              <w:right w:val="nil"/>
            </w:tcBorders>
            <w:shd w:val="clear" w:color="auto" w:fill="auto"/>
            <w:noWrap/>
            <w:vAlign w:val="center"/>
            <w:hideMark/>
          </w:tcPr>
          <w:p w:rsidR="00B000C0" w:rsidRPr="00573DEB" w:rsidRDefault="00B000C0" w:rsidP="004B4B73">
            <w:pPr>
              <w:rPr>
                <w:lang w:eastAsia="pt-BR"/>
              </w:rPr>
            </w:pPr>
            <w:r w:rsidRPr="00573DEB">
              <w:rPr>
                <w:lang w:eastAsia="pt-BR"/>
              </w:rPr>
              <w:t>Year</w:t>
            </w:r>
          </w:p>
        </w:tc>
        <w:tc>
          <w:tcPr>
            <w:tcW w:w="2124" w:type="dxa"/>
            <w:gridSpan w:val="3"/>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Non-Resident</w:t>
            </w:r>
          </w:p>
        </w:tc>
        <w:tc>
          <w:tcPr>
            <w:tcW w:w="2124" w:type="dxa"/>
            <w:gridSpan w:val="3"/>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Resident</w:t>
            </w:r>
          </w:p>
        </w:tc>
        <w:tc>
          <w:tcPr>
            <w:tcW w:w="2265" w:type="dxa"/>
            <w:gridSpan w:val="3"/>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Not Available</w:t>
            </w:r>
          </w:p>
        </w:tc>
      </w:tr>
      <w:tr w:rsidR="00B000C0" w:rsidRPr="00573DEB" w:rsidTr="004B4B73">
        <w:trPr>
          <w:trHeight w:val="300"/>
        </w:trPr>
        <w:tc>
          <w:tcPr>
            <w:tcW w:w="1060" w:type="dxa"/>
            <w:vMerge/>
            <w:tcBorders>
              <w:top w:val="single" w:sz="8" w:space="0" w:color="auto"/>
              <w:left w:val="nil"/>
              <w:bottom w:val="single" w:sz="4" w:space="0" w:color="000000"/>
              <w:right w:val="nil"/>
            </w:tcBorders>
            <w:vAlign w:val="center"/>
            <w:hideMark/>
          </w:tcPr>
          <w:p w:rsidR="00B000C0" w:rsidRPr="00573DEB" w:rsidRDefault="00B000C0" w:rsidP="004B4B73">
            <w:pPr>
              <w:rPr>
                <w:lang w:eastAsia="pt-BR"/>
              </w:rPr>
            </w:pPr>
          </w:p>
        </w:tc>
        <w:tc>
          <w:tcPr>
            <w:tcW w:w="722" w:type="dxa"/>
            <w:tcBorders>
              <w:top w:val="single" w:sz="4"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Direct</w:t>
            </w:r>
          </w:p>
        </w:tc>
        <w:tc>
          <w:tcPr>
            <w:tcW w:w="680" w:type="dxa"/>
            <w:tcBorders>
              <w:top w:val="single" w:sz="4"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Via PCT</w:t>
            </w:r>
          </w:p>
        </w:tc>
        <w:tc>
          <w:tcPr>
            <w:tcW w:w="722" w:type="dxa"/>
            <w:tcBorders>
              <w:top w:val="single" w:sz="4" w:space="0" w:color="auto"/>
              <w:left w:val="nil"/>
              <w:bottom w:val="single" w:sz="4" w:space="0" w:color="auto"/>
              <w:right w:val="nil"/>
            </w:tcBorders>
            <w:shd w:val="clear" w:color="auto" w:fill="auto"/>
            <w:vAlign w:val="center"/>
            <w:hideMark/>
          </w:tcPr>
          <w:p w:rsidR="00B000C0" w:rsidRPr="00573DEB" w:rsidRDefault="00B000C0" w:rsidP="004B4B73">
            <w:pPr>
              <w:rPr>
                <w:lang w:eastAsia="pt-BR"/>
              </w:rPr>
            </w:pPr>
            <w:r w:rsidRPr="00573DEB">
              <w:rPr>
                <w:lang w:eastAsia="pt-BR"/>
              </w:rPr>
              <w:t>Total</w:t>
            </w:r>
          </w:p>
        </w:tc>
        <w:tc>
          <w:tcPr>
            <w:tcW w:w="722" w:type="dxa"/>
            <w:tcBorders>
              <w:top w:val="single" w:sz="4"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Direct</w:t>
            </w:r>
          </w:p>
        </w:tc>
        <w:tc>
          <w:tcPr>
            <w:tcW w:w="680" w:type="dxa"/>
            <w:tcBorders>
              <w:top w:val="single" w:sz="4"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Via PCT</w:t>
            </w:r>
          </w:p>
        </w:tc>
        <w:tc>
          <w:tcPr>
            <w:tcW w:w="722" w:type="dxa"/>
            <w:tcBorders>
              <w:top w:val="single" w:sz="4" w:space="0" w:color="auto"/>
              <w:left w:val="nil"/>
              <w:bottom w:val="single" w:sz="4" w:space="0" w:color="auto"/>
              <w:right w:val="nil"/>
            </w:tcBorders>
            <w:shd w:val="clear" w:color="auto" w:fill="auto"/>
            <w:vAlign w:val="center"/>
            <w:hideMark/>
          </w:tcPr>
          <w:p w:rsidR="00B000C0" w:rsidRPr="00573DEB" w:rsidRDefault="00B000C0" w:rsidP="004B4B73">
            <w:pPr>
              <w:rPr>
                <w:lang w:eastAsia="pt-BR"/>
              </w:rPr>
            </w:pPr>
            <w:r w:rsidRPr="00573DEB">
              <w:rPr>
                <w:lang w:eastAsia="pt-BR"/>
              </w:rPr>
              <w:t>Total</w:t>
            </w:r>
          </w:p>
        </w:tc>
        <w:tc>
          <w:tcPr>
            <w:tcW w:w="755" w:type="dxa"/>
            <w:tcBorders>
              <w:top w:val="single" w:sz="4"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Direct</w:t>
            </w:r>
          </w:p>
        </w:tc>
        <w:tc>
          <w:tcPr>
            <w:tcW w:w="755" w:type="dxa"/>
            <w:tcBorders>
              <w:top w:val="single" w:sz="4"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Via PCT</w:t>
            </w:r>
          </w:p>
        </w:tc>
        <w:tc>
          <w:tcPr>
            <w:tcW w:w="755" w:type="dxa"/>
            <w:tcBorders>
              <w:top w:val="single" w:sz="4" w:space="0" w:color="auto"/>
              <w:left w:val="nil"/>
              <w:bottom w:val="single" w:sz="4" w:space="0" w:color="auto"/>
              <w:right w:val="nil"/>
            </w:tcBorders>
            <w:shd w:val="clear" w:color="auto" w:fill="auto"/>
            <w:vAlign w:val="center"/>
            <w:hideMark/>
          </w:tcPr>
          <w:p w:rsidR="00B000C0" w:rsidRPr="00573DEB" w:rsidRDefault="00B000C0" w:rsidP="004B4B73">
            <w:pPr>
              <w:rPr>
                <w:lang w:eastAsia="pt-BR"/>
              </w:rPr>
            </w:pPr>
            <w:r w:rsidRPr="00573DEB">
              <w:rPr>
                <w:lang w:eastAsia="pt-BR"/>
              </w:rPr>
              <w:t>Total</w:t>
            </w:r>
          </w:p>
        </w:tc>
      </w:tr>
      <w:tr w:rsidR="00B000C0" w:rsidRPr="00573DEB" w:rsidTr="004B4B73">
        <w:trPr>
          <w:trHeight w:val="300"/>
        </w:trPr>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2000</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84</w:t>
            </w:r>
          </w:p>
        </w:tc>
        <w:tc>
          <w:tcPr>
            <w:tcW w:w="680" w:type="dxa"/>
            <w:tcBorders>
              <w:top w:val="single" w:sz="4" w:space="0" w:color="auto"/>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11</w:t>
            </w:r>
          </w:p>
        </w:tc>
        <w:tc>
          <w:tcPr>
            <w:tcW w:w="722" w:type="dxa"/>
            <w:tcBorders>
              <w:top w:val="single" w:sz="4" w:space="0" w:color="auto"/>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95</w:t>
            </w:r>
          </w:p>
        </w:tc>
        <w:tc>
          <w:tcPr>
            <w:tcW w:w="722" w:type="dxa"/>
            <w:tcBorders>
              <w:top w:val="single" w:sz="4" w:space="0" w:color="auto"/>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3,235</w:t>
            </w:r>
          </w:p>
        </w:tc>
        <w:tc>
          <w:tcPr>
            <w:tcW w:w="680" w:type="dxa"/>
            <w:tcBorders>
              <w:top w:val="single" w:sz="4" w:space="0" w:color="auto"/>
              <w:left w:val="nil"/>
              <w:bottom w:val="nil"/>
              <w:right w:val="nil"/>
            </w:tcBorders>
            <w:shd w:val="clear" w:color="auto" w:fill="auto"/>
            <w:noWrap/>
            <w:vAlign w:val="center"/>
            <w:hideMark/>
          </w:tcPr>
          <w:p w:rsidR="00B000C0" w:rsidRPr="00573DEB" w:rsidRDefault="00B000C0" w:rsidP="004B4B73">
            <w:pPr>
              <w:rPr>
                <w:lang w:eastAsia="pt-BR"/>
              </w:rPr>
            </w:pPr>
          </w:p>
        </w:tc>
        <w:tc>
          <w:tcPr>
            <w:tcW w:w="722" w:type="dxa"/>
            <w:tcBorders>
              <w:top w:val="single" w:sz="4" w:space="0" w:color="auto"/>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3,235</w:t>
            </w:r>
          </w:p>
        </w:tc>
        <w:tc>
          <w:tcPr>
            <w:tcW w:w="755" w:type="dxa"/>
            <w:tcBorders>
              <w:top w:val="single" w:sz="4" w:space="0" w:color="auto"/>
              <w:left w:val="nil"/>
              <w:bottom w:val="nil"/>
              <w:right w:val="nil"/>
            </w:tcBorders>
            <w:shd w:val="clear" w:color="auto" w:fill="auto"/>
            <w:noWrap/>
            <w:vAlign w:val="center"/>
            <w:hideMark/>
          </w:tcPr>
          <w:p w:rsidR="00B000C0" w:rsidRPr="00573DEB" w:rsidRDefault="00B000C0" w:rsidP="004B4B73">
            <w:pPr>
              <w:rPr>
                <w:lang w:eastAsia="pt-BR"/>
              </w:rPr>
            </w:pPr>
          </w:p>
        </w:tc>
        <w:tc>
          <w:tcPr>
            <w:tcW w:w="755" w:type="dxa"/>
            <w:tcBorders>
              <w:top w:val="single" w:sz="4" w:space="0" w:color="auto"/>
              <w:left w:val="nil"/>
              <w:bottom w:val="nil"/>
              <w:right w:val="nil"/>
            </w:tcBorders>
            <w:shd w:val="clear" w:color="auto" w:fill="auto"/>
            <w:noWrap/>
            <w:vAlign w:val="center"/>
            <w:hideMark/>
          </w:tcPr>
          <w:p w:rsidR="00B000C0" w:rsidRPr="00573DEB" w:rsidRDefault="00B000C0" w:rsidP="004B4B73">
            <w:pPr>
              <w:rPr>
                <w:lang w:eastAsia="pt-BR"/>
              </w:rPr>
            </w:pPr>
          </w:p>
        </w:tc>
        <w:tc>
          <w:tcPr>
            <w:tcW w:w="755" w:type="dxa"/>
            <w:tcBorders>
              <w:top w:val="single" w:sz="4" w:space="0" w:color="auto"/>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0</w:t>
            </w:r>
          </w:p>
        </w:tc>
      </w:tr>
      <w:tr w:rsidR="00B000C0" w:rsidRPr="00573DEB" w:rsidTr="004B4B73">
        <w:trPr>
          <w:trHeight w:val="300"/>
        </w:trPr>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2001</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91</w:t>
            </w:r>
          </w:p>
        </w:tc>
        <w:tc>
          <w:tcPr>
            <w:tcW w:w="6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96</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3,459</w:t>
            </w:r>
          </w:p>
        </w:tc>
        <w:tc>
          <w:tcPr>
            <w:tcW w:w="6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3,459</w:t>
            </w: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 xml:space="preserve">1 </w:t>
            </w: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w:t>
            </w:r>
          </w:p>
        </w:tc>
      </w:tr>
      <w:tr w:rsidR="00B000C0" w:rsidRPr="00573DEB" w:rsidTr="004B4B73">
        <w:trPr>
          <w:trHeight w:val="300"/>
        </w:trPr>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2002</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51</w:t>
            </w:r>
          </w:p>
        </w:tc>
        <w:tc>
          <w:tcPr>
            <w:tcW w:w="6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9</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60</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3,482</w:t>
            </w:r>
          </w:p>
        </w:tc>
        <w:tc>
          <w:tcPr>
            <w:tcW w:w="6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3,482</w:t>
            </w: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0</w:t>
            </w:r>
          </w:p>
        </w:tc>
      </w:tr>
      <w:tr w:rsidR="00B000C0" w:rsidRPr="00573DEB" w:rsidTr="004B4B73">
        <w:trPr>
          <w:trHeight w:val="300"/>
        </w:trPr>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2003</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47</w:t>
            </w:r>
          </w:p>
        </w:tc>
        <w:tc>
          <w:tcPr>
            <w:tcW w:w="6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8</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55</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3,579</w:t>
            </w:r>
          </w:p>
        </w:tc>
        <w:tc>
          <w:tcPr>
            <w:tcW w:w="6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3,579</w:t>
            </w: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 xml:space="preserve">1 </w:t>
            </w: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w:t>
            </w:r>
          </w:p>
        </w:tc>
      </w:tr>
      <w:tr w:rsidR="00B000C0" w:rsidRPr="00573DEB" w:rsidTr="004B4B73">
        <w:trPr>
          <w:trHeight w:val="300"/>
        </w:trPr>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2004</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47</w:t>
            </w:r>
          </w:p>
        </w:tc>
        <w:tc>
          <w:tcPr>
            <w:tcW w:w="6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9</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56</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3,542</w:t>
            </w:r>
          </w:p>
        </w:tc>
        <w:tc>
          <w:tcPr>
            <w:tcW w:w="6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3,542</w:t>
            </w: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0</w:t>
            </w:r>
          </w:p>
        </w:tc>
      </w:tr>
      <w:tr w:rsidR="00B000C0" w:rsidRPr="00573DEB" w:rsidTr="004B4B73">
        <w:trPr>
          <w:trHeight w:val="300"/>
        </w:trPr>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2005</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51</w:t>
            </w:r>
          </w:p>
        </w:tc>
        <w:tc>
          <w:tcPr>
            <w:tcW w:w="6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6</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57</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3,184</w:t>
            </w:r>
          </w:p>
        </w:tc>
        <w:tc>
          <w:tcPr>
            <w:tcW w:w="6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3,185</w:t>
            </w: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0</w:t>
            </w:r>
          </w:p>
        </w:tc>
      </w:tr>
      <w:tr w:rsidR="00B000C0" w:rsidRPr="00573DEB" w:rsidTr="004B4B73">
        <w:trPr>
          <w:trHeight w:val="300"/>
        </w:trPr>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2006</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53</w:t>
            </w:r>
          </w:p>
        </w:tc>
        <w:tc>
          <w:tcPr>
            <w:tcW w:w="6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56</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3,124</w:t>
            </w:r>
          </w:p>
        </w:tc>
        <w:tc>
          <w:tcPr>
            <w:tcW w:w="6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3,125</w:t>
            </w: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0</w:t>
            </w:r>
          </w:p>
        </w:tc>
      </w:tr>
      <w:tr w:rsidR="00B000C0" w:rsidRPr="00573DEB" w:rsidTr="004B4B73">
        <w:trPr>
          <w:trHeight w:val="300"/>
        </w:trPr>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2007</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35</w:t>
            </w:r>
          </w:p>
        </w:tc>
        <w:tc>
          <w:tcPr>
            <w:tcW w:w="6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37</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3,007</w:t>
            </w:r>
          </w:p>
        </w:tc>
        <w:tc>
          <w:tcPr>
            <w:tcW w:w="6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3,007</w:t>
            </w: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0</w:t>
            </w:r>
          </w:p>
        </w:tc>
      </w:tr>
      <w:tr w:rsidR="00B000C0" w:rsidRPr="00573DEB" w:rsidTr="004B4B73">
        <w:trPr>
          <w:trHeight w:val="300"/>
        </w:trPr>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2008</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55</w:t>
            </w:r>
          </w:p>
        </w:tc>
        <w:tc>
          <w:tcPr>
            <w:tcW w:w="6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7</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62</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3,340</w:t>
            </w:r>
          </w:p>
        </w:tc>
        <w:tc>
          <w:tcPr>
            <w:tcW w:w="6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3,340</w:t>
            </w: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0</w:t>
            </w:r>
          </w:p>
        </w:tc>
      </w:tr>
      <w:tr w:rsidR="00B000C0" w:rsidRPr="00573DEB" w:rsidTr="004B4B73">
        <w:trPr>
          <w:trHeight w:val="300"/>
        </w:trPr>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2009</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29</w:t>
            </w:r>
          </w:p>
        </w:tc>
        <w:tc>
          <w:tcPr>
            <w:tcW w:w="6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12</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41</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3,343</w:t>
            </w:r>
          </w:p>
        </w:tc>
        <w:tc>
          <w:tcPr>
            <w:tcW w:w="6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3,343</w:t>
            </w: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0</w:t>
            </w:r>
          </w:p>
        </w:tc>
      </w:tr>
      <w:tr w:rsidR="00B000C0" w:rsidRPr="00573DEB" w:rsidTr="004B4B73">
        <w:trPr>
          <w:trHeight w:val="300"/>
        </w:trPr>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2010</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72</w:t>
            </w:r>
          </w:p>
        </w:tc>
        <w:tc>
          <w:tcPr>
            <w:tcW w:w="6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15</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87</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2,917</w:t>
            </w:r>
          </w:p>
        </w:tc>
        <w:tc>
          <w:tcPr>
            <w:tcW w:w="6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2,917</w:t>
            </w: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0</w:t>
            </w:r>
          </w:p>
        </w:tc>
      </w:tr>
      <w:tr w:rsidR="00B000C0" w:rsidRPr="00573DEB" w:rsidTr="004B4B73">
        <w:trPr>
          <w:trHeight w:val="300"/>
        </w:trPr>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2011</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95</w:t>
            </w:r>
          </w:p>
        </w:tc>
        <w:tc>
          <w:tcPr>
            <w:tcW w:w="6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28</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123</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2,980</w:t>
            </w:r>
          </w:p>
        </w:tc>
        <w:tc>
          <w:tcPr>
            <w:tcW w:w="6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w:t>
            </w:r>
          </w:p>
        </w:tc>
        <w:tc>
          <w:tcPr>
            <w:tcW w:w="722"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2,982</w:t>
            </w: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755"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0</w:t>
            </w:r>
          </w:p>
        </w:tc>
      </w:tr>
      <w:tr w:rsidR="00B000C0" w:rsidRPr="00573DEB" w:rsidTr="004B4B73">
        <w:trPr>
          <w:trHeight w:val="315"/>
        </w:trPr>
        <w:tc>
          <w:tcPr>
            <w:tcW w:w="1060" w:type="dxa"/>
            <w:tcBorders>
              <w:top w:val="nil"/>
              <w:left w:val="nil"/>
              <w:bottom w:val="single" w:sz="8"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Total</w:t>
            </w:r>
          </w:p>
        </w:tc>
        <w:tc>
          <w:tcPr>
            <w:tcW w:w="722" w:type="dxa"/>
            <w:tcBorders>
              <w:top w:val="nil"/>
              <w:left w:val="nil"/>
              <w:bottom w:val="single" w:sz="8"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710</w:t>
            </w:r>
          </w:p>
        </w:tc>
        <w:tc>
          <w:tcPr>
            <w:tcW w:w="680" w:type="dxa"/>
            <w:tcBorders>
              <w:top w:val="nil"/>
              <w:left w:val="nil"/>
              <w:bottom w:val="single" w:sz="8"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115</w:t>
            </w:r>
          </w:p>
        </w:tc>
        <w:tc>
          <w:tcPr>
            <w:tcW w:w="722" w:type="dxa"/>
            <w:tcBorders>
              <w:top w:val="nil"/>
              <w:left w:val="nil"/>
              <w:bottom w:val="single" w:sz="8"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825</w:t>
            </w:r>
          </w:p>
        </w:tc>
        <w:tc>
          <w:tcPr>
            <w:tcW w:w="722" w:type="dxa"/>
            <w:tcBorders>
              <w:top w:val="nil"/>
              <w:left w:val="nil"/>
              <w:bottom w:val="single" w:sz="8"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39,192</w:t>
            </w:r>
          </w:p>
        </w:tc>
        <w:tc>
          <w:tcPr>
            <w:tcW w:w="680" w:type="dxa"/>
            <w:tcBorders>
              <w:top w:val="nil"/>
              <w:left w:val="nil"/>
              <w:bottom w:val="single" w:sz="8"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4</w:t>
            </w:r>
          </w:p>
        </w:tc>
        <w:tc>
          <w:tcPr>
            <w:tcW w:w="722" w:type="dxa"/>
            <w:tcBorders>
              <w:top w:val="nil"/>
              <w:left w:val="nil"/>
              <w:bottom w:val="single" w:sz="8"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39,196</w:t>
            </w:r>
          </w:p>
        </w:tc>
        <w:tc>
          <w:tcPr>
            <w:tcW w:w="755" w:type="dxa"/>
            <w:tcBorders>
              <w:top w:val="nil"/>
              <w:left w:val="nil"/>
              <w:bottom w:val="single" w:sz="8"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2</w:t>
            </w:r>
          </w:p>
        </w:tc>
        <w:tc>
          <w:tcPr>
            <w:tcW w:w="755" w:type="dxa"/>
            <w:tcBorders>
              <w:top w:val="nil"/>
              <w:left w:val="nil"/>
              <w:bottom w:val="single" w:sz="8"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0</w:t>
            </w:r>
          </w:p>
        </w:tc>
        <w:tc>
          <w:tcPr>
            <w:tcW w:w="755" w:type="dxa"/>
            <w:tcBorders>
              <w:top w:val="nil"/>
              <w:left w:val="nil"/>
              <w:bottom w:val="single" w:sz="8"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2</w:t>
            </w:r>
          </w:p>
        </w:tc>
      </w:tr>
    </w:tbl>
    <w:p w:rsidR="00B000C0" w:rsidRPr="00573DEB" w:rsidRDefault="00B000C0" w:rsidP="004B4B73"/>
    <w:p w:rsidR="00B447C7" w:rsidRPr="00573DEB" w:rsidRDefault="00B447C7">
      <w:pPr>
        <w:widowControl/>
        <w:spacing w:after="200" w:line="276" w:lineRule="auto"/>
      </w:pPr>
      <w:r w:rsidRPr="00573DEB">
        <w:br w:type="page"/>
      </w:r>
    </w:p>
    <w:p w:rsidR="00B000C0" w:rsidRPr="00573DEB" w:rsidRDefault="00B000C0" w:rsidP="004B4B73"/>
    <w:p w:rsidR="00B000C0" w:rsidRPr="00573DEB" w:rsidRDefault="008C2A2F" w:rsidP="00B447C7">
      <w:pPr>
        <w:pStyle w:val="Caption"/>
        <w:rPr>
          <w:rFonts w:cs="Times New Roman"/>
        </w:rPr>
      </w:pPr>
      <w:bookmarkStart w:id="291" w:name="_Toc366845916"/>
      <w:bookmarkStart w:id="292" w:name="_Toc367700256"/>
      <w:bookmarkStart w:id="293" w:name="_Toc388619989"/>
      <w:r>
        <w:t xml:space="preserve">Table A.13:  </w:t>
      </w:r>
      <w:r w:rsidR="00B000C0" w:rsidRPr="00573DEB">
        <w:t>Utility Model applications by countries</w:t>
      </w:r>
      <w:bookmarkEnd w:id="291"/>
      <w:bookmarkEnd w:id="292"/>
      <w:r w:rsidR="00B447C7" w:rsidRPr="00573DEB">
        <w:t xml:space="preserve"> or region</w:t>
      </w:r>
      <w:r w:rsidR="00B000C0" w:rsidRPr="00573DEB">
        <w:t>, 2000-2011</w:t>
      </w:r>
      <w:bookmarkEnd w:id="293"/>
    </w:p>
    <w:tbl>
      <w:tblPr>
        <w:tblW w:w="8946" w:type="dxa"/>
        <w:tblInd w:w="55" w:type="dxa"/>
        <w:tblLayout w:type="fixed"/>
        <w:tblCellMar>
          <w:left w:w="0" w:type="dxa"/>
          <w:right w:w="0" w:type="dxa"/>
        </w:tblCellMar>
        <w:tblLook w:val="04A0" w:firstRow="1" w:lastRow="0" w:firstColumn="1" w:lastColumn="0" w:noHBand="0" w:noVBand="1"/>
      </w:tblPr>
      <w:tblGrid>
        <w:gridCol w:w="2142"/>
        <w:gridCol w:w="567"/>
        <w:gridCol w:w="567"/>
        <w:gridCol w:w="567"/>
        <w:gridCol w:w="567"/>
        <w:gridCol w:w="567"/>
        <w:gridCol w:w="567"/>
        <w:gridCol w:w="567"/>
        <w:gridCol w:w="567"/>
        <w:gridCol w:w="567"/>
        <w:gridCol w:w="567"/>
        <w:gridCol w:w="567"/>
        <w:gridCol w:w="567"/>
      </w:tblGrid>
      <w:tr w:rsidR="00B447C7" w:rsidRPr="00573DEB" w:rsidTr="00B447C7">
        <w:trPr>
          <w:trHeight w:val="300"/>
        </w:trPr>
        <w:tc>
          <w:tcPr>
            <w:tcW w:w="2142"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4B4B73">
            <w:pPr>
              <w:rPr>
                <w:rFonts w:ascii="Arial Narrow" w:hAnsi="Arial Narrow"/>
                <w:b/>
                <w:sz w:val="20"/>
                <w:szCs w:val="20"/>
                <w:lang w:eastAsia="pt-BR"/>
              </w:rPr>
            </w:pPr>
            <w:r w:rsidRPr="00573DEB">
              <w:rPr>
                <w:rFonts w:ascii="Arial Narrow" w:hAnsi="Arial Narrow"/>
                <w:b/>
                <w:sz w:val="20"/>
                <w:szCs w:val="20"/>
                <w:lang w:eastAsia="pt-BR"/>
              </w:rPr>
              <w:t>Country</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2000</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2001</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2002</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2003</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2004</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2005</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2006</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2007</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2008</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2009</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2010</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2011</w:t>
            </w:r>
          </w:p>
        </w:tc>
      </w:tr>
      <w:tr w:rsidR="00B447C7" w:rsidRPr="00573DEB" w:rsidTr="00B447C7">
        <w:trPr>
          <w:trHeight w:val="315"/>
        </w:trPr>
        <w:tc>
          <w:tcPr>
            <w:tcW w:w="2142" w:type="dxa"/>
            <w:tcBorders>
              <w:top w:val="nil"/>
              <w:left w:val="nil"/>
              <w:bottom w:val="single" w:sz="8" w:space="0" w:color="auto"/>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Total</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3330</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3556</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3542</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3635</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3598</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3242</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3181</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3044</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3402</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3384</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3004</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3105</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Brazil</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3235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3459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3482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3579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3542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3185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3125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3007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3340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3343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2917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2982</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Italy</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8</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19</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Spain</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16</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China</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12</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Taiwan, Province of China</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18</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18</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12</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United States of America</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12</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Sweden</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9</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Germany</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8</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Argentina</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8</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Japan</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Others</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Australia</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Austria</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Mexico</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Netherlands</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Serbia</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Turkey</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Virgin Islands (British)</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Finland</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France</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Madagascar</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Republic of Korea</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Russian Federation</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Saudi Arabia</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r>
      <w:tr w:rsidR="00B447C7" w:rsidRPr="00573DEB" w:rsidTr="00B447C7">
        <w:trPr>
          <w:trHeight w:val="300"/>
        </w:trPr>
        <w:tc>
          <w:tcPr>
            <w:tcW w:w="2142"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Switzerland</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r>
      <w:tr w:rsidR="00B447C7" w:rsidRPr="00573DEB" w:rsidTr="00B447C7">
        <w:trPr>
          <w:trHeight w:val="300"/>
        </w:trPr>
        <w:tc>
          <w:tcPr>
            <w:tcW w:w="2142" w:type="dxa"/>
            <w:tcBorders>
              <w:top w:val="nil"/>
              <w:left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United Kingdom</w:t>
            </w:r>
          </w:p>
        </w:tc>
        <w:tc>
          <w:tcPr>
            <w:tcW w:w="567" w:type="dxa"/>
            <w:tcBorders>
              <w:top w:val="nil"/>
              <w:left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r>
      <w:tr w:rsidR="00B447C7" w:rsidRPr="00573DEB" w:rsidTr="00B447C7">
        <w:trPr>
          <w:trHeight w:val="300"/>
        </w:trPr>
        <w:tc>
          <w:tcPr>
            <w:tcW w:w="2142" w:type="dxa"/>
            <w:tcBorders>
              <w:top w:val="nil"/>
              <w:left w:val="nil"/>
              <w:bottom w:val="single" w:sz="4" w:space="0" w:color="auto"/>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Uruguay</w:t>
            </w:r>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r>
    </w:tbl>
    <w:p w:rsidR="00B000C0" w:rsidRPr="008C2A2F" w:rsidRDefault="00B447C7" w:rsidP="00B447C7">
      <w:pPr>
        <w:pStyle w:val="Captionnotes"/>
        <w:rPr>
          <w:i w:val="0"/>
        </w:rPr>
      </w:pPr>
      <w:r w:rsidRPr="008C2A2F">
        <w:rPr>
          <w:i w:val="0"/>
        </w:rPr>
        <w:t>Only countries with filings in 2011 reported.</w:t>
      </w:r>
    </w:p>
    <w:p w:rsidR="00B447C7" w:rsidRPr="00573DEB" w:rsidRDefault="00B447C7">
      <w:pPr>
        <w:widowControl/>
        <w:spacing w:after="200" w:line="276" w:lineRule="auto"/>
      </w:pPr>
      <w:r w:rsidRPr="00573DEB">
        <w:br w:type="page"/>
      </w:r>
    </w:p>
    <w:p w:rsidR="00B000C0" w:rsidRPr="00573DEB" w:rsidRDefault="008C2A2F" w:rsidP="00FF0C61">
      <w:pPr>
        <w:pStyle w:val="Caption"/>
      </w:pPr>
      <w:bookmarkStart w:id="294" w:name="_Toc388619990"/>
      <w:r>
        <w:t xml:space="preserve">Table A.14:  </w:t>
      </w:r>
      <w:r w:rsidR="00B000C0" w:rsidRPr="00573DEB">
        <w:t>Utility Model applications by Brazilian states, 2000-2011</w:t>
      </w:r>
      <w:bookmarkEnd w:id="294"/>
    </w:p>
    <w:tbl>
      <w:tblPr>
        <w:tblW w:w="8804" w:type="dxa"/>
        <w:tblInd w:w="55" w:type="dxa"/>
        <w:tblLayout w:type="fixed"/>
        <w:tblCellMar>
          <w:left w:w="0" w:type="dxa"/>
          <w:right w:w="0" w:type="dxa"/>
        </w:tblCellMar>
        <w:tblLook w:val="04A0" w:firstRow="1" w:lastRow="0" w:firstColumn="1" w:lastColumn="0" w:noHBand="0" w:noVBand="1"/>
      </w:tblPr>
      <w:tblGrid>
        <w:gridCol w:w="2000"/>
        <w:gridCol w:w="567"/>
        <w:gridCol w:w="567"/>
        <w:gridCol w:w="567"/>
        <w:gridCol w:w="567"/>
        <w:gridCol w:w="567"/>
        <w:gridCol w:w="567"/>
        <w:gridCol w:w="567"/>
        <w:gridCol w:w="567"/>
        <w:gridCol w:w="567"/>
        <w:gridCol w:w="567"/>
        <w:gridCol w:w="567"/>
        <w:gridCol w:w="567"/>
      </w:tblGrid>
      <w:tr w:rsidR="00B447C7" w:rsidRPr="00573DEB" w:rsidTr="00B447C7">
        <w:trPr>
          <w:trHeight w:val="300"/>
        </w:trPr>
        <w:tc>
          <w:tcPr>
            <w:tcW w:w="2000"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4B4B73">
            <w:pPr>
              <w:rPr>
                <w:rFonts w:ascii="Arial Narrow" w:hAnsi="Arial Narrow"/>
                <w:b/>
                <w:sz w:val="20"/>
                <w:szCs w:val="20"/>
                <w:lang w:eastAsia="pt-BR"/>
              </w:rPr>
            </w:pPr>
            <w:r w:rsidRPr="00573DEB">
              <w:rPr>
                <w:rFonts w:ascii="Arial Narrow" w:hAnsi="Arial Narrow"/>
                <w:b/>
                <w:sz w:val="20"/>
                <w:szCs w:val="20"/>
                <w:lang w:eastAsia="pt-BR"/>
              </w:rPr>
              <w:t>Brazilian States</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2000</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2001</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2002</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2003</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2004</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2005</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2006</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2007</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2008</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2009</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2010</w:t>
            </w:r>
          </w:p>
        </w:tc>
        <w:tc>
          <w:tcPr>
            <w:tcW w:w="567" w:type="dxa"/>
            <w:tcBorders>
              <w:top w:val="single" w:sz="8" w:space="0" w:color="auto"/>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b/>
                <w:sz w:val="20"/>
                <w:szCs w:val="20"/>
                <w:lang w:eastAsia="pt-BR"/>
              </w:rPr>
            </w:pPr>
            <w:r w:rsidRPr="00573DEB">
              <w:rPr>
                <w:rFonts w:ascii="Arial Narrow" w:hAnsi="Arial Narrow"/>
                <w:b/>
                <w:sz w:val="20"/>
                <w:szCs w:val="20"/>
                <w:lang w:eastAsia="pt-BR"/>
              </w:rPr>
              <w:t>2011</w:t>
            </w:r>
          </w:p>
        </w:tc>
      </w:tr>
      <w:tr w:rsidR="00B447C7" w:rsidRPr="00573DEB" w:rsidTr="00B447C7">
        <w:trPr>
          <w:trHeight w:val="315"/>
        </w:trPr>
        <w:tc>
          <w:tcPr>
            <w:tcW w:w="2000" w:type="dxa"/>
            <w:tcBorders>
              <w:top w:val="nil"/>
              <w:left w:val="nil"/>
              <w:bottom w:val="single" w:sz="8" w:space="0" w:color="auto"/>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Total</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3235</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3459</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3482</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3579</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3542</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3185</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3125</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3007</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3340</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3343</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2917</w:t>
            </w:r>
          </w:p>
        </w:tc>
        <w:tc>
          <w:tcPr>
            <w:tcW w:w="567" w:type="dxa"/>
            <w:tcBorders>
              <w:top w:val="nil"/>
              <w:left w:val="nil"/>
              <w:bottom w:val="single" w:sz="8"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2982</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São Paulo</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1449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1534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1574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1579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1619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1391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1350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1314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1492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1400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1134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1258</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 xml:space="preserve">Rio Grande do </w:t>
            </w:r>
            <w:proofErr w:type="spellStart"/>
            <w:r w:rsidRPr="00573DEB">
              <w:rPr>
                <w:rFonts w:ascii="Arial Narrow" w:hAnsi="Arial Narrow"/>
                <w:sz w:val="20"/>
                <w:szCs w:val="20"/>
                <w:lang w:eastAsia="pt-BR"/>
              </w:rPr>
              <w:t>Sul</w:t>
            </w:r>
            <w:proofErr w:type="spellEnd"/>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335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360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406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462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388</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350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312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308</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370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372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384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362</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Santa Catarina</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236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258</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303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318</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310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309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321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253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291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347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331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293</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Paraná</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335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368</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337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375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383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324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311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296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334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320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304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281</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Rio de Janeiro</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256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287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238</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238</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236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254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239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250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243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230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183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214</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 xml:space="preserve">Minas </w:t>
            </w:r>
            <w:proofErr w:type="spellStart"/>
            <w:r w:rsidRPr="00573DEB">
              <w:rPr>
                <w:rFonts w:ascii="Arial Narrow" w:hAnsi="Arial Narrow"/>
                <w:sz w:val="20"/>
                <w:szCs w:val="20"/>
                <w:lang w:eastAsia="pt-BR"/>
              </w:rPr>
              <w:t>Gerais</w:t>
            </w:r>
            <w:proofErr w:type="spellEnd"/>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234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224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229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243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252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232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219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239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253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232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225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208</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proofErr w:type="spellStart"/>
            <w:r w:rsidRPr="00573DEB">
              <w:rPr>
                <w:rFonts w:ascii="Arial Narrow" w:hAnsi="Arial Narrow"/>
                <w:sz w:val="20"/>
                <w:szCs w:val="20"/>
                <w:lang w:eastAsia="pt-BR"/>
              </w:rPr>
              <w:t>Goiás</w:t>
            </w:r>
            <w:proofErr w:type="spellEnd"/>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70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64</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Bahia</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73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58</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63</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Distrito Federal</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38</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92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45</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proofErr w:type="spellStart"/>
            <w:r w:rsidRPr="00573DEB">
              <w:rPr>
                <w:rFonts w:ascii="Arial Narrow" w:hAnsi="Arial Narrow"/>
                <w:sz w:val="20"/>
                <w:szCs w:val="20"/>
                <w:lang w:eastAsia="pt-BR"/>
              </w:rPr>
              <w:t>Espírito</w:t>
            </w:r>
            <w:proofErr w:type="spellEnd"/>
            <w:r w:rsidRPr="00573DEB">
              <w:rPr>
                <w:rFonts w:ascii="Arial Narrow" w:hAnsi="Arial Narrow"/>
                <w:sz w:val="20"/>
                <w:szCs w:val="20"/>
                <w:lang w:eastAsia="pt-BR"/>
              </w:rPr>
              <w:t xml:space="preserve"> Santo</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58</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35</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Pernambuco</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33</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proofErr w:type="spellStart"/>
            <w:r w:rsidRPr="00573DEB">
              <w:rPr>
                <w:rFonts w:ascii="Arial Narrow" w:hAnsi="Arial Narrow"/>
                <w:sz w:val="20"/>
                <w:szCs w:val="20"/>
                <w:lang w:eastAsia="pt-BR"/>
              </w:rPr>
              <w:t>Ceará</w:t>
            </w:r>
            <w:proofErr w:type="spellEnd"/>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19</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proofErr w:type="spellStart"/>
            <w:r w:rsidRPr="00573DEB">
              <w:rPr>
                <w:rFonts w:ascii="Arial Narrow" w:hAnsi="Arial Narrow"/>
                <w:sz w:val="20"/>
                <w:szCs w:val="20"/>
                <w:lang w:eastAsia="pt-BR"/>
              </w:rPr>
              <w:t>Pará</w:t>
            </w:r>
            <w:proofErr w:type="spellEnd"/>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8</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15</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proofErr w:type="spellStart"/>
            <w:r w:rsidRPr="00573DEB">
              <w:rPr>
                <w:rFonts w:ascii="Arial Narrow" w:hAnsi="Arial Narrow"/>
                <w:sz w:val="20"/>
                <w:szCs w:val="20"/>
                <w:lang w:eastAsia="pt-BR"/>
              </w:rPr>
              <w:t>Paraíba</w:t>
            </w:r>
            <w:proofErr w:type="spellEnd"/>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18</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14</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Alagoas</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18</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12</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Amazonas</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11</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proofErr w:type="spellStart"/>
            <w:r w:rsidRPr="00573DEB">
              <w:rPr>
                <w:rFonts w:ascii="Arial Narrow" w:hAnsi="Arial Narrow"/>
                <w:sz w:val="20"/>
                <w:szCs w:val="20"/>
                <w:lang w:eastAsia="pt-BR"/>
              </w:rPr>
              <w:t>Mato</w:t>
            </w:r>
            <w:proofErr w:type="spellEnd"/>
            <w:r w:rsidRPr="00573DEB">
              <w:rPr>
                <w:rFonts w:ascii="Arial Narrow" w:hAnsi="Arial Narrow"/>
                <w:sz w:val="20"/>
                <w:szCs w:val="20"/>
                <w:lang w:eastAsia="pt-BR"/>
              </w:rPr>
              <w:t xml:space="preserve"> Grosso do </w:t>
            </w:r>
            <w:proofErr w:type="spellStart"/>
            <w:r w:rsidRPr="00573DEB">
              <w:rPr>
                <w:rFonts w:ascii="Arial Narrow" w:hAnsi="Arial Narrow"/>
                <w:sz w:val="20"/>
                <w:szCs w:val="20"/>
                <w:lang w:eastAsia="pt-BR"/>
              </w:rPr>
              <w:t>Sul</w:t>
            </w:r>
            <w:proofErr w:type="spellEnd"/>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8</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9</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proofErr w:type="spellStart"/>
            <w:r w:rsidRPr="00573DEB">
              <w:rPr>
                <w:rFonts w:ascii="Arial Narrow" w:hAnsi="Arial Narrow"/>
                <w:sz w:val="20"/>
                <w:szCs w:val="20"/>
                <w:lang w:eastAsia="pt-BR"/>
              </w:rPr>
              <w:t>Mato</w:t>
            </w:r>
            <w:proofErr w:type="spellEnd"/>
            <w:r w:rsidRPr="00573DEB">
              <w:rPr>
                <w:rFonts w:ascii="Arial Narrow" w:hAnsi="Arial Narrow"/>
                <w:sz w:val="20"/>
                <w:szCs w:val="20"/>
                <w:lang w:eastAsia="pt-BR"/>
              </w:rPr>
              <w:t xml:space="preserve"> Grosso</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8</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proofErr w:type="spellStart"/>
            <w:r w:rsidRPr="00573DEB">
              <w:rPr>
                <w:rFonts w:ascii="Arial Narrow" w:hAnsi="Arial Narrow"/>
                <w:sz w:val="20"/>
                <w:szCs w:val="20"/>
                <w:lang w:eastAsia="pt-BR"/>
              </w:rPr>
              <w:t>Rondônia</w:t>
            </w:r>
            <w:proofErr w:type="spellEnd"/>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8</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8</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Rio Grande do Norte</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9</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7</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proofErr w:type="spellStart"/>
            <w:r w:rsidRPr="00573DEB">
              <w:rPr>
                <w:rFonts w:ascii="Arial Narrow" w:hAnsi="Arial Narrow"/>
                <w:sz w:val="20"/>
                <w:szCs w:val="20"/>
                <w:lang w:eastAsia="pt-BR"/>
              </w:rPr>
              <w:t>Maranhão</w:t>
            </w:r>
            <w:proofErr w:type="spellEnd"/>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10</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proofErr w:type="spellStart"/>
            <w:r w:rsidRPr="00573DEB">
              <w:rPr>
                <w:rFonts w:ascii="Arial Narrow" w:hAnsi="Arial Narrow"/>
                <w:sz w:val="20"/>
                <w:szCs w:val="20"/>
                <w:lang w:eastAsia="pt-BR"/>
              </w:rPr>
              <w:t>Piauí</w:t>
            </w:r>
            <w:proofErr w:type="spellEnd"/>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Roraima</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Tocantins</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Acre</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3</w:t>
            </w:r>
          </w:p>
        </w:tc>
      </w:tr>
      <w:tr w:rsidR="00B447C7" w:rsidRPr="00573DEB" w:rsidTr="00B447C7">
        <w:trPr>
          <w:trHeight w:val="300"/>
        </w:trPr>
        <w:tc>
          <w:tcPr>
            <w:tcW w:w="2000" w:type="dxa"/>
            <w:tcBorders>
              <w:top w:val="nil"/>
              <w:left w:val="nil"/>
              <w:bottom w:val="nil"/>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r w:rsidRPr="00573DEB">
              <w:rPr>
                <w:rFonts w:ascii="Arial Narrow" w:hAnsi="Arial Narrow"/>
                <w:sz w:val="20"/>
                <w:szCs w:val="20"/>
                <w:lang w:eastAsia="pt-BR"/>
              </w:rPr>
              <w:t>Sergipe</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7</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8</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67" w:type="dxa"/>
            <w:tcBorders>
              <w:top w:val="nil"/>
              <w:left w:val="nil"/>
              <w:bottom w:val="nil"/>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r>
      <w:tr w:rsidR="00B447C7" w:rsidRPr="00573DEB" w:rsidTr="00B447C7">
        <w:trPr>
          <w:trHeight w:val="300"/>
        </w:trPr>
        <w:tc>
          <w:tcPr>
            <w:tcW w:w="2000" w:type="dxa"/>
            <w:tcBorders>
              <w:top w:val="nil"/>
              <w:left w:val="nil"/>
              <w:bottom w:val="single" w:sz="4" w:space="0" w:color="auto"/>
              <w:right w:val="nil"/>
            </w:tcBorders>
            <w:shd w:val="clear" w:color="auto" w:fill="auto"/>
            <w:noWrap/>
            <w:vAlign w:val="bottom"/>
            <w:hideMark/>
          </w:tcPr>
          <w:p w:rsidR="00B447C7" w:rsidRPr="00573DEB" w:rsidRDefault="00B447C7" w:rsidP="004B4B73">
            <w:pPr>
              <w:rPr>
                <w:rFonts w:ascii="Arial Narrow" w:hAnsi="Arial Narrow"/>
                <w:sz w:val="20"/>
                <w:szCs w:val="20"/>
                <w:lang w:eastAsia="pt-BR"/>
              </w:rPr>
            </w:pPr>
            <w:proofErr w:type="spellStart"/>
            <w:r w:rsidRPr="00573DEB">
              <w:rPr>
                <w:rFonts w:ascii="Arial Narrow" w:hAnsi="Arial Narrow"/>
                <w:sz w:val="20"/>
                <w:szCs w:val="20"/>
                <w:lang w:eastAsia="pt-BR"/>
              </w:rPr>
              <w:t>Amapá</w:t>
            </w:r>
            <w:proofErr w:type="spellEnd"/>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c>
          <w:tcPr>
            <w:tcW w:w="567" w:type="dxa"/>
            <w:tcBorders>
              <w:top w:val="nil"/>
              <w:left w:val="nil"/>
              <w:bottom w:val="single" w:sz="4" w:space="0" w:color="auto"/>
              <w:right w:val="nil"/>
            </w:tcBorders>
            <w:shd w:val="clear" w:color="auto" w:fill="auto"/>
            <w:noWrap/>
            <w:vAlign w:val="bottom"/>
            <w:hideMark/>
          </w:tcPr>
          <w:p w:rsidR="00B447C7" w:rsidRPr="00573DEB" w:rsidRDefault="00B447C7" w:rsidP="00B447C7">
            <w:pPr>
              <w:jc w:val="center"/>
              <w:rPr>
                <w:rFonts w:ascii="Arial Narrow" w:hAnsi="Arial Narrow"/>
                <w:sz w:val="20"/>
                <w:szCs w:val="20"/>
                <w:lang w:eastAsia="pt-BR"/>
              </w:rPr>
            </w:pPr>
          </w:p>
        </w:tc>
      </w:tr>
    </w:tbl>
    <w:p w:rsidR="00FF0C61" w:rsidRPr="00573DEB" w:rsidRDefault="00FF0C61" w:rsidP="004B4B73"/>
    <w:p w:rsidR="00B000C0" w:rsidRPr="00573DEB" w:rsidRDefault="008C2A2F" w:rsidP="00FF0C61">
      <w:pPr>
        <w:pStyle w:val="Caption"/>
      </w:pPr>
      <w:bookmarkStart w:id="295" w:name="_Toc388619991"/>
      <w:r>
        <w:t xml:space="preserve">Table A.15:  </w:t>
      </w:r>
      <w:r w:rsidR="00B000C0" w:rsidRPr="00573DEB">
        <w:t>Utility Model applications by type of Brazilian applicants, 2000-2011</w:t>
      </w:r>
      <w:bookmarkEnd w:id="295"/>
    </w:p>
    <w:tbl>
      <w:tblPr>
        <w:tblW w:w="5232" w:type="dxa"/>
        <w:tblCellMar>
          <w:left w:w="70" w:type="dxa"/>
          <w:right w:w="70" w:type="dxa"/>
        </w:tblCellMar>
        <w:tblLook w:val="04A0" w:firstRow="1" w:lastRow="0" w:firstColumn="1" w:lastColumn="0" w:noHBand="0" w:noVBand="1"/>
      </w:tblPr>
      <w:tblGrid>
        <w:gridCol w:w="942"/>
        <w:gridCol w:w="925"/>
        <w:gridCol w:w="952"/>
        <w:gridCol w:w="934"/>
        <w:gridCol w:w="1479"/>
      </w:tblGrid>
      <w:tr w:rsidR="00FF0C61" w:rsidRPr="00573DEB" w:rsidTr="00FF0C61">
        <w:trPr>
          <w:trHeight w:val="300"/>
        </w:trPr>
        <w:tc>
          <w:tcPr>
            <w:tcW w:w="942" w:type="dxa"/>
            <w:tcBorders>
              <w:top w:val="nil"/>
              <w:left w:val="nil"/>
              <w:bottom w:val="single" w:sz="4" w:space="0" w:color="auto"/>
              <w:right w:val="nil"/>
            </w:tcBorders>
            <w:shd w:val="clear" w:color="auto" w:fill="auto"/>
            <w:noWrap/>
            <w:vAlign w:val="center"/>
          </w:tcPr>
          <w:p w:rsidR="00FF0C61" w:rsidRPr="00573DEB" w:rsidRDefault="00FF0C61" w:rsidP="00FF0C61">
            <w:pPr>
              <w:jc w:val="center"/>
              <w:rPr>
                <w:rFonts w:ascii="Arial Narrow" w:hAnsi="Arial Narrow"/>
                <w:sz w:val="20"/>
                <w:szCs w:val="20"/>
                <w:lang w:eastAsia="pt-BR"/>
              </w:rPr>
            </w:pPr>
            <w:r w:rsidRPr="00573DEB">
              <w:rPr>
                <w:rFonts w:ascii="Arial Narrow" w:hAnsi="Arial Narrow"/>
                <w:sz w:val="20"/>
                <w:szCs w:val="20"/>
                <w:lang w:eastAsia="pt-BR"/>
              </w:rPr>
              <w:t>Year</w:t>
            </w:r>
          </w:p>
        </w:tc>
        <w:tc>
          <w:tcPr>
            <w:tcW w:w="925" w:type="dxa"/>
            <w:tcBorders>
              <w:top w:val="nil"/>
              <w:left w:val="nil"/>
              <w:bottom w:val="single" w:sz="4" w:space="0" w:color="auto"/>
              <w:right w:val="nil"/>
            </w:tcBorders>
            <w:shd w:val="clear" w:color="auto" w:fill="auto"/>
            <w:noWrap/>
            <w:vAlign w:val="center"/>
          </w:tcPr>
          <w:p w:rsidR="00FF0C61" w:rsidRPr="00573DEB" w:rsidRDefault="00FF0C61" w:rsidP="00FF0C61">
            <w:pPr>
              <w:jc w:val="center"/>
              <w:rPr>
                <w:rFonts w:ascii="Arial Narrow" w:hAnsi="Arial Narrow"/>
                <w:sz w:val="20"/>
                <w:szCs w:val="20"/>
                <w:lang w:eastAsia="pt-BR"/>
              </w:rPr>
            </w:pPr>
            <w:r w:rsidRPr="00573DEB">
              <w:rPr>
                <w:rFonts w:ascii="Arial Narrow" w:hAnsi="Arial Narrow"/>
                <w:sz w:val="20"/>
                <w:szCs w:val="20"/>
                <w:lang w:eastAsia="pt-BR"/>
              </w:rPr>
              <w:t>Individual</w:t>
            </w:r>
          </w:p>
        </w:tc>
        <w:tc>
          <w:tcPr>
            <w:tcW w:w="952" w:type="dxa"/>
            <w:tcBorders>
              <w:top w:val="nil"/>
              <w:left w:val="nil"/>
              <w:bottom w:val="single" w:sz="4" w:space="0" w:color="auto"/>
              <w:right w:val="nil"/>
            </w:tcBorders>
            <w:shd w:val="clear" w:color="auto" w:fill="auto"/>
            <w:noWrap/>
            <w:vAlign w:val="center"/>
          </w:tcPr>
          <w:p w:rsidR="00FF0C61" w:rsidRPr="00573DEB" w:rsidRDefault="00FF0C61" w:rsidP="00FF0C61">
            <w:pPr>
              <w:jc w:val="center"/>
              <w:rPr>
                <w:rFonts w:ascii="Arial Narrow" w:hAnsi="Arial Narrow"/>
                <w:sz w:val="20"/>
                <w:szCs w:val="20"/>
                <w:lang w:eastAsia="pt-BR"/>
              </w:rPr>
            </w:pPr>
            <w:r w:rsidRPr="00573DEB">
              <w:rPr>
                <w:rFonts w:ascii="Arial Narrow" w:hAnsi="Arial Narrow"/>
                <w:sz w:val="20"/>
                <w:szCs w:val="20"/>
                <w:lang w:eastAsia="pt-BR"/>
              </w:rPr>
              <w:t>University</w:t>
            </w:r>
          </w:p>
        </w:tc>
        <w:tc>
          <w:tcPr>
            <w:tcW w:w="934" w:type="dxa"/>
            <w:tcBorders>
              <w:top w:val="nil"/>
              <w:left w:val="nil"/>
              <w:bottom w:val="single" w:sz="4" w:space="0" w:color="auto"/>
              <w:right w:val="nil"/>
            </w:tcBorders>
            <w:shd w:val="clear" w:color="auto" w:fill="auto"/>
            <w:noWrap/>
            <w:vAlign w:val="center"/>
          </w:tcPr>
          <w:p w:rsidR="00FF0C61" w:rsidRPr="00573DEB" w:rsidRDefault="00FF0C61" w:rsidP="00FF0C61">
            <w:pPr>
              <w:jc w:val="center"/>
              <w:rPr>
                <w:rFonts w:ascii="Arial Narrow" w:hAnsi="Arial Narrow"/>
                <w:sz w:val="20"/>
                <w:szCs w:val="20"/>
                <w:lang w:eastAsia="pt-BR"/>
              </w:rPr>
            </w:pPr>
            <w:r w:rsidRPr="00573DEB">
              <w:rPr>
                <w:rFonts w:ascii="Arial Narrow" w:hAnsi="Arial Narrow"/>
                <w:sz w:val="20"/>
                <w:szCs w:val="20"/>
                <w:lang w:eastAsia="pt-BR"/>
              </w:rPr>
              <w:t>Company</w:t>
            </w:r>
          </w:p>
        </w:tc>
        <w:tc>
          <w:tcPr>
            <w:tcW w:w="1479" w:type="dxa"/>
            <w:tcBorders>
              <w:top w:val="nil"/>
              <w:left w:val="nil"/>
              <w:bottom w:val="single" w:sz="4" w:space="0" w:color="auto"/>
              <w:right w:val="nil"/>
            </w:tcBorders>
            <w:shd w:val="clear" w:color="auto" w:fill="auto"/>
            <w:noWrap/>
            <w:vAlign w:val="center"/>
          </w:tcPr>
          <w:p w:rsidR="00FF0C61" w:rsidRPr="00573DEB" w:rsidRDefault="00FF0C61" w:rsidP="00FF0C61">
            <w:pPr>
              <w:jc w:val="center"/>
              <w:rPr>
                <w:rFonts w:ascii="Arial Narrow" w:hAnsi="Arial Narrow"/>
                <w:sz w:val="20"/>
                <w:szCs w:val="20"/>
                <w:lang w:eastAsia="pt-BR"/>
              </w:rPr>
            </w:pPr>
            <w:r w:rsidRPr="00573DEB">
              <w:rPr>
                <w:rFonts w:ascii="Arial Narrow" w:hAnsi="Arial Narrow"/>
                <w:sz w:val="20"/>
                <w:szCs w:val="20"/>
                <w:lang w:eastAsia="pt-BR"/>
              </w:rPr>
              <w:t>Total</w:t>
            </w:r>
          </w:p>
        </w:tc>
      </w:tr>
      <w:tr w:rsidR="00FF0C61" w:rsidRPr="00573DEB" w:rsidTr="00FF0C61">
        <w:trPr>
          <w:trHeight w:val="300"/>
        </w:trPr>
        <w:tc>
          <w:tcPr>
            <w:tcW w:w="942" w:type="dxa"/>
            <w:tcBorders>
              <w:top w:val="single" w:sz="4" w:space="0" w:color="auto"/>
              <w:left w:val="nil"/>
              <w:bottom w:val="nil"/>
              <w:right w:val="nil"/>
            </w:tcBorders>
            <w:shd w:val="clear" w:color="auto" w:fill="auto"/>
            <w:noWrap/>
            <w:vAlign w:val="center"/>
            <w:hideMark/>
          </w:tcPr>
          <w:p w:rsidR="00FF0C61" w:rsidRPr="00573DEB" w:rsidRDefault="00FF0C61" w:rsidP="004B4B73">
            <w:pPr>
              <w:rPr>
                <w:rFonts w:ascii="Arial Narrow" w:hAnsi="Arial Narrow"/>
                <w:sz w:val="20"/>
                <w:szCs w:val="20"/>
                <w:lang w:eastAsia="pt-BR"/>
              </w:rPr>
            </w:pPr>
            <w:r w:rsidRPr="00573DEB">
              <w:rPr>
                <w:rFonts w:ascii="Arial Narrow" w:hAnsi="Arial Narrow"/>
                <w:sz w:val="20"/>
                <w:szCs w:val="20"/>
                <w:lang w:eastAsia="pt-BR"/>
              </w:rPr>
              <w:t>2000</w:t>
            </w:r>
          </w:p>
        </w:tc>
        <w:tc>
          <w:tcPr>
            <w:tcW w:w="925" w:type="dxa"/>
            <w:tcBorders>
              <w:top w:val="single" w:sz="4" w:space="0" w:color="auto"/>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2,535</w:t>
            </w:r>
          </w:p>
        </w:tc>
        <w:tc>
          <w:tcPr>
            <w:tcW w:w="952" w:type="dxa"/>
            <w:tcBorders>
              <w:top w:val="single" w:sz="4" w:space="0" w:color="auto"/>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4</w:t>
            </w:r>
          </w:p>
        </w:tc>
        <w:tc>
          <w:tcPr>
            <w:tcW w:w="934" w:type="dxa"/>
            <w:tcBorders>
              <w:top w:val="single" w:sz="4" w:space="0" w:color="auto"/>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650</w:t>
            </w:r>
          </w:p>
        </w:tc>
        <w:tc>
          <w:tcPr>
            <w:tcW w:w="1479" w:type="dxa"/>
            <w:tcBorders>
              <w:top w:val="single" w:sz="4" w:space="0" w:color="auto"/>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3,189</w:t>
            </w:r>
          </w:p>
        </w:tc>
      </w:tr>
      <w:tr w:rsidR="00FF0C61" w:rsidRPr="00573DEB" w:rsidTr="00FF0C61">
        <w:trPr>
          <w:trHeight w:val="300"/>
        </w:trPr>
        <w:tc>
          <w:tcPr>
            <w:tcW w:w="942" w:type="dxa"/>
            <w:tcBorders>
              <w:top w:val="nil"/>
              <w:left w:val="nil"/>
              <w:bottom w:val="nil"/>
              <w:right w:val="nil"/>
            </w:tcBorders>
            <w:shd w:val="clear" w:color="auto" w:fill="auto"/>
            <w:noWrap/>
            <w:vAlign w:val="center"/>
            <w:hideMark/>
          </w:tcPr>
          <w:p w:rsidR="00FF0C61" w:rsidRPr="00573DEB" w:rsidRDefault="00FF0C61" w:rsidP="004B4B73">
            <w:pPr>
              <w:rPr>
                <w:rFonts w:ascii="Arial Narrow" w:hAnsi="Arial Narrow"/>
                <w:sz w:val="20"/>
                <w:szCs w:val="20"/>
                <w:lang w:eastAsia="pt-BR"/>
              </w:rPr>
            </w:pPr>
            <w:r w:rsidRPr="00573DEB">
              <w:rPr>
                <w:rFonts w:ascii="Arial Narrow" w:hAnsi="Arial Narrow"/>
                <w:sz w:val="20"/>
                <w:szCs w:val="20"/>
                <w:lang w:eastAsia="pt-BR"/>
              </w:rPr>
              <w:t>2001</w:t>
            </w:r>
          </w:p>
        </w:tc>
        <w:tc>
          <w:tcPr>
            <w:tcW w:w="925"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2,693</w:t>
            </w:r>
          </w:p>
        </w:tc>
        <w:tc>
          <w:tcPr>
            <w:tcW w:w="952"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10</w:t>
            </w:r>
          </w:p>
        </w:tc>
        <w:tc>
          <w:tcPr>
            <w:tcW w:w="934"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743</w:t>
            </w:r>
          </w:p>
        </w:tc>
        <w:tc>
          <w:tcPr>
            <w:tcW w:w="1479"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3,446</w:t>
            </w:r>
          </w:p>
        </w:tc>
      </w:tr>
      <w:tr w:rsidR="00FF0C61" w:rsidRPr="00573DEB" w:rsidTr="00FF0C61">
        <w:trPr>
          <w:trHeight w:val="300"/>
        </w:trPr>
        <w:tc>
          <w:tcPr>
            <w:tcW w:w="942" w:type="dxa"/>
            <w:tcBorders>
              <w:top w:val="nil"/>
              <w:left w:val="nil"/>
              <w:bottom w:val="nil"/>
              <w:right w:val="nil"/>
            </w:tcBorders>
            <w:shd w:val="clear" w:color="auto" w:fill="auto"/>
            <w:noWrap/>
            <w:vAlign w:val="center"/>
            <w:hideMark/>
          </w:tcPr>
          <w:p w:rsidR="00FF0C61" w:rsidRPr="00573DEB" w:rsidRDefault="00FF0C61" w:rsidP="004B4B73">
            <w:pPr>
              <w:rPr>
                <w:rFonts w:ascii="Arial Narrow" w:hAnsi="Arial Narrow"/>
                <w:sz w:val="20"/>
                <w:szCs w:val="20"/>
                <w:lang w:eastAsia="pt-BR"/>
              </w:rPr>
            </w:pPr>
            <w:r w:rsidRPr="00573DEB">
              <w:rPr>
                <w:rFonts w:ascii="Arial Narrow" w:hAnsi="Arial Narrow"/>
                <w:sz w:val="20"/>
                <w:szCs w:val="20"/>
                <w:lang w:eastAsia="pt-BR"/>
              </w:rPr>
              <w:t>2002</w:t>
            </w:r>
          </w:p>
        </w:tc>
        <w:tc>
          <w:tcPr>
            <w:tcW w:w="925"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2,659</w:t>
            </w:r>
          </w:p>
        </w:tc>
        <w:tc>
          <w:tcPr>
            <w:tcW w:w="952"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8</w:t>
            </w:r>
          </w:p>
        </w:tc>
        <w:tc>
          <w:tcPr>
            <w:tcW w:w="934"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809</w:t>
            </w:r>
          </w:p>
        </w:tc>
        <w:tc>
          <w:tcPr>
            <w:tcW w:w="1479"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3,476</w:t>
            </w:r>
          </w:p>
        </w:tc>
      </w:tr>
      <w:tr w:rsidR="00FF0C61" w:rsidRPr="00573DEB" w:rsidTr="00FF0C61">
        <w:trPr>
          <w:trHeight w:val="300"/>
        </w:trPr>
        <w:tc>
          <w:tcPr>
            <w:tcW w:w="942" w:type="dxa"/>
            <w:tcBorders>
              <w:top w:val="nil"/>
              <w:left w:val="nil"/>
              <w:bottom w:val="nil"/>
              <w:right w:val="nil"/>
            </w:tcBorders>
            <w:shd w:val="clear" w:color="auto" w:fill="auto"/>
            <w:noWrap/>
            <w:vAlign w:val="center"/>
            <w:hideMark/>
          </w:tcPr>
          <w:p w:rsidR="00FF0C61" w:rsidRPr="00573DEB" w:rsidRDefault="00FF0C61" w:rsidP="004B4B73">
            <w:pPr>
              <w:rPr>
                <w:rFonts w:ascii="Arial Narrow" w:hAnsi="Arial Narrow"/>
                <w:sz w:val="20"/>
                <w:szCs w:val="20"/>
                <w:lang w:eastAsia="pt-BR"/>
              </w:rPr>
            </w:pPr>
            <w:r w:rsidRPr="00573DEB">
              <w:rPr>
                <w:rFonts w:ascii="Arial Narrow" w:hAnsi="Arial Narrow"/>
                <w:sz w:val="20"/>
                <w:szCs w:val="20"/>
                <w:lang w:eastAsia="pt-BR"/>
              </w:rPr>
              <w:t>2003</w:t>
            </w:r>
          </w:p>
        </w:tc>
        <w:tc>
          <w:tcPr>
            <w:tcW w:w="925"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2,674</w:t>
            </w:r>
          </w:p>
        </w:tc>
        <w:tc>
          <w:tcPr>
            <w:tcW w:w="952"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20</w:t>
            </w:r>
          </w:p>
        </w:tc>
        <w:tc>
          <w:tcPr>
            <w:tcW w:w="934"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884</w:t>
            </w:r>
          </w:p>
        </w:tc>
        <w:tc>
          <w:tcPr>
            <w:tcW w:w="1479"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3,578</w:t>
            </w:r>
          </w:p>
        </w:tc>
      </w:tr>
      <w:tr w:rsidR="00FF0C61" w:rsidRPr="00573DEB" w:rsidTr="00FF0C61">
        <w:trPr>
          <w:trHeight w:val="300"/>
        </w:trPr>
        <w:tc>
          <w:tcPr>
            <w:tcW w:w="942" w:type="dxa"/>
            <w:tcBorders>
              <w:top w:val="nil"/>
              <w:left w:val="nil"/>
              <w:bottom w:val="nil"/>
              <w:right w:val="nil"/>
            </w:tcBorders>
            <w:shd w:val="clear" w:color="auto" w:fill="auto"/>
            <w:noWrap/>
            <w:vAlign w:val="center"/>
            <w:hideMark/>
          </w:tcPr>
          <w:p w:rsidR="00FF0C61" w:rsidRPr="00573DEB" w:rsidRDefault="00FF0C61" w:rsidP="004B4B73">
            <w:pPr>
              <w:rPr>
                <w:rFonts w:ascii="Arial Narrow" w:hAnsi="Arial Narrow"/>
                <w:sz w:val="20"/>
                <w:szCs w:val="20"/>
                <w:lang w:eastAsia="pt-BR"/>
              </w:rPr>
            </w:pPr>
            <w:r w:rsidRPr="00573DEB">
              <w:rPr>
                <w:rFonts w:ascii="Arial Narrow" w:hAnsi="Arial Narrow"/>
                <w:sz w:val="20"/>
                <w:szCs w:val="20"/>
                <w:lang w:eastAsia="pt-BR"/>
              </w:rPr>
              <w:t>2004</w:t>
            </w:r>
          </w:p>
        </w:tc>
        <w:tc>
          <w:tcPr>
            <w:tcW w:w="925"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2,744</w:t>
            </w:r>
          </w:p>
        </w:tc>
        <w:tc>
          <w:tcPr>
            <w:tcW w:w="952"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18</w:t>
            </w:r>
          </w:p>
        </w:tc>
        <w:tc>
          <w:tcPr>
            <w:tcW w:w="934"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777</w:t>
            </w:r>
          </w:p>
        </w:tc>
        <w:tc>
          <w:tcPr>
            <w:tcW w:w="1479"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3,539</w:t>
            </w:r>
          </w:p>
        </w:tc>
      </w:tr>
      <w:tr w:rsidR="00FF0C61" w:rsidRPr="00573DEB" w:rsidTr="00FF0C61">
        <w:trPr>
          <w:trHeight w:val="300"/>
        </w:trPr>
        <w:tc>
          <w:tcPr>
            <w:tcW w:w="942" w:type="dxa"/>
            <w:tcBorders>
              <w:top w:val="nil"/>
              <w:left w:val="nil"/>
              <w:bottom w:val="nil"/>
              <w:right w:val="nil"/>
            </w:tcBorders>
            <w:shd w:val="clear" w:color="auto" w:fill="auto"/>
            <w:noWrap/>
            <w:vAlign w:val="center"/>
            <w:hideMark/>
          </w:tcPr>
          <w:p w:rsidR="00FF0C61" w:rsidRPr="00573DEB" w:rsidRDefault="00FF0C61" w:rsidP="004B4B73">
            <w:pPr>
              <w:rPr>
                <w:rFonts w:ascii="Arial Narrow" w:hAnsi="Arial Narrow"/>
                <w:sz w:val="20"/>
                <w:szCs w:val="20"/>
                <w:lang w:eastAsia="pt-BR"/>
              </w:rPr>
            </w:pPr>
            <w:r w:rsidRPr="00573DEB">
              <w:rPr>
                <w:rFonts w:ascii="Arial Narrow" w:hAnsi="Arial Narrow"/>
                <w:sz w:val="20"/>
                <w:szCs w:val="20"/>
                <w:lang w:eastAsia="pt-BR"/>
              </w:rPr>
              <w:t>2005</w:t>
            </w:r>
          </w:p>
        </w:tc>
        <w:tc>
          <w:tcPr>
            <w:tcW w:w="925"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2,442</w:t>
            </w:r>
          </w:p>
        </w:tc>
        <w:tc>
          <w:tcPr>
            <w:tcW w:w="952"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9</w:t>
            </w:r>
          </w:p>
        </w:tc>
        <w:tc>
          <w:tcPr>
            <w:tcW w:w="934"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722</w:t>
            </w:r>
          </w:p>
        </w:tc>
        <w:tc>
          <w:tcPr>
            <w:tcW w:w="1479"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3,173</w:t>
            </w:r>
          </w:p>
        </w:tc>
      </w:tr>
      <w:tr w:rsidR="00FF0C61" w:rsidRPr="00573DEB" w:rsidTr="00FF0C61">
        <w:trPr>
          <w:trHeight w:val="300"/>
        </w:trPr>
        <w:tc>
          <w:tcPr>
            <w:tcW w:w="942" w:type="dxa"/>
            <w:tcBorders>
              <w:top w:val="nil"/>
              <w:left w:val="nil"/>
              <w:bottom w:val="nil"/>
              <w:right w:val="nil"/>
            </w:tcBorders>
            <w:shd w:val="clear" w:color="auto" w:fill="auto"/>
            <w:noWrap/>
            <w:vAlign w:val="center"/>
            <w:hideMark/>
          </w:tcPr>
          <w:p w:rsidR="00FF0C61" w:rsidRPr="00573DEB" w:rsidRDefault="00FF0C61" w:rsidP="004B4B73">
            <w:pPr>
              <w:rPr>
                <w:rFonts w:ascii="Arial Narrow" w:hAnsi="Arial Narrow"/>
                <w:sz w:val="20"/>
                <w:szCs w:val="20"/>
                <w:lang w:eastAsia="pt-BR"/>
              </w:rPr>
            </w:pPr>
            <w:r w:rsidRPr="00573DEB">
              <w:rPr>
                <w:rFonts w:ascii="Arial Narrow" w:hAnsi="Arial Narrow"/>
                <w:sz w:val="20"/>
                <w:szCs w:val="20"/>
                <w:lang w:eastAsia="pt-BR"/>
              </w:rPr>
              <w:t>2006</w:t>
            </w:r>
          </w:p>
        </w:tc>
        <w:tc>
          <w:tcPr>
            <w:tcW w:w="925"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2,478</w:t>
            </w:r>
          </w:p>
        </w:tc>
        <w:tc>
          <w:tcPr>
            <w:tcW w:w="952"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11</w:t>
            </w:r>
          </w:p>
        </w:tc>
        <w:tc>
          <w:tcPr>
            <w:tcW w:w="934"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637</w:t>
            </w:r>
          </w:p>
        </w:tc>
        <w:tc>
          <w:tcPr>
            <w:tcW w:w="1479"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3,126</w:t>
            </w:r>
          </w:p>
        </w:tc>
      </w:tr>
      <w:tr w:rsidR="00FF0C61" w:rsidRPr="00573DEB" w:rsidTr="00FF0C61">
        <w:trPr>
          <w:trHeight w:val="300"/>
        </w:trPr>
        <w:tc>
          <w:tcPr>
            <w:tcW w:w="942" w:type="dxa"/>
            <w:tcBorders>
              <w:top w:val="nil"/>
              <w:left w:val="nil"/>
              <w:bottom w:val="nil"/>
              <w:right w:val="nil"/>
            </w:tcBorders>
            <w:shd w:val="clear" w:color="auto" w:fill="auto"/>
            <w:noWrap/>
            <w:vAlign w:val="center"/>
            <w:hideMark/>
          </w:tcPr>
          <w:p w:rsidR="00FF0C61" w:rsidRPr="00573DEB" w:rsidRDefault="00FF0C61" w:rsidP="004B4B73">
            <w:pPr>
              <w:rPr>
                <w:rFonts w:ascii="Arial Narrow" w:hAnsi="Arial Narrow"/>
                <w:sz w:val="20"/>
                <w:szCs w:val="20"/>
                <w:lang w:eastAsia="pt-BR"/>
              </w:rPr>
            </w:pPr>
            <w:r w:rsidRPr="00573DEB">
              <w:rPr>
                <w:rFonts w:ascii="Arial Narrow" w:hAnsi="Arial Narrow"/>
                <w:sz w:val="20"/>
                <w:szCs w:val="20"/>
                <w:lang w:eastAsia="pt-BR"/>
              </w:rPr>
              <w:t>2007</w:t>
            </w:r>
          </w:p>
        </w:tc>
        <w:tc>
          <w:tcPr>
            <w:tcW w:w="925"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2,330</w:t>
            </w:r>
          </w:p>
        </w:tc>
        <w:tc>
          <w:tcPr>
            <w:tcW w:w="952"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16</w:t>
            </w:r>
          </w:p>
        </w:tc>
        <w:tc>
          <w:tcPr>
            <w:tcW w:w="934"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655</w:t>
            </w:r>
          </w:p>
        </w:tc>
        <w:tc>
          <w:tcPr>
            <w:tcW w:w="1479"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3,001</w:t>
            </w:r>
          </w:p>
        </w:tc>
      </w:tr>
      <w:tr w:rsidR="00FF0C61" w:rsidRPr="00573DEB" w:rsidTr="00FF0C61">
        <w:trPr>
          <w:trHeight w:val="300"/>
        </w:trPr>
        <w:tc>
          <w:tcPr>
            <w:tcW w:w="942" w:type="dxa"/>
            <w:tcBorders>
              <w:top w:val="nil"/>
              <w:left w:val="nil"/>
              <w:bottom w:val="nil"/>
              <w:right w:val="nil"/>
            </w:tcBorders>
            <w:shd w:val="clear" w:color="auto" w:fill="auto"/>
            <w:noWrap/>
            <w:vAlign w:val="center"/>
            <w:hideMark/>
          </w:tcPr>
          <w:p w:rsidR="00FF0C61" w:rsidRPr="00573DEB" w:rsidRDefault="00FF0C61" w:rsidP="004B4B73">
            <w:pPr>
              <w:rPr>
                <w:rFonts w:ascii="Arial Narrow" w:hAnsi="Arial Narrow"/>
                <w:sz w:val="20"/>
                <w:szCs w:val="20"/>
                <w:lang w:eastAsia="pt-BR"/>
              </w:rPr>
            </w:pPr>
            <w:r w:rsidRPr="00573DEB">
              <w:rPr>
                <w:rFonts w:ascii="Arial Narrow" w:hAnsi="Arial Narrow"/>
                <w:sz w:val="20"/>
                <w:szCs w:val="20"/>
                <w:lang w:eastAsia="pt-BR"/>
              </w:rPr>
              <w:t>2008</w:t>
            </w:r>
          </w:p>
        </w:tc>
        <w:tc>
          <w:tcPr>
            <w:tcW w:w="925"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2,547</w:t>
            </w:r>
          </w:p>
        </w:tc>
        <w:tc>
          <w:tcPr>
            <w:tcW w:w="952"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19</w:t>
            </w:r>
          </w:p>
        </w:tc>
        <w:tc>
          <w:tcPr>
            <w:tcW w:w="934"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754</w:t>
            </w:r>
          </w:p>
        </w:tc>
        <w:tc>
          <w:tcPr>
            <w:tcW w:w="1479"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3,320</w:t>
            </w:r>
          </w:p>
        </w:tc>
      </w:tr>
      <w:tr w:rsidR="00FF0C61" w:rsidRPr="00573DEB" w:rsidTr="00FF0C61">
        <w:trPr>
          <w:trHeight w:val="300"/>
        </w:trPr>
        <w:tc>
          <w:tcPr>
            <w:tcW w:w="942" w:type="dxa"/>
            <w:tcBorders>
              <w:top w:val="nil"/>
              <w:left w:val="nil"/>
              <w:bottom w:val="nil"/>
              <w:right w:val="nil"/>
            </w:tcBorders>
            <w:shd w:val="clear" w:color="auto" w:fill="auto"/>
            <w:noWrap/>
            <w:vAlign w:val="center"/>
            <w:hideMark/>
          </w:tcPr>
          <w:p w:rsidR="00FF0C61" w:rsidRPr="00573DEB" w:rsidRDefault="00FF0C61" w:rsidP="004B4B73">
            <w:pPr>
              <w:rPr>
                <w:rFonts w:ascii="Arial Narrow" w:hAnsi="Arial Narrow"/>
                <w:sz w:val="20"/>
                <w:szCs w:val="20"/>
                <w:lang w:eastAsia="pt-BR"/>
              </w:rPr>
            </w:pPr>
            <w:r w:rsidRPr="00573DEB">
              <w:rPr>
                <w:rFonts w:ascii="Arial Narrow" w:hAnsi="Arial Narrow"/>
                <w:sz w:val="20"/>
                <w:szCs w:val="20"/>
                <w:lang w:eastAsia="pt-BR"/>
              </w:rPr>
              <w:t>2009</w:t>
            </w:r>
          </w:p>
        </w:tc>
        <w:tc>
          <w:tcPr>
            <w:tcW w:w="925"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2,479</w:t>
            </w:r>
          </w:p>
        </w:tc>
        <w:tc>
          <w:tcPr>
            <w:tcW w:w="952"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26</w:t>
            </w:r>
          </w:p>
        </w:tc>
        <w:tc>
          <w:tcPr>
            <w:tcW w:w="934"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832</w:t>
            </w:r>
          </w:p>
        </w:tc>
        <w:tc>
          <w:tcPr>
            <w:tcW w:w="1479"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3,337</w:t>
            </w:r>
          </w:p>
        </w:tc>
      </w:tr>
      <w:tr w:rsidR="00FF0C61" w:rsidRPr="00573DEB" w:rsidTr="00FF0C61">
        <w:trPr>
          <w:trHeight w:val="300"/>
        </w:trPr>
        <w:tc>
          <w:tcPr>
            <w:tcW w:w="942" w:type="dxa"/>
            <w:tcBorders>
              <w:top w:val="nil"/>
              <w:left w:val="nil"/>
              <w:bottom w:val="nil"/>
              <w:right w:val="nil"/>
            </w:tcBorders>
            <w:shd w:val="clear" w:color="auto" w:fill="auto"/>
            <w:noWrap/>
            <w:vAlign w:val="center"/>
            <w:hideMark/>
          </w:tcPr>
          <w:p w:rsidR="00FF0C61" w:rsidRPr="00573DEB" w:rsidRDefault="00FF0C61" w:rsidP="004B4B73">
            <w:pPr>
              <w:rPr>
                <w:rFonts w:ascii="Arial Narrow" w:hAnsi="Arial Narrow"/>
                <w:sz w:val="20"/>
                <w:szCs w:val="20"/>
                <w:lang w:eastAsia="pt-BR"/>
              </w:rPr>
            </w:pPr>
            <w:r w:rsidRPr="00573DEB">
              <w:rPr>
                <w:rFonts w:ascii="Arial Narrow" w:hAnsi="Arial Narrow"/>
                <w:sz w:val="20"/>
                <w:szCs w:val="20"/>
                <w:lang w:eastAsia="pt-BR"/>
              </w:rPr>
              <w:t>2010</w:t>
            </w:r>
          </w:p>
        </w:tc>
        <w:tc>
          <w:tcPr>
            <w:tcW w:w="925"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2,101</w:t>
            </w:r>
          </w:p>
        </w:tc>
        <w:tc>
          <w:tcPr>
            <w:tcW w:w="952"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28</w:t>
            </w:r>
          </w:p>
        </w:tc>
        <w:tc>
          <w:tcPr>
            <w:tcW w:w="934"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773</w:t>
            </w:r>
          </w:p>
        </w:tc>
        <w:tc>
          <w:tcPr>
            <w:tcW w:w="1479"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2,902</w:t>
            </w:r>
          </w:p>
        </w:tc>
      </w:tr>
      <w:tr w:rsidR="00FF0C61" w:rsidRPr="00573DEB" w:rsidTr="00FF0C61">
        <w:trPr>
          <w:trHeight w:val="300"/>
        </w:trPr>
        <w:tc>
          <w:tcPr>
            <w:tcW w:w="942" w:type="dxa"/>
            <w:tcBorders>
              <w:top w:val="nil"/>
              <w:left w:val="nil"/>
              <w:bottom w:val="nil"/>
              <w:right w:val="nil"/>
            </w:tcBorders>
            <w:shd w:val="clear" w:color="auto" w:fill="auto"/>
            <w:noWrap/>
            <w:vAlign w:val="center"/>
            <w:hideMark/>
          </w:tcPr>
          <w:p w:rsidR="00FF0C61" w:rsidRPr="00573DEB" w:rsidRDefault="00FF0C61" w:rsidP="004B4B73">
            <w:pPr>
              <w:rPr>
                <w:rFonts w:ascii="Arial Narrow" w:hAnsi="Arial Narrow"/>
                <w:sz w:val="20"/>
                <w:szCs w:val="20"/>
                <w:lang w:eastAsia="pt-BR"/>
              </w:rPr>
            </w:pPr>
            <w:r w:rsidRPr="00573DEB">
              <w:rPr>
                <w:rFonts w:ascii="Arial Narrow" w:hAnsi="Arial Narrow"/>
                <w:sz w:val="20"/>
                <w:szCs w:val="20"/>
                <w:lang w:eastAsia="pt-BR"/>
              </w:rPr>
              <w:t>2011</w:t>
            </w:r>
          </w:p>
        </w:tc>
        <w:tc>
          <w:tcPr>
            <w:tcW w:w="925"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2,219</w:t>
            </w:r>
          </w:p>
        </w:tc>
        <w:tc>
          <w:tcPr>
            <w:tcW w:w="952"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31</w:t>
            </w:r>
          </w:p>
        </w:tc>
        <w:tc>
          <w:tcPr>
            <w:tcW w:w="934"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706</w:t>
            </w:r>
          </w:p>
        </w:tc>
        <w:tc>
          <w:tcPr>
            <w:tcW w:w="1479" w:type="dxa"/>
            <w:tcBorders>
              <w:top w:val="nil"/>
              <w:left w:val="nil"/>
              <w:bottom w:val="nil"/>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2,956</w:t>
            </w:r>
          </w:p>
        </w:tc>
      </w:tr>
      <w:tr w:rsidR="00FF0C61" w:rsidRPr="00573DEB" w:rsidTr="00FF0C61">
        <w:trPr>
          <w:trHeight w:val="315"/>
        </w:trPr>
        <w:tc>
          <w:tcPr>
            <w:tcW w:w="942" w:type="dxa"/>
            <w:tcBorders>
              <w:top w:val="nil"/>
              <w:left w:val="nil"/>
              <w:bottom w:val="single" w:sz="8" w:space="0" w:color="auto"/>
              <w:right w:val="nil"/>
            </w:tcBorders>
            <w:shd w:val="clear" w:color="auto" w:fill="auto"/>
            <w:noWrap/>
            <w:vAlign w:val="center"/>
            <w:hideMark/>
          </w:tcPr>
          <w:p w:rsidR="00FF0C61" w:rsidRPr="00573DEB" w:rsidRDefault="00FF0C61" w:rsidP="004B4B73">
            <w:pPr>
              <w:rPr>
                <w:rFonts w:ascii="Arial Narrow" w:hAnsi="Arial Narrow"/>
                <w:sz w:val="20"/>
                <w:szCs w:val="20"/>
                <w:lang w:eastAsia="pt-BR"/>
              </w:rPr>
            </w:pPr>
            <w:r w:rsidRPr="00573DEB">
              <w:rPr>
                <w:rFonts w:ascii="Arial Narrow" w:hAnsi="Arial Narrow"/>
                <w:sz w:val="20"/>
                <w:szCs w:val="20"/>
                <w:lang w:eastAsia="pt-BR"/>
              </w:rPr>
              <w:t>Total</w:t>
            </w:r>
          </w:p>
        </w:tc>
        <w:tc>
          <w:tcPr>
            <w:tcW w:w="925" w:type="dxa"/>
            <w:tcBorders>
              <w:top w:val="nil"/>
              <w:left w:val="nil"/>
              <w:bottom w:val="single" w:sz="8" w:space="0" w:color="auto"/>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29,901</w:t>
            </w:r>
          </w:p>
        </w:tc>
        <w:tc>
          <w:tcPr>
            <w:tcW w:w="952" w:type="dxa"/>
            <w:tcBorders>
              <w:top w:val="nil"/>
              <w:left w:val="nil"/>
              <w:bottom w:val="single" w:sz="8" w:space="0" w:color="auto"/>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200</w:t>
            </w:r>
          </w:p>
        </w:tc>
        <w:tc>
          <w:tcPr>
            <w:tcW w:w="934" w:type="dxa"/>
            <w:tcBorders>
              <w:top w:val="nil"/>
              <w:left w:val="nil"/>
              <w:bottom w:val="single" w:sz="8" w:space="0" w:color="auto"/>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8,942</w:t>
            </w:r>
          </w:p>
        </w:tc>
        <w:tc>
          <w:tcPr>
            <w:tcW w:w="1479" w:type="dxa"/>
            <w:tcBorders>
              <w:top w:val="nil"/>
              <w:left w:val="nil"/>
              <w:bottom w:val="single" w:sz="8" w:space="0" w:color="auto"/>
              <w:right w:val="nil"/>
            </w:tcBorders>
            <w:shd w:val="clear" w:color="auto" w:fill="auto"/>
            <w:noWrap/>
            <w:vAlign w:val="center"/>
            <w:hideMark/>
          </w:tcPr>
          <w:p w:rsidR="00FF0C61" w:rsidRPr="00573DEB" w:rsidRDefault="00FF0C61" w:rsidP="00FF0C61">
            <w:pPr>
              <w:jc w:val="right"/>
              <w:rPr>
                <w:rFonts w:ascii="Arial Narrow" w:hAnsi="Arial Narrow"/>
                <w:sz w:val="20"/>
                <w:szCs w:val="20"/>
                <w:lang w:eastAsia="pt-BR"/>
              </w:rPr>
            </w:pPr>
            <w:r w:rsidRPr="00573DEB">
              <w:rPr>
                <w:rFonts w:ascii="Arial Narrow" w:hAnsi="Arial Narrow"/>
                <w:sz w:val="20"/>
                <w:szCs w:val="20"/>
                <w:lang w:eastAsia="pt-BR"/>
              </w:rPr>
              <w:t>39,043</w:t>
            </w:r>
          </w:p>
        </w:tc>
      </w:tr>
    </w:tbl>
    <w:p w:rsidR="00FF0C61" w:rsidRPr="00573DEB" w:rsidRDefault="00FF0C61">
      <w:pPr>
        <w:widowControl/>
        <w:spacing w:after="200" w:line="276" w:lineRule="auto"/>
      </w:pPr>
      <w:r w:rsidRPr="00573DEB">
        <w:br w:type="page"/>
      </w:r>
    </w:p>
    <w:p w:rsidR="00FF0C61" w:rsidRPr="00573DEB" w:rsidRDefault="00FF0C61" w:rsidP="00FF0C61">
      <w:bookmarkStart w:id="296" w:name="_Toc388619992"/>
    </w:p>
    <w:p w:rsidR="00B000C0" w:rsidRPr="00573DEB" w:rsidRDefault="008C2A2F" w:rsidP="00FF0C61">
      <w:pPr>
        <w:pStyle w:val="Caption"/>
      </w:pPr>
      <w:r>
        <w:t xml:space="preserve">Table A.16:  </w:t>
      </w:r>
      <w:r w:rsidR="00B000C0" w:rsidRPr="00573DEB">
        <w:t>Utility Model applications by technological sector, 2000-2011</w:t>
      </w:r>
      <w:bookmarkEnd w:id="296"/>
    </w:p>
    <w:tbl>
      <w:tblPr>
        <w:tblW w:w="6881" w:type="dxa"/>
        <w:tblInd w:w="55" w:type="dxa"/>
        <w:tblCellMar>
          <w:left w:w="70" w:type="dxa"/>
          <w:right w:w="70" w:type="dxa"/>
        </w:tblCellMar>
        <w:tblLook w:val="04A0" w:firstRow="1" w:lastRow="0" w:firstColumn="1" w:lastColumn="0" w:noHBand="0" w:noVBand="1"/>
      </w:tblPr>
      <w:tblGrid>
        <w:gridCol w:w="414"/>
        <w:gridCol w:w="3113"/>
        <w:gridCol w:w="2338"/>
        <w:gridCol w:w="1016"/>
      </w:tblGrid>
      <w:tr w:rsidR="00B000C0" w:rsidRPr="00573DEB" w:rsidTr="00FF0C61">
        <w:trPr>
          <w:trHeight w:val="315"/>
        </w:trPr>
        <w:tc>
          <w:tcPr>
            <w:tcW w:w="414" w:type="dxa"/>
            <w:tcBorders>
              <w:top w:val="single" w:sz="8" w:space="0" w:color="auto"/>
              <w:left w:val="nil"/>
              <w:bottom w:val="single" w:sz="4" w:space="0" w:color="auto"/>
              <w:right w:val="nil"/>
            </w:tcBorders>
            <w:shd w:val="clear" w:color="auto" w:fill="auto"/>
            <w:noWrap/>
            <w:vAlign w:val="center"/>
          </w:tcPr>
          <w:p w:rsidR="00B000C0" w:rsidRPr="00573DEB" w:rsidRDefault="00B000C0" w:rsidP="004B4B73">
            <w:pPr>
              <w:rPr>
                <w:rFonts w:ascii="Arial Narrow" w:hAnsi="Arial Narrow"/>
                <w:sz w:val="20"/>
                <w:szCs w:val="20"/>
                <w:lang w:eastAsia="pt-BR"/>
              </w:rPr>
            </w:pPr>
          </w:p>
        </w:tc>
        <w:tc>
          <w:tcPr>
            <w:tcW w:w="3113"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rFonts w:ascii="Arial Narrow" w:hAnsi="Arial Narrow"/>
                <w:b/>
                <w:sz w:val="20"/>
                <w:szCs w:val="20"/>
                <w:lang w:eastAsia="pt-BR"/>
              </w:rPr>
            </w:pPr>
            <w:r w:rsidRPr="00573DEB">
              <w:rPr>
                <w:rFonts w:ascii="Arial Narrow" w:hAnsi="Arial Narrow"/>
                <w:b/>
                <w:sz w:val="20"/>
                <w:szCs w:val="20"/>
                <w:lang w:eastAsia="pt-BR"/>
              </w:rPr>
              <w:t>Field</w:t>
            </w:r>
          </w:p>
        </w:tc>
        <w:tc>
          <w:tcPr>
            <w:tcW w:w="2338"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rFonts w:ascii="Arial Narrow" w:hAnsi="Arial Narrow"/>
                <w:b/>
                <w:sz w:val="20"/>
                <w:szCs w:val="20"/>
                <w:lang w:eastAsia="pt-BR"/>
              </w:rPr>
            </w:pPr>
            <w:r w:rsidRPr="00573DEB">
              <w:rPr>
                <w:rFonts w:ascii="Arial Narrow" w:hAnsi="Arial Narrow"/>
                <w:b/>
                <w:sz w:val="20"/>
                <w:szCs w:val="20"/>
                <w:lang w:eastAsia="pt-BR"/>
              </w:rPr>
              <w:t>Sector</w:t>
            </w:r>
          </w:p>
        </w:tc>
        <w:tc>
          <w:tcPr>
            <w:tcW w:w="1016"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FF0C61">
            <w:pPr>
              <w:jc w:val="center"/>
              <w:rPr>
                <w:rFonts w:ascii="Arial Narrow" w:hAnsi="Arial Narrow"/>
                <w:b/>
                <w:sz w:val="20"/>
                <w:szCs w:val="20"/>
                <w:lang w:eastAsia="pt-BR"/>
              </w:rPr>
            </w:pPr>
            <w:r w:rsidRPr="00573DEB">
              <w:rPr>
                <w:rFonts w:ascii="Arial Narrow" w:hAnsi="Arial Narrow"/>
                <w:b/>
                <w:sz w:val="20"/>
                <w:szCs w:val="20"/>
                <w:lang w:eastAsia="pt-BR"/>
              </w:rPr>
              <w:t>2000-2011</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1</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Electrical machinery, apparatus, energy</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Electrical engineering</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1,671</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Audio-visual technology</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Electrical engineering</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1,309</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3</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Telecommunications</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Electrical engineering</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474</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4</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Digital communication</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Electrical engineering</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82</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5</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Basic communication processes</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Electrical engineering</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34</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6</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Computer technology</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Electrical engineering</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327</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7</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IT methods for management</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Electrical engineering</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78</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8</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Semiconductors</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Electrical engineering</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34</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9</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Optics</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Instruments</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217</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10</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Measurement</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Instruments</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766</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11</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Analysis of biological materials</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Instruments</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0</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12</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Control</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Instruments</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806</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13</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Medical technology</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Instruments</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2,414</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14</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Organic fine chemistry</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Chemistry</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17</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15</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Biotechnology</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Chemistry</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13</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16</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Pharmaceuticals</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Chemistry</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31</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17</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Macromolecular chemistry, polymers</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Chemistry</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28</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18</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Food chemistry</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Chemistry</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191</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19</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 xml:space="preserve">Basic materials chemistry </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Chemistry</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157</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Materials, metallurgy</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Chemistry</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124</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21</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Surface technology, coating</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Chemistry</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195</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22</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 xml:space="preserve">Micro-structural and </w:t>
            </w:r>
            <w:proofErr w:type="spellStart"/>
            <w:r w:rsidRPr="00573DEB">
              <w:rPr>
                <w:rFonts w:ascii="Arial Narrow" w:hAnsi="Arial Narrow"/>
                <w:sz w:val="20"/>
                <w:szCs w:val="20"/>
                <w:lang w:eastAsia="pt-BR"/>
              </w:rPr>
              <w:t>nano</w:t>
            </w:r>
            <w:proofErr w:type="spellEnd"/>
            <w:r w:rsidRPr="00573DEB">
              <w:rPr>
                <w:rFonts w:ascii="Arial Narrow" w:hAnsi="Arial Narrow"/>
                <w:sz w:val="20"/>
                <w:szCs w:val="20"/>
                <w:lang w:eastAsia="pt-BR"/>
              </w:rPr>
              <w:t>-technology</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Chemistry</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2</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23</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Chemical engineering</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Chemistry</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969</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24</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Environmental technology</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Chemistry</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657</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25</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Handling</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Mechanical engineering</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4,366</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26</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Machine tools</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Mechanical engineering</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1,113</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27</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Engines, pumps, turbines</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Mechanical engineering</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617</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28</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Textile and paper machines</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Mechanical engineering</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554</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29</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Other special machines</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Mechanical engineering</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3,244</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30</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Thermal processes and apparatus</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Mechanical engineering</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1,051</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31</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Mechanical elements</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Mechanical engineering</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1,662</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32</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Transport</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Mechanical engineering</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3,432</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33</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Furniture, games</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Other fields</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5,946</w:t>
            </w:r>
          </w:p>
        </w:tc>
      </w:tr>
      <w:tr w:rsidR="00B000C0" w:rsidRPr="00573DEB" w:rsidTr="00FF0C61">
        <w:trPr>
          <w:trHeight w:val="315"/>
        </w:trPr>
        <w:tc>
          <w:tcPr>
            <w:tcW w:w="414"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34</w:t>
            </w:r>
          </w:p>
        </w:tc>
        <w:tc>
          <w:tcPr>
            <w:tcW w:w="3113"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Other consumer goods</w:t>
            </w:r>
          </w:p>
        </w:tc>
        <w:tc>
          <w:tcPr>
            <w:tcW w:w="2338"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Other fields</w:t>
            </w:r>
          </w:p>
        </w:tc>
        <w:tc>
          <w:tcPr>
            <w:tcW w:w="1016" w:type="dxa"/>
            <w:tcBorders>
              <w:top w:val="nil"/>
              <w:left w:val="nil"/>
              <w:bottom w:val="nil"/>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4,117</w:t>
            </w:r>
          </w:p>
        </w:tc>
      </w:tr>
      <w:tr w:rsidR="00B000C0" w:rsidRPr="00573DEB" w:rsidTr="00FF0C61">
        <w:trPr>
          <w:trHeight w:val="330"/>
        </w:trPr>
        <w:tc>
          <w:tcPr>
            <w:tcW w:w="414" w:type="dxa"/>
            <w:tcBorders>
              <w:top w:val="nil"/>
              <w:left w:val="nil"/>
              <w:bottom w:val="single" w:sz="8" w:space="0" w:color="auto"/>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35</w:t>
            </w:r>
          </w:p>
        </w:tc>
        <w:tc>
          <w:tcPr>
            <w:tcW w:w="3113" w:type="dxa"/>
            <w:tcBorders>
              <w:top w:val="nil"/>
              <w:left w:val="nil"/>
              <w:bottom w:val="single" w:sz="8" w:space="0" w:color="auto"/>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Civil engineering</w:t>
            </w:r>
          </w:p>
        </w:tc>
        <w:tc>
          <w:tcPr>
            <w:tcW w:w="2338" w:type="dxa"/>
            <w:tcBorders>
              <w:top w:val="nil"/>
              <w:left w:val="nil"/>
              <w:bottom w:val="single" w:sz="8" w:space="0" w:color="auto"/>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Other fields</w:t>
            </w:r>
          </w:p>
        </w:tc>
        <w:tc>
          <w:tcPr>
            <w:tcW w:w="1016" w:type="dxa"/>
            <w:tcBorders>
              <w:top w:val="nil"/>
              <w:left w:val="nil"/>
              <w:bottom w:val="single" w:sz="8" w:space="0" w:color="auto"/>
              <w:right w:val="nil"/>
            </w:tcBorders>
            <w:shd w:val="clear" w:color="auto" w:fill="auto"/>
            <w:noWrap/>
            <w:vAlign w:val="bottom"/>
            <w:hideMark/>
          </w:tcPr>
          <w:p w:rsidR="00B000C0" w:rsidRPr="00573DEB" w:rsidRDefault="00B000C0" w:rsidP="00FF0C61">
            <w:pPr>
              <w:jc w:val="right"/>
              <w:rPr>
                <w:rFonts w:ascii="Arial Narrow" w:hAnsi="Arial Narrow"/>
                <w:sz w:val="20"/>
                <w:szCs w:val="20"/>
                <w:lang w:eastAsia="pt-BR"/>
              </w:rPr>
            </w:pPr>
            <w:r w:rsidRPr="00573DEB">
              <w:rPr>
                <w:rFonts w:ascii="Arial Narrow" w:hAnsi="Arial Narrow"/>
                <w:sz w:val="20"/>
                <w:szCs w:val="20"/>
                <w:lang w:eastAsia="pt-BR"/>
              </w:rPr>
              <w:t>4,092</w:t>
            </w:r>
          </w:p>
        </w:tc>
      </w:tr>
    </w:tbl>
    <w:p w:rsidR="00FF0C61" w:rsidRPr="00573DEB" w:rsidRDefault="00FF0C61" w:rsidP="004B4B73"/>
    <w:p w:rsidR="00FF0C61" w:rsidRPr="00573DEB" w:rsidRDefault="00FF0C61">
      <w:pPr>
        <w:widowControl/>
        <w:spacing w:after="200" w:line="276" w:lineRule="auto"/>
      </w:pPr>
      <w:r w:rsidRPr="00573DEB">
        <w:br w:type="page"/>
      </w:r>
    </w:p>
    <w:p w:rsidR="00B000C0" w:rsidRPr="00573DEB" w:rsidRDefault="00B000C0" w:rsidP="004B4B73"/>
    <w:p w:rsidR="00B000C0" w:rsidRPr="00573DEB" w:rsidRDefault="008C2A2F" w:rsidP="007F08FF">
      <w:pPr>
        <w:pStyle w:val="Caption"/>
      </w:pPr>
      <w:bookmarkStart w:id="297" w:name="_Toc388619993"/>
      <w:r>
        <w:t xml:space="preserve">Table A.17:  </w:t>
      </w:r>
      <w:r w:rsidR="00B000C0" w:rsidRPr="00573DEB">
        <w:t>Utility Model applications by economic sector, 2006-2011</w:t>
      </w:r>
      <w:bookmarkEnd w:id="297"/>
    </w:p>
    <w:tbl>
      <w:tblPr>
        <w:tblW w:w="8947" w:type="dxa"/>
        <w:tblInd w:w="55" w:type="dxa"/>
        <w:tblLayout w:type="fixed"/>
        <w:tblCellMar>
          <w:left w:w="0" w:type="dxa"/>
          <w:right w:w="0" w:type="dxa"/>
        </w:tblCellMar>
        <w:tblLook w:val="04A0" w:firstRow="1" w:lastRow="0" w:firstColumn="1" w:lastColumn="0" w:noHBand="0" w:noVBand="1"/>
      </w:tblPr>
      <w:tblGrid>
        <w:gridCol w:w="5827"/>
        <w:gridCol w:w="520"/>
        <w:gridCol w:w="520"/>
        <w:gridCol w:w="520"/>
        <w:gridCol w:w="520"/>
        <w:gridCol w:w="520"/>
        <w:gridCol w:w="520"/>
      </w:tblGrid>
      <w:tr w:rsidR="007F08FF" w:rsidRPr="00573DEB" w:rsidTr="007F08FF">
        <w:trPr>
          <w:trHeight w:val="300"/>
        </w:trPr>
        <w:tc>
          <w:tcPr>
            <w:tcW w:w="5827" w:type="dxa"/>
            <w:tcBorders>
              <w:top w:val="single" w:sz="8" w:space="0" w:color="auto"/>
              <w:left w:val="nil"/>
              <w:bottom w:val="single" w:sz="4" w:space="0" w:color="auto"/>
              <w:right w:val="nil"/>
            </w:tcBorders>
            <w:shd w:val="clear" w:color="auto" w:fill="auto"/>
            <w:noWrap/>
            <w:vAlign w:val="center"/>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Economic Sector</w:t>
            </w:r>
          </w:p>
          <w:p w:rsidR="007F08FF" w:rsidRPr="00573DEB" w:rsidRDefault="007F08FF" w:rsidP="004B4B73">
            <w:pPr>
              <w:rPr>
                <w:rFonts w:ascii="Arial Narrow" w:hAnsi="Arial Narrow" w:cs="Times New Roman"/>
                <w:bCs/>
                <w:color w:val="000000"/>
                <w:sz w:val="20"/>
                <w:szCs w:val="20"/>
                <w:lang w:eastAsia="pt-BR"/>
              </w:rPr>
            </w:pPr>
            <w:r w:rsidRPr="00573DEB">
              <w:rPr>
                <w:rFonts w:ascii="Arial Narrow" w:hAnsi="Arial Narrow" w:cs="Times New Roman"/>
                <w:bCs/>
                <w:color w:val="000000"/>
                <w:sz w:val="20"/>
                <w:szCs w:val="20"/>
                <w:lang w:eastAsia="pt-BR"/>
              </w:rPr>
              <w:t>(</w:t>
            </w:r>
            <w:r w:rsidRPr="00573DEB">
              <w:rPr>
                <w:rFonts w:ascii="Arial Narrow" w:hAnsi="Arial Narrow"/>
                <w:sz w:val="20"/>
                <w:szCs w:val="20"/>
              </w:rPr>
              <w:t>2 digits level of ISIC Rev,4)</w:t>
            </w:r>
          </w:p>
        </w:tc>
        <w:tc>
          <w:tcPr>
            <w:tcW w:w="520" w:type="dxa"/>
            <w:tcBorders>
              <w:top w:val="single" w:sz="8" w:space="0" w:color="auto"/>
              <w:left w:val="nil"/>
              <w:bottom w:val="single" w:sz="4" w:space="0" w:color="auto"/>
              <w:right w:val="nil"/>
            </w:tcBorders>
            <w:shd w:val="clear" w:color="auto" w:fill="auto"/>
            <w:noWrap/>
            <w:vAlign w:val="bottom"/>
            <w:hideMark/>
          </w:tcPr>
          <w:p w:rsidR="007F08FF" w:rsidRPr="00573DEB" w:rsidRDefault="007F08FF" w:rsidP="007F08FF">
            <w:pPr>
              <w:jc w:val="center"/>
              <w:rPr>
                <w:rFonts w:ascii="Arial Narrow" w:hAnsi="Arial Narrow"/>
                <w:b/>
                <w:sz w:val="20"/>
                <w:szCs w:val="20"/>
                <w:lang w:eastAsia="pt-BR"/>
              </w:rPr>
            </w:pPr>
            <w:r w:rsidRPr="00573DEB">
              <w:rPr>
                <w:rFonts w:ascii="Arial Narrow" w:hAnsi="Arial Narrow"/>
                <w:b/>
                <w:sz w:val="20"/>
                <w:szCs w:val="20"/>
                <w:lang w:eastAsia="pt-BR"/>
              </w:rPr>
              <w:t>2006</w:t>
            </w:r>
          </w:p>
        </w:tc>
        <w:tc>
          <w:tcPr>
            <w:tcW w:w="520" w:type="dxa"/>
            <w:tcBorders>
              <w:top w:val="single" w:sz="8" w:space="0" w:color="auto"/>
              <w:left w:val="nil"/>
              <w:bottom w:val="single" w:sz="4" w:space="0" w:color="auto"/>
              <w:right w:val="nil"/>
            </w:tcBorders>
            <w:shd w:val="clear" w:color="auto" w:fill="auto"/>
            <w:noWrap/>
            <w:vAlign w:val="bottom"/>
            <w:hideMark/>
          </w:tcPr>
          <w:p w:rsidR="007F08FF" w:rsidRPr="00573DEB" w:rsidRDefault="007F08FF" w:rsidP="007F08FF">
            <w:pPr>
              <w:jc w:val="center"/>
              <w:rPr>
                <w:rFonts w:ascii="Arial Narrow" w:hAnsi="Arial Narrow"/>
                <w:b/>
                <w:sz w:val="20"/>
                <w:szCs w:val="20"/>
                <w:lang w:eastAsia="pt-BR"/>
              </w:rPr>
            </w:pPr>
            <w:r w:rsidRPr="00573DEB">
              <w:rPr>
                <w:rFonts w:ascii="Arial Narrow" w:hAnsi="Arial Narrow"/>
                <w:b/>
                <w:sz w:val="20"/>
                <w:szCs w:val="20"/>
                <w:lang w:eastAsia="pt-BR"/>
              </w:rPr>
              <w:t>2007</w:t>
            </w:r>
          </w:p>
        </w:tc>
        <w:tc>
          <w:tcPr>
            <w:tcW w:w="520" w:type="dxa"/>
            <w:tcBorders>
              <w:top w:val="single" w:sz="8" w:space="0" w:color="auto"/>
              <w:left w:val="nil"/>
              <w:bottom w:val="single" w:sz="4" w:space="0" w:color="auto"/>
              <w:right w:val="nil"/>
            </w:tcBorders>
            <w:shd w:val="clear" w:color="auto" w:fill="auto"/>
            <w:noWrap/>
            <w:vAlign w:val="bottom"/>
            <w:hideMark/>
          </w:tcPr>
          <w:p w:rsidR="007F08FF" w:rsidRPr="00573DEB" w:rsidRDefault="007F08FF" w:rsidP="007F08FF">
            <w:pPr>
              <w:jc w:val="center"/>
              <w:rPr>
                <w:rFonts w:ascii="Arial Narrow" w:hAnsi="Arial Narrow"/>
                <w:b/>
                <w:sz w:val="20"/>
                <w:szCs w:val="20"/>
                <w:lang w:eastAsia="pt-BR"/>
              </w:rPr>
            </w:pPr>
            <w:r w:rsidRPr="00573DEB">
              <w:rPr>
                <w:rFonts w:ascii="Arial Narrow" w:hAnsi="Arial Narrow"/>
                <w:b/>
                <w:sz w:val="20"/>
                <w:szCs w:val="20"/>
                <w:lang w:eastAsia="pt-BR"/>
              </w:rPr>
              <w:t>2008</w:t>
            </w:r>
          </w:p>
        </w:tc>
        <w:tc>
          <w:tcPr>
            <w:tcW w:w="520" w:type="dxa"/>
            <w:tcBorders>
              <w:top w:val="single" w:sz="8" w:space="0" w:color="auto"/>
              <w:left w:val="nil"/>
              <w:bottom w:val="single" w:sz="4" w:space="0" w:color="auto"/>
              <w:right w:val="nil"/>
            </w:tcBorders>
            <w:shd w:val="clear" w:color="auto" w:fill="auto"/>
            <w:noWrap/>
            <w:vAlign w:val="bottom"/>
            <w:hideMark/>
          </w:tcPr>
          <w:p w:rsidR="007F08FF" w:rsidRPr="00573DEB" w:rsidRDefault="007F08FF" w:rsidP="007F08FF">
            <w:pPr>
              <w:jc w:val="center"/>
              <w:rPr>
                <w:rFonts w:ascii="Arial Narrow" w:hAnsi="Arial Narrow"/>
                <w:b/>
                <w:sz w:val="20"/>
                <w:szCs w:val="20"/>
                <w:lang w:eastAsia="pt-BR"/>
              </w:rPr>
            </w:pPr>
            <w:r w:rsidRPr="00573DEB">
              <w:rPr>
                <w:rFonts w:ascii="Arial Narrow" w:hAnsi="Arial Narrow"/>
                <w:b/>
                <w:sz w:val="20"/>
                <w:szCs w:val="20"/>
                <w:lang w:eastAsia="pt-BR"/>
              </w:rPr>
              <w:t>2009</w:t>
            </w:r>
          </w:p>
        </w:tc>
        <w:tc>
          <w:tcPr>
            <w:tcW w:w="520" w:type="dxa"/>
            <w:tcBorders>
              <w:top w:val="single" w:sz="8" w:space="0" w:color="auto"/>
              <w:left w:val="nil"/>
              <w:bottom w:val="single" w:sz="4" w:space="0" w:color="auto"/>
              <w:right w:val="nil"/>
            </w:tcBorders>
            <w:shd w:val="clear" w:color="auto" w:fill="auto"/>
            <w:noWrap/>
            <w:vAlign w:val="bottom"/>
            <w:hideMark/>
          </w:tcPr>
          <w:p w:rsidR="007F08FF" w:rsidRPr="00573DEB" w:rsidRDefault="007F08FF" w:rsidP="007F08FF">
            <w:pPr>
              <w:jc w:val="center"/>
              <w:rPr>
                <w:rFonts w:ascii="Arial Narrow" w:hAnsi="Arial Narrow"/>
                <w:b/>
                <w:sz w:val="20"/>
                <w:szCs w:val="20"/>
                <w:lang w:eastAsia="pt-BR"/>
              </w:rPr>
            </w:pPr>
            <w:r w:rsidRPr="00573DEB">
              <w:rPr>
                <w:rFonts w:ascii="Arial Narrow" w:hAnsi="Arial Narrow"/>
                <w:b/>
                <w:sz w:val="20"/>
                <w:szCs w:val="20"/>
                <w:lang w:eastAsia="pt-BR"/>
              </w:rPr>
              <w:t>2010</w:t>
            </w:r>
          </w:p>
        </w:tc>
        <w:tc>
          <w:tcPr>
            <w:tcW w:w="520" w:type="dxa"/>
            <w:tcBorders>
              <w:top w:val="single" w:sz="8" w:space="0" w:color="auto"/>
              <w:left w:val="nil"/>
              <w:bottom w:val="single" w:sz="4" w:space="0" w:color="auto"/>
              <w:right w:val="nil"/>
            </w:tcBorders>
            <w:shd w:val="clear" w:color="auto" w:fill="auto"/>
            <w:noWrap/>
            <w:vAlign w:val="bottom"/>
            <w:hideMark/>
          </w:tcPr>
          <w:p w:rsidR="007F08FF" w:rsidRPr="00573DEB" w:rsidRDefault="007F08FF" w:rsidP="007F08FF">
            <w:pPr>
              <w:jc w:val="center"/>
              <w:rPr>
                <w:rFonts w:ascii="Arial Narrow" w:hAnsi="Arial Narrow"/>
                <w:b/>
                <w:sz w:val="20"/>
                <w:szCs w:val="20"/>
                <w:lang w:eastAsia="pt-BR"/>
              </w:rPr>
            </w:pPr>
            <w:r w:rsidRPr="00573DEB">
              <w:rPr>
                <w:rFonts w:ascii="Arial Narrow" w:hAnsi="Arial Narrow"/>
                <w:b/>
                <w:sz w:val="20"/>
                <w:szCs w:val="20"/>
                <w:lang w:eastAsia="pt-BR"/>
              </w:rPr>
              <w:t>2011</w:t>
            </w:r>
          </w:p>
        </w:tc>
      </w:tr>
      <w:tr w:rsidR="007F08FF" w:rsidRPr="00573DEB" w:rsidTr="007F08FF">
        <w:trPr>
          <w:trHeight w:val="315"/>
        </w:trPr>
        <w:tc>
          <w:tcPr>
            <w:tcW w:w="5827" w:type="dxa"/>
            <w:tcBorders>
              <w:top w:val="nil"/>
              <w:left w:val="nil"/>
              <w:bottom w:val="single" w:sz="8" w:space="0" w:color="auto"/>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Total</w:t>
            </w:r>
          </w:p>
        </w:tc>
        <w:tc>
          <w:tcPr>
            <w:tcW w:w="520" w:type="dxa"/>
            <w:tcBorders>
              <w:top w:val="nil"/>
              <w:left w:val="nil"/>
              <w:bottom w:val="single" w:sz="8" w:space="0" w:color="auto"/>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650</w:t>
            </w:r>
          </w:p>
        </w:tc>
        <w:tc>
          <w:tcPr>
            <w:tcW w:w="520" w:type="dxa"/>
            <w:tcBorders>
              <w:top w:val="nil"/>
              <w:left w:val="nil"/>
              <w:bottom w:val="single" w:sz="8" w:space="0" w:color="auto"/>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671</w:t>
            </w:r>
          </w:p>
        </w:tc>
        <w:tc>
          <w:tcPr>
            <w:tcW w:w="520" w:type="dxa"/>
            <w:tcBorders>
              <w:top w:val="nil"/>
              <w:left w:val="nil"/>
              <w:bottom w:val="single" w:sz="8" w:space="0" w:color="auto"/>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776</w:t>
            </w:r>
          </w:p>
        </w:tc>
        <w:tc>
          <w:tcPr>
            <w:tcW w:w="520" w:type="dxa"/>
            <w:tcBorders>
              <w:top w:val="nil"/>
              <w:left w:val="nil"/>
              <w:bottom w:val="single" w:sz="8" w:space="0" w:color="auto"/>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858</w:t>
            </w:r>
          </w:p>
        </w:tc>
        <w:tc>
          <w:tcPr>
            <w:tcW w:w="520" w:type="dxa"/>
            <w:tcBorders>
              <w:top w:val="nil"/>
              <w:left w:val="nil"/>
              <w:bottom w:val="single" w:sz="8" w:space="0" w:color="auto"/>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801</w:t>
            </w:r>
          </w:p>
        </w:tc>
        <w:tc>
          <w:tcPr>
            <w:tcW w:w="520" w:type="dxa"/>
            <w:tcBorders>
              <w:top w:val="nil"/>
              <w:left w:val="nil"/>
              <w:bottom w:val="single" w:sz="8" w:space="0" w:color="auto"/>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737</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 xml:space="preserve">Manufacture of machinery and equipment </w:t>
            </w:r>
            <w:proofErr w:type="spellStart"/>
            <w:r w:rsidRPr="00573DEB">
              <w:rPr>
                <w:rFonts w:ascii="Arial Narrow" w:hAnsi="Arial Narrow"/>
                <w:sz w:val="20"/>
                <w:szCs w:val="20"/>
                <w:lang w:eastAsia="pt-BR"/>
              </w:rPr>
              <w:t>n,e,c</w:t>
            </w:r>
            <w:proofErr w:type="spellEnd"/>
            <w:r w:rsidRPr="00573DEB">
              <w:rPr>
                <w:rFonts w:ascii="Arial Narrow" w:hAnsi="Arial Narrow"/>
                <w:sz w:val="20"/>
                <w:szCs w:val="20"/>
                <w:lang w:eastAsia="pt-BR"/>
              </w:rPr>
              <w:t>,</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71</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84</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106</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125</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137</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94</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Manufacture of fabricated metal products, except machinery and equipment</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66</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38</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56</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66</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54</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42</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Manufacture of rubber and plastics products</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45</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64</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56</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74</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63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40</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Manufacture of electrical equipment</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37</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54</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53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29</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34</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Manufacture of motor vehicles, trailers and semi-trailers</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26</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37</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45</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54</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45</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31</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Wholesale trade, except of motor vehicles and motorcycles</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29</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25</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30</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37</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35</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28</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Other manufacturing</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45</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27</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30</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41</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36</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26</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Education</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10</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20</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19</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26</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34</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25</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Manufacture of furniture</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17</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25</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31</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41</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18</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17</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Retail trade, except of motor vehicles and motorcycles</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27</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24</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35</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14</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Manufacture of paper and paper products</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17</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18</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20</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13</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Manufacture of computer, electronic and optical products</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15</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21</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29</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13</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Manufacture of leather and related products</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15</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10</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37</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17</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10</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Manufacture of basic metals</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8</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15</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8</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8</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9</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Manufacture of other non-metallic mineral products</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10</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10</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8</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7</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Printing and reproduction of recorded media</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6</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Manufacture of chemicals and chemical products</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7</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14</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7</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11</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6</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Rental and leasing activities</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9</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6</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Manufacture of textiles</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14</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8</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5</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Manufacture of other transport equipment</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7</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10</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5</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Computer programming, consultancy and related activities</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5</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Financial service activities, except insurance and pension funding</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5</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 xml:space="preserve">Public administration and </w:t>
            </w:r>
            <w:proofErr w:type="spellStart"/>
            <w:r w:rsidRPr="00573DEB">
              <w:rPr>
                <w:rFonts w:ascii="Arial Narrow" w:hAnsi="Arial Narrow"/>
                <w:sz w:val="20"/>
                <w:szCs w:val="20"/>
                <w:lang w:eastAsia="pt-BR"/>
              </w:rPr>
              <w:t>defence</w:t>
            </w:r>
            <w:proofErr w:type="spellEnd"/>
            <w:r w:rsidRPr="00573DEB">
              <w:rPr>
                <w:rFonts w:ascii="Arial Narrow" w:hAnsi="Arial Narrow"/>
                <w:sz w:val="20"/>
                <w:szCs w:val="20"/>
                <w:lang w:eastAsia="pt-BR"/>
              </w:rPr>
              <w:t>; compulsory social security</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11</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5</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Human health activities</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5</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Manufacture of wearing apparel</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10</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9</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Repair and installation of machinery and equipment</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17</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Architectural and engineering activities; technical testing and analysis</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8</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w:t>
            </w:r>
          </w:p>
        </w:tc>
      </w:tr>
      <w:tr w:rsidR="007F08FF" w:rsidRPr="00573DEB" w:rsidTr="007F08FF">
        <w:trPr>
          <w:trHeight w:val="6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Manufacture of wood and of products of wood and cork, except furniture; manufacture of articles of straw and plaiting materials</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9</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7</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7</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Civil engineering</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8</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Information service activities</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Scientific research and development</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Manufacture of food products</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7</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Wholesale and retail trade and repair of motor vehicles and motorcycles</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6</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7</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8</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Land transport and transport via pipelines</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Activities of head offices; management consultancy activities</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Advertising and market research</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3</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5</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r>
      <w:tr w:rsidR="007F08FF" w:rsidRPr="00573DEB" w:rsidTr="007F08FF">
        <w:trPr>
          <w:trHeight w:val="300"/>
        </w:trPr>
        <w:tc>
          <w:tcPr>
            <w:tcW w:w="5827" w:type="dxa"/>
            <w:tcBorders>
              <w:top w:val="nil"/>
              <w:left w:val="nil"/>
              <w:bottom w:val="nil"/>
              <w:right w:val="nil"/>
            </w:tcBorders>
            <w:shd w:val="clear" w:color="auto" w:fill="auto"/>
            <w:vAlign w:val="bottom"/>
            <w:hideMark/>
          </w:tcPr>
          <w:p w:rsidR="007F08FF" w:rsidRPr="00573DEB" w:rsidRDefault="007F08FF" w:rsidP="004B4B73">
            <w:pPr>
              <w:rPr>
                <w:rFonts w:ascii="Arial Narrow" w:hAnsi="Arial Narrow"/>
                <w:sz w:val="20"/>
                <w:szCs w:val="20"/>
                <w:lang w:eastAsia="pt-BR"/>
              </w:rPr>
            </w:pPr>
            <w:r w:rsidRPr="00573DEB">
              <w:rPr>
                <w:rFonts w:ascii="Arial Narrow" w:hAnsi="Arial Narrow"/>
                <w:sz w:val="20"/>
                <w:szCs w:val="20"/>
                <w:lang w:eastAsia="pt-BR"/>
              </w:rPr>
              <w:t>Other professional, scientific and technical activities</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4</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1</w:t>
            </w:r>
          </w:p>
        </w:tc>
        <w:tc>
          <w:tcPr>
            <w:tcW w:w="520" w:type="dxa"/>
            <w:tcBorders>
              <w:top w:val="nil"/>
              <w:left w:val="nil"/>
              <w:bottom w:val="nil"/>
              <w:right w:val="nil"/>
            </w:tcBorders>
            <w:shd w:val="clear" w:color="auto" w:fill="auto"/>
            <w:noWrap/>
            <w:vAlign w:val="bottom"/>
            <w:hideMark/>
          </w:tcPr>
          <w:p w:rsidR="007F08FF" w:rsidRPr="00573DEB" w:rsidRDefault="007F08FF" w:rsidP="007F08FF">
            <w:pPr>
              <w:jc w:val="center"/>
              <w:rPr>
                <w:rFonts w:ascii="Arial Narrow" w:hAnsi="Arial Narrow"/>
                <w:sz w:val="20"/>
                <w:szCs w:val="20"/>
                <w:lang w:eastAsia="pt-BR"/>
              </w:rPr>
            </w:pPr>
            <w:r w:rsidRPr="00573DEB">
              <w:rPr>
                <w:rFonts w:ascii="Arial Narrow" w:hAnsi="Arial Narrow"/>
                <w:sz w:val="20"/>
                <w:szCs w:val="20"/>
                <w:lang w:eastAsia="pt-BR"/>
              </w:rPr>
              <w:t>2</w:t>
            </w:r>
          </w:p>
        </w:tc>
      </w:tr>
    </w:tbl>
    <w:p w:rsidR="007F08FF" w:rsidRPr="008C2A2F" w:rsidRDefault="007F08FF" w:rsidP="007F08FF">
      <w:pPr>
        <w:pStyle w:val="Captionnotes"/>
        <w:rPr>
          <w:i w:val="0"/>
        </w:rPr>
      </w:pPr>
      <w:r w:rsidRPr="008C2A2F">
        <w:rPr>
          <w:i w:val="0"/>
        </w:rPr>
        <w:t>Economic sector data are not available for all resident companies, because part of them had missing information for CNPJ and thus could not be classified. Only first 35 sectors reported.</w:t>
      </w:r>
    </w:p>
    <w:p w:rsidR="00B000C0" w:rsidRPr="00573DEB" w:rsidRDefault="00B000C0" w:rsidP="007F08FF"/>
    <w:p w:rsidR="007F08FF" w:rsidRPr="00573DEB" w:rsidRDefault="007F08FF">
      <w:pPr>
        <w:widowControl/>
        <w:spacing w:after="200" w:line="276" w:lineRule="auto"/>
      </w:pPr>
      <w:r w:rsidRPr="00573DEB">
        <w:br w:type="page"/>
      </w:r>
    </w:p>
    <w:p w:rsidR="00B000C0" w:rsidRPr="00573DEB" w:rsidRDefault="00B000C0" w:rsidP="004B4B73"/>
    <w:p w:rsidR="00B000C0" w:rsidRPr="00573DEB" w:rsidRDefault="008C2A2F" w:rsidP="00284462">
      <w:pPr>
        <w:pStyle w:val="Caption"/>
      </w:pPr>
      <w:bookmarkStart w:id="298" w:name="_Toc366845921"/>
      <w:bookmarkStart w:id="299" w:name="_Toc367700259"/>
      <w:bookmarkStart w:id="300" w:name="_Toc388619994"/>
      <w:r>
        <w:t xml:space="preserve">Table A.18:  </w:t>
      </w:r>
      <w:r w:rsidR="00B000C0" w:rsidRPr="00573DEB">
        <w:t xml:space="preserve">Utility Model </w:t>
      </w:r>
      <w:bookmarkEnd w:id="298"/>
      <w:bookmarkEnd w:id="299"/>
      <w:r w:rsidR="00B000C0" w:rsidRPr="00573DEB">
        <w:t>grants by origin, 2000-2011</w:t>
      </w:r>
      <w:bookmarkEnd w:id="300"/>
    </w:p>
    <w:tbl>
      <w:tblPr>
        <w:tblW w:w="5180" w:type="dxa"/>
        <w:tblInd w:w="55" w:type="dxa"/>
        <w:tblCellMar>
          <w:left w:w="70" w:type="dxa"/>
          <w:right w:w="70" w:type="dxa"/>
        </w:tblCellMar>
        <w:tblLook w:val="04A0" w:firstRow="1" w:lastRow="0" w:firstColumn="1" w:lastColumn="0" w:noHBand="0" w:noVBand="1"/>
      </w:tblPr>
      <w:tblGrid>
        <w:gridCol w:w="630"/>
        <w:gridCol w:w="1520"/>
        <w:gridCol w:w="1520"/>
        <w:gridCol w:w="1520"/>
      </w:tblGrid>
      <w:tr w:rsidR="00B000C0" w:rsidRPr="00573DEB" w:rsidTr="004B4B73">
        <w:trPr>
          <w:trHeight w:val="300"/>
        </w:trPr>
        <w:tc>
          <w:tcPr>
            <w:tcW w:w="620"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4B4B73">
            <w:pPr>
              <w:rPr>
                <w:lang w:eastAsia="pt-BR"/>
              </w:rPr>
            </w:pPr>
            <w:r w:rsidRPr="00573DEB">
              <w:rPr>
                <w:lang w:eastAsia="pt-BR"/>
              </w:rPr>
              <w:t>Year</w:t>
            </w:r>
          </w:p>
        </w:tc>
        <w:tc>
          <w:tcPr>
            <w:tcW w:w="152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Residents</w:t>
            </w:r>
          </w:p>
        </w:tc>
        <w:tc>
          <w:tcPr>
            <w:tcW w:w="152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Non-residents</w:t>
            </w:r>
          </w:p>
        </w:tc>
        <w:tc>
          <w:tcPr>
            <w:tcW w:w="152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Total</w:t>
            </w:r>
          </w:p>
        </w:tc>
      </w:tr>
      <w:tr w:rsidR="00B000C0" w:rsidRPr="00573DEB" w:rsidTr="004B4B73">
        <w:trPr>
          <w:trHeight w:val="300"/>
        </w:trPr>
        <w:tc>
          <w:tcPr>
            <w:tcW w:w="6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2000</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403</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24</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427</w:t>
            </w:r>
          </w:p>
        </w:tc>
      </w:tr>
      <w:tr w:rsidR="00B000C0" w:rsidRPr="00573DEB" w:rsidTr="004B4B73">
        <w:trPr>
          <w:trHeight w:val="300"/>
        </w:trPr>
        <w:tc>
          <w:tcPr>
            <w:tcW w:w="6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2001</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310</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12</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322</w:t>
            </w:r>
          </w:p>
        </w:tc>
      </w:tr>
      <w:tr w:rsidR="00B000C0" w:rsidRPr="00573DEB" w:rsidTr="004B4B73">
        <w:trPr>
          <w:trHeight w:val="300"/>
        </w:trPr>
        <w:tc>
          <w:tcPr>
            <w:tcW w:w="6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2002</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336</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19</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355</w:t>
            </w:r>
          </w:p>
        </w:tc>
      </w:tr>
      <w:tr w:rsidR="00B000C0" w:rsidRPr="00573DEB" w:rsidTr="004B4B73">
        <w:trPr>
          <w:trHeight w:val="300"/>
        </w:trPr>
        <w:tc>
          <w:tcPr>
            <w:tcW w:w="6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2003</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437</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28</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465</w:t>
            </w:r>
          </w:p>
        </w:tc>
      </w:tr>
      <w:tr w:rsidR="00B000C0" w:rsidRPr="00573DEB" w:rsidTr="004B4B73">
        <w:trPr>
          <w:trHeight w:val="300"/>
        </w:trPr>
        <w:tc>
          <w:tcPr>
            <w:tcW w:w="6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2004</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246</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12</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258</w:t>
            </w:r>
          </w:p>
        </w:tc>
      </w:tr>
      <w:tr w:rsidR="00B000C0" w:rsidRPr="00573DEB" w:rsidTr="004B4B73">
        <w:trPr>
          <w:trHeight w:val="300"/>
        </w:trPr>
        <w:tc>
          <w:tcPr>
            <w:tcW w:w="6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2005</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339</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21</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360</w:t>
            </w:r>
          </w:p>
        </w:tc>
      </w:tr>
      <w:tr w:rsidR="00B000C0" w:rsidRPr="00573DEB" w:rsidTr="004B4B73">
        <w:trPr>
          <w:trHeight w:val="300"/>
        </w:trPr>
        <w:tc>
          <w:tcPr>
            <w:tcW w:w="6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2006</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256</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14</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270</w:t>
            </w:r>
          </w:p>
        </w:tc>
      </w:tr>
      <w:tr w:rsidR="00B000C0" w:rsidRPr="00573DEB" w:rsidTr="004B4B73">
        <w:trPr>
          <w:trHeight w:val="300"/>
        </w:trPr>
        <w:tc>
          <w:tcPr>
            <w:tcW w:w="6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2007</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185</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12</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197</w:t>
            </w:r>
          </w:p>
        </w:tc>
      </w:tr>
      <w:tr w:rsidR="00B000C0" w:rsidRPr="00573DEB" w:rsidTr="004B4B73">
        <w:trPr>
          <w:trHeight w:val="300"/>
        </w:trPr>
        <w:tc>
          <w:tcPr>
            <w:tcW w:w="6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2008</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277</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10</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287</w:t>
            </w:r>
          </w:p>
        </w:tc>
      </w:tr>
      <w:tr w:rsidR="00B000C0" w:rsidRPr="00573DEB" w:rsidTr="004B4B73">
        <w:trPr>
          <w:trHeight w:val="300"/>
        </w:trPr>
        <w:tc>
          <w:tcPr>
            <w:tcW w:w="6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2009</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335</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21</w:t>
            </w:r>
          </w:p>
        </w:tc>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356</w:t>
            </w:r>
          </w:p>
        </w:tc>
      </w:tr>
      <w:tr w:rsidR="00B000C0" w:rsidRPr="00573DEB" w:rsidTr="004B4B73">
        <w:trPr>
          <w:trHeight w:val="300"/>
        </w:trPr>
        <w:tc>
          <w:tcPr>
            <w:tcW w:w="620" w:type="dxa"/>
            <w:tcBorders>
              <w:top w:val="nil"/>
              <w:left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2010</w:t>
            </w:r>
          </w:p>
        </w:tc>
        <w:tc>
          <w:tcPr>
            <w:tcW w:w="1520" w:type="dxa"/>
            <w:tcBorders>
              <w:top w:val="nil"/>
              <w:left w:val="nil"/>
              <w:right w:val="nil"/>
            </w:tcBorders>
            <w:shd w:val="clear" w:color="auto" w:fill="auto"/>
            <w:noWrap/>
            <w:vAlign w:val="center"/>
            <w:hideMark/>
          </w:tcPr>
          <w:p w:rsidR="00B000C0" w:rsidRPr="00573DEB" w:rsidRDefault="00B000C0" w:rsidP="004B4B73">
            <w:pPr>
              <w:rPr>
                <w:lang w:eastAsia="pt-BR"/>
              </w:rPr>
            </w:pPr>
            <w:r w:rsidRPr="00573DEB">
              <w:rPr>
                <w:lang w:eastAsia="pt-BR"/>
              </w:rPr>
              <w:t>343</w:t>
            </w:r>
          </w:p>
        </w:tc>
        <w:tc>
          <w:tcPr>
            <w:tcW w:w="1520" w:type="dxa"/>
            <w:tcBorders>
              <w:top w:val="nil"/>
              <w:left w:val="nil"/>
              <w:right w:val="nil"/>
            </w:tcBorders>
            <w:shd w:val="clear" w:color="auto" w:fill="auto"/>
            <w:noWrap/>
            <w:vAlign w:val="center"/>
            <w:hideMark/>
          </w:tcPr>
          <w:p w:rsidR="00B000C0" w:rsidRPr="00573DEB" w:rsidRDefault="00B000C0" w:rsidP="004B4B73">
            <w:pPr>
              <w:rPr>
                <w:lang w:eastAsia="pt-BR"/>
              </w:rPr>
            </w:pPr>
            <w:r w:rsidRPr="00573DEB">
              <w:rPr>
                <w:lang w:eastAsia="pt-BR"/>
              </w:rPr>
              <w:t>18</w:t>
            </w:r>
          </w:p>
        </w:tc>
        <w:tc>
          <w:tcPr>
            <w:tcW w:w="1520" w:type="dxa"/>
            <w:tcBorders>
              <w:top w:val="nil"/>
              <w:left w:val="nil"/>
              <w:right w:val="nil"/>
            </w:tcBorders>
            <w:shd w:val="clear" w:color="auto" w:fill="auto"/>
            <w:noWrap/>
            <w:vAlign w:val="center"/>
            <w:hideMark/>
          </w:tcPr>
          <w:p w:rsidR="00B000C0" w:rsidRPr="00573DEB" w:rsidRDefault="00B000C0" w:rsidP="004B4B73">
            <w:pPr>
              <w:rPr>
                <w:lang w:eastAsia="pt-BR"/>
              </w:rPr>
            </w:pPr>
            <w:r w:rsidRPr="00573DEB">
              <w:rPr>
                <w:lang w:eastAsia="pt-BR"/>
              </w:rPr>
              <w:t>361</w:t>
            </w:r>
          </w:p>
        </w:tc>
      </w:tr>
      <w:tr w:rsidR="00B000C0" w:rsidRPr="00573DEB" w:rsidTr="004B4B73">
        <w:trPr>
          <w:trHeight w:val="300"/>
        </w:trPr>
        <w:tc>
          <w:tcPr>
            <w:tcW w:w="620" w:type="dxa"/>
            <w:tcBorders>
              <w:top w:val="nil"/>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2011</w:t>
            </w:r>
          </w:p>
        </w:tc>
        <w:tc>
          <w:tcPr>
            <w:tcW w:w="1520" w:type="dxa"/>
            <w:tcBorders>
              <w:top w:val="nil"/>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332</w:t>
            </w:r>
          </w:p>
        </w:tc>
        <w:tc>
          <w:tcPr>
            <w:tcW w:w="1520" w:type="dxa"/>
            <w:tcBorders>
              <w:top w:val="nil"/>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17</w:t>
            </w:r>
          </w:p>
        </w:tc>
        <w:tc>
          <w:tcPr>
            <w:tcW w:w="1520" w:type="dxa"/>
            <w:tcBorders>
              <w:top w:val="nil"/>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349</w:t>
            </w:r>
          </w:p>
        </w:tc>
      </w:tr>
    </w:tbl>
    <w:p w:rsidR="00B000C0" w:rsidRPr="00573DEB" w:rsidRDefault="00B000C0" w:rsidP="004B4B73"/>
    <w:p w:rsidR="00B000C0" w:rsidRPr="00573DEB" w:rsidRDefault="00B000C0" w:rsidP="004B4B73">
      <w:pPr>
        <w:pStyle w:val="Heading1"/>
        <w:rPr>
          <w:rFonts w:cs="Times New Roman"/>
        </w:rPr>
      </w:pPr>
      <w:bookmarkStart w:id="301" w:name="_Toc388619995"/>
      <w:bookmarkStart w:id="302" w:name="_Toc366845925"/>
      <w:bookmarkStart w:id="303" w:name="_Toc367700263"/>
      <w:r w:rsidRPr="00573DEB">
        <w:t>Industrial Designs</w:t>
      </w:r>
      <w:bookmarkEnd w:id="301"/>
      <w:r w:rsidRPr="00573DEB">
        <w:t xml:space="preserve"> </w:t>
      </w:r>
    </w:p>
    <w:bookmarkEnd w:id="302"/>
    <w:bookmarkEnd w:id="303"/>
    <w:p w:rsidR="00B000C0" w:rsidRPr="00573DEB" w:rsidRDefault="00B000C0" w:rsidP="004B4B73"/>
    <w:p w:rsidR="00B000C0" w:rsidRPr="00573DEB" w:rsidRDefault="008C2A2F" w:rsidP="00284462">
      <w:pPr>
        <w:pStyle w:val="Caption"/>
      </w:pPr>
      <w:bookmarkStart w:id="304" w:name="_Toc388619996"/>
      <w:r>
        <w:t xml:space="preserve">Table A.19:  </w:t>
      </w:r>
      <w:r w:rsidR="00B000C0" w:rsidRPr="00573DEB">
        <w:t>Industrial Design applications by origin, 2000-2011</w:t>
      </w:r>
      <w:bookmarkEnd w:id="304"/>
    </w:p>
    <w:tbl>
      <w:tblPr>
        <w:tblW w:w="5140" w:type="dxa"/>
        <w:tblInd w:w="55" w:type="dxa"/>
        <w:tblCellMar>
          <w:left w:w="70" w:type="dxa"/>
          <w:right w:w="70" w:type="dxa"/>
        </w:tblCellMar>
        <w:tblLook w:val="04A0" w:firstRow="1" w:lastRow="0" w:firstColumn="1" w:lastColumn="0" w:noHBand="0" w:noVBand="1"/>
      </w:tblPr>
      <w:tblGrid>
        <w:gridCol w:w="1520"/>
        <w:gridCol w:w="1560"/>
        <w:gridCol w:w="1060"/>
        <w:gridCol w:w="1000"/>
      </w:tblGrid>
      <w:tr w:rsidR="00B000C0" w:rsidRPr="00573DEB" w:rsidTr="004B4B73">
        <w:trPr>
          <w:trHeight w:val="585"/>
        </w:trPr>
        <w:tc>
          <w:tcPr>
            <w:tcW w:w="1520" w:type="dxa"/>
            <w:tcBorders>
              <w:top w:val="single" w:sz="8" w:space="0" w:color="auto"/>
              <w:left w:val="nil"/>
              <w:bottom w:val="single" w:sz="8" w:space="0" w:color="auto"/>
              <w:right w:val="nil"/>
            </w:tcBorders>
            <w:shd w:val="clear" w:color="auto" w:fill="auto"/>
            <w:vAlign w:val="center"/>
            <w:hideMark/>
          </w:tcPr>
          <w:p w:rsidR="00B000C0" w:rsidRPr="00573DEB" w:rsidRDefault="00B000C0" w:rsidP="004B4B73">
            <w:pPr>
              <w:rPr>
                <w:lang w:eastAsia="pt-BR"/>
              </w:rPr>
            </w:pPr>
            <w:r w:rsidRPr="00573DEB">
              <w:rPr>
                <w:lang w:eastAsia="pt-BR"/>
              </w:rPr>
              <w:t>Application Year</w:t>
            </w:r>
          </w:p>
        </w:tc>
        <w:tc>
          <w:tcPr>
            <w:tcW w:w="1560" w:type="dxa"/>
            <w:tcBorders>
              <w:top w:val="single" w:sz="8" w:space="0" w:color="auto"/>
              <w:left w:val="nil"/>
              <w:bottom w:val="single" w:sz="8" w:space="0" w:color="auto"/>
              <w:right w:val="nil"/>
            </w:tcBorders>
            <w:shd w:val="clear" w:color="auto" w:fill="auto"/>
            <w:vAlign w:val="center"/>
            <w:hideMark/>
          </w:tcPr>
          <w:p w:rsidR="00B000C0" w:rsidRPr="00573DEB" w:rsidRDefault="00B000C0" w:rsidP="004B4B73">
            <w:pPr>
              <w:rPr>
                <w:lang w:eastAsia="pt-BR"/>
              </w:rPr>
            </w:pPr>
            <w:r w:rsidRPr="00573DEB">
              <w:rPr>
                <w:lang w:eastAsia="pt-BR"/>
              </w:rPr>
              <w:t>Non-Resident</w:t>
            </w:r>
          </w:p>
        </w:tc>
        <w:tc>
          <w:tcPr>
            <w:tcW w:w="1060" w:type="dxa"/>
            <w:tcBorders>
              <w:top w:val="single" w:sz="8" w:space="0" w:color="auto"/>
              <w:left w:val="nil"/>
              <w:bottom w:val="single" w:sz="8" w:space="0" w:color="auto"/>
              <w:right w:val="nil"/>
            </w:tcBorders>
            <w:shd w:val="clear" w:color="auto" w:fill="auto"/>
            <w:vAlign w:val="center"/>
            <w:hideMark/>
          </w:tcPr>
          <w:p w:rsidR="00B000C0" w:rsidRPr="00573DEB" w:rsidRDefault="00B000C0" w:rsidP="004B4B73">
            <w:pPr>
              <w:rPr>
                <w:lang w:eastAsia="pt-BR"/>
              </w:rPr>
            </w:pPr>
            <w:r w:rsidRPr="00573DEB">
              <w:rPr>
                <w:lang w:eastAsia="pt-BR"/>
              </w:rPr>
              <w:t>Resident</w:t>
            </w:r>
          </w:p>
        </w:tc>
        <w:tc>
          <w:tcPr>
            <w:tcW w:w="1000" w:type="dxa"/>
            <w:tcBorders>
              <w:top w:val="single" w:sz="8" w:space="0" w:color="auto"/>
              <w:left w:val="nil"/>
              <w:bottom w:val="single" w:sz="8" w:space="0" w:color="auto"/>
              <w:right w:val="nil"/>
            </w:tcBorders>
            <w:shd w:val="clear" w:color="auto" w:fill="auto"/>
            <w:vAlign w:val="center"/>
            <w:hideMark/>
          </w:tcPr>
          <w:p w:rsidR="00B000C0" w:rsidRPr="00573DEB" w:rsidRDefault="00B000C0" w:rsidP="004B4B73">
            <w:pPr>
              <w:rPr>
                <w:lang w:eastAsia="pt-BR"/>
              </w:rPr>
            </w:pPr>
            <w:r w:rsidRPr="00573DEB">
              <w:rPr>
                <w:lang w:eastAsia="pt-BR"/>
              </w:rPr>
              <w:t>Total</w:t>
            </w:r>
          </w:p>
        </w:tc>
      </w:tr>
      <w:tr w:rsidR="00B000C0" w:rsidRPr="00573DEB" w:rsidTr="004B4B73">
        <w:trPr>
          <w:trHeight w:val="300"/>
        </w:trPr>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2000</w:t>
            </w:r>
          </w:p>
        </w:tc>
        <w:tc>
          <w:tcPr>
            <w:tcW w:w="15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906</w:t>
            </w:r>
          </w:p>
        </w:tc>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2,704</w:t>
            </w:r>
          </w:p>
        </w:tc>
        <w:tc>
          <w:tcPr>
            <w:tcW w:w="100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3,610</w:t>
            </w:r>
          </w:p>
        </w:tc>
      </w:tr>
      <w:tr w:rsidR="00B000C0" w:rsidRPr="00573DEB" w:rsidTr="004B4B73">
        <w:trPr>
          <w:trHeight w:val="300"/>
        </w:trPr>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2001</w:t>
            </w:r>
          </w:p>
        </w:tc>
        <w:tc>
          <w:tcPr>
            <w:tcW w:w="15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881</w:t>
            </w:r>
          </w:p>
        </w:tc>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2,897</w:t>
            </w:r>
          </w:p>
        </w:tc>
        <w:tc>
          <w:tcPr>
            <w:tcW w:w="100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3,778</w:t>
            </w:r>
          </w:p>
        </w:tc>
      </w:tr>
      <w:tr w:rsidR="00B000C0" w:rsidRPr="00573DEB" w:rsidTr="004B4B73">
        <w:trPr>
          <w:trHeight w:val="300"/>
        </w:trPr>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2002</w:t>
            </w:r>
          </w:p>
        </w:tc>
        <w:tc>
          <w:tcPr>
            <w:tcW w:w="15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882</w:t>
            </w:r>
          </w:p>
        </w:tc>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3,419</w:t>
            </w:r>
          </w:p>
        </w:tc>
        <w:tc>
          <w:tcPr>
            <w:tcW w:w="100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4,301</w:t>
            </w:r>
          </w:p>
        </w:tc>
      </w:tr>
      <w:tr w:rsidR="00B000C0" w:rsidRPr="00573DEB" w:rsidTr="004B4B73">
        <w:trPr>
          <w:trHeight w:val="300"/>
        </w:trPr>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2003</w:t>
            </w:r>
          </w:p>
        </w:tc>
        <w:tc>
          <w:tcPr>
            <w:tcW w:w="15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989</w:t>
            </w:r>
          </w:p>
        </w:tc>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4,009</w:t>
            </w:r>
          </w:p>
        </w:tc>
        <w:tc>
          <w:tcPr>
            <w:tcW w:w="100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4,998</w:t>
            </w:r>
          </w:p>
        </w:tc>
      </w:tr>
      <w:tr w:rsidR="00B000C0" w:rsidRPr="00573DEB" w:rsidTr="004B4B73">
        <w:trPr>
          <w:trHeight w:val="300"/>
        </w:trPr>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2004</w:t>
            </w:r>
          </w:p>
        </w:tc>
        <w:tc>
          <w:tcPr>
            <w:tcW w:w="15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1,194</w:t>
            </w:r>
          </w:p>
        </w:tc>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3,738</w:t>
            </w:r>
          </w:p>
        </w:tc>
        <w:tc>
          <w:tcPr>
            <w:tcW w:w="100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4,932</w:t>
            </w:r>
          </w:p>
        </w:tc>
      </w:tr>
      <w:tr w:rsidR="00B000C0" w:rsidRPr="00573DEB" w:rsidTr="004B4B73">
        <w:trPr>
          <w:trHeight w:val="300"/>
        </w:trPr>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2005</w:t>
            </w:r>
          </w:p>
        </w:tc>
        <w:tc>
          <w:tcPr>
            <w:tcW w:w="15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1,395</w:t>
            </w:r>
          </w:p>
        </w:tc>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3,837</w:t>
            </w:r>
          </w:p>
        </w:tc>
        <w:tc>
          <w:tcPr>
            <w:tcW w:w="100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5,232</w:t>
            </w:r>
          </w:p>
        </w:tc>
      </w:tr>
      <w:tr w:rsidR="00B000C0" w:rsidRPr="00573DEB" w:rsidTr="004B4B73">
        <w:trPr>
          <w:trHeight w:val="300"/>
        </w:trPr>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2006</w:t>
            </w:r>
          </w:p>
        </w:tc>
        <w:tc>
          <w:tcPr>
            <w:tcW w:w="15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1,727</w:t>
            </w:r>
          </w:p>
        </w:tc>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3,602</w:t>
            </w:r>
          </w:p>
        </w:tc>
        <w:tc>
          <w:tcPr>
            <w:tcW w:w="100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5,329</w:t>
            </w:r>
          </w:p>
        </w:tc>
      </w:tr>
      <w:tr w:rsidR="00B000C0" w:rsidRPr="00573DEB" w:rsidTr="004B4B73">
        <w:trPr>
          <w:trHeight w:val="300"/>
        </w:trPr>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2007</w:t>
            </w:r>
          </w:p>
        </w:tc>
        <w:tc>
          <w:tcPr>
            <w:tcW w:w="15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1,525</w:t>
            </w:r>
          </w:p>
        </w:tc>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3,810</w:t>
            </w:r>
          </w:p>
        </w:tc>
        <w:tc>
          <w:tcPr>
            <w:tcW w:w="100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5,335</w:t>
            </w:r>
          </w:p>
        </w:tc>
      </w:tr>
      <w:tr w:rsidR="00B000C0" w:rsidRPr="00573DEB" w:rsidTr="004B4B73">
        <w:trPr>
          <w:trHeight w:val="300"/>
        </w:trPr>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2008</w:t>
            </w:r>
          </w:p>
        </w:tc>
        <w:tc>
          <w:tcPr>
            <w:tcW w:w="15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2,032</w:t>
            </w:r>
          </w:p>
        </w:tc>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3,929</w:t>
            </w:r>
          </w:p>
        </w:tc>
        <w:tc>
          <w:tcPr>
            <w:tcW w:w="100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5,961</w:t>
            </w:r>
          </w:p>
        </w:tc>
      </w:tr>
      <w:tr w:rsidR="00B000C0" w:rsidRPr="00573DEB" w:rsidTr="004B4B73">
        <w:trPr>
          <w:trHeight w:val="300"/>
        </w:trPr>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2009</w:t>
            </w:r>
          </w:p>
        </w:tc>
        <w:tc>
          <w:tcPr>
            <w:tcW w:w="15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1,560</w:t>
            </w:r>
          </w:p>
        </w:tc>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3,760</w:t>
            </w:r>
          </w:p>
        </w:tc>
        <w:tc>
          <w:tcPr>
            <w:tcW w:w="100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5,320</w:t>
            </w:r>
          </w:p>
        </w:tc>
      </w:tr>
      <w:tr w:rsidR="00B000C0" w:rsidRPr="00573DEB" w:rsidTr="004B4B73">
        <w:trPr>
          <w:trHeight w:val="300"/>
        </w:trPr>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2010</w:t>
            </w:r>
          </w:p>
        </w:tc>
        <w:tc>
          <w:tcPr>
            <w:tcW w:w="15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1,916</w:t>
            </w:r>
          </w:p>
        </w:tc>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4,134</w:t>
            </w:r>
          </w:p>
        </w:tc>
        <w:tc>
          <w:tcPr>
            <w:tcW w:w="100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6,050</w:t>
            </w:r>
          </w:p>
        </w:tc>
      </w:tr>
      <w:tr w:rsidR="00B000C0" w:rsidRPr="00573DEB" w:rsidTr="004B4B73">
        <w:trPr>
          <w:trHeight w:val="300"/>
        </w:trPr>
        <w:tc>
          <w:tcPr>
            <w:tcW w:w="152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2011</w:t>
            </w:r>
          </w:p>
        </w:tc>
        <w:tc>
          <w:tcPr>
            <w:tcW w:w="15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2,471</w:t>
            </w:r>
          </w:p>
        </w:tc>
        <w:tc>
          <w:tcPr>
            <w:tcW w:w="10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4,364</w:t>
            </w:r>
          </w:p>
        </w:tc>
        <w:tc>
          <w:tcPr>
            <w:tcW w:w="100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6,835</w:t>
            </w:r>
          </w:p>
        </w:tc>
      </w:tr>
      <w:tr w:rsidR="00B000C0" w:rsidRPr="00573DEB" w:rsidTr="004B4B73">
        <w:trPr>
          <w:trHeight w:val="315"/>
        </w:trPr>
        <w:tc>
          <w:tcPr>
            <w:tcW w:w="1520" w:type="dxa"/>
            <w:tcBorders>
              <w:top w:val="nil"/>
              <w:left w:val="nil"/>
              <w:bottom w:val="single" w:sz="8"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Total</w:t>
            </w:r>
          </w:p>
        </w:tc>
        <w:tc>
          <w:tcPr>
            <w:tcW w:w="1560" w:type="dxa"/>
            <w:tcBorders>
              <w:top w:val="nil"/>
              <w:left w:val="nil"/>
              <w:bottom w:val="single" w:sz="8"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17,478</w:t>
            </w:r>
          </w:p>
        </w:tc>
        <w:tc>
          <w:tcPr>
            <w:tcW w:w="1060" w:type="dxa"/>
            <w:tcBorders>
              <w:top w:val="nil"/>
              <w:left w:val="nil"/>
              <w:bottom w:val="single" w:sz="8"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44,203</w:t>
            </w:r>
          </w:p>
        </w:tc>
        <w:tc>
          <w:tcPr>
            <w:tcW w:w="1000" w:type="dxa"/>
            <w:tcBorders>
              <w:top w:val="nil"/>
              <w:left w:val="nil"/>
              <w:bottom w:val="single" w:sz="8"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61,681</w:t>
            </w:r>
          </w:p>
        </w:tc>
      </w:tr>
    </w:tbl>
    <w:p w:rsidR="00284462" w:rsidRPr="00573DEB" w:rsidRDefault="00284462" w:rsidP="004B4B73"/>
    <w:p w:rsidR="00284462" w:rsidRPr="00573DEB" w:rsidRDefault="00284462">
      <w:pPr>
        <w:widowControl/>
        <w:spacing w:after="200" w:line="276" w:lineRule="auto"/>
      </w:pPr>
      <w:r w:rsidRPr="00573DEB">
        <w:br w:type="page"/>
      </w:r>
    </w:p>
    <w:p w:rsidR="00B000C0" w:rsidRPr="00573DEB" w:rsidRDefault="00B000C0" w:rsidP="004B4B73"/>
    <w:p w:rsidR="00B000C0" w:rsidRPr="00573DEB" w:rsidRDefault="008C2A2F" w:rsidP="00284462">
      <w:pPr>
        <w:pStyle w:val="Caption"/>
      </w:pPr>
      <w:bookmarkStart w:id="305" w:name="_Toc388619997"/>
      <w:bookmarkStart w:id="306" w:name="_Toc366845927"/>
      <w:bookmarkStart w:id="307" w:name="_Toc367700265"/>
      <w:r>
        <w:t xml:space="preserve">Table A.20:  </w:t>
      </w:r>
      <w:r w:rsidR="00B000C0" w:rsidRPr="00573DEB">
        <w:t>Industrial Design applications by type of applicant, 2000-2011</w:t>
      </w:r>
      <w:bookmarkEnd w:id="305"/>
    </w:p>
    <w:tbl>
      <w:tblPr>
        <w:tblW w:w="5460" w:type="dxa"/>
        <w:tblInd w:w="55" w:type="dxa"/>
        <w:tblCellMar>
          <w:left w:w="70" w:type="dxa"/>
          <w:right w:w="70" w:type="dxa"/>
        </w:tblCellMar>
        <w:tblLook w:val="04A0" w:firstRow="1" w:lastRow="0" w:firstColumn="1" w:lastColumn="0" w:noHBand="0" w:noVBand="1"/>
      </w:tblPr>
      <w:tblGrid>
        <w:gridCol w:w="1380"/>
        <w:gridCol w:w="1360"/>
        <w:gridCol w:w="1360"/>
        <w:gridCol w:w="1360"/>
      </w:tblGrid>
      <w:tr w:rsidR="00B000C0" w:rsidRPr="00573DEB" w:rsidTr="004B4B73">
        <w:trPr>
          <w:trHeight w:val="630"/>
        </w:trPr>
        <w:tc>
          <w:tcPr>
            <w:tcW w:w="1380" w:type="dxa"/>
            <w:tcBorders>
              <w:top w:val="single" w:sz="8" w:space="0" w:color="auto"/>
              <w:left w:val="nil"/>
              <w:bottom w:val="single" w:sz="4" w:space="0" w:color="auto"/>
              <w:right w:val="nil"/>
            </w:tcBorders>
            <w:shd w:val="clear" w:color="auto" w:fill="auto"/>
            <w:vAlign w:val="center"/>
            <w:hideMark/>
          </w:tcPr>
          <w:bookmarkEnd w:id="306"/>
          <w:bookmarkEnd w:id="307"/>
          <w:p w:rsidR="00B000C0" w:rsidRPr="00573DEB" w:rsidRDefault="00B000C0" w:rsidP="004B4B73">
            <w:pPr>
              <w:rPr>
                <w:lang w:eastAsia="pt-BR"/>
              </w:rPr>
            </w:pPr>
            <w:r w:rsidRPr="00573DEB">
              <w:rPr>
                <w:lang w:eastAsia="pt-BR"/>
              </w:rPr>
              <w:t>Application Year</w:t>
            </w:r>
          </w:p>
        </w:tc>
        <w:tc>
          <w:tcPr>
            <w:tcW w:w="136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Individual</w:t>
            </w:r>
          </w:p>
        </w:tc>
        <w:tc>
          <w:tcPr>
            <w:tcW w:w="136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Legal Entity</w:t>
            </w:r>
          </w:p>
        </w:tc>
        <w:tc>
          <w:tcPr>
            <w:tcW w:w="136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Total</w:t>
            </w:r>
          </w:p>
        </w:tc>
      </w:tr>
      <w:tr w:rsidR="00B000C0" w:rsidRPr="00573DEB" w:rsidTr="004B4B73">
        <w:trPr>
          <w:trHeight w:val="315"/>
        </w:trPr>
        <w:tc>
          <w:tcPr>
            <w:tcW w:w="13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2000</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2,479</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1,123</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3,602</w:t>
            </w:r>
          </w:p>
        </w:tc>
      </w:tr>
      <w:tr w:rsidR="00B000C0" w:rsidRPr="00573DEB" w:rsidTr="004B4B73">
        <w:trPr>
          <w:trHeight w:val="315"/>
        </w:trPr>
        <w:tc>
          <w:tcPr>
            <w:tcW w:w="13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2001</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2,640</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1,131</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3,771</w:t>
            </w:r>
          </w:p>
        </w:tc>
      </w:tr>
      <w:tr w:rsidR="00B000C0" w:rsidRPr="00573DEB" w:rsidTr="004B4B73">
        <w:trPr>
          <w:trHeight w:val="315"/>
        </w:trPr>
        <w:tc>
          <w:tcPr>
            <w:tcW w:w="13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2002</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2,923</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1,374</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4,297</w:t>
            </w:r>
          </w:p>
        </w:tc>
      </w:tr>
      <w:tr w:rsidR="00B000C0" w:rsidRPr="00573DEB" w:rsidTr="004B4B73">
        <w:trPr>
          <w:trHeight w:val="315"/>
        </w:trPr>
        <w:tc>
          <w:tcPr>
            <w:tcW w:w="13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2003</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3,326</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1,672</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4,998</w:t>
            </w:r>
          </w:p>
        </w:tc>
      </w:tr>
      <w:tr w:rsidR="00B000C0" w:rsidRPr="00573DEB" w:rsidTr="004B4B73">
        <w:trPr>
          <w:trHeight w:val="315"/>
        </w:trPr>
        <w:tc>
          <w:tcPr>
            <w:tcW w:w="13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2004</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3,514</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1,418</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4,932</w:t>
            </w:r>
          </w:p>
        </w:tc>
      </w:tr>
      <w:tr w:rsidR="00B000C0" w:rsidRPr="00573DEB" w:rsidTr="004B4B73">
        <w:trPr>
          <w:trHeight w:val="315"/>
        </w:trPr>
        <w:tc>
          <w:tcPr>
            <w:tcW w:w="13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2005</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3,666</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1,566</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5,232</w:t>
            </w:r>
          </w:p>
        </w:tc>
      </w:tr>
      <w:tr w:rsidR="00B000C0" w:rsidRPr="00573DEB" w:rsidTr="004B4B73">
        <w:trPr>
          <w:trHeight w:val="315"/>
        </w:trPr>
        <w:tc>
          <w:tcPr>
            <w:tcW w:w="13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2006</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3,982</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1,347</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5,329</w:t>
            </w:r>
          </w:p>
        </w:tc>
      </w:tr>
      <w:tr w:rsidR="00B000C0" w:rsidRPr="00573DEB" w:rsidTr="004B4B73">
        <w:trPr>
          <w:trHeight w:val="315"/>
        </w:trPr>
        <w:tc>
          <w:tcPr>
            <w:tcW w:w="13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2007</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3,721</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1,614</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5,335</w:t>
            </w:r>
          </w:p>
        </w:tc>
      </w:tr>
      <w:tr w:rsidR="00B000C0" w:rsidRPr="00573DEB" w:rsidTr="004B4B73">
        <w:trPr>
          <w:trHeight w:val="315"/>
        </w:trPr>
        <w:tc>
          <w:tcPr>
            <w:tcW w:w="13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2008</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4,421</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1,540</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5,961</w:t>
            </w:r>
          </w:p>
        </w:tc>
      </w:tr>
      <w:tr w:rsidR="00B000C0" w:rsidRPr="00573DEB" w:rsidTr="004B4B73">
        <w:trPr>
          <w:trHeight w:val="315"/>
        </w:trPr>
        <w:tc>
          <w:tcPr>
            <w:tcW w:w="13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2009</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3,868</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1,452</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5,320</w:t>
            </w:r>
          </w:p>
        </w:tc>
      </w:tr>
      <w:tr w:rsidR="00B000C0" w:rsidRPr="00573DEB" w:rsidTr="004B4B73">
        <w:trPr>
          <w:trHeight w:val="315"/>
        </w:trPr>
        <w:tc>
          <w:tcPr>
            <w:tcW w:w="13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2010</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4,432</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1,618</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6,050</w:t>
            </w:r>
          </w:p>
        </w:tc>
      </w:tr>
      <w:tr w:rsidR="00B000C0" w:rsidRPr="00573DEB" w:rsidTr="004B4B73">
        <w:trPr>
          <w:trHeight w:val="315"/>
        </w:trPr>
        <w:tc>
          <w:tcPr>
            <w:tcW w:w="138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2011</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5,176</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1,659</w:t>
            </w:r>
          </w:p>
        </w:tc>
        <w:tc>
          <w:tcPr>
            <w:tcW w:w="1360"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6,835</w:t>
            </w:r>
          </w:p>
        </w:tc>
      </w:tr>
      <w:tr w:rsidR="00B000C0" w:rsidRPr="00573DEB" w:rsidTr="004B4B73">
        <w:trPr>
          <w:trHeight w:val="330"/>
        </w:trPr>
        <w:tc>
          <w:tcPr>
            <w:tcW w:w="1380" w:type="dxa"/>
            <w:tcBorders>
              <w:top w:val="nil"/>
              <w:left w:val="nil"/>
              <w:bottom w:val="single" w:sz="8"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Total</w:t>
            </w:r>
          </w:p>
        </w:tc>
        <w:tc>
          <w:tcPr>
            <w:tcW w:w="1360" w:type="dxa"/>
            <w:tcBorders>
              <w:top w:val="nil"/>
              <w:left w:val="nil"/>
              <w:bottom w:val="single" w:sz="8"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44,148</w:t>
            </w:r>
          </w:p>
        </w:tc>
        <w:tc>
          <w:tcPr>
            <w:tcW w:w="1360" w:type="dxa"/>
            <w:tcBorders>
              <w:top w:val="nil"/>
              <w:left w:val="nil"/>
              <w:bottom w:val="single" w:sz="8"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17,514</w:t>
            </w:r>
          </w:p>
        </w:tc>
        <w:tc>
          <w:tcPr>
            <w:tcW w:w="1360" w:type="dxa"/>
            <w:tcBorders>
              <w:top w:val="nil"/>
              <w:left w:val="nil"/>
              <w:bottom w:val="single" w:sz="8"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61,662</w:t>
            </w:r>
          </w:p>
        </w:tc>
      </w:tr>
    </w:tbl>
    <w:p w:rsidR="00B000C0" w:rsidRPr="00573DEB" w:rsidRDefault="00B000C0" w:rsidP="004B4B73"/>
    <w:p w:rsidR="00766B47" w:rsidRPr="00573DEB" w:rsidRDefault="00766B47">
      <w:pPr>
        <w:widowControl/>
        <w:spacing w:after="200" w:line="276" w:lineRule="auto"/>
      </w:pPr>
      <w:r w:rsidRPr="00573DEB">
        <w:br w:type="page"/>
      </w:r>
    </w:p>
    <w:p w:rsidR="00B000C0" w:rsidRPr="00573DEB" w:rsidRDefault="00B000C0" w:rsidP="004B4B73"/>
    <w:p w:rsidR="00B000C0" w:rsidRPr="00573DEB" w:rsidRDefault="008C2A2F" w:rsidP="00284462">
      <w:pPr>
        <w:pStyle w:val="Caption"/>
        <w:rPr>
          <w:rFonts w:ascii="Calibri" w:hAnsi="Calibri"/>
        </w:rPr>
      </w:pPr>
      <w:bookmarkStart w:id="308" w:name="_Toc366845928"/>
      <w:bookmarkStart w:id="309" w:name="_Toc367700266"/>
      <w:bookmarkStart w:id="310" w:name="_Toc388619998"/>
      <w:r>
        <w:t xml:space="preserve">Table A.21:  </w:t>
      </w:r>
      <w:r w:rsidR="00B000C0" w:rsidRPr="00573DEB">
        <w:t>Industrial Design applications by countries</w:t>
      </w:r>
      <w:r w:rsidR="00AB52B8" w:rsidRPr="00573DEB">
        <w:t xml:space="preserve"> or regions</w:t>
      </w:r>
      <w:r w:rsidR="00B000C0" w:rsidRPr="00573DEB">
        <w:t>, 2000-2011</w:t>
      </w:r>
      <w:bookmarkEnd w:id="308"/>
      <w:bookmarkEnd w:id="309"/>
      <w:bookmarkEnd w:id="310"/>
    </w:p>
    <w:tbl>
      <w:tblPr>
        <w:tblW w:w="5000" w:type="pct"/>
        <w:tblLayout w:type="fixed"/>
        <w:tblCellMar>
          <w:left w:w="0" w:type="dxa"/>
          <w:right w:w="0" w:type="dxa"/>
        </w:tblCellMar>
        <w:tblLook w:val="04A0" w:firstRow="1" w:lastRow="0" w:firstColumn="1" w:lastColumn="0" w:noHBand="0" w:noVBand="1"/>
      </w:tblPr>
      <w:tblGrid>
        <w:gridCol w:w="3659"/>
        <w:gridCol w:w="476"/>
        <w:gridCol w:w="475"/>
        <w:gridCol w:w="475"/>
        <w:gridCol w:w="475"/>
        <w:gridCol w:w="475"/>
        <w:gridCol w:w="475"/>
        <w:gridCol w:w="475"/>
        <w:gridCol w:w="475"/>
        <w:gridCol w:w="475"/>
        <w:gridCol w:w="475"/>
        <w:gridCol w:w="475"/>
        <w:gridCol w:w="470"/>
      </w:tblGrid>
      <w:tr w:rsidR="00766B47" w:rsidRPr="00573DEB" w:rsidTr="00AB52B8">
        <w:trPr>
          <w:trHeight w:val="288"/>
        </w:trPr>
        <w:tc>
          <w:tcPr>
            <w:tcW w:w="1955" w:type="pct"/>
            <w:tcBorders>
              <w:top w:val="single" w:sz="8" w:space="0" w:color="auto"/>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Country</w:t>
            </w:r>
          </w:p>
        </w:tc>
        <w:tc>
          <w:tcPr>
            <w:tcW w:w="254" w:type="pct"/>
            <w:tcBorders>
              <w:top w:val="single" w:sz="8" w:space="0" w:color="auto"/>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2000</w:t>
            </w:r>
          </w:p>
        </w:tc>
        <w:tc>
          <w:tcPr>
            <w:tcW w:w="254" w:type="pct"/>
            <w:tcBorders>
              <w:top w:val="single" w:sz="8" w:space="0" w:color="auto"/>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2001</w:t>
            </w:r>
          </w:p>
        </w:tc>
        <w:tc>
          <w:tcPr>
            <w:tcW w:w="254" w:type="pct"/>
            <w:tcBorders>
              <w:top w:val="single" w:sz="8" w:space="0" w:color="auto"/>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2002</w:t>
            </w:r>
          </w:p>
        </w:tc>
        <w:tc>
          <w:tcPr>
            <w:tcW w:w="254" w:type="pct"/>
            <w:tcBorders>
              <w:top w:val="single" w:sz="8" w:space="0" w:color="auto"/>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2003</w:t>
            </w:r>
          </w:p>
        </w:tc>
        <w:tc>
          <w:tcPr>
            <w:tcW w:w="254" w:type="pct"/>
            <w:tcBorders>
              <w:top w:val="single" w:sz="8" w:space="0" w:color="auto"/>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2004</w:t>
            </w:r>
          </w:p>
        </w:tc>
        <w:tc>
          <w:tcPr>
            <w:tcW w:w="254" w:type="pct"/>
            <w:tcBorders>
              <w:top w:val="single" w:sz="8" w:space="0" w:color="auto"/>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2005</w:t>
            </w:r>
          </w:p>
        </w:tc>
        <w:tc>
          <w:tcPr>
            <w:tcW w:w="254" w:type="pct"/>
            <w:tcBorders>
              <w:top w:val="single" w:sz="8" w:space="0" w:color="auto"/>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2006</w:t>
            </w:r>
          </w:p>
        </w:tc>
        <w:tc>
          <w:tcPr>
            <w:tcW w:w="254" w:type="pct"/>
            <w:tcBorders>
              <w:top w:val="single" w:sz="8" w:space="0" w:color="auto"/>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2007</w:t>
            </w:r>
          </w:p>
        </w:tc>
        <w:tc>
          <w:tcPr>
            <w:tcW w:w="254" w:type="pct"/>
            <w:tcBorders>
              <w:top w:val="single" w:sz="8" w:space="0" w:color="auto"/>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2008</w:t>
            </w:r>
          </w:p>
        </w:tc>
        <w:tc>
          <w:tcPr>
            <w:tcW w:w="254" w:type="pct"/>
            <w:tcBorders>
              <w:top w:val="single" w:sz="8" w:space="0" w:color="auto"/>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2009</w:t>
            </w:r>
          </w:p>
        </w:tc>
        <w:tc>
          <w:tcPr>
            <w:tcW w:w="254" w:type="pct"/>
            <w:tcBorders>
              <w:top w:val="single" w:sz="8" w:space="0" w:color="auto"/>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2010</w:t>
            </w:r>
          </w:p>
        </w:tc>
        <w:tc>
          <w:tcPr>
            <w:tcW w:w="252" w:type="pct"/>
            <w:tcBorders>
              <w:top w:val="single" w:sz="8" w:space="0" w:color="auto"/>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2011</w:t>
            </w:r>
          </w:p>
        </w:tc>
      </w:tr>
      <w:tr w:rsidR="00766B47" w:rsidRPr="00573DEB" w:rsidTr="00AB52B8">
        <w:trPr>
          <w:trHeight w:val="288"/>
        </w:trPr>
        <w:tc>
          <w:tcPr>
            <w:tcW w:w="1955" w:type="pct"/>
            <w:tcBorders>
              <w:top w:val="nil"/>
              <w:left w:val="nil"/>
              <w:bottom w:val="single" w:sz="8"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Total</w:t>
            </w:r>
          </w:p>
        </w:tc>
        <w:tc>
          <w:tcPr>
            <w:tcW w:w="254" w:type="pct"/>
            <w:tcBorders>
              <w:top w:val="nil"/>
              <w:left w:val="nil"/>
              <w:bottom w:val="single" w:sz="8" w:space="0" w:color="auto"/>
              <w:right w:val="nil"/>
            </w:tcBorders>
            <w:shd w:val="clear" w:color="auto" w:fill="auto"/>
            <w:noWrap/>
            <w:vAlign w:val="bottom"/>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3,610</w:t>
            </w:r>
          </w:p>
        </w:tc>
        <w:tc>
          <w:tcPr>
            <w:tcW w:w="254" w:type="pct"/>
            <w:tcBorders>
              <w:top w:val="nil"/>
              <w:left w:val="nil"/>
              <w:bottom w:val="single" w:sz="8" w:space="0" w:color="auto"/>
              <w:right w:val="nil"/>
            </w:tcBorders>
            <w:shd w:val="clear" w:color="auto" w:fill="auto"/>
            <w:noWrap/>
            <w:vAlign w:val="bottom"/>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3,778</w:t>
            </w:r>
          </w:p>
        </w:tc>
        <w:tc>
          <w:tcPr>
            <w:tcW w:w="254" w:type="pct"/>
            <w:tcBorders>
              <w:top w:val="nil"/>
              <w:left w:val="nil"/>
              <w:bottom w:val="single" w:sz="8" w:space="0" w:color="auto"/>
              <w:right w:val="nil"/>
            </w:tcBorders>
            <w:shd w:val="clear" w:color="auto" w:fill="auto"/>
            <w:noWrap/>
            <w:vAlign w:val="bottom"/>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4,301</w:t>
            </w:r>
          </w:p>
        </w:tc>
        <w:tc>
          <w:tcPr>
            <w:tcW w:w="254" w:type="pct"/>
            <w:tcBorders>
              <w:top w:val="nil"/>
              <w:left w:val="nil"/>
              <w:bottom w:val="single" w:sz="8" w:space="0" w:color="auto"/>
              <w:right w:val="nil"/>
            </w:tcBorders>
            <w:shd w:val="clear" w:color="auto" w:fill="auto"/>
            <w:noWrap/>
            <w:vAlign w:val="bottom"/>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4,998</w:t>
            </w:r>
          </w:p>
        </w:tc>
        <w:tc>
          <w:tcPr>
            <w:tcW w:w="254" w:type="pct"/>
            <w:tcBorders>
              <w:top w:val="nil"/>
              <w:left w:val="nil"/>
              <w:bottom w:val="single" w:sz="8" w:space="0" w:color="auto"/>
              <w:right w:val="nil"/>
            </w:tcBorders>
            <w:shd w:val="clear" w:color="auto" w:fill="auto"/>
            <w:noWrap/>
            <w:vAlign w:val="bottom"/>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4,932</w:t>
            </w:r>
          </w:p>
        </w:tc>
        <w:tc>
          <w:tcPr>
            <w:tcW w:w="254" w:type="pct"/>
            <w:tcBorders>
              <w:top w:val="nil"/>
              <w:left w:val="nil"/>
              <w:bottom w:val="single" w:sz="8" w:space="0" w:color="auto"/>
              <w:right w:val="nil"/>
            </w:tcBorders>
            <w:shd w:val="clear" w:color="auto" w:fill="auto"/>
            <w:noWrap/>
            <w:vAlign w:val="bottom"/>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5,232</w:t>
            </w:r>
          </w:p>
        </w:tc>
        <w:tc>
          <w:tcPr>
            <w:tcW w:w="254" w:type="pct"/>
            <w:tcBorders>
              <w:top w:val="nil"/>
              <w:left w:val="nil"/>
              <w:bottom w:val="single" w:sz="8" w:space="0" w:color="auto"/>
              <w:right w:val="nil"/>
            </w:tcBorders>
            <w:shd w:val="clear" w:color="auto" w:fill="auto"/>
            <w:noWrap/>
            <w:vAlign w:val="bottom"/>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5,329</w:t>
            </w:r>
          </w:p>
        </w:tc>
        <w:tc>
          <w:tcPr>
            <w:tcW w:w="254" w:type="pct"/>
            <w:tcBorders>
              <w:top w:val="nil"/>
              <w:left w:val="nil"/>
              <w:bottom w:val="single" w:sz="8" w:space="0" w:color="auto"/>
              <w:right w:val="nil"/>
            </w:tcBorders>
            <w:shd w:val="clear" w:color="auto" w:fill="auto"/>
            <w:noWrap/>
            <w:vAlign w:val="bottom"/>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5,335</w:t>
            </w:r>
          </w:p>
        </w:tc>
        <w:tc>
          <w:tcPr>
            <w:tcW w:w="254" w:type="pct"/>
            <w:tcBorders>
              <w:top w:val="nil"/>
              <w:left w:val="nil"/>
              <w:bottom w:val="single" w:sz="8" w:space="0" w:color="auto"/>
              <w:right w:val="nil"/>
            </w:tcBorders>
            <w:shd w:val="clear" w:color="auto" w:fill="auto"/>
            <w:noWrap/>
            <w:vAlign w:val="bottom"/>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5,961</w:t>
            </w:r>
          </w:p>
        </w:tc>
        <w:tc>
          <w:tcPr>
            <w:tcW w:w="254" w:type="pct"/>
            <w:tcBorders>
              <w:top w:val="nil"/>
              <w:left w:val="nil"/>
              <w:bottom w:val="single" w:sz="8" w:space="0" w:color="auto"/>
              <w:right w:val="nil"/>
            </w:tcBorders>
            <w:shd w:val="clear" w:color="auto" w:fill="auto"/>
            <w:noWrap/>
            <w:vAlign w:val="bottom"/>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5,320</w:t>
            </w:r>
          </w:p>
        </w:tc>
        <w:tc>
          <w:tcPr>
            <w:tcW w:w="254" w:type="pct"/>
            <w:tcBorders>
              <w:top w:val="nil"/>
              <w:left w:val="nil"/>
              <w:bottom w:val="single" w:sz="8" w:space="0" w:color="auto"/>
              <w:right w:val="nil"/>
            </w:tcBorders>
            <w:shd w:val="clear" w:color="auto" w:fill="auto"/>
            <w:noWrap/>
            <w:vAlign w:val="bottom"/>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6,050</w:t>
            </w:r>
          </w:p>
        </w:tc>
        <w:tc>
          <w:tcPr>
            <w:tcW w:w="252" w:type="pct"/>
            <w:tcBorders>
              <w:top w:val="nil"/>
              <w:left w:val="nil"/>
              <w:bottom w:val="single" w:sz="8" w:space="0" w:color="auto"/>
              <w:right w:val="nil"/>
            </w:tcBorders>
            <w:shd w:val="clear" w:color="auto" w:fill="auto"/>
            <w:noWrap/>
            <w:vAlign w:val="bottom"/>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6,835</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Brazil</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2,704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2,897</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3,419</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4,009</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3,738</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3,837</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3,602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3,810</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3,929</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3,760</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4,134</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4,364</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United States of America</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433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383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382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434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390</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563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760</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487</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699</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537</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605</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854</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Japan</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92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89</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104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168</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157</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118</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150</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271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187</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202</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357</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Germany</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59</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85</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106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107</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97</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132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107</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185</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240</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Netherlands</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70</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38</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60</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58</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69</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95</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122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98</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176</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192</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France</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50</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38</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28</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93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114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126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115</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141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96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129</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122</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Switzerland</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45</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15</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48</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60</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106</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Italy</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25</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71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70</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74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70</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134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110</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94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97</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72</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United Kingdom</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20</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59</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69</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73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53</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58</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Spain</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17</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25</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8</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15</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40</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19</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28</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36</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50</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Sweden</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19</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38</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78</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46</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46</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China</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38</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38</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Denmark</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28</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11</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32</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Israel</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8</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24</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Austria</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8</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10</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17</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12</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23</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Finland</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60</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50</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25</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156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39</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23</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21</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Mexico</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7</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17</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Portugal</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13</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Argentina</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10</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15</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29</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8</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9</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9</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Australia</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7</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8</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9</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Canada</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18</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7</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10</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15</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9</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Norway</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7</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7</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8</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15</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8</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Cyprus</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7</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India</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18</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10</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7</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Luxembourg</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7</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Belgium</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7</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9</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8</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11</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Poland</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Singapore</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Taiwan, Province of China</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7</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The Hong Kong Special Administrative Region of the People’s Republic of China</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Turkey</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5</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Ireland</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South Africa</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4</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7</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9</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3</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Angola</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Chile</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6</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Dominican Republic</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Estonia</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Indonesia</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Russian Federation</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Turks and Caicos Islands</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r>
      <w:tr w:rsidR="00766B47" w:rsidRPr="00573DEB" w:rsidTr="00AB52B8">
        <w:trPr>
          <w:trHeight w:val="288"/>
        </w:trPr>
        <w:tc>
          <w:tcPr>
            <w:tcW w:w="1955"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Uruguay</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8</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2" w:type="pct"/>
            <w:tcBorders>
              <w:top w:val="nil"/>
              <w:left w:val="nil"/>
              <w:bottom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r>
      <w:tr w:rsidR="00766B47" w:rsidRPr="00573DEB" w:rsidTr="00AB52B8">
        <w:trPr>
          <w:trHeight w:val="288"/>
        </w:trPr>
        <w:tc>
          <w:tcPr>
            <w:tcW w:w="1955" w:type="pct"/>
            <w:tcBorders>
              <w:top w:val="nil"/>
              <w:left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Viet Nam</w:t>
            </w:r>
          </w:p>
        </w:tc>
        <w:tc>
          <w:tcPr>
            <w:tcW w:w="254" w:type="pct"/>
            <w:tcBorders>
              <w:top w:val="nil"/>
              <w:left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2" w:type="pct"/>
            <w:tcBorders>
              <w:top w:val="nil"/>
              <w:left w:val="nil"/>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r>
      <w:tr w:rsidR="00766B47" w:rsidRPr="00573DEB" w:rsidTr="00AB52B8">
        <w:trPr>
          <w:trHeight w:val="288"/>
        </w:trPr>
        <w:tc>
          <w:tcPr>
            <w:tcW w:w="1955" w:type="pct"/>
            <w:tcBorders>
              <w:top w:val="nil"/>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Virgin Islands (British)</w:t>
            </w:r>
          </w:p>
        </w:tc>
        <w:tc>
          <w:tcPr>
            <w:tcW w:w="254" w:type="pct"/>
            <w:tcBorders>
              <w:top w:val="nil"/>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2</w:t>
            </w:r>
          </w:p>
        </w:tc>
        <w:tc>
          <w:tcPr>
            <w:tcW w:w="254" w:type="pct"/>
            <w:tcBorders>
              <w:top w:val="nil"/>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 </w:t>
            </w:r>
          </w:p>
        </w:tc>
        <w:tc>
          <w:tcPr>
            <w:tcW w:w="254" w:type="pct"/>
            <w:tcBorders>
              <w:top w:val="nil"/>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4" w:type="pct"/>
            <w:tcBorders>
              <w:top w:val="nil"/>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c>
          <w:tcPr>
            <w:tcW w:w="252" w:type="pct"/>
            <w:tcBorders>
              <w:top w:val="nil"/>
              <w:left w:val="nil"/>
              <w:bottom w:val="single" w:sz="4" w:space="0" w:color="auto"/>
              <w:right w:val="nil"/>
            </w:tcBorders>
            <w:shd w:val="clear" w:color="000000" w:fill="FFFFFF"/>
            <w:vAlign w:val="center"/>
            <w:hideMark/>
          </w:tcPr>
          <w:p w:rsidR="00766B47" w:rsidRPr="00573DEB" w:rsidRDefault="00766B47" w:rsidP="004B4B73">
            <w:pPr>
              <w:rPr>
                <w:rFonts w:ascii="Arial Narrow" w:hAnsi="Arial Narrow"/>
                <w:sz w:val="20"/>
                <w:szCs w:val="20"/>
                <w:lang w:eastAsia="pt-BR"/>
              </w:rPr>
            </w:pPr>
            <w:r w:rsidRPr="00573DEB">
              <w:rPr>
                <w:rFonts w:ascii="Arial Narrow" w:hAnsi="Arial Narrow"/>
                <w:sz w:val="20"/>
                <w:szCs w:val="20"/>
                <w:lang w:eastAsia="pt-BR"/>
              </w:rPr>
              <w:t>1</w:t>
            </w:r>
          </w:p>
        </w:tc>
      </w:tr>
    </w:tbl>
    <w:p w:rsidR="00B000C0" w:rsidRPr="008C2A2F" w:rsidRDefault="00AB52B8" w:rsidP="00AB52B8">
      <w:pPr>
        <w:pStyle w:val="Captionnotes"/>
        <w:rPr>
          <w:i w:val="0"/>
        </w:rPr>
      </w:pPr>
      <w:r w:rsidRPr="008C2A2F">
        <w:rPr>
          <w:i w:val="0"/>
        </w:rPr>
        <w:t>Only countries with at least one filing in 2011 reported</w:t>
      </w:r>
    </w:p>
    <w:p w:rsidR="00B000C0" w:rsidRPr="00573DEB" w:rsidRDefault="00B000C0" w:rsidP="004B4B73"/>
    <w:p w:rsidR="00B000C0" w:rsidRPr="00573DEB" w:rsidRDefault="008C2A2F" w:rsidP="00AB52B8">
      <w:pPr>
        <w:pStyle w:val="Caption"/>
      </w:pPr>
      <w:bookmarkStart w:id="311" w:name="_Toc388619999"/>
      <w:bookmarkStart w:id="312" w:name="_Toc366845929"/>
      <w:bookmarkStart w:id="313" w:name="_Toc367700267"/>
      <w:r>
        <w:t xml:space="preserve">Table A.22:  </w:t>
      </w:r>
      <w:r w:rsidR="00B000C0" w:rsidRPr="00573DEB">
        <w:t>Industrial Design applications by Brazilian states, 2000-2011</w:t>
      </w:r>
      <w:bookmarkEnd w:id="311"/>
    </w:p>
    <w:tbl>
      <w:tblPr>
        <w:tblW w:w="0" w:type="auto"/>
        <w:tblInd w:w="55" w:type="dxa"/>
        <w:tblLayout w:type="fixed"/>
        <w:tblCellMar>
          <w:left w:w="0" w:type="dxa"/>
          <w:right w:w="0" w:type="dxa"/>
        </w:tblCellMar>
        <w:tblLook w:val="04A0" w:firstRow="1" w:lastRow="0" w:firstColumn="1" w:lastColumn="0" w:noHBand="0" w:noVBand="1"/>
      </w:tblPr>
      <w:tblGrid>
        <w:gridCol w:w="1654"/>
        <w:gridCol w:w="642"/>
        <w:gridCol w:w="642"/>
        <w:gridCol w:w="642"/>
        <w:gridCol w:w="642"/>
        <w:gridCol w:w="642"/>
        <w:gridCol w:w="642"/>
        <w:gridCol w:w="642"/>
        <w:gridCol w:w="642"/>
        <w:gridCol w:w="642"/>
        <w:gridCol w:w="642"/>
        <w:gridCol w:w="642"/>
        <w:gridCol w:w="642"/>
      </w:tblGrid>
      <w:tr w:rsidR="00AB52B8" w:rsidRPr="00573DEB" w:rsidTr="00AB52B8">
        <w:trPr>
          <w:trHeight w:val="288"/>
        </w:trPr>
        <w:tc>
          <w:tcPr>
            <w:tcW w:w="1654" w:type="dxa"/>
            <w:tcBorders>
              <w:top w:val="single" w:sz="8" w:space="0" w:color="auto"/>
              <w:left w:val="nil"/>
              <w:bottom w:val="single" w:sz="4" w:space="0" w:color="auto"/>
              <w:right w:val="nil"/>
            </w:tcBorders>
            <w:shd w:val="clear" w:color="auto" w:fill="auto"/>
            <w:noWrap/>
            <w:vAlign w:val="bottom"/>
            <w:hideMark/>
          </w:tcPr>
          <w:bookmarkEnd w:id="312"/>
          <w:bookmarkEnd w:id="313"/>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Brazilian States</w:t>
            </w:r>
          </w:p>
        </w:tc>
        <w:tc>
          <w:tcPr>
            <w:tcW w:w="642" w:type="dxa"/>
            <w:tcBorders>
              <w:top w:val="single" w:sz="8" w:space="0" w:color="auto"/>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2000</w:t>
            </w:r>
          </w:p>
        </w:tc>
        <w:tc>
          <w:tcPr>
            <w:tcW w:w="642" w:type="dxa"/>
            <w:tcBorders>
              <w:top w:val="single" w:sz="8" w:space="0" w:color="auto"/>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2001</w:t>
            </w:r>
          </w:p>
        </w:tc>
        <w:tc>
          <w:tcPr>
            <w:tcW w:w="642" w:type="dxa"/>
            <w:tcBorders>
              <w:top w:val="single" w:sz="8" w:space="0" w:color="auto"/>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2002</w:t>
            </w:r>
          </w:p>
        </w:tc>
        <w:tc>
          <w:tcPr>
            <w:tcW w:w="642" w:type="dxa"/>
            <w:tcBorders>
              <w:top w:val="single" w:sz="8" w:space="0" w:color="auto"/>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2003</w:t>
            </w:r>
          </w:p>
        </w:tc>
        <w:tc>
          <w:tcPr>
            <w:tcW w:w="642" w:type="dxa"/>
            <w:tcBorders>
              <w:top w:val="single" w:sz="8" w:space="0" w:color="auto"/>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2004</w:t>
            </w:r>
          </w:p>
        </w:tc>
        <w:tc>
          <w:tcPr>
            <w:tcW w:w="642" w:type="dxa"/>
            <w:tcBorders>
              <w:top w:val="single" w:sz="8" w:space="0" w:color="auto"/>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2005</w:t>
            </w:r>
          </w:p>
        </w:tc>
        <w:tc>
          <w:tcPr>
            <w:tcW w:w="642" w:type="dxa"/>
            <w:tcBorders>
              <w:top w:val="single" w:sz="8" w:space="0" w:color="auto"/>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2006</w:t>
            </w:r>
          </w:p>
        </w:tc>
        <w:tc>
          <w:tcPr>
            <w:tcW w:w="642" w:type="dxa"/>
            <w:tcBorders>
              <w:top w:val="single" w:sz="8" w:space="0" w:color="auto"/>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2007</w:t>
            </w:r>
          </w:p>
        </w:tc>
        <w:tc>
          <w:tcPr>
            <w:tcW w:w="642" w:type="dxa"/>
            <w:tcBorders>
              <w:top w:val="single" w:sz="8" w:space="0" w:color="auto"/>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2008</w:t>
            </w:r>
          </w:p>
        </w:tc>
        <w:tc>
          <w:tcPr>
            <w:tcW w:w="642" w:type="dxa"/>
            <w:tcBorders>
              <w:top w:val="single" w:sz="8" w:space="0" w:color="auto"/>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2009</w:t>
            </w:r>
          </w:p>
        </w:tc>
        <w:tc>
          <w:tcPr>
            <w:tcW w:w="642" w:type="dxa"/>
            <w:tcBorders>
              <w:top w:val="single" w:sz="8" w:space="0" w:color="auto"/>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2010</w:t>
            </w:r>
          </w:p>
        </w:tc>
        <w:tc>
          <w:tcPr>
            <w:tcW w:w="642" w:type="dxa"/>
            <w:tcBorders>
              <w:top w:val="single" w:sz="8" w:space="0" w:color="auto"/>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2011</w:t>
            </w:r>
          </w:p>
        </w:tc>
      </w:tr>
      <w:tr w:rsidR="00AB52B8" w:rsidRPr="00573DEB" w:rsidTr="00AB52B8">
        <w:trPr>
          <w:trHeight w:val="288"/>
        </w:trPr>
        <w:tc>
          <w:tcPr>
            <w:tcW w:w="1654" w:type="dxa"/>
            <w:tcBorders>
              <w:top w:val="nil"/>
              <w:left w:val="nil"/>
              <w:bottom w:val="single" w:sz="8" w:space="0" w:color="auto"/>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Total</w:t>
            </w:r>
          </w:p>
        </w:tc>
        <w:tc>
          <w:tcPr>
            <w:tcW w:w="642" w:type="dxa"/>
            <w:tcBorders>
              <w:top w:val="nil"/>
              <w:left w:val="nil"/>
              <w:bottom w:val="single" w:sz="8"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2,704</w:t>
            </w:r>
          </w:p>
        </w:tc>
        <w:tc>
          <w:tcPr>
            <w:tcW w:w="642" w:type="dxa"/>
            <w:tcBorders>
              <w:top w:val="nil"/>
              <w:left w:val="nil"/>
              <w:bottom w:val="single" w:sz="8"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2,897</w:t>
            </w:r>
          </w:p>
        </w:tc>
        <w:tc>
          <w:tcPr>
            <w:tcW w:w="642" w:type="dxa"/>
            <w:tcBorders>
              <w:top w:val="nil"/>
              <w:left w:val="nil"/>
              <w:bottom w:val="single" w:sz="8"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3,419</w:t>
            </w:r>
          </w:p>
        </w:tc>
        <w:tc>
          <w:tcPr>
            <w:tcW w:w="642" w:type="dxa"/>
            <w:tcBorders>
              <w:top w:val="nil"/>
              <w:left w:val="nil"/>
              <w:bottom w:val="single" w:sz="8"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4,009</w:t>
            </w:r>
          </w:p>
        </w:tc>
        <w:tc>
          <w:tcPr>
            <w:tcW w:w="642" w:type="dxa"/>
            <w:tcBorders>
              <w:top w:val="nil"/>
              <w:left w:val="nil"/>
              <w:bottom w:val="single" w:sz="8"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3,738</w:t>
            </w:r>
          </w:p>
        </w:tc>
        <w:tc>
          <w:tcPr>
            <w:tcW w:w="642" w:type="dxa"/>
            <w:tcBorders>
              <w:top w:val="nil"/>
              <w:left w:val="nil"/>
              <w:bottom w:val="single" w:sz="8"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3,837</w:t>
            </w:r>
          </w:p>
        </w:tc>
        <w:tc>
          <w:tcPr>
            <w:tcW w:w="642" w:type="dxa"/>
            <w:tcBorders>
              <w:top w:val="nil"/>
              <w:left w:val="nil"/>
              <w:bottom w:val="single" w:sz="8"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3,602</w:t>
            </w:r>
          </w:p>
        </w:tc>
        <w:tc>
          <w:tcPr>
            <w:tcW w:w="642" w:type="dxa"/>
            <w:tcBorders>
              <w:top w:val="nil"/>
              <w:left w:val="nil"/>
              <w:bottom w:val="single" w:sz="8"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3,810</w:t>
            </w:r>
          </w:p>
        </w:tc>
        <w:tc>
          <w:tcPr>
            <w:tcW w:w="642" w:type="dxa"/>
            <w:tcBorders>
              <w:top w:val="nil"/>
              <w:left w:val="nil"/>
              <w:bottom w:val="single" w:sz="8"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3,929</w:t>
            </w:r>
          </w:p>
        </w:tc>
        <w:tc>
          <w:tcPr>
            <w:tcW w:w="642" w:type="dxa"/>
            <w:tcBorders>
              <w:top w:val="nil"/>
              <w:left w:val="nil"/>
              <w:bottom w:val="single" w:sz="8"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3,760</w:t>
            </w:r>
          </w:p>
        </w:tc>
        <w:tc>
          <w:tcPr>
            <w:tcW w:w="642" w:type="dxa"/>
            <w:tcBorders>
              <w:top w:val="nil"/>
              <w:left w:val="nil"/>
              <w:bottom w:val="single" w:sz="8"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4,134</w:t>
            </w:r>
          </w:p>
        </w:tc>
        <w:tc>
          <w:tcPr>
            <w:tcW w:w="642" w:type="dxa"/>
            <w:tcBorders>
              <w:top w:val="nil"/>
              <w:left w:val="nil"/>
              <w:bottom w:val="single" w:sz="8"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4,364</w:t>
            </w: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São Paulo</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1,349</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1,470</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1,544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1,828</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1,844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1,947</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1,773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1,945</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1,879</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1,554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1,979</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2,129</w:t>
            </w: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 xml:space="preserve">Rio Grande do </w:t>
            </w:r>
            <w:proofErr w:type="spellStart"/>
            <w:r w:rsidRPr="00573DEB">
              <w:rPr>
                <w:rFonts w:ascii="Arial Narrow" w:hAnsi="Arial Narrow"/>
                <w:sz w:val="20"/>
                <w:szCs w:val="20"/>
                <w:lang w:eastAsia="pt-BR"/>
              </w:rPr>
              <w:t>Sul</w:t>
            </w:r>
            <w:proofErr w:type="spellEnd"/>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357</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412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564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657</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544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468</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453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534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593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496</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536</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547</w:t>
            </w: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Paraná</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304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297</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353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431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408</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378</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362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416</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442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480</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371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427</w:t>
            </w: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 xml:space="preserve">Minas </w:t>
            </w:r>
            <w:proofErr w:type="spellStart"/>
            <w:r w:rsidRPr="00573DEB">
              <w:rPr>
                <w:rFonts w:ascii="Arial Narrow" w:hAnsi="Arial Narrow"/>
                <w:sz w:val="20"/>
                <w:szCs w:val="20"/>
                <w:lang w:eastAsia="pt-BR"/>
              </w:rPr>
              <w:t>Gerais</w:t>
            </w:r>
            <w:proofErr w:type="spellEnd"/>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159</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169</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232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277</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291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321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327</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265</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253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280</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316</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342</w:t>
            </w: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Santa Catarina</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181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214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283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272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246</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280</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285</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289</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348</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294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384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316</w:t>
            </w: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proofErr w:type="spellStart"/>
            <w:r w:rsidRPr="00573DEB">
              <w:rPr>
                <w:rFonts w:ascii="Arial Narrow" w:hAnsi="Arial Narrow"/>
                <w:sz w:val="20"/>
                <w:szCs w:val="20"/>
                <w:lang w:eastAsia="pt-BR"/>
              </w:rPr>
              <w:t>Ceará</w:t>
            </w:r>
            <w:proofErr w:type="spellEnd"/>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106</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56</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57</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113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108</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109</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94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74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55</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247</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225</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227</w:t>
            </w: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Rio de Janeiro</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141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127</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144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172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147</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138</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150</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131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167</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201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178</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133</w:t>
            </w: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proofErr w:type="spellStart"/>
            <w:r w:rsidRPr="00573DEB">
              <w:rPr>
                <w:rFonts w:ascii="Arial Narrow" w:hAnsi="Arial Narrow"/>
                <w:sz w:val="20"/>
                <w:szCs w:val="20"/>
                <w:lang w:eastAsia="pt-BR"/>
              </w:rPr>
              <w:t>Espírito</w:t>
            </w:r>
            <w:proofErr w:type="spellEnd"/>
            <w:r w:rsidRPr="00573DEB">
              <w:rPr>
                <w:rFonts w:ascii="Arial Narrow" w:hAnsi="Arial Narrow"/>
                <w:sz w:val="20"/>
                <w:szCs w:val="20"/>
                <w:lang w:eastAsia="pt-BR"/>
              </w:rPr>
              <w:t xml:space="preserve"> Santo</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30</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39</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17</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80</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27</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25</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45</w:t>
            </w: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Amazonas</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19</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29</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38</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36</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15</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43</w:t>
            </w: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Bahia</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20</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17</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19</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28</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35</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40</w:t>
            </w: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Pernambuco</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9</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8</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20</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16</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15</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16</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26</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19</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26</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17</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32</w:t>
            </w: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Distrito Federal</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17</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63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19</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17</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17</w:t>
            </w: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proofErr w:type="spellStart"/>
            <w:r w:rsidRPr="00573DEB">
              <w:rPr>
                <w:rFonts w:ascii="Arial Narrow" w:hAnsi="Arial Narrow"/>
                <w:sz w:val="20"/>
                <w:szCs w:val="20"/>
                <w:lang w:eastAsia="pt-BR"/>
              </w:rPr>
              <w:t>Paraíba</w:t>
            </w:r>
            <w:proofErr w:type="spellEnd"/>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7</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7</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16</w:t>
            </w: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proofErr w:type="spellStart"/>
            <w:r w:rsidRPr="00573DEB">
              <w:rPr>
                <w:rFonts w:ascii="Arial Narrow" w:hAnsi="Arial Narrow"/>
                <w:sz w:val="20"/>
                <w:szCs w:val="20"/>
                <w:lang w:eastAsia="pt-BR"/>
              </w:rPr>
              <w:t>Goiás</w:t>
            </w:r>
            <w:proofErr w:type="spellEnd"/>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15</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19</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20</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16</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16</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20</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19</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15</w:t>
            </w: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Alagoas</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8</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11</w:t>
            </w: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proofErr w:type="spellStart"/>
            <w:r w:rsidRPr="00573DEB">
              <w:rPr>
                <w:rFonts w:ascii="Arial Narrow" w:hAnsi="Arial Narrow"/>
                <w:sz w:val="20"/>
                <w:szCs w:val="20"/>
                <w:lang w:eastAsia="pt-BR"/>
              </w:rPr>
              <w:t>Rondônia</w:t>
            </w:r>
            <w:proofErr w:type="spellEnd"/>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8</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6</w:t>
            </w: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proofErr w:type="spellStart"/>
            <w:r w:rsidRPr="00573DEB">
              <w:rPr>
                <w:rFonts w:ascii="Arial Narrow" w:hAnsi="Arial Narrow"/>
                <w:sz w:val="20"/>
                <w:szCs w:val="20"/>
                <w:lang w:eastAsia="pt-BR"/>
              </w:rPr>
              <w:t>Mato</w:t>
            </w:r>
            <w:proofErr w:type="spellEnd"/>
            <w:r w:rsidRPr="00573DEB">
              <w:rPr>
                <w:rFonts w:ascii="Arial Narrow" w:hAnsi="Arial Narrow"/>
                <w:sz w:val="20"/>
                <w:szCs w:val="20"/>
                <w:lang w:eastAsia="pt-BR"/>
              </w:rPr>
              <w:t xml:space="preserve"> Grosso do </w:t>
            </w:r>
            <w:proofErr w:type="spellStart"/>
            <w:r w:rsidRPr="00573DEB">
              <w:rPr>
                <w:rFonts w:ascii="Arial Narrow" w:hAnsi="Arial Narrow"/>
                <w:sz w:val="20"/>
                <w:szCs w:val="20"/>
                <w:lang w:eastAsia="pt-BR"/>
              </w:rPr>
              <w:t>Sul</w:t>
            </w:r>
            <w:proofErr w:type="spellEnd"/>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w:t>
            </w: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Rio Grande do Norte</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7</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7</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16</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9</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w:t>
            </w: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proofErr w:type="spellStart"/>
            <w:r w:rsidRPr="00573DEB">
              <w:rPr>
                <w:rFonts w:ascii="Arial Narrow" w:hAnsi="Arial Narrow"/>
                <w:sz w:val="20"/>
                <w:szCs w:val="20"/>
                <w:lang w:eastAsia="pt-BR"/>
              </w:rPr>
              <w:t>Mato</w:t>
            </w:r>
            <w:proofErr w:type="spellEnd"/>
            <w:r w:rsidRPr="00573DEB">
              <w:rPr>
                <w:rFonts w:ascii="Arial Narrow" w:hAnsi="Arial Narrow"/>
                <w:sz w:val="20"/>
                <w:szCs w:val="20"/>
                <w:lang w:eastAsia="pt-BR"/>
              </w:rPr>
              <w:t xml:space="preserve"> Grosso</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w:t>
            </w: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proofErr w:type="spellStart"/>
            <w:r w:rsidRPr="00573DEB">
              <w:rPr>
                <w:rFonts w:ascii="Arial Narrow" w:hAnsi="Arial Narrow"/>
                <w:sz w:val="20"/>
                <w:szCs w:val="20"/>
                <w:lang w:eastAsia="pt-BR"/>
              </w:rPr>
              <w:t>Pará</w:t>
            </w:r>
            <w:proofErr w:type="spellEnd"/>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9</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20</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6</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w:t>
            </w: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proofErr w:type="spellStart"/>
            <w:r w:rsidRPr="00573DEB">
              <w:rPr>
                <w:rFonts w:ascii="Arial Narrow" w:hAnsi="Arial Narrow"/>
                <w:sz w:val="20"/>
                <w:szCs w:val="20"/>
                <w:lang w:eastAsia="pt-BR"/>
              </w:rPr>
              <w:t>Maranhão</w:t>
            </w:r>
            <w:proofErr w:type="spellEnd"/>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Sergipe</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9</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6</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Acre</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proofErr w:type="spellStart"/>
            <w:r w:rsidRPr="00573DEB">
              <w:rPr>
                <w:rFonts w:ascii="Arial Narrow" w:hAnsi="Arial Narrow"/>
                <w:sz w:val="20"/>
                <w:szCs w:val="20"/>
                <w:lang w:eastAsia="pt-BR"/>
              </w:rPr>
              <w:t>Amapá</w:t>
            </w:r>
            <w:proofErr w:type="spellEnd"/>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proofErr w:type="spellStart"/>
            <w:r w:rsidRPr="00573DEB">
              <w:rPr>
                <w:rFonts w:ascii="Arial Narrow" w:hAnsi="Arial Narrow"/>
                <w:sz w:val="20"/>
                <w:szCs w:val="20"/>
                <w:lang w:eastAsia="pt-BR"/>
              </w:rPr>
              <w:t>Piauí</w:t>
            </w:r>
            <w:proofErr w:type="spellEnd"/>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r>
      <w:tr w:rsidR="00AB52B8" w:rsidRPr="00573DEB" w:rsidTr="00AB52B8">
        <w:trPr>
          <w:trHeight w:val="288"/>
        </w:trPr>
        <w:tc>
          <w:tcPr>
            <w:tcW w:w="1654"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Roraima</w:t>
            </w: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r>
      <w:tr w:rsidR="00AB52B8" w:rsidRPr="00573DEB" w:rsidTr="00AB52B8">
        <w:trPr>
          <w:trHeight w:val="288"/>
        </w:trPr>
        <w:tc>
          <w:tcPr>
            <w:tcW w:w="1654" w:type="dxa"/>
            <w:tcBorders>
              <w:top w:val="nil"/>
              <w:left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Tocantins</w:t>
            </w:r>
          </w:p>
        </w:tc>
        <w:tc>
          <w:tcPr>
            <w:tcW w:w="642" w:type="dxa"/>
            <w:tcBorders>
              <w:top w:val="nil"/>
              <w:left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w:t>
            </w:r>
          </w:p>
        </w:tc>
        <w:tc>
          <w:tcPr>
            <w:tcW w:w="642" w:type="dxa"/>
            <w:tcBorders>
              <w:top w:val="nil"/>
              <w:left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w:t>
            </w:r>
          </w:p>
        </w:tc>
        <w:tc>
          <w:tcPr>
            <w:tcW w:w="642" w:type="dxa"/>
            <w:tcBorders>
              <w:top w:val="nil"/>
              <w:left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r>
      <w:tr w:rsidR="00AB52B8" w:rsidRPr="00573DEB" w:rsidTr="00AB52B8">
        <w:trPr>
          <w:trHeight w:val="288"/>
        </w:trPr>
        <w:tc>
          <w:tcPr>
            <w:tcW w:w="1654" w:type="dxa"/>
            <w:tcBorders>
              <w:top w:val="nil"/>
              <w:left w:val="nil"/>
              <w:bottom w:val="single" w:sz="4" w:space="0" w:color="auto"/>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Others</w:t>
            </w:r>
          </w:p>
        </w:tc>
        <w:tc>
          <w:tcPr>
            <w:tcW w:w="642" w:type="dxa"/>
            <w:tcBorders>
              <w:top w:val="nil"/>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13</w:t>
            </w:r>
          </w:p>
        </w:tc>
        <w:tc>
          <w:tcPr>
            <w:tcW w:w="642" w:type="dxa"/>
            <w:tcBorders>
              <w:top w:val="nil"/>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38</w:t>
            </w:r>
          </w:p>
        </w:tc>
        <w:tc>
          <w:tcPr>
            <w:tcW w:w="642" w:type="dxa"/>
            <w:tcBorders>
              <w:top w:val="nil"/>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30</w:t>
            </w:r>
          </w:p>
        </w:tc>
        <w:tc>
          <w:tcPr>
            <w:tcW w:w="642" w:type="dxa"/>
            <w:tcBorders>
              <w:top w:val="nil"/>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17</w:t>
            </w:r>
          </w:p>
        </w:tc>
        <w:tc>
          <w:tcPr>
            <w:tcW w:w="642" w:type="dxa"/>
            <w:tcBorders>
              <w:top w:val="nil"/>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w:t>
            </w:r>
          </w:p>
        </w:tc>
        <w:tc>
          <w:tcPr>
            <w:tcW w:w="642" w:type="dxa"/>
            <w:tcBorders>
              <w:top w:val="nil"/>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c>
          <w:tcPr>
            <w:tcW w:w="642" w:type="dxa"/>
            <w:tcBorders>
              <w:top w:val="nil"/>
              <w:left w:val="nil"/>
              <w:bottom w:val="single" w:sz="4" w:space="0" w:color="auto"/>
              <w:right w:val="nil"/>
            </w:tcBorders>
            <w:shd w:val="clear" w:color="auto" w:fill="auto"/>
            <w:noWrap/>
            <w:vAlign w:val="bottom"/>
            <w:hideMark/>
          </w:tcPr>
          <w:p w:rsidR="00AB52B8" w:rsidRPr="00573DEB" w:rsidRDefault="00AB52B8" w:rsidP="00AB52B8">
            <w:pPr>
              <w:jc w:val="center"/>
              <w:rPr>
                <w:rFonts w:ascii="Arial Narrow" w:hAnsi="Arial Narrow"/>
                <w:sz w:val="20"/>
                <w:szCs w:val="20"/>
                <w:lang w:eastAsia="pt-BR"/>
              </w:rPr>
            </w:pPr>
          </w:p>
        </w:tc>
      </w:tr>
    </w:tbl>
    <w:p w:rsidR="00AB52B8" w:rsidRPr="00573DEB" w:rsidRDefault="00AB52B8" w:rsidP="004B4B73"/>
    <w:p w:rsidR="00AB52B8" w:rsidRPr="00573DEB" w:rsidRDefault="00AB52B8">
      <w:pPr>
        <w:widowControl/>
        <w:spacing w:after="200" w:line="276" w:lineRule="auto"/>
      </w:pPr>
      <w:r w:rsidRPr="00573DEB">
        <w:br w:type="page"/>
      </w:r>
    </w:p>
    <w:p w:rsidR="00B000C0" w:rsidRPr="00573DEB" w:rsidRDefault="00B000C0" w:rsidP="004B4B73"/>
    <w:p w:rsidR="00B000C0" w:rsidRPr="00573DEB" w:rsidRDefault="008C2A2F" w:rsidP="00AB52B8">
      <w:pPr>
        <w:pStyle w:val="Caption"/>
      </w:pPr>
      <w:bookmarkStart w:id="314" w:name="_Toc366845930"/>
      <w:bookmarkStart w:id="315" w:name="_Toc367700268"/>
      <w:bookmarkStart w:id="316" w:name="_Toc388620000"/>
      <w:r>
        <w:t xml:space="preserve">Table A.23:  </w:t>
      </w:r>
      <w:r w:rsidR="00B000C0" w:rsidRPr="00573DEB">
        <w:t>Industrial Design registrations</w:t>
      </w:r>
      <w:bookmarkEnd w:id="314"/>
      <w:bookmarkEnd w:id="315"/>
      <w:r w:rsidR="00B000C0" w:rsidRPr="00573DEB">
        <w:t xml:space="preserve"> by </w:t>
      </w:r>
      <w:bookmarkStart w:id="317" w:name="_Toc366845931"/>
      <w:bookmarkStart w:id="318" w:name="_Toc367700269"/>
      <w:r w:rsidR="00B000C0" w:rsidRPr="00573DEB">
        <w:t>origin</w:t>
      </w:r>
      <w:bookmarkEnd w:id="317"/>
      <w:bookmarkEnd w:id="318"/>
      <w:r w:rsidR="00B000C0" w:rsidRPr="00573DEB">
        <w:t>, 2000-2011</w:t>
      </w:r>
      <w:bookmarkEnd w:id="316"/>
    </w:p>
    <w:tbl>
      <w:tblPr>
        <w:tblW w:w="5420" w:type="dxa"/>
        <w:tblInd w:w="55" w:type="dxa"/>
        <w:tblCellMar>
          <w:left w:w="70" w:type="dxa"/>
          <w:right w:w="70" w:type="dxa"/>
        </w:tblCellMar>
        <w:tblLook w:val="04A0" w:firstRow="1" w:lastRow="0" w:firstColumn="1" w:lastColumn="0" w:noHBand="0" w:noVBand="1"/>
      </w:tblPr>
      <w:tblGrid>
        <w:gridCol w:w="1360"/>
        <w:gridCol w:w="1500"/>
        <w:gridCol w:w="1280"/>
        <w:gridCol w:w="1280"/>
      </w:tblGrid>
      <w:tr w:rsidR="00B000C0" w:rsidRPr="00573DEB" w:rsidTr="004B4B73">
        <w:trPr>
          <w:trHeight w:val="570"/>
        </w:trPr>
        <w:tc>
          <w:tcPr>
            <w:tcW w:w="1360"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4B4B73">
            <w:pPr>
              <w:rPr>
                <w:lang w:eastAsia="pt-BR"/>
              </w:rPr>
            </w:pPr>
            <w:r w:rsidRPr="00573DEB">
              <w:rPr>
                <w:lang w:eastAsia="pt-BR"/>
              </w:rPr>
              <w:t>Application Year</w:t>
            </w:r>
          </w:p>
        </w:tc>
        <w:tc>
          <w:tcPr>
            <w:tcW w:w="1500"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AB52B8">
            <w:pPr>
              <w:jc w:val="center"/>
              <w:rPr>
                <w:lang w:eastAsia="pt-BR"/>
              </w:rPr>
            </w:pPr>
            <w:r w:rsidRPr="00573DEB">
              <w:rPr>
                <w:lang w:eastAsia="pt-BR"/>
              </w:rPr>
              <w:t>Non-Resident</w:t>
            </w:r>
          </w:p>
        </w:tc>
        <w:tc>
          <w:tcPr>
            <w:tcW w:w="1280"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AB52B8">
            <w:pPr>
              <w:jc w:val="center"/>
              <w:rPr>
                <w:lang w:eastAsia="pt-BR"/>
              </w:rPr>
            </w:pPr>
            <w:r w:rsidRPr="00573DEB">
              <w:rPr>
                <w:lang w:eastAsia="pt-BR"/>
              </w:rPr>
              <w:t>Resident</w:t>
            </w:r>
          </w:p>
        </w:tc>
        <w:tc>
          <w:tcPr>
            <w:tcW w:w="1280"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AB52B8">
            <w:pPr>
              <w:jc w:val="center"/>
              <w:rPr>
                <w:lang w:eastAsia="pt-BR"/>
              </w:rPr>
            </w:pPr>
            <w:r w:rsidRPr="00573DEB">
              <w:rPr>
                <w:lang w:eastAsia="pt-BR"/>
              </w:rPr>
              <w:t>Total</w:t>
            </w:r>
          </w:p>
        </w:tc>
      </w:tr>
      <w:tr w:rsidR="00B000C0" w:rsidRPr="00573DEB" w:rsidTr="004B4B73">
        <w:trPr>
          <w:trHeight w:val="300"/>
        </w:trPr>
        <w:tc>
          <w:tcPr>
            <w:tcW w:w="13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2000</w:t>
            </w:r>
          </w:p>
        </w:tc>
        <w:tc>
          <w:tcPr>
            <w:tcW w:w="150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840</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1,934</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2,774</w:t>
            </w:r>
          </w:p>
        </w:tc>
      </w:tr>
      <w:tr w:rsidR="00B000C0" w:rsidRPr="00573DEB" w:rsidTr="004B4B73">
        <w:trPr>
          <w:trHeight w:val="300"/>
        </w:trPr>
        <w:tc>
          <w:tcPr>
            <w:tcW w:w="13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2001</w:t>
            </w:r>
          </w:p>
        </w:tc>
        <w:tc>
          <w:tcPr>
            <w:tcW w:w="150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1,062</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2,892</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3,954</w:t>
            </w:r>
          </w:p>
        </w:tc>
      </w:tr>
      <w:tr w:rsidR="00B000C0" w:rsidRPr="00573DEB" w:rsidTr="004B4B73">
        <w:trPr>
          <w:trHeight w:val="300"/>
        </w:trPr>
        <w:tc>
          <w:tcPr>
            <w:tcW w:w="13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2002</w:t>
            </w:r>
          </w:p>
        </w:tc>
        <w:tc>
          <w:tcPr>
            <w:tcW w:w="150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1,082</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3,031</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4,113</w:t>
            </w:r>
          </w:p>
        </w:tc>
      </w:tr>
      <w:tr w:rsidR="00B000C0" w:rsidRPr="00573DEB" w:rsidTr="004B4B73">
        <w:trPr>
          <w:trHeight w:val="300"/>
        </w:trPr>
        <w:tc>
          <w:tcPr>
            <w:tcW w:w="13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2003</w:t>
            </w:r>
          </w:p>
        </w:tc>
        <w:tc>
          <w:tcPr>
            <w:tcW w:w="150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1,165</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4,283</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5,448</w:t>
            </w:r>
          </w:p>
        </w:tc>
      </w:tr>
      <w:tr w:rsidR="00B000C0" w:rsidRPr="00573DEB" w:rsidTr="004B4B73">
        <w:trPr>
          <w:trHeight w:val="300"/>
        </w:trPr>
        <w:tc>
          <w:tcPr>
            <w:tcW w:w="13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2004</w:t>
            </w:r>
          </w:p>
        </w:tc>
        <w:tc>
          <w:tcPr>
            <w:tcW w:w="150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1,090</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3,469</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4,559</w:t>
            </w:r>
          </w:p>
        </w:tc>
      </w:tr>
      <w:tr w:rsidR="00B000C0" w:rsidRPr="00573DEB" w:rsidTr="004B4B73">
        <w:trPr>
          <w:trHeight w:val="300"/>
        </w:trPr>
        <w:tc>
          <w:tcPr>
            <w:tcW w:w="13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2005</w:t>
            </w:r>
          </w:p>
        </w:tc>
        <w:tc>
          <w:tcPr>
            <w:tcW w:w="150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1,205</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3,674</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4,879</w:t>
            </w:r>
          </w:p>
        </w:tc>
      </w:tr>
      <w:tr w:rsidR="00B000C0" w:rsidRPr="00573DEB" w:rsidTr="004B4B73">
        <w:trPr>
          <w:trHeight w:val="300"/>
        </w:trPr>
        <w:tc>
          <w:tcPr>
            <w:tcW w:w="13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2006</w:t>
            </w:r>
          </w:p>
        </w:tc>
        <w:tc>
          <w:tcPr>
            <w:tcW w:w="150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1,347</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2,963</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4,310</w:t>
            </w:r>
          </w:p>
        </w:tc>
      </w:tr>
      <w:tr w:rsidR="00B000C0" w:rsidRPr="00573DEB" w:rsidTr="004B4B73">
        <w:trPr>
          <w:trHeight w:val="300"/>
        </w:trPr>
        <w:tc>
          <w:tcPr>
            <w:tcW w:w="13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2007</w:t>
            </w:r>
          </w:p>
        </w:tc>
        <w:tc>
          <w:tcPr>
            <w:tcW w:w="150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1,389</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2,464</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3,853</w:t>
            </w:r>
          </w:p>
        </w:tc>
      </w:tr>
      <w:tr w:rsidR="00B000C0" w:rsidRPr="00573DEB" w:rsidTr="004B4B73">
        <w:trPr>
          <w:trHeight w:val="300"/>
        </w:trPr>
        <w:tc>
          <w:tcPr>
            <w:tcW w:w="13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2008</w:t>
            </w:r>
          </w:p>
        </w:tc>
        <w:tc>
          <w:tcPr>
            <w:tcW w:w="150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1,732</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3,463</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5,195</w:t>
            </w:r>
          </w:p>
        </w:tc>
      </w:tr>
      <w:tr w:rsidR="00B000C0" w:rsidRPr="00573DEB" w:rsidTr="004B4B73">
        <w:trPr>
          <w:trHeight w:val="300"/>
        </w:trPr>
        <w:tc>
          <w:tcPr>
            <w:tcW w:w="13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2009</w:t>
            </w:r>
          </w:p>
        </w:tc>
        <w:tc>
          <w:tcPr>
            <w:tcW w:w="150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1,460</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2,952</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4,412</w:t>
            </w:r>
          </w:p>
        </w:tc>
      </w:tr>
      <w:tr w:rsidR="00B000C0" w:rsidRPr="00573DEB" w:rsidTr="004B4B73">
        <w:trPr>
          <w:trHeight w:val="300"/>
        </w:trPr>
        <w:tc>
          <w:tcPr>
            <w:tcW w:w="13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2010</w:t>
            </w:r>
          </w:p>
        </w:tc>
        <w:tc>
          <w:tcPr>
            <w:tcW w:w="150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1,717</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3,724</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5,441</w:t>
            </w:r>
          </w:p>
        </w:tc>
      </w:tr>
      <w:tr w:rsidR="00B000C0" w:rsidRPr="00573DEB" w:rsidTr="004B4B73">
        <w:trPr>
          <w:trHeight w:val="300"/>
        </w:trPr>
        <w:tc>
          <w:tcPr>
            <w:tcW w:w="13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2011</w:t>
            </w:r>
          </w:p>
        </w:tc>
        <w:tc>
          <w:tcPr>
            <w:tcW w:w="150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1,298</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3,348</w:t>
            </w:r>
          </w:p>
        </w:tc>
        <w:tc>
          <w:tcPr>
            <w:tcW w:w="1280"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4,646</w:t>
            </w:r>
          </w:p>
        </w:tc>
      </w:tr>
      <w:tr w:rsidR="00B000C0" w:rsidRPr="00573DEB" w:rsidTr="004B4B73">
        <w:trPr>
          <w:trHeight w:val="315"/>
        </w:trPr>
        <w:tc>
          <w:tcPr>
            <w:tcW w:w="1360" w:type="dxa"/>
            <w:tcBorders>
              <w:top w:val="nil"/>
              <w:left w:val="nil"/>
              <w:bottom w:val="single" w:sz="8"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Total</w:t>
            </w:r>
          </w:p>
        </w:tc>
        <w:tc>
          <w:tcPr>
            <w:tcW w:w="1500" w:type="dxa"/>
            <w:tcBorders>
              <w:top w:val="nil"/>
              <w:left w:val="nil"/>
              <w:bottom w:val="single" w:sz="8" w:space="0" w:color="auto"/>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15,387</w:t>
            </w:r>
          </w:p>
        </w:tc>
        <w:tc>
          <w:tcPr>
            <w:tcW w:w="1280" w:type="dxa"/>
            <w:tcBorders>
              <w:top w:val="nil"/>
              <w:left w:val="nil"/>
              <w:bottom w:val="single" w:sz="8" w:space="0" w:color="auto"/>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38,197</w:t>
            </w:r>
          </w:p>
        </w:tc>
        <w:tc>
          <w:tcPr>
            <w:tcW w:w="1280" w:type="dxa"/>
            <w:tcBorders>
              <w:top w:val="nil"/>
              <w:left w:val="nil"/>
              <w:bottom w:val="single" w:sz="8" w:space="0" w:color="auto"/>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53,584</w:t>
            </w:r>
          </w:p>
        </w:tc>
      </w:tr>
    </w:tbl>
    <w:p w:rsidR="00B000C0" w:rsidRPr="00573DEB" w:rsidRDefault="00B000C0" w:rsidP="004B4B73"/>
    <w:p w:rsidR="00B000C0" w:rsidRPr="00573DEB" w:rsidRDefault="00B000C0" w:rsidP="004B4B73">
      <w:pPr>
        <w:pStyle w:val="Heading1"/>
      </w:pPr>
      <w:bookmarkStart w:id="319" w:name="_Toc388620001"/>
      <w:bookmarkStart w:id="320" w:name="_Toc366845935"/>
      <w:bookmarkStart w:id="321" w:name="_Toc367700273"/>
      <w:r w:rsidRPr="00573DEB">
        <w:t>Trademarks</w:t>
      </w:r>
      <w:bookmarkEnd w:id="319"/>
    </w:p>
    <w:p w:rsidR="00B000C0" w:rsidRPr="00573DEB" w:rsidRDefault="00B000C0" w:rsidP="004B4B73"/>
    <w:p w:rsidR="00B000C0" w:rsidRPr="00573DEB" w:rsidRDefault="008C2A2F" w:rsidP="00AB52B8">
      <w:pPr>
        <w:pStyle w:val="Caption"/>
      </w:pPr>
      <w:bookmarkStart w:id="322" w:name="_Toc388620002"/>
      <w:bookmarkEnd w:id="320"/>
      <w:bookmarkEnd w:id="321"/>
      <w:r>
        <w:t xml:space="preserve">Table A.24:  </w:t>
      </w:r>
      <w:r w:rsidR="00B000C0" w:rsidRPr="00573DEB">
        <w:t xml:space="preserve">Trademark applications </w:t>
      </w:r>
      <w:bookmarkStart w:id="323" w:name="_Toc366845936"/>
      <w:bookmarkStart w:id="324" w:name="_Toc367700274"/>
      <w:r w:rsidR="00B000C0" w:rsidRPr="00573DEB">
        <w:t>by nature</w:t>
      </w:r>
      <w:bookmarkEnd w:id="323"/>
      <w:bookmarkEnd w:id="324"/>
      <w:r w:rsidR="00B000C0" w:rsidRPr="00573DEB">
        <w:t>, 2000-2012</w:t>
      </w:r>
      <w:bookmarkEnd w:id="322"/>
    </w:p>
    <w:tbl>
      <w:tblPr>
        <w:tblW w:w="0" w:type="auto"/>
        <w:tblInd w:w="55" w:type="dxa"/>
        <w:tblLayout w:type="fixed"/>
        <w:tblCellMar>
          <w:left w:w="70" w:type="dxa"/>
          <w:right w:w="70" w:type="dxa"/>
        </w:tblCellMar>
        <w:tblLook w:val="04A0" w:firstRow="1" w:lastRow="0" w:firstColumn="1" w:lastColumn="0" w:noHBand="0" w:noVBand="1"/>
      </w:tblPr>
      <w:tblGrid>
        <w:gridCol w:w="542"/>
        <w:gridCol w:w="1133"/>
        <w:gridCol w:w="1133"/>
        <w:gridCol w:w="1133"/>
        <w:gridCol w:w="1134"/>
        <w:gridCol w:w="1133"/>
        <w:gridCol w:w="1133"/>
        <w:gridCol w:w="1134"/>
      </w:tblGrid>
      <w:tr w:rsidR="00B000C0" w:rsidRPr="00573DEB" w:rsidTr="00AB52B8">
        <w:trPr>
          <w:trHeight w:val="300"/>
        </w:trPr>
        <w:tc>
          <w:tcPr>
            <w:tcW w:w="542"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Year</w:t>
            </w:r>
          </w:p>
        </w:tc>
        <w:tc>
          <w:tcPr>
            <w:tcW w:w="1133"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Certification</w:t>
            </w:r>
          </w:p>
        </w:tc>
        <w:tc>
          <w:tcPr>
            <w:tcW w:w="1133"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Collective</w:t>
            </w:r>
          </w:p>
        </w:tc>
        <w:tc>
          <w:tcPr>
            <w:tcW w:w="1133"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Goods</w:t>
            </w:r>
          </w:p>
        </w:tc>
        <w:tc>
          <w:tcPr>
            <w:tcW w:w="1134"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Services</w:t>
            </w:r>
          </w:p>
        </w:tc>
        <w:tc>
          <w:tcPr>
            <w:tcW w:w="1133"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Generic</w:t>
            </w:r>
          </w:p>
        </w:tc>
        <w:tc>
          <w:tcPr>
            <w:tcW w:w="1133"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Advertising</w:t>
            </w:r>
          </w:p>
        </w:tc>
        <w:tc>
          <w:tcPr>
            <w:tcW w:w="1134"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Total</w:t>
            </w:r>
          </w:p>
        </w:tc>
      </w:tr>
      <w:tr w:rsidR="00B000C0" w:rsidRPr="00573DEB" w:rsidTr="00AB52B8">
        <w:trPr>
          <w:trHeight w:val="300"/>
        </w:trPr>
        <w:tc>
          <w:tcPr>
            <w:tcW w:w="542" w:type="dxa"/>
            <w:tcBorders>
              <w:top w:val="nil"/>
              <w:left w:val="nil"/>
              <w:bottom w:val="nil"/>
              <w:right w:val="nil"/>
            </w:tcBorders>
            <w:shd w:val="clear" w:color="auto" w:fill="auto"/>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2000</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35</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48</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56,220</w:t>
            </w:r>
          </w:p>
        </w:tc>
        <w:tc>
          <w:tcPr>
            <w:tcW w:w="1134"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51,927</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1</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w:t>
            </w:r>
          </w:p>
        </w:tc>
        <w:tc>
          <w:tcPr>
            <w:tcW w:w="1134" w:type="dxa"/>
            <w:tcBorders>
              <w:top w:val="nil"/>
              <w:left w:val="nil"/>
              <w:bottom w:val="nil"/>
              <w:right w:val="nil"/>
            </w:tcBorders>
            <w:shd w:val="clear" w:color="auto" w:fill="auto"/>
            <w:noWrap/>
            <w:vAlign w:val="bottom"/>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108,231</w:t>
            </w:r>
          </w:p>
        </w:tc>
      </w:tr>
      <w:tr w:rsidR="00B000C0" w:rsidRPr="00573DEB" w:rsidTr="00AB52B8">
        <w:trPr>
          <w:trHeight w:val="300"/>
        </w:trPr>
        <w:tc>
          <w:tcPr>
            <w:tcW w:w="542" w:type="dxa"/>
            <w:tcBorders>
              <w:top w:val="nil"/>
              <w:left w:val="nil"/>
              <w:bottom w:val="nil"/>
              <w:right w:val="nil"/>
            </w:tcBorders>
            <w:shd w:val="clear" w:color="auto" w:fill="auto"/>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2001</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21</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57</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52,967</w:t>
            </w:r>
          </w:p>
        </w:tc>
        <w:tc>
          <w:tcPr>
            <w:tcW w:w="1134"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48,572</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w:t>
            </w:r>
          </w:p>
        </w:tc>
        <w:tc>
          <w:tcPr>
            <w:tcW w:w="1134" w:type="dxa"/>
            <w:tcBorders>
              <w:top w:val="nil"/>
              <w:left w:val="nil"/>
              <w:bottom w:val="nil"/>
              <w:right w:val="nil"/>
            </w:tcBorders>
            <w:shd w:val="clear" w:color="auto" w:fill="auto"/>
            <w:noWrap/>
            <w:vAlign w:val="bottom"/>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101,617</w:t>
            </w:r>
          </w:p>
        </w:tc>
      </w:tr>
      <w:tr w:rsidR="00B000C0" w:rsidRPr="00573DEB" w:rsidTr="00AB52B8">
        <w:trPr>
          <w:trHeight w:val="300"/>
        </w:trPr>
        <w:tc>
          <w:tcPr>
            <w:tcW w:w="542" w:type="dxa"/>
            <w:tcBorders>
              <w:top w:val="nil"/>
              <w:left w:val="nil"/>
              <w:bottom w:val="nil"/>
              <w:right w:val="nil"/>
            </w:tcBorders>
            <w:shd w:val="clear" w:color="auto" w:fill="auto"/>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2002</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29</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30</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48,302</w:t>
            </w:r>
          </w:p>
        </w:tc>
        <w:tc>
          <w:tcPr>
            <w:tcW w:w="1134"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45,953</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1</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w:t>
            </w:r>
          </w:p>
        </w:tc>
        <w:tc>
          <w:tcPr>
            <w:tcW w:w="1134" w:type="dxa"/>
            <w:tcBorders>
              <w:top w:val="nil"/>
              <w:left w:val="nil"/>
              <w:bottom w:val="nil"/>
              <w:right w:val="nil"/>
            </w:tcBorders>
            <w:shd w:val="clear" w:color="auto" w:fill="auto"/>
            <w:noWrap/>
            <w:vAlign w:val="bottom"/>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94,315</w:t>
            </w:r>
          </w:p>
        </w:tc>
      </w:tr>
      <w:tr w:rsidR="00B000C0" w:rsidRPr="00573DEB" w:rsidTr="00AB52B8">
        <w:trPr>
          <w:trHeight w:val="300"/>
        </w:trPr>
        <w:tc>
          <w:tcPr>
            <w:tcW w:w="542" w:type="dxa"/>
            <w:tcBorders>
              <w:top w:val="nil"/>
              <w:left w:val="nil"/>
              <w:bottom w:val="nil"/>
              <w:right w:val="nil"/>
            </w:tcBorders>
            <w:shd w:val="clear" w:color="auto" w:fill="auto"/>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2003</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28</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43</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48,465</w:t>
            </w:r>
          </w:p>
        </w:tc>
        <w:tc>
          <w:tcPr>
            <w:tcW w:w="1134"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47,044</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w:t>
            </w:r>
          </w:p>
        </w:tc>
        <w:tc>
          <w:tcPr>
            <w:tcW w:w="1134" w:type="dxa"/>
            <w:tcBorders>
              <w:top w:val="nil"/>
              <w:left w:val="nil"/>
              <w:bottom w:val="nil"/>
              <w:right w:val="nil"/>
            </w:tcBorders>
            <w:shd w:val="clear" w:color="auto" w:fill="auto"/>
            <w:noWrap/>
            <w:vAlign w:val="bottom"/>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95,580</w:t>
            </w:r>
          </w:p>
        </w:tc>
      </w:tr>
      <w:tr w:rsidR="00B000C0" w:rsidRPr="00573DEB" w:rsidTr="00AB52B8">
        <w:trPr>
          <w:trHeight w:val="300"/>
        </w:trPr>
        <w:tc>
          <w:tcPr>
            <w:tcW w:w="542" w:type="dxa"/>
            <w:tcBorders>
              <w:top w:val="nil"/>
              <w:left w:val="nil"/>
              <w:bottom w:val="nil"/>
              <w:right w:val="nil"/>
            </w:tcBorders>
            <w:shd w:val="clear" w:color="auto" w:fill="auto"/>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2004</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29</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25</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46,590</w:t>
            </w:r>
          </w:p>
        </w:tc>
        <w:tc>
          <w:tcPr>
            <w:tcW w:w="1134"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47,396</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w:t>
            </w:r>
          </w:p>
        </w:tc>
        <w:tc>
          <w:tcPr>
            <w:tcW w:w="1134" w:type="dxa"/>
            <w:tcBorders>
              <w:top w:val="nil"/>
              <w:left w:val="nil"/>
              <w:bottom w:val="nil"/>
              <w:right w:val="nil"/>
            </w:tcBorders>
            <w:shd w:val="clear" w:color="auto" w:fill="auto"/>
            <w:noWrap/>
            <w:vAlign w:val="bottom"/>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94,040</w:t>
            </w:r>
          </w:p>
        </w:tc>
      </w:tr>
      <w:tr w:rsidR="00B000C0" w:rsidRPr="00573DEB" w:rsidTr="00AB52B8">
        <w:trPr>
          <w:trHeight w:val="300"/>
        </w:trPr>
        <w:tc>
          <w:tcPr>
            <w:tcW w:w="542" w:type="dxa"/>
            <w:tcBorders>
              <w:top w:val="nil"/>
              <w:left w:val="nil"/>
              <w:bottom w:val="nil"/>
              <w:right w:val="nil"/>
            </w:tcBorders>
            <w:shd w:val="clear" w:color="auto" w:fill="auto"/>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2005</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31</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36</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48,217</w:t>
            </w:r>
          </w:p>
        </w:tc>
        <w:tc>
          <w:tcPr>
            <w:tcW w:w="1134"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51,035</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w:t>
            </w:r>
          </w:p>
        </w:tc>
        <w:tc>
          <w:tcPr>
            <w:tcW w:w="1134" w:type="dxa"/>
            <w:tcBorders>
              <w:top w:val="nil"/>
              <w:left w:val="nil"/>
              <w:bottom w:val="nil"/>
              <w:right w:val="nil"/>
            </w:tcBorders>
            <w:shd w:val="clear" w:color="auto" w:fill="auto"/>
            <w:noWrap/>
            <w:vAlign w:val="bottom"/>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99,319</w:t>
            </w:r>
          </w:p>
        </w:tc>
      </w:tr>
      <w:tr w:rsidR="00B000C0" w:rsidRPr="00573DEB" w:rsidTr="00AB52B8">
        <w:trPr>
          <w:trHeight w:val="300"/>
        </w:trPr>
        <w:tc>
          <w:tcPr>
            <w:tcW w:w="542" w:type="dxa"/>
            <w:tcBorders>
              <w:top w:val="nil"/>
              <w:left w:val="nil"/>
              <w:bottom w:val="nil"/>
              <w:right w:val="nil"/>
            </w:tcBorders>
            <w:shd w:val="clear" w:color="auto" w:fill="auto"/>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2006</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30</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42</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46,644</w:t>
            </w:r>
          </w:p>
        </w:tc>
        <w:tc>
          <w:tcPr>
            <w:tcW w:w="1134"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49,144</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w:t>
            </w:r>
          </w:p>
        </w:tc>
        <w:tc>
          <w:tcPr>
            <w:tcW w:w="1134" w:type="dxa"/>
            <w:tcBorders>
              <w:top w:val="nil"/>
              <w:left w:val="nil"/>
              <w:bottom w:val="nil"/>
              <w:right w:val="nil"/>
            </w:tcBorders>
            <w:shd w:val="clear" w:color="auto" w:fill="auto"/>
            <w:noWrap/>
            <w:vAlign w:val="bottom"/>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95,860</w:t>
            </w:r>
          </w:p>
        </w:tc>
      </w:tr>
      <w:tr w:rsidR="00B000C0" w:rsidRPr="00573DEB" w:rsidTr="00AB52B8">
        <w:trPr>
          <w:trHeight w:val="300"/>
        </w:trPr>
        <w:tc>
          <w:tcPr>
            <w:tcW w:w="542" w:type="dxa"/>
            <w:tcBorders>
              <w:top w:val="nil"/>
              <w:left w:val="nil"/>
              <w:bottom w:val="nil"/>
              <w:right w:val="nil"/>
            </w:tcBorders>
            <w:shd w:val="clear" w:color="auto" w:fill="auto"/>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2007</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61</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79</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50,296</w:t>
            </w:r>
          </w:p>
        </w:tc>
        <w:tc>
          <w:tcPr>
            <w:tcW w:w="1134"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53,783</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w:t>
            </w:r>
          </w:p>
        </w:tc>
        <w:tc>
          <w:tcPr>
            <w:tcW w:w="1134" w:type="dxa"/>
            <w:tcBorders>
              <w:top w:val="nil"/>
              <w:left w:val="nil"/>
              <w:bottom w:val="nil"/>
              <w:right w:val="nil"/>
            </w:tcBorders>
            <w:shd w:val="clear" w:color="auto" w:fill="auto"/>
            <w:noWrap/>
            <w:vAlign w:val="bottom"/>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104,219</w:t>
            </w:r>
          </w:p>
        </w:tc>
      </w:tr>
      <w:tr w:rsidR="00B000C0" w:rsidRPr="00573DEB" w:rsidTr="00AB52B8">
        <w:trPr>
          <w:trHeight w:val="300"/>
        </w:trPr>
        <w:tc>
          <w:tcPr>
            <w:tcW w:w="542" w:type="dxa"/>
            <w:tcBorders>
              <w:top w:val="nil"/>
              <w:left w:val="nil"/>
              <w:bottom w:val="nil"/>
              <w:right w:val="nil"/>
            </w:tcBorders>
            <w:shd w:val="clear" w:color="auto" w:fill="auto"/>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2008</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96</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215</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56,644</w:t>
            </w:r>
          </w:p>
        </w:tc>
        <w:tc>
          <w:tcPr>
            <w:tcW w:w="1134"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64,957</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w:t>
            </w:r>
          </w:p>
        </w:tc>
        <w:tc>
          <w:tcPr>
            <w:tcW w:w="1134" w:type="dxa"/>
            <w:tcBorders>
              <w:top w:val="nil"/>
              <w:left w:val="nil"/>
              <w:bottom w:val="nil"/>
              <w:right w:val="nil"/>
            </w:tcBorders>
            <w:shd w:val="clear" w:color="auto" w:fill="auto"/>
            <w:noWrap/>
            <w:vAlign w:val="bottom"/>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121,912</w:t>
            </w:r>
          </w:p>
        </w:tc>
      </w:tr>
      <w:tr w:rsidR="00B000C0" w:rsidRPr="00573DEB" w:rsidTr="00AB52B8">
        <w:trPr>
          <w:trHeight w:val="300"/>
        </w:trPr>
        <w:tc>
          <w:tcPr>
            <w:tcW w:w="542" w:type="dxa"/>
            <w:tcBorders>
              <w:top w:val="nil"/>
              <w:left w:val="nil"/>
              <w:bottom w:val="nil"/>
              <w:right w:val="nil"/>
            </w:tcBorders>
            <w:shd w:val="clear" w:color="auto" w:fill="auto"/>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2009</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217</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307</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51,598</w:t>
            </w:r>
          </w:p>
        </w:tc>
        <w:tc>
          <w:tcPr>
            <w:tcW w:w="1134"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60,689</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w:t>
            </w:r>
          </w:p>
        </w:tc>
        <w:tc>
          <w:tcPr>
            <w:tcW w:w="1134" w:type="dxa"/>
            <w:tcBorders>
              <w:top w:val="nil"/>
              <w:left w:val="nil"/>
              <w:bottom w:val="nil"/>
              <w:right w:val="nil"/>
            </w:tcBorders>
            <w:shd w:val="clear" w:color="auto" w:fill="auto"/>
            <w:noWrap/>
            <w:vAlign w:val="bottom"/>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112,811</w:t>
            </w:r>
          </w:p>
        </w:tc>
      </w:tr>
      <w:tr w:rsidR="00B000C0" w:rsidRPr="00573DEB" w:rsidTr="00AB52B8">
        <w:trPr>
          <w:trHeight w:val="300"/>
        </w:trPr>
        <w:tc>
          <w:tcPr>
            <w:tcW w:w="542" w:type="dxa"/>
            <w:tcBorders>
              <w:top w:val="nil"/>
              <w:left w:val="nil"/>
              <w:bottom w:val="nil"/>
              <w:right w:val="nil"/>
            </w:tcBorders>
            <w:shd w:val="clear" w:color="auto" w:fill="auto"/>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2010</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360</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640</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58,287</w:t>
            </w:r>
          </w:p>
        </w:tc>
        <w:tc>
          <w:tcPr>
            <w:tcW w:w="1134"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68,404</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1</w:t>
            </w:r>
          </w:p>
        </w:tc>
        <w:tc>
          <w:tcPr>
            <w:tcW w:w="1134" w:type="dxa"/>
            <w:tcBorders>
              <w:top w:val="nil"/>
              <w:left w:val="nil"/>
              <w:bottom w:val="nil"/>
              <w:right w:val="nil"/>
            </w:tcBorders>
            <w:shd w:val="clear" w:color="auto" w:fill="auto"/>
            <w:noWrap/>
            <w:vAlign w:val="bottom"/>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127,692</w:t>
            </w:r>
          </w:p>
        </w:tc>
      </w:tr>
      <w:tr w:rsidR="00B000C0" w:rsidRPr="00573DEB" w:rsidTr="00AB52B8">
        <w:trPr>
          <w:trHeight w:val="300"/>
        </w:trPr>
        <w:tc>
          <w:tcPr>
            <w:tcW w:w="542" w:type="dxa"/>
            <w:tcBorders>
              <w:top w:val="nil"/>
              <w:left w:val="nil"/>
              <w:bottom w:val="nil"/>
              <w:right w:val="nil"/>
            </w:tcBorders>
            <w:shd w:val="clear" w:color="auto" w:fill="auto"/>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2011</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496</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663</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67,817</w:t>
            </w:r>
          </w:p>
        </w:tc>
        <w:tc>
          <w:tcPr>
            <w:tcW w:w="1134"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83,723</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w:t>
            </w:r>
          </w:p>
        </w:tc>
        <w:tc>
          <w:tcPr>
            <w:tcW w:w="1134" w:type="dxa"/>
            <w:tcBorders>
              <w:top w:val="nil"/>
              <w:left w:val="nil"/>
              <w:bottom w:val="nil"/>
              <w:right w:val="nil"/>
            </w:tcBorders>
            <w:shd w:val="clear" w:color="auto" w:fill="auto"/>
            <w:noWrap/>
            <w:vAlign w:val="bottom"/>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152,699</w:t>
            </w:r>
          </w:p>
        </w:tc>
      </w:tr>
      <w:tr w:rsidR="00B000C0" w:rsidRPr="00573DEB" w:rsidTr="00AB52B8">
        <w:trPr>
          <w:trHeight w:val="300"/>
        </w:trPr>
        <w:tc>
          <w:tcPr>
            <w:tcW w:w="542" w:type="dxa"/>
            <w:tcBorders>
              <w:top w:val="nil"/>
              <w:left w:val="nil"/>
              <w:bottom w:val="nil"/>
              <w:right w:val="nil"/>
            </w:tcBorders>
            <w:shd w:val="clear" w:color="auto" w:fill="auto"/>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2012</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237</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794</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66,583</w:t>
            </w:r>
          </w:p>
        </w:tc>
        <w:tc>
          <w:tcPr>
            <w:tcW w:w="1134"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84,096</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w:t>
            </w:r>
          </w:p>
        </w:tc>
        <w:tc>
          <w:tcPr>
            <w:tcW w:w="1133" w:type="dxa"/>
            <w:tcBorders>
              <w:top w:val="nil"/>
              <w:left w:val="nil"/>
              <w:bottom w:val="nil"/>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1</w:t>
            </w:r>
          </w:p>
        </w:tc>
        <w:tc>
          <w:tcPr>
            <w:tcW w:w="1134" w:type="dxa"/>
            <w:tcBorders>
              <w:top w:val="nil"/>
              <w:left w:val="nil"/>
              <w:bottom w:val="nil"/>
              <w:right w:val="nil"/>
            </w:tcBorders>
            <w:shd w:val="clear" w:color="auto" w:fill="auto"/>
            <w:noWrap/>
            <w:vAlign w:val="bottom"/>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151,711</w:t>
            </w:r>
          </w:p>
        </w:tc>
      </w:tr>
      <w:tr w:rsidR="00B000C0" w:rsidRPr="00573DEB" w:rsidTr="00AB52B8">
        <w:trPr>
          <w:trHeight w:val="315"/>
        </w:trPr>
        <w:tc>
          <w:tcPr>
            <w:tcW w:w="542" w:type="dxa"/>
            <w:tcBorders>
              <w:top w:val="nil"/>
              <w:left w:val="nil"/>
              <w:bottom w:val="single" w:sz="8" w:space="0" w:color="auto"/>
              <w:right w:val="nil"/>
            </w:tcBorders>
            <w:shd w:val="clear" w:color="auto" w:fill="auto"/>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Total</w:t>
            </w:r>
          </w:p>
        </w:tc>
        <w:tc>
          <w:tcPr>
            <w:tcW w:w="1133" w:type="dxa"/>
            <w:tcBorders>
              <w:top w:val="nil"/>
              <w:left w:val="nil"/>
              <w:bottom w:val="single" w:sz="8" w:space="0" w:color="auto"/>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1,670</w:t>
            </w:r>
          </w:p>
        </w:tc>
        <w:tc>
          <w:tcPr>
            <w:tcW w:w="1133" w:type="dxa"/>
            <w:tcBorders>
              <w:top w:val="nil"/>
              <w:left w:val="nil"/>
              <w:bottom w:val="single" w:sz="8" w:space="0" w:color="auto"/>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2,979</w:t>
            </w:r>
          </w:p>
        </w:tc>
        <w:tc>
          <w:tcPr>
            <w:tcW w:w="1133" w:type="dxa"/>
            <w:tcBorders>
              <w:top w:val="nil"/>
              <w:left w:val="nil"/>
              <w:bottom w:val="single" w:sz="8" w:space="0" w:color="auto"/>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698,630</w:t>
            </w:r>
          </w:p>
        </w:tc>
        <w:tc>
          <w:tcPr>
            <w:tcW w:w="1134" w:type="dxa"/>
            <w:tcBorders>
              <w:top w:val="nil"/>
              <w:left w:val="nil"/>
              <w:bottom w:val="single" w:sz="8" w:space="0" w:color="auto"/>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756,723</w:t>
            </w:r>
          </w:p>
        </w:tc>
        <w:tc>
          <w:tcPr>
            <w:tcW w:w="1133" w:type="dxa"/>
            <w:tcBorders>
              <w:top w:val="nil"/>
              <w:left w:val="nil"/>
              <w:bottom w:val="single" w:sz="8" w:space="0" w:color="auto"/>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w:t>
            </w:r>
          </w:p>
        </w:tc>
        <w:tc>
          <w:tcPr>
            <w:tcW w:w="1133" w:type="dxa"/>
            <w:tcBorders>
              <w:top w:val="nil"/>
              <w:left w:val="nil"/>
              <w:bottom w:val="single" w:sz="8" w:space="0" w:color="auto"/>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2</w:t>
            </w:r>
          </w:p>
        </w:tc>
        <w:tc>
          <w:tcPr>
            <w:tcW w:w="1134" w:type="dxa"/>
            <w:tcBorders>
              <w:top w:val="nil"/>
              <w:left w:val="nil"/>
              <w:bottom w:val="single" w:sz="8" w:space="0" w:color="auto"/>
              <w:right w:val="nil"/>
            </w:tcBorders>
            <w:shd w:val="clear" w:color="auto" w:fill="auto"/>
            <w:noWrap/>
            <w:vAlign w:val="center"/>
            <w:hideMark/>
          </w:tcPr>
          <w:p w:rsidR="00B000C0" w:rsidRPr="00573DEB" w:rsidRDefault="00B000C0" w:rsidP="00AB52B8">
            <w:pPr>
              <w:jc w:val="center"/>
              <w:rPr>
                <w:rFonts w:ascii="Arial Narrow" w:hAnsi="Arial Narrow"/>
                <w:lang w:eastAsia="pt-BR"/>
              </w:rPr>
            </w:pPr>
            <w:r w:rsidRPr="00573DEB">
              <w:rPr>
                <w:rFonts w:ascii="Arial Narrow" w:hAnsi="Arial Narrow"/>
                <w:lang w:eastAsia="pt-BR"/>
              </w:rPr>
              <w:t>1,460,006</w:t>
            </w:r>
          </w:p>
        </w:tc>
      </w:tr>
    </w:tbl>
    <w:p w:rsidR="00AB52B8" w:rsidRPr="00573DEB" w:rsidRDefault="00AB52B8" w:rsidP="004B4B73"/>
    <w:p w:rsidR="00AB52B8" w:rsidRPr="00573DEB" w:rsidRDefault="00AB52B8">
      <w:pPr>
        <w:widowControl/>
        <w:spacing w:after="200" w:line="276" w:lineRule="auto"/>
      </w:pPr>
      <w:r w:rsidRPr="00573DEB">
        <w:br w:type="page"/>
      </w:r>
    </w:p>
    <w:p w:rsidR="00B000C0" w:rsidRPr="00573DEB" w:rsidRDefault="00B000C0" w:rsidP="004B4B73"/>
    <w:p w:rsidR="00B000C0" w:rsidRPr="00573DEB" w:rsidRDefault="008C2A2F" w:rsidP="00AB52B8">
      <w:pPr>
        <w:pStyle w:val="Caption"/>
      </w:pPr>
      <w:bookmarkStart w:id="325" w:name="_Toc366845937"/>
      <w:bookmarkStart w:id="326" w:name="_Toc367700275"/>
      <w:bookmarkStart w:id="327" w:name="_Toc388620003"/>
      <w:r>
        <w:t xml:space="preserve">Table A.25:  </w:t>
      </w:r>
      <w:r w:rsidR="00B000C0" w:rsidRPr="00573DEB">
        <w:t>Trademark applications by presentation</w:t>
      </w:r>
      <w:bookmarkEnd w:id="325"/>
      <w:bookmarkEnd w:id="326"/>
      <w:r w:rsidR="00B000C0" w:rsidRPr="00573DEB">
        <w:t>, 2000-2012</w:t>
      </w:r>
      <w:bookmarkEnd w:id="327"/>
    </w:p>
    <w:tbl>
      <w:tblPr>
        <w:tblW w:w="0" w:type="auto"/>
        <w:tblInd w:w="55" w:type="dxa"/>
        <w:tblLayout w:type="fixed"/>
        <w:tblCellMar>
          <w:left w:w="70" w:type="dxa"/>
          <w:right w:w="70" w:type="dxa"/>
        </w:tblCellMar>
        <w:tblLook w:val="04A0" w:firstRow="1" w:lastRow="0" w:firstColumn="1" w:lastColumn="0" w:noHBand="0" w:noVBand="1"/>
      </w:tblPr>
      <w:tblGrid>
        <w:gridCol w:w="630"/>
        <w:gridCol w:w="1382"/>
        <w:gridCol w:w="1383"/>
        <w:gridCol w:w="1382"/>
        <w:gridCol w:w="1383"/>
        <w:gridCol w:w="1383"/>
      </w:tblGrid>
      <w:tr w:rsidR="00B000C0" w:rsidRPr="00573DEB" w:rsidTr="00AB52B8">
        <w:trPr>
          <w:trHeight w:val="304"/>
        </w:trPr>
        <w:tc>
          <w:tcPr>
            <w:tcW w:w="63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Year</w:t>
            </w:r>
          </w:p>
        </w:tc>
        <w:tc>
          <w:tcPr>
            <w:tcW w:w="1382"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AB52B8">
            <w:pPr>
              <w:jc w:val="center"/>
              <w:rPr>
                <w:lang w:eastAsia="pt-BR"/>
              </w:rPr>
            </w:pPr>
            <w:r w:rsidRPr="00573DEB">
              <w:rPr>
                <w:lang w:eastAsia="pt-BR"/>
              </w:rPr>
              <w:t>Figurative</w:t>
            </w:r>
          </w:p>
        </w:tc>
        <w:tc>
          <w:tcPr>
            <w:tcW w:w="1383"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AB52B8">
            <w:pPr>
              <w:jc w:val="center"/>
              <w:rPr>
                <w:lang w:eastAsia="pt-BR"/>
              </w:rPr>
            </w:pPr>
            <w:r w:rsidRPr="00573DEB">
              <w:rPr>
                <w:lang w:eastAsia="pt-BR"/>
              </w:rPr>
              <w:t>Mixed</w:t>
            </w:r>
          </w:p>
        </w:tc>
        <w:tc>
          <w:tcPr>
            <w:tcW w:w="1382"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AB52B8">
            <w:pPr>
              <w:jc w:val="center"/>
              <w:rPr>
                <w:lang w:eastAsia="pt-BR"/>
              </w:rPr>
            </w:pPr>
            <w:r w:rsidRPr="00573DEB">
              <w:rPr>
                <w:lang w:eastAsia="pt-BR"/>
              </w:rPr>
              <w:t>Nominative</w:t>
            </w:r>
          </w:p>
        </w:tc>
        <w:tc>
          <w:tcPr>
            <w:tcW w:w="1383" w:type="dxa"/>
            <w:tcBorders>
              <w:top w:val="single" w:sz="8" w:space="0" w:color="auto"/>
              <w:left w:val="nil"/>
              <w:bottom w:val="single" w:sz="4" w:space="0" w:color="auto"/>
              <w:right w:val="nil"/>
            </w:tcBorders>
            <w:shd w:val="clear" w:color="auto" w:fill="auto"/>
            <w:vAlign w:val="center"/>
            <w:hideMark/>
          </w:tcPr>
          <w:p w:rsidR="00B000C0" w:rsidRPr="00573DEB" w:rsidRDefault="00AB52B8" w:rsidP="00AB52B8">
            <w:pPr>
              <w:jc w:val="center"/>
              <w:rPr>
                <w:lang w:eastAsia="pt-BR"/>
              </w:rPr>
            </w:pPr>
            <w:r w:rsidRPr="00573DEB">
              <w:rPr>
                <w:lang w:eastAsia="pt-BR"/>
              </w:rPr>
              <w:t>3D</w:t>
            </w:r>
          </w:p>
        </w:tc>
        <w:tc>
          <w:tcPr>
            <w:tcW w:w="1383"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AB52B8">
            <w:pPr>
              <w:jc w:val="center"/>
              <w:rPr>
                <w:lang w:eastAsia="pt-BR"/>
              </w:rPr>
            </w:pPr>
            <w:r w:rsidRPr="00573DEB">
              <w:rPr>
                <w:lang w:eastAsia="pt-BR"/>
              </w:rPr>
              <w:t>Total</w:t>
            </w:r>
          </w:p>
        </w:tc>
      </w:tr>
      <w:tr w:rsidR="00B000C0" w:rsidRPr="00573DEB" w:rsidTr="00AB52B8">
        <w:trPr>
          <w:trHeight w:val="300"/>
        </w:trPr>
        <w:tc>
          <w:tcPr>
            <w:tcW w:w="630" w:type="dxa"/>
            <w:tcBorders>
              <w:top w:val="nil"/>
              <w:left w:val="nil"/>
              <w:bottom w:val="nil"/>
              <w:right w:val="nil"/>
            </w:tcBorders>
            <w:shd w:val="clear" w:color="auto" w:fill="auto"/>
            <w:vAlign w:val="center"/>
            <w:hideMark/>
          </w:tcPr>
          <w:p w:rsidR="00B000C0" w:rsidRPr="00573DEB" w:rsidRDefault="00B000C0" w:rsidP="004B4B73">
            <w:pPr>
              <w:rPr>
                <w:lang w:eastAsia="pt-BR"/>
              </w:rPr>
            </w:pPr>
            <w:r w:rsidRPr="00573DEB">
              <w:rPr>
                <w:lang w:eastAsia="pt-BR"/>
              </w:rPr>
              <w:t>2000</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2,962</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55,227</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49,836</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206</w:t>
            </w:r>
          </w:p>
        </w:tc>
        <w:tc>
          <w:tcPr>
            <w:tcW w:w="1383"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108,231</w:t>
            </w:r>
          </w:p>
        </w:tc>
      </w:tr>
      <w:tr w:rsidR="00B000C0" w:rsidRPr="00573DEB" w:rsidTr="00AB52B8">
        <w:trPr>
          <w:trHeight w:val="300"/>
        </w:trPr>
        <w:tc>
          <w:tcPr>
            <w:tcW w:w="630" w:type="dxa"/>
            <w:tcBorders>
              <w:top w:val="nil"/>
              <w:left w:val="nil"/>
              <w:bottom w:val="nil"/>
              <w:right w:val="nil"/>
            </w:tcBorders>
            <w:shd w:val="clear" w:color="auto" w:fill="auto"/>
            <w:vAlign w:val="center"/>
            <w:hideMark/>
          </w:tcPr>
          <w:p w:rsidR="00B000C0" w:rsidRPr="00573DEB" w:rsidRDefault="00B000C0" w:rsidP="004B4B73">
            <w:pPr>
              <w:rPr>
                <w:lang w:eastAsia="pt-BR"/>
              </w:rPr>
            </w:pPr>
            <w:r w:rsidRPr="00573DEB">
              <w:rPr>
                <w:lang w:eastAsia="pt-BR"/>
              </w:rPr>
              <w:t>2001</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2,411</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54,818</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44,190</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198</w:t>
            </w:r>
          </w:p>
        </w:tc>
        <w:tc>
          <w:tcPr>
            <w:tcW w:w="1383"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101,617</w:t>
            </w:r>
          </w:p>
        </w:tc>
      </w:tr>
      <w:tr w:rsidR="00B000C0" w:rsidRPr="00573DEB" w:rsidTr="00AB52B8">
        <w:trPr>
          <w:trHeight w:val="300"/>
        </w:trPr>
        <w:tc>
          <w:tcPr>
            <w:tcW w:w="630" w:type="dxa"/>
            <w:tcBorders>
              <w:top w:val="nil"/>
              <w:left w:val="nil"/>
              <w:bottom w:val="nil"/>
              <w:right w:val="nil"/>
            </w:tcBorders>
            <w:shd w:val="clear" w:color="auto" w:fill="auto"/>
            <w:vAlign w:val="center"/>
            <w:hideMark/>
          </w:tcPr>
          <w:p w:rsidR="00B000C0" w:rsidRPr="00573DEB" w:rsidRDefault="00B000C0" w:rsidP="004B4B73">
            <w:pPr>
              <w:rPr>
                <w:lang w:eastAsia="pt-BR"/>
              </w:rPr>
            </w:pPr>
            <w:r w:rsidRPr="00573DEB">
              <w:rPr>
                <w:lang w:eastAsia="pt-BR"/>
              </w:rPr>
              <w:t>2002</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2,249</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53,764</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38,041</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261</w:t>
            </w:r>
          </w:p>
        </w:tc>
        <w:tc>
          <w:tcPr>
            <w:tcW w:w="1383"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94,315</w:t>
            </w:r>
          </w:p>
        </w:tc>
      </w:tr>
      <w:tr w:rsidR="00B000C0" w:rsidRPr="00573DEB" w:rsidTr="00AB52B8">
        <w:trPr>
          <w:trHeight w:val="300"/>
        </w:trPr>
        <w:tc>
          <w:tcPr>
            <w:tcW w:w="630" w:type="dxa"/>
            <w:tcBorders>
              <w:top w:val="nil"/>
              <w:left w:val="nil"/>
              <w:bottom w:val="nil"/>
              <w:right w:val="nil"/>
            </w:tcBorders>
            <w:shd w:val="clear" w:color="auto" w:fill="auto"/>
            <w:vAlign w:val="center"/>
            <w:hideMark/>
          </w:tcPr>
          <w:p w:rsidR="00B000C0" w:rsidRPr="00573DEB" w:rsidRDefault="00B000C0" w:rsidP="004B4B73">
            <w:pPr>
              <w:rPr>
                <w:lang w:eastAsia="pt-BR"/>
              </w:rPr>
            </w:pPr>
            <w:r w:rsidRPr="00573DEB">
              <w:rPr>
                <w:lang w:eastAsia="pt-BR"/>
              </w:rPr>
              <w:t>2003</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2,613</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55,517</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37,220</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230</w:t>
            </w:r>
          </w:p>
        </w:tc>
        <w:tc>
          <w:tcPr>
            <w:tcW w:w="1383"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95,580</w:t>
            </w:r>
          </w:p>
        </w:tc>
      </w:tr>
      <w:tr w:rsidR="00B000C0" w:rsidRPr="00573DEB" w:rsidTr="00AB52B8">
        <w:trPr>
          <w:trHeight w:val="300"/>
        </w:trPr>
        <w:tc>
          <w:tcPr>
            <w:tcW w:w="630" w:type="dxa"/>
            <w:tcBorders>
              <w:top w:val="nil"/>
              <w:left w:val="nil"/>
              <w:bottom w:val="nil"/>
              <w:right w:val="nil"/>
            </w:tcBorders>
            <w:shd w:val="clear" w:color="auto" w:fill="auto"/>
            <w:vAlign w:val="center"/>
            <w:hideMark/>
          </w:tcPr>
          <w:p w:rsidR="00B000C0" w:rsidRPr="00573DEB" w:rsidRDefault="00B000C0" w:rsidP="004B4B73">
            <w:pPr>
              <w:rPr>
                <w:lang w:eastAsia="pt-BR"/>
              </w:rPr>
            </w:pPr>
            <w:r w:rsidRPr="00573DEB">
              <w:rPr>
                <w:lang w:eastAsia="pt-BR"/>
              </w:rPr>
              <w:t>2004</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2,748</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55,413</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35,739</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140</w:t>
            </w:r>
          </w:p>
        </w:tc>
        <w:tc>
          <w:tcPr>
            <w:tcW w:w="1383"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94,040</w:t>
            </w:r>
          </w:p>
        </w:tc>
      </w:tr>
      <w:tr w:rsidR="00B000C0" w:rsidRPr="00573DEB" w:rsidTr="00AB52B8">
        <w:trPr>
          <w:trHeight w:val="300"/>
        </w:trPr>
        <w:tc>
          <w:tcPr>
            <w:tcW w:w="630" w:type="dxa"/>
            <w:tcBorders>
              <w:top w:val="nil"/>
              <w:left w:val="nil"/>
              <w:bottom w:val="nil"/>
              <w:right w:val="nil"/>
            </w:tcBorders>
            <w:shd w:val="clear" w:color="auto" w:fill="auto"/>
            <w:vAlign w:val="center"/>
            <w:hideMark/>
          </w:tcPr>
          <w:p w:rsidR="00B000C0" w:rsidRPr="00573DEB" w:rsidRDefault="00B000C0" w:rsidP="004B4B73">
            <w:pPr>
              <w:rPr>
                <w:lang w:eastAsia="pt-BR"/>
              </w:rPr>
            </w:pPr>
            <w:r w:rsidRPr="00573DEB">
              <w:rPr>
                <w:lang w:eastAsia="pt-BR"/>
              </w:rPr>
              <w:t>2005</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2,251</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58,810</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38,099</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159</w:t>
            </w:r>
          </w:p>
        </w:tc>
        <w:tc>
          <w:tcPr>
            <w:tcW w:w="1383"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99,319</w:t>
            </w:r>
          </w:p>
        </w:tc>
      </w:tr>
      <w:tr w:rsidR="00B000C0" w:rsidRPr="00573DEB" w:rsidTr="00AB52B8">
        <w:trPr>
          <w:trHeight w:val="300"/>
        </w:trPr>
        <w:tc>
          <w:tcPr>
            <w:tcW w:w="630" w:type="dxa"/>
            <w:tcBorders>
              <w:top w:val="nil"/>
              <w:left w:val="nil"/>
              <w:bottom w:val="nil"/>
              <w:right w:val="nil"/>
            </w:tcBorders>
            <w:shd w:val="clear" w:color="auto" w:fill="auto"/>
            <w:vAlign w:val="center"/>
            <w:hideMark/>
          </w:tcPr>
          <w:p w:rsidR="00B000C0" w:rsidRPr="00573DEB" w:rsidRDefault="00B000C0" w:rsidP="004B4B73">
            <w:pPr>
              <w:rPr>
                <w:lang w:eastAsia="pt-BR"/>
              </w:rPr>
            </w:pPr>
            <w:r w:rsidRPr="00573DEB">
              <w:rPr>
                <w:lang w:eastAsia="pt-BR"/>
              </w:rPr>
              <w:t>2006</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2,521</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55,097</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38,109</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133</w:t>
            </w:r>
          </w:p>
        </w:tc>
        <w:tc>
          <w:tcPr>
            <w:tcW w:w="1383"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95,860</w:t>
            </w:r>
          </w:p>
        </w:tc>
      </w:tr>
      <w:tr w:rsidR="00B000C0" w:rsidRPr="00573DEB" w:rsidTr="00AB52B8">
        <w:trPr>
          <w:trHeight w:val="300"/>
        </w:trPr>
        <w:tc>
          <w:tcPr>
            <w:tcW w:w="630" w:type="dxa"/>
            <w:tcBorders>
              <w:top w:val="nil"/>
              <w:left w:val="nil"/>
              <w:bottom w:val="nil"/>
              <w:right w:val="nil"/>
            </w:tcBorders>
            <w:shd w:val="clear" w:color="auto" w:fill="auto"/>
            <w:vAlign w:val="center"/>
            <w:hideMark/>
          </w:tcPr>
          <w:p w:rsidR="00B000C0" w:rsidRPr="00573DEB" w:rsidRDefault="00B000C0" w:rsidP="004B4B73">
            <w:pPr>
              <w:rPr>
                <w:lang w:eastAsia="pt-BR"/>
              </w:rPr>
            </w:pPr>
            <w:r w:rsidRPr="00573DEB">
              <w:rPr>
                <w:lang w:eastAsia="pt-BR"/>
              </w:rPr>
              <w:t>2007</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2,723</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60,283</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41,073</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140</w:t>
            </w:r>
          </w:p>
        </w:tc>
        <w:tc>
          <w:tcPr>
            <w:tcW w:w="1383"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104,219</w:t>
            </w:r>
          </w:p>
        </w:tc>
      </w:tr>
      <w:tr w:rsidR="00B000C0" w:rsidRPr="00573DEB" w:rsidTr="00AB52B8">
        <w:trPr>
          <w:trHeight w:val="300"/>
        </w:trPr>
        <w:tc>
          <w:tcPr>
            <w:tcW w:w="630" w:type="dxa"/>
            <w:tcBorders>
              <w:top w:val="nil"/>
              <w:left w:val="nil"/>
              <w:bottom w:val="nil"/>
              <w:right w:val="nil"/>
            </w:tcBorders>
            <w:shd w:val="clear" w:color="auto" w:fill="auto"/>
            <w:vAlign w:val="center"/>
            <w:hideMark/>
          </w:tcPr>
          <w:p w:rsidR="00B000C0" w:rsidRPr="00573DEB" w:rsidRDefault="00B000C0" w:rsidP="004B4B73">
            <w:pPr>
              <w:rPr>
                <w:lang w:eastAsia="pt-BR"/>
              </w:rPr>
            </w:pPr>
            <w:r w:rsidRPr="00573DEB">
              <w:rPr>
                <w:lang w:eastAsia="pt-BR"/>
              </w:rPr>
              <w:t>2008</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3,384</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73,537</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44,873</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118</w:t>
            </w:r>
          </w:p>
        </w:tc>
        <w:tc>
          <w:tcPr>
            <w:tcW w:w="1383"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121,912</w:t>
            </w:r>
          </w:p>
        </w:tc>
      </w:tr>
      <w:tr w:rsidR="00B000C0" w:rsidRPr="00573DEB" w:rsidTr="00AB52B8">
        <w:trPr>
          <w:trHeight w:val="300"/>
        </w:trPr>
        <w:tc>
          <w:tcPr>
            <w:tcW w:w="630" w:type="dxa"/>
            <w:tcBorders>
              <w:top w:val="nil"/>
              <w:left w:val="nil"/>
              <w:bottom w:val="nil"/>
              <w:right w:val="nil"/>
            </w:tcBorders>
            <w:shd w:val="clear" w:color="auto" w:fill="auto"/>
            <w:vAlign w:val="center"/>
            <w:hideMark/>
          </w:tcPr>
          <w:p w:rsidR="00B000C0" w:rsidRPr="00573DEB" w:rsidRDefault="00B000C0" w:rsidP="004B4B73">
            <w:pPr>
              <w:rPr>
                <w:lang w:eastAsia="pt-BR"/>
              </w:rPr>
            </w:pPr>
            <w:r w:rsidRPr="00573DEB">
              <w:rPr>
                <w:lang w:eastAsia="pt-BR"/>
              </w:rPr>
              <w:t>2009</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2,744</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70,447</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39,517</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103</w:t>
            </w:r>
          </w:p>
        </w:tc>
        <w:tc>
          <w:tcPr>
            <w:tcW w:w="1383"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112,811</w:t>
            </w:r>
          </w:p>
        </w:tc>
      </w:tr>
      <w:tr w:rsidR="00B000C0" w:rsidRPr="00573DEB" w:rsidTr="00AB52B8">
        <w:trPr>
          <w:trHeight w:val="300"/>
        </w:trPr>
        <w:tc>
          <w:tcPr>
            <w:tcW w:w="630" w:type="dxa"/>
            <w:tcBorders>
              <w:top w:val="nil"/>
              <w:left w:val="nil"/>
              <w:bottom w:val="nil"/>
              <w:right w:val="nil"/>
            </w:tcBorders>
            <w:shd w:val="clear" w:color="auto" w:fill="auto"/>
            <w:vAlign w:val="center"/>
            <w:hideMark/>
          </w:tcPr>
          <w:p w:rsidR="00B000C0" w:rsidRPr="00573DEB" w:rsidRDefault="00B000C0" w:rsidP="004B4B73">
            <w:pPr>
              <w:rPr>
                <w:lang w:eastAsia="pt-BR"/>
              </w:rPr>
            </w:pPr>
            <w:r w:rsidRPr="00573DEB">
              <w:rPr>
                <w:lang w:eastAsia="pt-BR"/>
              </w:rPr>
              <w:t>2010</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3,148</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79,016</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45,374</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154</w:t>
            </w:r>
          </w:p>
        </w:tc>
        <w:tc>
          <w:tcPr>
            <w:tcW w:w="1383"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127,692</w:t>
            </w:r>
          </w:p>
        </w:tc>
      </w:tr>
      <w:tr w:rsidR="00B000C0" w:rsidRPr="00573DEB" w:rsidTr="00AB52B8">
        <w:trPr>
          <w:trHeight w:val="300"/>
        </w:trPr>
        <w:tc>
          <w:tcPr>
            <w:tcW w:w="630" w:type="dxa"/>
            <w:tcBorders>
              <w:top w:val="nil"/>
              <w:left w:val="nil"/>
              <w:bottom w:val="nil"/>
              <w:right w:val="nil"/>
            </w:tcBorders>
            <w:shd w:val="clear" w:color="auto" w:fill="auto"/>
            <w:vAlign w:val="center"/>
            <w:hideMark/>
          </w:tcPr>
          <w:p w:rsidR="00B000C0" w:rsidRPr="00573DEB" w:rsidRDefault="00B000C0" w:rsidP="004B4B73">
            <w:pPr>
              <w:rPr>
                <w:lang w:eastAsia="pt-BR"/>
              </w:rPr>
            </w:pPr>
            <w:r w:rsidRPr="00573DEB">
              <w:rPr>
                <w:lang w:eastAsia="pt-BR"/>
              </w:rPr>
              <w:t>2011</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4,276</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96,692</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51,562</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169</w:t>
            </w:r>
          </w:p>
        </w:tc>
        <w:tc>
          <w:tcPr>
            <w:tcW w:w="1383"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152,699</w:t>
            </w:r>
          </w:p>
        </w:tc>
      </w:tr>
      <w:tr w:rsidR="00B000C0" w:rsidRPr="00573DEB" w:rsidTr="00AB52B8">
        <w:trPr>
          <w:trHeight w:val="300"/>
        </w:trPr>
        <w:tc>
          <w:tcPr>
            <w:tcW w:w="630" w:type="dxa"/>
            <w:tcBorders>
              <w:top w:val="nil"/>
              <w:left w:val="nil"/>
              <w:bottom w:val="nil"/>
              <w:right w:val="nil"/>
            </w:tcBorders>
            <w:shd w:val="clear" w:color="auto" w:fill="auto"/>
            <w:vAlign w:val="center"/>
            <w:hideMark/>
          </w:tcPr>
          <w:p w:rsidR="00B000C0" w:rsidRPr="00573DEB" w:rsidRDefault="00B000C0" w:rsidP="004B4B73">
            <w:pPr>
              <w:rPr>
                <w:lang w:eastAsia="pt-BR"/>
              </w:rPr>
            </w:pPr>
            <w:r w:rsidRPr="00573DEB">
              <w:rPr>
                <w:lang w:eastAsia="pt-BR"/>
              </w:rPr>
              <w:t>2012</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4,756</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94,827</w:t>
            </w:r>
          </w:p>
        </w:tc>
        <w:tc>
          <w:tcPr>
            <w:tcW w:w="1382"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51,927</w:t>
            </w:r>
          </w:p>
        </w:tc>
        <w:tc>
          <w:tcPr>
            <w:tcW w:w="1383" w:type="dxa"/>
            <w:tcBorders>
              <w:top w:val="nil"/>
              <w:left w:val="nil"/>
              <w:bottom w:val="nil"/>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201</w:t>
            </w:r>
          </w:p>
        </w:tc>
        <w:tc>
          <w:tcPr>
            <w:tcW w:w="1383"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151,711</w:t>
            </w:r>
          </w:p>
        </w:tc>
      </w:tr>
      <w:tr w:rsidR="00B000C0" w:rsidRPr="00573DEB" w:rsidTr="00AB52B8">
        <w:trPr>
          <w:trHeight w:val="315"/>
        </w:trPr>
        <w:tc>
          <w:tcPr>
            <w:tcW w:w="630" w:type="dxa"/>
            <w:tcBorders>
              <w:top w:val="nil"/>
              <w:left w:val="nil"/>
              <w:bottom w:val="single" w:sz="8"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Total</w:t>
            </w:r>
          </w:p>
        </w:tc>
        <w:tc>
          <w:tcPr>
            <w:tcW w:w="1382" w:type="dxa"/>
            <w:tcBorders>
              <w:top w:val="nil"/>
              <w:left w:val="nil"/>
              <w:bottom w:val="single" w:sz="8" w:space="0" w:color="auto"/>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38,786</w:t>
            </w:r>
          </w:p>
        </w:tc>
        <w:tc>
          <w:tcPr>
            <w:tcW w:w="1383" w:type="dxa"/>
            <w:tcBorders>
              <w:top w:val="nil"/>
              <w:left w:val="nil"/>
              <w:bottom w:val="single" w:sz="8" w:space="0" w:color="auto"/>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863,448</w:t>
            </w:r>
          </w:p>
        </w:tc>
        <w:tc>
          <w:tcPr>
            <w:tcW w:w="1382" w:type="dxa"/>
            <w:tcBorders>
              <w:top w:val="nil"/>
              <w:left w:val="nil"/>
              <w:bottom w:val="single" w:sz="8" w:space="0" w:color="auto"/>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555,560</w:t>
            </w:r>
          </w:p>
        </w:tc>
        <w:tc>
          <w:tcPr>
            <w:tcW w:w="1383" w:type="dxa"/>
            <w:tcBorders>
              <w:top w:val="nil"/>
              <w:left w:val="nil"/>
              <w:bottom w:val="single" w:sz="8" w:space="0" w:color="auto"/>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2,212</w:t>
            </w:r>
          </w:p>
        </w:tc>
        <w:tc>
          <w:tcPr>
            <w:tcW w:w="1383" w:type="dxa"/>
            <w:tcBorders>
              <w:top w:val="nil"/>
              <w:left w:val="nil"/>
              <w:bottom w:val="single" w:sz="8" w:space="0" w:color="auto"/>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1,460,006</w:t>
            </w:r>
          </w:p>
        </w:tc>
      </w:tr>
    </w:tbl>
    <w:p w:rsidR="00B000C0" w:rsidRPr="00573DEB" w:rsidRDefault="00B000C0" w:rsidP="004B4B73"/>
    <w:p w:rsidR="00B000C0" w:rsidRPr="00573DEB" w:rsidRDefault="008C2A2F" w:rsidP="00AB52B8">
      <w:pPr>
        <w:pStyle w:val="Caption"/>
      </w:pPr>
      <w:bookmarkStart w:id="328" w:name="_Toc366845938"/>
      <w:bookmarkStart w:id="329" w:name="_Toc367700276"/>
      <w:bookmarkStart w:id="330" w:name="_Toc388620004"/>
      <w:r>
        <w:t xml:space="preserve">Table A.26:  </w:t>
      </w:r>
      <w:r w:rsidR="00B000C0" w:rsidRPr="00573DEB">
        <w:t>Trademark applications by origin</w:t>
      </w:r>
      <w:bookmarkEnd w:id="328"/>
      <w:bookmarkEnd w:id="329"/>
      <w:r w:rsidR="00B000C0" w:rsidRPr="00573DEB">
        <w:t>, 2000-2012</w:t>
      </w:r>
      <w:bookmarkEnd w:id="330"/>
    </w:p>
    <w:tbl>
      <w:tblPr>
        <w:tblW w:w="0" w:type="auto"/>
        <w:tblInd w:w="55" w:type="dxa"/>
        <w:tblLayout w:type="fixed"/>
        <w:tblCellMar>
          <w:left w:w="70" w:type="dxa"/>
          <w:right w:w="70" w:type="dxa"/>
        </w:tblCellMar>
        <w:tblLook w:val="04A0" w:firstRow="1" w:lastRow="0" w:firstColumn="1" w:lastColumn="0" w:noHBand="0" w:noVBand="1"/>
      </w:tblPr>
      <w:tblGrid>
        <w:gridCol w:w="866"/>
        <w:gridCol w:w="1564"/>
        <w:gridCol w:w="1565"/>
        <w:gridCol w:w="1565"/>
        <w:gridCol w:w="1565"/>
      </w:tblGrid>
      <w:tr w:rsidR="00B000C0" w:rsidRPr="00573DEB" w:rsidTr="00AB52B8">
        <w:trPr>
          <w:trHeight w:val="300"/>
        </w:trPr>
        <w:tc>
          <w:tcPr>
            <w:tcW w:w="866"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Year</w:t>
            </w:r>
          </w:p>
        </w:tc>
        <w:tc>
          <w:tcPr>
            <w:tcW w:w="1564"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Non-residents</w:t>
            </w:r>
          </w:p>
        </w:tc>
        <w:tc>
          <w:tcPr>
            <w:tcW w:w="1565"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Residents</w:t>
            </w:r>
          </w:p>
        </w:tc>
        <w:tc>
          <w:tcPr>
            <w:tcW w:w="1565"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AB52B8">
            <w:pPr>
              <w:jc w:val="center"/>
              <w:rPr>
                <w:lang w:eastAsia="pt-BR"/>
              </w:rPr>
            </w:pPr>
            <w:r w:rsidRPr="00573DEB">
              <w:rPr>
                <w:lang w:eastAsia="pt-BR"/>
              </w:rPr>
              <w:t>Not Available</w:t>
            </w:r>
          </w:p>
        </w:tc>
        <w:tc>
          <w:tcPr>
            <w:tcW w:w="1565"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AB52B8">
            <w:pPr>
              <w:jc w:val="center"/>
              <w:rPr>
                <w:lang w:eastAsia="pt-BR"/>
              </w:rPr>
            </w:pPr>
            <w:r w:rsidRPr="00573DEB">
              <w:rPr>
                <w:lang w:eastAsia="pt-BR"/>
              </w:rPr>
              <w:t>Total</w:t>
            </w:r>
          </w:p>
        </w:tc>
      </w:tr>
      <w:tr w:rsidR="00B000C0" w:rsidRPr="00573DEB" w:rsidTr="00AB52B8">
        <w:trPr>
          <w:trHeight w:val="300"/>
        </w:trPr>
        <w:tc>
          <w:tcPr>
            <w:tcW w:w="866" w:type="dxa"/>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2000</w:t>
            </w:r>
          </w:p>
        </w:tc>
        <w:tc>
          <w:tcPr>
            <w:tcW w:w="1564"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21,269</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86,960</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2</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108,231</w:t>
            </w:r>
          </w:p>
        </w:tc>
      </w:tr>
      <w:tr w:rsidR="00B000C0" w:rsidRPr="00573DEB" w:rsidTr="00AB52B8">
        <w:trPr>
          <w:trHeight w:val="300"/>
        </w:trPr>
        <w:tc>
          <w:tcPr>
            <w:tcW w:w="866" w:type="dxa"/>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2001</w:t>
            </w:r>
          </w:p>
        </w:tc>
        <w:tc>
          <w:tcPr>
            <w:tcW w:w="1564"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16,972</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84,643</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2</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101,617</w:t>
            </w:r>
          </w:p>
        </w:tc>
      </w:tr>
      <w:tr w:rsidR="00B000C0" w:rsidRPr="00573DEB" w:rsidTr="00AB52B8">
        <w:trPr>
          <w:trHeight w:val="300"/>
        </w:trPr>
        <w:tc>
          <w:tcPr>
            <w:tcW w:w="866" w:type="dxa"/>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2002</w:t>
            </w:r>
          </w:p>
        </w:tc>
        <w:tc>
          <w:tcPr>
            <w:tcW w:w="1564"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13,529</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80,782</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4</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94,315</w:t>
            </w:r>
          </w:p>
        </w:tc>
      </w:tr>
      <w:tr w:rsidR="00B000C0" w:rsidRPr="00573DEB" w:rsidTr="00AB52B8">
        <w:trPr>
          <w:trHeight w:val="300"/>
        </w:trPr>
        <w:tc>
          <w:tcPr>
            <w:tcW w:w="866" w:type="dxa"/>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2003</w:t>
            </w:r>
          </w:p>
        </w:tc>
        <w:tc>
          <w:tcPr>
            <w:tcW w:w="1564"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13,748</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81,832</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95,580</w:t>
            </w:r>
          </w:p>
        </w:tc>
      </w:tr>
      <w:tr w:rsidR="00B000C0" w:rsidRPr="00573DEB" w:rsidTr="00AB52B8">
        <w:trPr>
          <w:trHeight w:val="300"/>
        </w:trPr>
        <w:tc>
          <w:tcPr>
            <w:tcW w:w="866" w:type="dxa"/>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2004</w:t>
            </w:r>
          </w:p>
        </w:tc>
        <w:tc>
          <w:tcPr>
            <w:tcW w:w="1564"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13,871</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80,169</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94,040</w:t>
            </w:r>
          </w:p>
        </w:tc>
      </w:tr>
      <w:tr w:rsidR="00B000C0" w:rsidRPr="00573DEB" w:rsidTr="00AB52B8">
        <w:trPr>
          <w:trHeight w:val="300"/>
        </w:trPr>
        <w:tc>
          <w:tcPr>
            <w:tcW w:w="866" w:type="dxa"/>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2005</w:t>
            </w:r>
          </w:p>
        </w:tc>
        <w:tc>
          <w:tcPr>
            <w:tcW w:w="1564"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16,219</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83,099</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99,319</w:t>
            </w:r>
          </w:p>
        </w:tc>
      </w:tr>
      <w:tr w:rsidR="00B000C0" w:rsidRPr="00573DEB" w:rsidTr="00AB52B8">
        <w:trPr>
          <w:trHeight w:val="300"/>
        </w:trPr>
        <w:tc>
          <w:tcPr>
            <w:tcW w:w="866" w:type="dxa"/>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2006</w:t>
            </w:r>
          </w:p>
        </w:tc>
        <w:tc>
          <w:tcPr>
            <w:tcW w:w="1564"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18,197</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77,645</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18</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95,860</w:t>
            </w:r>
          </w:p>
        </w:tc>
      </w:tr>
      <w:tr w:rsidR="00B000C0" w:rsidRPr="00573DEB" w:rsidTr="00AB52B8">
        <w:trPr>
          <w:trHeight w:val="300"/>
        </w:trPr>
        <w:tc>
          <w:tcPr>
            <w:tcW w:w="866" w:type="dxa"/>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2007</w:t>
            </w:r>
          </w:p>
        </w:tc>
        <w:tc>
          <w:tcPr>
            <w:tcW w:w="1564"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20,267</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83,944</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8</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104,219</w:t>
            </w:r>
          </w:p>
        </w:tc>
      </w:tr>
      <w:tr w:rsidR="00B000C0" w:rsidRPr="00573DEB" w:rsidTr="00AB52B8">
        <w:trPr>
          <w:trHeight w:val="300"/>
        </w:trPr>
        <w:tc>
          <w:tcPr>
            <w:tcW w:w="866" w:type="dxa"/>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2008</w:t>
            </w:r>
          </w:p>
        </w:tc>
        <w:tc>
          <w:tcPr>
            <w:tcW w:w="1564"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22,342</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99,569</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121,912</w:t>
            </w:r>
          </w:p>
        </w:tc>
      </w:tr>
      <w:tr w:rsidR="00B000C0" w:rsidRPr="00573DEB" w:rsidTr="00AB52B8">
        <w:trPr>
          <w:trHeight w:val="300"/>
        </w:trPr>
        <w:tc>
          <w:tcPr>
            <w:tcW w:w="866" w:type="dxa"/>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2009</w:t>
            </w:r>
          </w:p>
        </w:tc>
        <w:tc>
          <w:tcPr>
            <w:tcW w:w="1564"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18,449</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94,361</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112,811</w:t>
            </w:r>
          </w:p>
        </w:tc>
      </w:tr>
      <w:tr w:rsidR="00B000C0" w:rsidRPr="00573DEB" w:rsidTr="00AB52B8">
        <w:trPr>
          <w:trHeight w:val="300"/>
        </w:trPr>
        <w:tc>
          <w:tcPr>
            <w:tcW w:w="866" w:type="dxa"/>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2010</w:t>
            </w:r>
          </w:p>
        </w:tc>
        <w:tc>
          <w:tcPr>
            <w:tcW w:w="1564"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23,526</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104,166</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127,692</w:t>
            </w:r>
          </w:p>
        </w:tc>
      </w:tr>
      <w:tr w:rsidR="00B000C0" w:rsidRPr="00573DEB" w:rsidTr="00AB52B8">
        <w:trPr>
          <w:trHeight w:val="300"/>
        </w:trPr>
        <w:tc>
          <w:tcPr>
            <w:tcW w:w="866" w:type="dxa"/>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2011</w:t>
            </w:r>
          </w:p>
        </w:tc>
        <w:tc>
          <w:tcPr>
            <w:tcW w:w="1564"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30,023</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122,671</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5</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152,699</w:t>
            </w:r>
          </w:p>
        </w:tc>
      </w:tr>
      <w:tr w:rsidR="00B000C0" w:rsidRPr="00573DEB" w:rsidTr="00AB52B8">
        <w:trPr>
          <w:trHeight w:val="300"/>
        </w:trPr>
        <w:tc>
          <w:tcPr>
            <w:tcW w:w="866" w:type="dxa"/>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2012</w:t>
            </w:r>
          </w:p>
        </w:tc>
        <w:tc>
          <w:tcPr>
            <w:tcW w:w="1564"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31,175</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120,528</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8</w:t>
            </w:r>
          </w:p>
        </w:tc>
        <w:tc>
          <w:tcPr>
            <w:tcW w:w="1565" w:type="dxa"/>
            <w:tcBorders>
              <w:top w:val="nil"/>
              <w:left w:val="nil"/>
              <w:bottom w:val="nil"/>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151,711</w:t>
            </w:r>
          </w:p>
        </w:tc>
      </w:tr>
      <w:tr w:rsidR="00B000C0" w:rsidRPr="00573DEB" w:rsidTr="00AB52B8">
        <w:trPr>
          <w:trHeight w:val="315"/>
        </w:trPr>
        <w:tc>
          <w:tcPr>
            <w:tcW w:w="866" w:type="dxa"/>
            <w:tcBorders>
              <w:top w:val="nil"/>
              <w:left w:val="nil"/>
              <w:bottom w:val="single" w:sz="8"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Total</w:t>
            </w:r>
          </w:p>
        </w:tc>
        <w:tc>
          <w:tcPr>
            <w:tcW w:w="1564" w:type="dxa"/>
            <w:tcBorders>
              <w:top w:val="nil"/>
              <w:left w:val="nil"/>
              <w:bottom w:val="single" w:sz="8" w:space="0" w:color="auto"/>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259,587</w:t>
            </w:r>
          </w:p>
        </w:tc>
        <w:tc>
          <w:tcPr>
            <w:tcW w:w="1565" w:type="dxa"/>
            <w:tcBorders>
              <w:top w:val="nil"/>
              <w:left w:val="nil"/>
              <w:bottom w:val="single" w:sz="8" w:space="0" w:color="auto"/>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1,200,369</w:t>
            </w:r>
          </w:p>
        </w:tc>
        <w:tc>
          <w:tcPr>
            <w:tcW w:w="1565" w:type="dxa"/>
            <w:tcBorders>
              <w:top w:val="nil"/>
              <w:left w:val="nil"/>
              <w:bottom w:val="single" w:sz="8" w:space="0" w:color="auto"/>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50</w:t>
            </w:r>
          </w:p>
        </w:tc>
        <w:tc>
          <w:tcPr>
            <w:tcW w:w="1565" w:type="dxa"/>
            <w:tcBorders>
              <w:top w:val="nil"/>
              <w:left w:val="nil"/>
              <w:bottom w:val="single" w:sz="8" w:space="0" w:color="auto"/>
              <w:right w:val="nil"/>
            </w:tcBorders>
            <w:shd w:val="clear" w:color="auto" w:fill="auto"/>
            <w:noWrap/>
            <w:vAlign w:val="bottom"/>
            <w:hideMark/>
          </w:tcPr>
          <w:p w:rsidR="00B000C0" w:rsidRPr="00573DEB" w:rsidRDefault="00B000C0" w:rsidP="00AB52B8">
            <w:pPr>
              <w:jc w:val="center"/>
              <w:rPr>
                <w:lang w:eastAsia="pt-BR"/>
              </w:rPr>
            </w:pPr>
            <w:r w:rsidRPr="00573DEB">
              <w:rPr>
                <w:lang w:eastAsia="pt-BR"/>
              </w:rPr>
              <w:t>1,460,006</w:t>
            </w:r>
          </w:p>
        </w:tc>
      </w:tr>
    </w:tbl>
    <w:p w:rsidR="00AB52B8" w:rsidRPr="00573DEB" w:rsidRDefault="00AB52B8" w:rsidP="004B4B73"/>
    <w:p w:rsidR="00AB52B8" w:rsidRPr="00573DEB" w:rsidRDefault="00AB52B8">
      <w:pPr>
        <w:widowControl/>
        <w:spacing w:after="200" w:line="276" w:lineRule="auto"/>
      </w:pPr>
      <w:r w:rsidRPr="00573DEB">
        <w:br w:type="page"/>
      </w:r>
    </w:p>
    <w:p w:rsidR="00B000C0" w:rsidRPr="00573DEB" w:rsidRDefault="008C2A2F" w:rsidP="00AB52B8">
      <w:pPr>
        <w:pStyle w:val="Caption"/>
      </w:pPr>
      <w:r>
        <w:t xml:space="preserve">Table A.27:  </w:t>
      </w:r>
      <w:r w:rsidR="00AB52B8" w:rsidRPr="00573DEB">
        <w:t>Trademark applications by countries, 2000-2012</w:t>
      </w:r>
    </w:p>
    <w:p w:rsidR="00AB52B8" w:rsidRPr="00573DEB" w:rsidRDefault="00AB52B8" w:rsidP="004B4B73"/>
    <w:p w:rsidR="00AB52B8" w:rsidRPr="00573DEB" w:rsidRDefault="00AB52B8" w:rsidP="00AB52B8">
      <w:pPr>
        <w:pStyle w:val="Caption"/>
        <w:sectPr w:rsidR="00AB52B8" w:rsidRPr="00573DEB" w:rsidSect="00567A53">
          <w:headerReference w:type="default" r:id="rId102"/>
          <w:headerReference w:type="first" r:id="rId103"/>
          <w:endnotePr>
            <w:numFmt w:val="decimal"/>
          </w:endnotePr>
          <w:pgSz w:w="11907" w:h="16840" w:code="9"/>
          <w:pgMar w:top="567" w:right="1134" w:bottom="1418" w:left="1418" w:header="510" w:footer="1021" w:gutter="0"/>
          <w:cols w:space="720"/>
          <w:titlePg/>
          <w:docGrid w:linePitch="299"/>
        </w:sectPr>
      </w:pPr>
      <w:bookmarkStart w:id="331" w:name="_Toc366845939"/>
      <w:bookmarkStart w:id="332" w:name="_Toc367700277"/>
      <w:bookmarkStart w:id="333" w:name="_Toc388620005"/>
    </w:p>
    <w:tbl>
      <w:tblPr>
        <w:tblW w:w="3811" w:type="dxa"/>
        <w:tblInd w:w="55" w:type="dxa"/>
        <w:tblLayout w:type="fixed"/>
        <w:tblCellMar>
          <w:left w:w="70" w:type="dxa"/>
          <w:right w:w="70" w:type="dxa"/>
        </w:tblCellMar>
        <w:tblLook w:val="04A0" w:firstRow="1" w:lastRow="0" w:firstColumn="1" w:lastColumn="0" w:noHBand="0" w:noVBand="1"/>
      </w:tblPr>
      <w:tblGrid>
        <w:gridCol w:w="2625"/>
        <w:gridCol w:w="1186"/>
      </w:tblGrid>
      <w:tr w:rsidR="00AB52B8" w:rsidRPr="00573DEB" w:rsidTr="00AB52B8">
        <w:trPr>
          <w:trHeight w:val="394"/>
        </w:trPr>
        <w:tc>
          <w:tcPr>
            <w:tcW w:w="2625" w:type="dxa"/>
            <w:tcBorders>
              <w:top w:val="single" w:sz="8" w:space="0" w:color="auto"/>
              <w:left w:val="nil"/>
              <w:bottom w:val="single" w:sz="4" w:space="0" w:color="auto"/>
              <w:right w:val="nil"/>
            </w:tcBorders>
            <w:shd w:val="clear" w:color="auto" w:fill="auto"/>
            <w:noWrap/>
            <w:vAlign w:val="center"/>
            <w:hideMark/>
          </w:tcPr>
          <w:bookmarkEnd w:id="331"/>
          <w:bookmarkEnd w:id="332"/>
          <w:bookmarkEnd w:id="333"/>
          <w:p w:rsidR="00AB52B8" w:rsidRPr="00573DEB" w:rsidRDefault="00AB52B8" w:rsidP="00AB52B8">
            <w:pPr>
              <w:rPr>
                <w:rFonts w:ascii="Arial Narrow" w:hAnsi="Arial Narrow"/>
                <w:b/>
                <w:sz w:val="20"/>
                <w:szCs w:val="20"/>
                <w:lang w:eastAsia="pt-BR"/>
              </w:rPr>
            </w:pPr>
            <w:r w:rsidRPr="00573DEB">
              <w:rPr>
                <w:rFonts w:ascii="Arial Narrow" w:hAnsi="Arial Narrow"/>
                <w:b/>
                <w:sz w:val="20"/>
                <w:szCs w:val="20"/>
                <w:lang w:eastAsia="pt-BR"/>
              </w:rPr>
              <w:t>Country</w:t>
            </w:r>
          </w:p>
        </w:tc>
        <w:tc>
          <w:tcPr>
            <w:tcW w:w="1186" w:type="dxa"/>
            <w:tcBorders>
              <w:top w:val="single" w:sz="8" w:space="0" w:color="auto"/>
              <w:left w:val="nil"/>
              <w:bottom w:val="single" w:sz="4" w:space="0" w:color="auto"/>
              <w:right w:val="nil"/>
            </w:tcBorders>
            <w:shd w:val="clear" w:color="auto" w:fill="auto"/>
            <w:vAlign w:val="center"/>
            <w:hideMark/>
          </w:tcPr>
          <w:p w:rsidR="00AB52B8" w:rsidRPr="00573DEB" w:rsidRDefault="00AB52B8" w:rsidP="00AB52B8">
            <w:pPr>
              <w:jc w:val="center"/>
              <w:rPr>
                <w:rFonts w:ascii="Arial Narrow" w:hAnsi="Arial Narrow"/>
                <w:b/>
                <w:sz w:val="20"/>
                <w:szCs w:val="20"/>
                <w:lang w:eastAsia="pt-BR"/>
              </w:rPr>
            </w:pPr>
            <w:r w:rsidRPr="00573DEB">
              <w:rPr>
                <w:rFonts w:ascii="Arial Narrow" w:hAnsi="Arial Narrow"/>
                <w:b/>
                <w:sz w:val="20"/>
                <w:szCs w:val="20"/>
                <w:lang w:eastAsia="pt-BR"/>
              </w:rPr>
              <w:t xml:space="preserve">Number of </w:t>
            </w:r>
            <w:r w:rsidRPr="00573DEB">
              <w:rPr>
                <w:rFonts w:ascii="Arial Narrow" w:hAnsi="Arial Narrow"/>
                <w:b/>
                <w:sz w:val="20"/>
                <w:szCs w:val="20"/>
                <w:lang w:eastAsia="pt-BR"/>
              </w:rPr>
              <w:br/>
              <w:t>applications</w:t>
            </w:r>
          </w:p>
        </w:tc>
      </w:tr>
      <w:tr w:rsidR="00AB52B8" w:rsidRPr="00573DEB" w:rsidTr="00AB52B8">
        <w:trPr>
          <w:trHeight w:val="315"/>
        </w:trPr>
        <w:tc>
          <w:tcPr>
            <w:tcW w:w="2625" w:type="dxa"/>
            <w:tcBorders>
              <w:top w:val="nil"/>
              <w:left w:val="nil"/>
              <w:bottom w:val="single" w:sz="8" w:space="0" w:color="auto"/>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Total</w:t>
            </w:r>
          </w:p>
        </w:tc>
        <w:tc>
          <w:tcPr>
            <w:tcW w:w="1186" w:type="dxa"/>
            <w:tcBorders>
              <w:top w:val="nil"/>
              <w:left w:val="nil"/>
              <w:bottom w:val="single" w:sz="8" w:space="0" w:color="auto"/>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1,460,006</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Brazil</w:t>
            </w:r>
          </w:p>
        </w:tc>
        <w:tc>
          <w:tcPr>
            <w:tcW w:w="1186" w:type="dxa"/>
            <w:tcBorders>
              <w:top w:val="nil"/>
              <w:left w:val="nil"/>
              <w:bottom w:val="nil"/>
              <w:right w:val="nil"/>
            </w:tcBorders>
            <w:shd w:val="clear" w:color="auto" w:fill="auto"/>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1,200,369</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United States of America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81,614</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Germany</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26,256</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France</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18,890</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Switzerland</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17,934</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United Kingdom</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12,312</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Japan</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11,714</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Italy</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11,453</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Spain</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9,468</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Netherlands</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7,926</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Argentina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5,459</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China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4,888</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Mexico</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3,558</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Portugal</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3,498</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Sweden</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3,129</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Republic of Korea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2,988</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Chile</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2,683</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Canada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2,640</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Australia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1,920</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Denmark</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1,901</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Austria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1,740</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Luxembourg</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1,740</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Uruguay</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1,631</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Belgium</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1,604</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Taiwan, Province of China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1,468</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Finland</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1,444</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Virgin Islands (British)</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1,148</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Norway</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1,137</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Colombia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1,131</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Ireland</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1,091</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Singapore</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971</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The Hong Kong Special Administrative Region of the People’s Republic of China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919</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Panama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781</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Others</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738</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India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703</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Israel</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676</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South Africa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676</w:t>
            </w:r>
          </w:p>
        </w:tc>
      </w:tr>
      <w:tr w:rsidR="00AB52B8" w:rsidRPr="00573DEB" w:rsidTr="00AB52B8">
        <w:trPr>
          <w:trHeight w:val="300"/>
        </w:trPr>
        <w:tc>
          <w:tcPr>
            <w:tcW w:w="2625" w:type="dxa"/>
            <w:tcBorders>
              <w:top w:val="nil"/>
              <w:left w:val="nil"/>
              <w:bottom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Bermuda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669</w:t>
            </w:r>
          </w:p>
        </w:tc>
      </w:tr>
      <w:tr w:rsidR="00AB52B8" w:rsidRPr="00573DEB" w:rsidTr="00AB52B8">
        <w:trPr>
          <w:trHeight w:val="300"/>
        </w:trPr>
        <w:tc>
          <w:tcPr>
            <w:tcW w:w="2625" w:type="dxa"/>
            <w:tcBorders>
              <w:top w:val="nil"/>
              <w:left w:val="nil"/>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Cayman Islands</w:t>
            </w:r>
          </w:p>
        </w:tc>
        <w:tc>
          <w:tcPr>
            <w:tcW w:w="1186" w:type="dxa"/>
            <w:tcBorders>
              <w:top w:val="nil"/>
              <w:left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666</w:t>
            </w:r>
          </w:p>
        </w:tc>
      </w:tr>
      <w:tr w:rsidR="00AB52B8" w:rsidRPr="00573DEB" w:rsidTr="00AB52B8">
        <w:trPr>
          <w:trHeight w:val="300"/>
        </w:trPr>
        <w:tc>
          <w:tcPr>
            <w:tcW w:w="2625" w:type="dxa"/>
            <w:tcBorders>
              <w:top w:val="nil"/>
              <w:left w:val="nil"/>
              <w:bottom w:val="single" w:sz="4" w:space="0" w:color="auto"/>
              <w:right w:val="nil"/>
            </w:tcBorders>
            <w:shd w:val="clear" w:color="auto" w:fill="auto"/>
            <w:noWrap/>
            <w:vAlign w:val="center"/>
            <w:hideMark/>
          </w:tcPr>
          <w:p w:rsidR="00AB52B8" w:rsidRPr="00573DEB" w:rsidRDefault="00AB52B8" w:rsidP="00AB52B8">
            <w:pPr>
              <w:rPr>
                <w:rFonts w:ascii="Arial Narrow" w:hAnsi="Arial Narrow"/>
                <w:sz w:val="20"/>
                <w:szCs w:val="20"/>
                <w:lang w:eastAsia="pt-BR"/>
              </w:rPr>
            </w:pPr>
            <w:r w:rsidRPr="00573DEB">
              <w:rPr>
                <w:rFonts w:ascii="Arial Narrow" w:hAnsi="Arial Narrow"/>
                <w:sz w:val="20"/>
                <w:szCs w:val="20"/>
                <w:lang w:eastAsia="pt-BR"/>
              </w:rPr>
              <w:t>Paraguay</w:t>
            </w:r>
          </w:p>
        </w:tc>
        <w:tc>
          <w:tcPr>
            <w:tcW w:w="1186" w:type="dxa"/>
            <w:tcBorders>
              <w:top w:val="nil"/>
              <w:left w:val="nil"/>
              <w:bottom w:val="single" w:sz="4" w:space="0" w:color="auto"/>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641</w:t>
            </w:r>
          </w:p>
        </w:tc>
      </w:tr>
    </w:tbl>
    <w:p w:rsidR="00AB52B8" w:rsidRPr="00573DEB" w:rsidRDefault="00AB52B8"/>
    <w:tbl>
      <w:tblPr>
        <w:tblW w:w="3811" w:type="dxa"/>
        <w:tblInd w:w="55" w:type="dxa"/>
        <w:tblLayout w:type="fixed"/>
        <w:tblCellMar>
          <w:left w:w="70" w:type="dxa"/>
          <w:right w:w="70" w:type="dxa"/>
        </w:tblCellMar>
        <w:tblLook w:val="04A0" w:firstRow="1" w:lastRow="0" w:firstColumn="1" w:lastColumn="0" w:noHBand="0" w:noVBand="1"/>
      </w:tblPr>
      <w:tblGrid>
        <w:gridCol w:w="2625"/>
        <w:gridCol w:w="1186"/>
      </w:tblGrid>
      <w:tr w:rsidR="00AB52B8" w:rsidRPr="00573DEB" w:rsidTr="00AB52B8">
        <w:trPr>
          <w:trHeight w:val="300"/>
        </w:trPr>
        <w:tc>
          <w:tcPr>
            <w:tcW w:w="2625" w:type="dxa"/>
            <w:tcBorders>
              <w:top w:val="single" w:sz="4" w:space="0" w:color="auto"/>
              <w:left w:val="nil"/>
              <w:bottom w:val="single" w:sz="4" w:space="0" w:color="auto"/>
              <w:right w:val="nil"/>
            </w:tcBorders>
            <w:shd w:val="clear" w:color="auto" w:fill="auto"/>
            <w:noWrap/>
            <w:vAlign w:val="center"/>
          </w:tcPr>
          <w:p w:rsidR="00AB52B8" w:rsidRPr="00573DEB" w:rsidRDefault="00AB52B8" w:rsidP="00206D26">
            <w:pPr>
              <w:rPr>
                <w:rFonts w:ascii="Arial Narrow" w:hAnsi="Arial Narrow"/>
                <w:b/>
                <w:sz w:val="20"/>
                <w:szCs w:val="20"/>
                <w:lang w:eastAsia="pt-BR"/>
              </w:rPr>
            </w:pPr>
            <w:r w:rsidRPr="00573DEB">
              <w:rPr>
                <w:rFonts w:ascii="Arial Narrow" w:hAnsi="Arial Narrow"/>
                <w:b/>
                <w:sz w:val="20"/>
                <w:szCs w:val="20"/>
                <w:lang w:eastAsia="pt-BR"/>
              </w:rPr>
              <w:t>Country</w:t>
            </w:r>
          </w:p>
        </w:tc>
        <w:tc>
          <w:tcPr>
            <w:tcW w:w="1186" w:type="dxa"/>
            <w:tcBorders>
              <w:top w:val="single" w:sz="4" w:space="0" w:color="auto"/>
              <w:left w:val="nil"/>
              <w:bottom w:val="single" w:sz="4" w:space="0" w:color="auto"/>
              <w:right w:val="nil"/>
            </w:tcBorders>
            <w:shd w:val="clear" w:color="auto" w:fill="auto"/>
            <w:noWrap/>
            <w:vAlign w:val="center"/>
          </w:tcPr>
          <w:p w:rsidR="00AB52B8" w:rsidRPr="00573DEB" w:rsidRDefault="00AB52B8" w:rsidP="00206D26">
            <w:pPr>
              <w:jc w:val="center"/>
              <w:rPr>
                <w:rFonts w:ascii="Arial Narrow" w:hAnsi="Arial Narrow"/>
                <w:b/>
                <w:sz w:val="20"/>
                <w:szCs w:val="20"/>
                <w:lang w:eastAsia="pt-BR"/>
              </w:rPr>
            </w:pPr>
            <w:r w:rsidRPr="00573DEB">
              <w:rPr>
                <w:rFonts w:ascii="Arial Narrow" w:hAnsi="Arial Narrow"/>
                <w:b/>
                <w:sz w:val="20"/>
                <w:szCs w:val="20"/>
                <w:lang w:eastAsia="pt-BR"/>
              </w:rPr>
              <w:t xml:space="preserve">Number of </w:t>
            </w:r>
            <w:r w:rsidRPr="00573DEB">
              <w:rPr>
                <w:rFonts w:ascii="Arial Narrow" w:hAnsi="Arial Narrow"/>
                <w:b/>
                <w:sz w:val="20"/>
                <w:szCs w:val="20"/>
                <w:lang w:eastAsia="pt-BR"/>
              </w:rPr>
              <w:br/>
              <w:t>applications</w:t>
            </w:r>
          </w:p>
        </w:tc>
      </w:tr>
      <w:tr w:rsidR="00AB52B8" w:rsidRPr="00573DEB" w:rsidTr="00AB52B8">
        <w:trPr>
          <w:trHeight w:val="300"/>
        </w:trPr>
        <w:tc>
          <w:tcPr>
            <w:tcW w:w="2625" w:type="dxa"/>
            <w:tcBorders>
              <w:top w:val="single" w:sz="4" w:space="0" w:color="auto"/>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Liechtenstein</w:t>
            </w:r>
          </w:p>
        </w:tc>
        <w:tc>
          <w:tcPr>
            <w:tcW w:w="1186" w:type="dxa"/>
            <w:tcBorders>
              <w:top w:val="single" w:sz="4" w:space="0" w:color="auto"/>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548</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Monaco</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469</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Peru</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461</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Bahamas</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434</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Venezuela, Bolivarian Republic of</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421</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Turkey</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393</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Cyprus</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386</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Russian Federation</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377</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United Arab Emirates</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371</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New Zealand</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336</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Czech Republic</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244</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Hungary</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234</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Poland</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210</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Malaysia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189</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Indonesia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166</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Barbados</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164</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Malta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147</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Cuba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114</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Greece</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110</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Saudi Arabia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110</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Bulgaria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105</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Thailand</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105</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Iceland</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86</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Morocco</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78</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Isle of Man</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75</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Ukraine</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67</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Gibraltar</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63</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 xml:space="preserve">Bolivia, </w:t>
            </w:r>
            <w:proofErr w:type="spellStart"/>
            <w:r w:rsidRPr="00573DEB">
              <w:rPr>
                <w:rFonts w:ascii="Arial Narrow" w:hAnsi="Arial Narrow"/>
                <w:sz w:val="20"/>
                <w:szCs w:val="20"/>
                <w:lang w:eastAsia="pt-BR"/>
              </w:rPr>
              <w:t>Plurinational</w:t>
            </w:r>
            <w:proofErr w:type="spellEnd"/>
            <w:r w:rsidRPr="00573DEB">
              <w:rPr>
                <w:rFonts w:ascii="Arial Narrow" w:hAnsi="Arial Narrow"/>
                <w:sz w:val="20"/>
                <w:szCs w:val="20"/>
                <w:lang w:eastAsia="pt-BR"/>
              </w:rPr>
              <w:t xml:space="preserve"> State of</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61</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Ecuador</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60</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Kuwait</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59</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Mauritius</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58</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Slovenia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56</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Andorra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51</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Guatemala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49</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Costa Rica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48</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Angola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46</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Croatia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44</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Guinea-Bissau</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42</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Slovakia</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42</w:t>
            </w:r>
          </w:p>
        </w:tc>
      </w:tr>
      <w:tr w:rsidR="00AB52B8" w:rsidRPr="00573DEB" w:rsidTr="00AB52B8">
        <w:trPr>
          <w:trHeight w:val="300"/>
        </w:trPr>
        <w:tc>
          <w:tcPr>
            <w:tcW w:w="2625" w:type="dxa"/>
            <w:tcBorders>
              <w:top w:val="nil"/>
              <w:left w:val="nil"/>
              <w:bottom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Philippines</w:t>
            </w:r>
          </w:p>
        </w:tc>
        <w:tc>
          <w:tcPr>
            <w:tcW w:w="1186" w:type="dxa"/>
            <w:tcBorders>
              <w:top w:val="nil"/>
              <w:left w:val="nil"/>
              <w:bottom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39</w:t>
            </w:r>
          </w:p>
        </w:tc>
      </w:tr>
      <w:tr w:rsidR="00AB52B8" w:rsidRPr="00573DEB" w:rsidTr="00AB52B8">
        <w:trPr>
          <w:trHeight w:val="300"/>
        </w:trPr>
        <w:tc>
          <w:tcPr>
            <w:tcW w:w="2625" w:type="dxa"/>
            <w:tcBorders>
              <w:top w:val="nil"/>
              <w:left w:val="nil"/>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Qatar</w:t>
            </w:r>
          </w:p>
        </w:tc>
        <w:tc>
          <w:tcPr>
            <w:tcW w:w="1186" w:type="dxa"/>
            <w:tcBorders>
              <w:top w:val="nil"/>
              <w:left w:val="nil"/>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37</w:t>
            </w:r>
          </w:p>
        </w:tc>
      </w:tr>
      <w:tr w:rsidR="00AB52B8" w:rsidRPr="00573DEB" w:rsidTr="00AB52B8">
        <w:trPr>
          <w:trHeight w:val="300"/>
        </w:trPr>
        <w:tc>
          <w:tcPr>
            <w:tcW w:w="2625" w:type="dxa"/>
            <w:tcBorders>
              <w:top w:val="nil"/>
              <w:left w:val="nil"/>
              <w:bottom w:val="single" w:sz="4" w:space="0" w:color="auto"/>
              <w:right w:val="nil"/>
            </w:tcBorders>
            <w:shd w:val="clear" w:color="auto" w:fill="auto"/>
            <w:noWrap/>
            <w:vAlign w:val="bottom"/>
            <w:hideMark/>
          </w:tcPr>
          <w:p w:rsidR="00AB52B8" w:rsidRPr="00573DEB" w:rsidRDefault="00AB52B8" w:rsidP="004B4B73">
            <w:pPr>
              <w:rPr>
                <w:rFonts w:ascii="Arial Narrow" w:hAnsi="Arial Narrow"/>
                <w:sz w:val="20"/>
                <w:szCs w:val="20"/>
                <w:lang w:eastAsia="pt-BR"/>
              </w:rPr>
            </w:pPr>
            <w:r w:rsidRPr="00573DEB">
              <w:rPr>
                <w:rFonts w:ascii="Arial Narrow" w:hAnsi="Arial Narrow"/>
                <w:sz w:val="20"/>
                <w:szCs w:val="20"/>
                <w:lang w:eastAsia="pt-BR"/>
              </w:rPr>
              <w:t>Romania</w:t>
            </w:r>
          </w:p>
        </w:tc>
        <w:tc>
          <w:tcPr>
            <w:tcW w:w="1186" w:type="dxa"/>
            <w:tcBorders>
              <w:top w:val="nil"/>
              <w:left w:val="nil"/>
              <w:bottom w:val="single" w:sz="4" w:space="0" w:color="auto"/>
              <w:right w:val="nil"/>
            </w:tcBorders>
            <w:shd w:val="clear" w:color="auto" w:fill="auto"/>
            <w:noWrap/>
            <w:vAlign w:val="center"/>
            <w:hideMark/>
          </w:tcPr>
          <w:p w:rsidR="00AB52B8" w:rsidRPr="00573DEB" w:rsidRDefault="00AB52B8" w:rsidP="00AB52B8">
            <w:pPr>
              <w:jc w:val="center"/>
              <w:rPr>
                <w:rFonts w:ascii="Arial Narrow" w:hAnsi="Arial Narrow"/>
                <w:sz w:val="20"/>
                <w:szCs w:val="20"/>
                <w:lang w:eastAsia="pt-BR"/>
              </w:rPr>
            </w:pPr>
            <w:r w:rsidRPr="00573DEB">
              <w:rPr>
                <w:rFonts w:ascii="Arial Narrow" w:hAnsi="Arial Narrow"/>
                <w:sz w:val="20"/>
                <w:szCs w:val="20"/>
                <w:lang w:eastAsia="pt-BR"/>
              </w:rPr>
              <w:t>35</w:t>
            </w:r>
          </w:p>
        </w:tc>
      </w:tr>
    </w:tbl>
    <w:p w:rsidR="00B000C0" w:rsidRPr="00573DEB" w:rsidRDefault="00B000C0" w:rsidP="004B4B73"/>
    <w:p w:rsidR="00AB52B8" w:rsidRPr="00573DEB" w:rsidRDefault="00AB52B8" w:rsidP="004B4B73">
      <w:pPr>
        <w:pStyle w:val="Heading2"/>
        <w:sectPr w:rsidR="00AB52B8" w:rsidRPr="00573DEB" w:rsidSect="00AB52B8">
          <w:endnotePr>
            <w:numFmt w:val="decimal"/>
          </w:endnotePr>
          <w:type w:val="continuous"/>
          <w:pgSz w:w="11907" w:h="16840" w:code="9"/>
          <w:pgMar w:top="567" w:right="1134" w:bottom="1418" w:left="1418" w:header="510" w:footer="1021" w:gutter="0"/>
          <w:cols w:num="2" w:space="720"/>
          <w:titlePg/>
          <w:docGrid w:linePitch="299"/>
        </w:sectPr>
      </w:pPr>
      <w:bookmarkStart w:id="334" w:name="_Toc366845940"/>
      <w:bookmarkStart w:id="335" w:name="_Toc367700278"/>
      <w:bookmarkStart w:id="336" w:name="_Toc388620006"/>
    </w:p>
    <w:p w:rsidR="00B000C0" w:rsidRPr="00573DEB" w:rsidRDefault="00206D26" w:rsidP="00206D26">
      <w:pPr>
        <w:pStyle w:val="Caption"/>
      </w:pPr>
      <w:r w:rsidRPr="00573DEB">
        <w:t>Ta</w:t>
      </w:r>
      <w:r w:rsidR="008C2A2F">
        <w:t xml:space="preserve">ble A.28:  </w:t>
      </w:r>
      <w:r w:rsidR="00B000C0" w:rsidRPr="00573DEB">
        <w:t>Trademark applications by Brazilian states</w:t>
      </w:r>
      <w:bookmarkEnd w:id="334"/>
      <w:bookmarkEnd w:id="335"/>
      <w:r w:rsidR="00B000C0" w:rsidRPr="00573DEB">
        <w:t>, 2000-2012</w:t>
      </w:r>
      <w:bookmarkEnd w:id="336"/>
    </w:p>
    <w:tbl>
      <w:tblPr>
        <w:tblW w:w="0" w:type="auto"/>
        <w:tblInd w:w="55" w:type="dxa"/>
        <w:tblLayout w:type="fixed"/>
        <w:tblCellMar>
          <w:left w:w="0" w:type="dxa"/>
          <w:right w:w="0" w:type="dxa"/>
        </w:tblCellMar>
        <w:tblLook w:val="04A0" w:firstRow="1" w:lastRow="0" w:firstColumn="1" w:lastColumn="0" w:noHBand="0" w:noVBand="1"/>
      </w:tblPr>
      <w:tblGrid>
        <w:gridCol w:w="1654"/>
        <w:gridCol w:w="925"/>
      </w:tblGrid>
      <w:tr w:rsidR="00206D26" w:rsidRPr="00573DEB" w:rsidTr="00206D26">
        <w:trPr>
          <w:trHeight w:val="288"/>
        </w:trPr>
        <w:tc>
          <w:tcPr>
            <w:tcW w:w="1654" w:type="dxa"/>
            <w:tcBorders>
              <w:top w:val="single" w:sz="8" w:space="0" w:color="auto"/>
              <w:left w:val="nil"/>
              <w:bottom w:val="single" w:sz="4" w:space="0" w:color="auto"/>
              <w:right w:val="nil"/>
            </w:tcBorders>
            <w:shd w:val="clear" w:color="auto" w:fill="auto"/>
            <w:noWrap/>
            <w:vAlign w:val="center"/>
            <w:hideMark/>
          </w:tcPr>
          <w:p w:rsidR="00206D26" w:rsidRPr="00573DEB" w:rsidRDefault="00206D26" w:rsidP="004B4B73">
            <w:pPr>
              <w:rPr>
                <w:rFonts w:ascii="Arial Narrow" w:hAnsi="Arial Narrow"/>
                <w:b/>
                <w:sz w:val="20"/>
                <w:szCs w:val="20"/>
                <w:lang w:eastAsia="pt-BR"/>
              </w:rPr>
            </w:pPr>
            <w:r w:rsidRPr="00573DEB">
              <w:rPr>
                <w:rFonts w:ascii="Arial Narrow" w:hAnsi="Arial Narrow"/>
                <w:b/>
                <w:sz w:val="20"/>
                <w:szCs w:val="20"/>
                <w:lang w:eastAsia="pt-BR"/>
              </w:rPr>
              <w:t>Brazilian States</w:t>
            </w:r>
          </w:p>
        </w:tc>
        <w:tc>
          <w:tcPr>
            <w:tcW w:w="925" w:type="dxa"/>
            <w:tcBorders>
              <w:top w:val="single" w:sz="8" w:space="0" w:color="auto"/>
              <w:left w:val="nil"/>
              <w:bottom w:val="single" w:sz="4" w:space="0" w:color="auto"/>
              <w:right w:val="nil"/>
            </w:tcBorders>
            <w:shd w:val="clear" w:color="auto" w:fill="auto"/>
            <w:vAlign w:val="center"/>
            <w:hideMark/>
          </w:tcPr>
          <w:p w:rsidR="00206D26" w:rsidRPr="00573DEB" w:rsidRDefault="00206D26" w:rsidP="00206D26">
            <w:pPr>
              <w:jc w:val="center"/>
              <w:rPr>
                <w:rFonts w:ascii="Arial Narrow" w:hAnsi="Arial Narrow"/>
                <w:b/>
                <w:sz w:val="20"/>
                <w:szCs w:val="20"/>
                <w:lang w:eastAsia="pt-BR"/>
              </w:rPr>
            </w:pPr>
            <w:r w:rsidRPr="00573DEB">
              <w:rPr>
                <w:rFonts w:ascii="Arial Narrow" w:hAnsi="Arial Narrow"/>
                <w:b/>
                <w:sz w:val="20"/>
                <w:szCs w:val="20"/>
                <w:lang w:eastAsia="pt-BR"/>
              </w:rPr>
              <w:t>2000-2012</w:t>
            </w:r>
          </w:p>
        </w:tc>
      </w:tr>
      <w:tr w:rsidR="00206D26" w:rsidRPr="00573DEB" w:rsidTr="00206D26">
        <w:trPr>
          <w:trHeight w:val="288"/>
        </w:trPr>
        <w:tc>
          <w:tcPr>
            <w:tcW w:w="1654" w:type="dxa"/>
            <w:tcBorders>
              <w:top w:val="nil"/>
              <w:left w:val="nil"/>
              <w:bottom w:val="single" w:sz="8" w:space="0" w:color="auto"/>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r w:rsidRPr="00573DEB">
              <w:rPr>
                <w:rFonts w:ascii="Arial Narrow" w:hAnsi="Arial Narrow"/>
                <w:sz w:val="20"/>
                <w:szCs w:val="20"/>
                <w:lang w:eastAsia="pt-BR"/>
              </w:rPr>
              <w:t>Total</w:t>
            </w:r>
          </w:p>
        </w:tc>
        <w:tc>
          <w:tcPr>
            <w:tcW w:w="925" w:type="dxa"/>
            <w:tcBorders>
              <w:top w:val="nil"/>
              <w:left w:val="nil"/>
              <w:bottom w:val="single" w:sz="8" w:space="0" w:color="auto"/>
              <w:right w:val="nil"/>
            </w:tcBorders>
            <w:shd w:val="clear" w:color="auto" w:fill="auto"/>
            <w:noWrap/>
            <w:vAlign w:val="bottom"/>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1,200,369</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r w:rsidRPr="00573DEB">
              <w:rPr>
                <w:rFonts w:ascii="Arial Narrow" w:hAnsi="Arial Narrow"/>
                <w:sz w:val="20"/>
                <w:szCs w:val="20"/>
                <w:lang w:eastAsia="pt-BR"/>
              </w:rPr>
              <w:t>São Paulo</w:t>
            </w:r>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521,437</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r w:rsidRPr="00573DEB">
              <w:rPr>
                <w:rFonts w:ascii="Arial Narrow" w:hAnsi="Arial Narrow"/>
                <w:sz w:val="20"/>
                <w:szCs w:val="20"/>
                <w:lang w:eastAsia="pt-BR"/>
              </w:rPr>
              <w:t>Rio de Janeiro</w:t>
            </w:r>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126,321</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r w:rsidRPr="00573DEB">
              <w:rPr>
                <w:rFonts w:ascii="Arial Narrow" w:hAnsi="Arial Narrow"/>
                <w:sz w:val="20"/>
                <w:szCs w:val="20"/>
                <w:lang w:eastAsia="pt-BR"/>
              </w:rPr>
              <w:t xml:space="preserve">Minas </w:t>
            </w:r>
            <w:proofErr w:type="spellStart"/>
            <w:r w:rsidRPr="00573DEB">
              <w:rPr>
                <w:rFonts w:ascii="Arial Narrow" w:hAnsi="Arial Narrow"/>
                <w:sz w:val="20"/>
                <w:szCs w:val="20"/>
                <w:lang w:eastAsia="pt-BR"/>
              </w:rPr>
              <w:t>Gerais</w:t>
            </w:r>
            <w:proofErr w:type="spellEnd"/>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97,128</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r w:rsidRPr="00573DEB">
              <w:rPr>
                <w:rFonts w:ascii="Arial Narrow" w:hAnsi="Arial Narrow"/>
                <w:sz w:val="20"/>
                <w:szCs w:val="20"/>
                <w:lang w:eastAsia="pt-BR"/>
              </w:rPr>
              <w:t>Paraná</w:t>
            </w:r>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95,028</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r w:rsidRPr="00573DEB">
              <w:rPr>
                <w:rFonts w:ascii="Arial Narrow" w:hAnsi="Arial Narrow"/>
                <w:sz w:val="20"/>
                <w:szCs w:val="20"/>
                <w:lang w:eastAsia="pt-BR"/>
              </w:rPr>
              <w:t xml:space="preserve">Rio Grande do </w:t>
            </w:r>
            <w:proofErr w:type="spellStart"/>
            <w:r w:rsidRPr="00573DEB">
              <w:rPr>
                <w:rFonts w:ascii="Arial Narrow" w:hAnsi="Arial Narrow"/>
                <w:sz w:val="20"/>
                <w:szCs w:val="20"/>
                <w:lang w:eastAsia="pt-BR"/>
              </w:rPr>
              <w:t>Sul</w:t>
            </w:r>
            <w:proofErr w:type="spellEnd"/>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76,101</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r w:rsidRPr="00573DEB">
              <w:rPr>
                <w:rFonts w:ascii="Arial Narrow" w:hAnsi="Arial Narrow"/>
                <w:sz w:val="20"/>
                <w:szCs w:val="20"/>
                <w:lang w:eastAsia="pt-BR"/>
              </w:rPr>
              <w:t>Santa Catarina</w:t>
            </w:r>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71,206</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r w:rsidRPr="00573DEB">
              <w:rPr>
                <w:rFonts w:ascii="Arial Narrow" w:hAnsi="Arial Narrow"/>
                <w:sz w:val="20"/>
                <w:szCs w:val="20"/>
                <w:lang w:eastAsia="pt-BR"/>
              </w:rPr>
              <w:t>Bahia</w:t>
            </w:r>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30,112</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proofErr w:type="spellStart"/>
            <w:r w:rsidRPr="00573DEB">
              <w:rPr>
                <w:rFonts w:ascii="Arial Narrow" w:hAnsi="Arial Narrow"/>
                <w:sz w:val="20"/>
                <w:szCs w:val="20"/>
                <w:lang w:eastAsia="pt-BR"/>
              </w:rPr>
              <w:t>Goiás</w:t>
            </w:r>
            <w:proofErr w:type="spellEnd"/>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29,412</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proofErr w:type="spellStart"/>
            <w:r w:rsidRPr="00573DEB">
              <w:rPr>
                <w:rFonts w:ascii="Arial Narrow" w:hAnsi="Arial Narrow"/>
                <w:sz w:val="20"/>
                <w:szCs w:val="20"/>
                <w:lang w:eastAsia="pt-BR"/>
              </w:rPr>
              <w:t>Ceará</w:t>
            </w:r>
            <w:proofErr w:type="spellEnd"/>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26,199</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r w:rsidRPr="00573DEB">
              <w:rPr>
                <w:rFonts w:ascii="Arial Narrow" w:hAnsi="Arial Narrow"/>
                <w:sz w:val="20"/>
                <w:szCs w:val="20"/>
                <w:lang w:eastAsia="pt-BR"/>
              </w:rPr>
              <w:t>Pernambuco</w:t>
            </w:r>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23,671</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r w:rsidRPr="00573DEB">
              <w:rPr>
                <w:rFonts w:ascii="Arial Narrow" w:hAnsi="Arial Narrow"/>
                <w:sz w:val="20"/>
                <w:szCs w:val="20"/>
                <w:lang w:eastAsia="pt-BR"/>
              </w:rPr>
              <w:t>Distrito Federal</w:t>
            </w:r>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22,207</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proofErr w:type="spellStart"/>
            <w:r w:rsidRPr="00573DEB">
              <w:rPr>
                <w:rFonts w:ascii="Arial Narrow" w:hAnsi="Arial Narrow"/>
                <w:sz w:val="20"/>
                <w:szCs w:val="20"/>
                <w:lang w:eastAsia="pt-BR"/>
              </w:rPr>
              <w:t>Espírito</w:t>
            </w:r>
            <w:proofErr w:type="spellEnd"/>
            <w:r w:rsidRPr="00573DEB">
              <w:rPr>
                <w:rFonts w:ascii="Arial Narrow" w:hAnsi="Arial Narrow"/>
                <w:sz w:val="20"/>
                <w:szCs w:val="20"/>
                <w:lang w:eastAsia="pt-BR"/>
              </w:rPr>
              <w:t xml:space="preserve"> Santo</w:t>
            </w:r>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16,259</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proofErr w:type="spellStart"/>
            <w:r w:rsidRPr="00573DEB">
              <w:rPr>
                <w:rFonts w:ascii="Arial Narrow" w:hAnsi="Arial Narrow"/>
                <w:sz w:val="20"/>
                <w:szCs w:val="20"/>
                <w:lang w:eastAsia="pt-BR"/>
              </w:rPr>
              <w:t>Mato</w:t>
            </w:r>
            <w:proofErr w:type="spellEnd"/>
            <w:r w:rsidRPr="00573DEB">
              <w:rPr>
                <w:rFonts w:ascii="Arial Narrow" w:hAnsi="Arial Narrow"/>
                <w:sz w:val="20"/>
                <w:szCs w:val="20"/>
                <w:lang w:eastAsia="pt-BR"/>
              </w:rPr>
              <w:t xml:space="preserve"> Grosso</w:t>
            </w:r>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9,042</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proofErr w:type="spellStart"/>
            <w:r w:rsidRPr="00573DEB">
              <w:rPr>
                <w:rFonts w:ascii="Arial Narrow" w:hAnsi="Arial Narrow"/>
                <w:sz w:val="20"/>
                <w:szCs w:val="20"/>
                <w:lang w:eastAsia="pt-BR"/>
              </w:rPr>
              <w:t>Mato</w:t>
            </w:r>
            <w:proofErr w:type="spellEnd"/>
            <w:r w:rsidRPr="00573DEB">
              <w:rPr>
                <w:rFonts w:ascii="Arial Narrow" w:hAnsi="Arial Narrow"/>
                <w:sz w:val="20"/>
                <w:szCs w:val="20"/>
                <w:lang w:eastAsia="pt-BR"/>
              </w:rPr>
              <w:t xml:space="preserve"> Grosso do </w:t>
            </w:r>
            <w:proofErr w:type="spellStart"/>
            <w:r w:rsidRPr="00573DEB">
              <w:rPr>
                <w:rFonts w:ascii="Arial Narrow" w:hAnsi="Arial Narrow"/>
                <w:sz w:val="20"/>
                <w:szCs w:val="20"/>
                <w:lang w:eastAsia="pt-BR"/>
              </w:rPr>
              <w:t>Sul</w:t>
            </w:r>
            <w:proofErr w:type="spellEnd"/>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8,048</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r w:rsidRPr="00573DEB">
              <w:rPr>
                <w:rFonts w:ascii="Arial Narrow" w:hAnsi="Arial Narrow"/>
                <w:sz w:val="20"/>
                <w:szCs w:val="20"/>
                <w:lang w:eastAsia="pt-BR"/>
              </w:rPr>
              <w:t>Amazonas</w:t>
            </w:r>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8,038</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r w:rsidRPr="00573DEB">
              <w:rPr>
                <w:rFonts w:ascii="Arial Narrow" w:hAnsi="Arial Narrow"/>
                <w:sz w:val="20"/>
                <w:szCs w:val="20"/>
                <w:lang w:eastAsia="pt-BR"/>
              </w:rPr>
              <w:t>Rio Grande do Norte</w:t>
            </w:r>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8,027</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proofErr w:type="spellStart"/>
            <w:r w:rsidRPr="00573DEB">
              <w:rPr>
                <w:rFonts w:ascii="Arial Narrow" w:hAnsi="Arial Narrow"/>
                <w:sz w:val="20"/>
                <w:szCs w:val="20"/>
                <w:lang w:eastAsia="pt-BR"/>
              </w:rPr>
              <w:t>Pará</w:t>
            </w:r>
            <w:proofErr w:type="spellEnd"/>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6,928</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proofErr w:type="spellStart"/>
            <w:r w:rsidRPr="00573DEB">
              <w:rPr>
                <w:rFonts w:ascii="Arial Narrow" w:hAnsi="Arial Narrow"/>
                <w:sz w:val="20"/>
                <w:szCs w:val="20"/>
                <w:lang w:eastAsia="pt-BR"/>
              </w:rPr>
              <w:t>Paraíba</w:t>
            </w:r>
            <w:proofErr w:type="spellEnd"/>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6,359</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r w:rsidRPr="00573DEB">
              <w:rPr>
                <w:rFonts w:ascii="Arial Narrow" w:hAnsi="Arial Narrow"/>
                <w:sz w:val="20"/>
                <w:szCs w:val="20"/>
                <w:lang w:eastAsia="pt-BR"/>
              </w:rPr>
              <w:t>Alagoas</w:t>
            </w:r>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4,348</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r w:rsidRPr="00573DEB">
              <w:rPr>
                <w:rFonts w:ascii="Arial Narrow" w:hAnsi="Arial Narrow"/>
                <w:sz w:val="20"/>
                <w:szCs w:val="20"/>
                <w:lang w:eastAsia="pt-BR"/>
              </w:rPr>
              <w:t>Sergipe</w:t>
            </w:r>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3,185</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proofErr w:type="spellStart"/>
            <w:r w:rsidRPr="00573DEB">
              <w:rPr>
                <w:rFonts w:ascii="Arial Narrow" w:hAnsi="Arial Narrow"/>
                <w:sz w:val="20"/>
                <w:szCs w:val="20"/>
                <w:lang w:eastAsia="pt-BR"/>
              </w:rPr>
              <w:t>Maranhão</w:t>
            </w:r>
            <w:proofErr w:type="spellEnd"/>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3,057</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proofErr w:type="spellStart"/>
            <w:r w:rsidRPr="00573DEB">
              <w:rPr>
                <w:rFonts w:ascii="Arial Narrow" w:hAnsi="Arial Narrow"/>
                <w:sz w:val="20"/>
                <w:szCs w:val="20"/>
                <w:lang w:eastAsia="pt-BR"/>
              </w:rPr>
              <w:t>Rondônia</w:t>
            </w:r>
            <w:proofErr w:type="spellEnd"/>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2,484</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r w:rsidRPr="00573DEB">
              <w:rPr>
                <w:rFonts w:ascii="Arial Narrow" w:hAnsi="Arial Narrow"/>
                <w:sz w:val="20"/>
                <w:szCs w:val="20"/>
                <w:lang w:eastAsia="pt-BR"/>
              </w:rPr>
              <w:t>Tocantins</w:t>
            </w:r>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1,982</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proofErr w:type="spellStart"/>
            <w:r w:rsidRPr="00573DEB">
              <w:rPr>
                <w:rFonts w:ascii="Arial Narrow" w:hAnsi="Arial Narrow"/>
                <w:sz w:val="20"/>
                <w:szCs w:val="20"/>
                <w:lang w:eastAsia="pt-BR"/>
              </w:rPr>
              <w:t>Piauí</w:t>
            </w:r>
            <w:proofErr w:type="spellEnd"/>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1,937</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r w:rsidRPr="00573DEB">
              <w:rPr>
                <w:rFonts w:ascii="Arial Narrow" w:hAnsi="Arial Narrow"/>
                <w:sz w:val="20"/>
                <w:szCs w:val="20"/>
                <w:lang w:eastAsia="pt-BR"/>
              </w:rPr>
              <w:t>Acre</w:t>
            </w:r>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592</w:t>
            </w:r>
          </w:p>
        </w:tc>
      </w:tr>
      <w:tr w:rsidR="00206D26" w:rsidRPr="00573DEB" w:rsidTr="00206D26">
        <w:trPr>
          <w:trHeight w:val="288"/>
        </w:trPr>
        <w:tc>
          <w:tcPr>
            <w:tcW w:w="1654" w:type="dxa"/>
            <w:tcBorders>
              <w:top w:val="nil"/>
              <w:left w:val="nil"/>
              <w:bottom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r w:rsidRPr="00573DEB">
              <w:rPr>
                <w:rFonts w:ascii="Arial Narrow" w:hAnsi="Arial Narrow"/>
                <w:sz w:val="20"/>
                <w:szCs w:val="20"/>
                <w:lang w:eastAsia="pt-BR"/>
              </w:rPr>
              <w:t>Roraima</w:t>
            </w:r>
          </w:p>
        </w:tc>
        <w:tc>
          <w:tcPr>
            <w:tcW w:w="925" w:type="dxa"/>
            <w:tcBorders>
              <w:top w:val="nil"/>
              <w:left w:val="nil"/>
              <w:bottom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433</w:t>
            </w:r>
          </w:p>
        </w:tc>
      </w:tr>
      <w:tr w:rsidR="00206D26" w:rsidRPr="00573DEB" w:rsidTr="00206D26">
        <w:trPr>
          <w:trHeight w:val="288"/>
        </w:trPr>
        <w:tc>
          <w:tcPr>
            <w:tcW w:w="1654" w:type="dxa"/>
            <w:tcBorders>
              <w:top w:val="nil"/>
              <w:left w:val="nil"/>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proofErr w:type="spellStart"/>
            <w:r w:rsidRPr="00573DEB">
              <w:rPr>
                <w:rFonts w:ascii="Arial Narrow" w:hAnsi="Arial Narrow"/>
                <w:sz w:val="20"/>
                <w:szCs w:val="20"/>
                <w:lang w:eastAsia="pt-BR"/>
              </w:rPr>
              <w:t>Amapá</w:t>
            </w:r>
            <w:proofErr w:type="spellEnd"/>
          </w:p>
        </w:tc>
        <w:tc>
          <w:tcPr>
            <w:tcW w:w="925" w:type="dxa"/>
            <w:tcBorders>
              <w:top w:val="nil"/>
              <w:left w:val="nil"/>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425</w:t>
            </w:r>
          </w:p>
        </w:tc>
      </w:tr>
      <w:tr w:rsidR="00206D26" w:rsidRPr="00573DEB" w:rsidTr="00206D26">
        <w:trPr>
          <w:trHeight w:val="288"/>
        </w:trPr>
        <w:tc>
          <w:tcPr>
            <w:tcW w:w="1654" w:type="dxa"/>
            <w:tcBorders>
              <w:top w:val="nil"/>
              <w:left w:val="nil"/>
              <w:bottom w:val="single" w:sz="4" w:space="0" w:color="auto"/>
              <w:right w:val="nil"/>
            </w:tcBorders>
            <w:shd w:val="clear" w:color="auto" w:fill="auto"/>
            <w:vAlign w:val="center"/>
            <w:hideMark/>
          </w:tcPr>
          <w:p w:rsidR="00206D26" w:rsidRPr="00573DEB" w:rsidRDefault="00206D26" w:rsidP="004B4B73">
            <w:pPr>
              <w:rPr>
                <w:rFonts w:ascii="Arial Narrow" w:hAnsi="Arial Narrow"/>
                <w:sz w:val="20"/>
                <w:szCs w:val="20"/>
                <w:lang w:eastAsia="pt-BR"/>
              </w:rPr>
            </w:pPr>
            <w:r w:rsidRPr="00573DEB">
              <w:rPr>
                <w:rFonts w:ascii="Arial Narrow" w:hAnsi="Arial Narrow"/>
                <w:sz w:val="20"/>
                <w:szCs w:val="20"/>
                <w:lang w:eastAsia="pt-BR"/>
              </w:rPr>
              <w:t xml:space="preserve">Not </w:t>
            </w:r>
            <w:proofErr w:type="spellStart"/>
            <w:r w:rsidRPr="00573DEB">
              <w:rPr>
                <w:rFonts w:ascii="Arial Narrow" w:hAnsi="Arial Narrow"/>
                <w:sz w:val="20"/>
                <w:szCs w:val="20"/>
                <w:lang w:eastAsia="pt-BR"/>
              </w:rPr>
              <w:t>Classiflied</w:t>
            </w:r>
            <w:proofErr w:type="spellEnd"/>
          </w:p>
        </w:tc>
        <w:tc>
          <w:tcPr>
            <w:tcW w:w="925" w:type="dxa"/>
            <w:tcBorders>
              <w:top w:val="nil"/>
              <w:left w:val="nil"/>
              <w:bottom w:val="single" w:sz="4" w:space="0" w:color="auto"/>
              <w:right w:val="nil"/>
            </w:tcBorders>
            <w:shd w:val="clear" w:color="auto" w:fill="auto"/>
            <w:noWrap/>
            <w:vAlign w:val="center"/>
            <w:hideMark/>
          </w:tcPr>
          <w:p w:rsidR="00206D26" w:rsidRPr="00573DEB" w:rsidRDefault="00206D26" w:rsidP="00206D26">
            <w:pPr>
              <w:jc w:val="center"/>
              <w:rPr>
                <w:rFonts w:ascii="Arial Narrow" w:hAnsi="Arial Narrow"/>
                <w:sz w:val="20"/>
                <w:szCs w:val="20"/>
                <w:lang w:eastAsia="pt-BR"/>
              </w:rPr>
            </w:pPr>
            <w:r w:rsidRPr="00573DEB">
              <w:rPr>
                <w:rFonts w:ascii="Arial Narrow" w:hAnsi="Arial Narrow"/>
                <w:sz w:val="20"/>
                <w:szCs w:val="20"/>
                <w:lang w:eastAsia="pt-BR"/>
              </w:rPr>
              <w:t>403</w:t>
            </w:r>
          </w:p>
        </w:tc>
      </w:tr>
    </w:tbl>
    <w:p w:rsidR="00B000C0" w:rsidRPr="00573DEB" w:rsidRDefault="00B000C0" w:rsidP="004B4B73"/>
    <w:p w:rsidR="00B000C0" w:rsidRPr="00573DEB" w:rsidRDefault="008C2A2F" w:rsidP="00206D26">
      <w:pPr>
        <w:pStyle w:val="Caption"/>
      </w:pPr>
      <w:bookmarkStart w:id="337" w:name="_Toc388620007"/>
      <w:r>
        <w:t xml:space="preserve">Table A.29:  </w:t>
      </w:r>
      <w:r w:rsidR="00B000C0" w:rsidRPr="00573DEB">
        <w:t>Trademark applications by company size, 2000-2012</w:t>
      </w:r>
      <w:bookmarkEnd w:id="337"/>
    </w:p>
    <w:tbl>
      <w:tblPr>
        <w:tblW w:w="0" w:type="auto"/>
        <w:tblInd w:w="55" w:type="dxa"/>
        <w:tblLayout w:type="fixed"/>
        <w:tblCellMar>
          <w:left w:w="0" w:type="dxa"/>
          <w:right w:w="0" w:type="dxa"/>
        </w:tblCellMar>
        <w:tblLook w:val="04A0" w:firstRow="1" w:lastRow="0" w:firstColumn="1" w:lastColumn="0" w:noHBand="0" w:noVBand="1"/>
      </w:tblPr>
      <w:tblGrid>
        <w:gridCol w:w="1134"/>
        <w:gridCol w:w="1134"/>
        <w:gridCol w:w="1134"/>
        <w:gridCol w:w="1477"/>
        <w:gridCol w:w="1134"/>
        <w:gridCol w:w="1134"/>
      </w:tblGrid>
      <w:tr w:rsidR="00B000C0" w:rsidRPr="00573DEB" w:rsidTr="00206D26">
        <w:trPr>
          <w:trHeight w:val="288"/>
        </w:trPr>
        <w:tc>
          <w:tcPr>
            <w:tcW w:w="1134"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Year</w:t>
            </w:r>
          </w:p>
        </w:tc>
        <w:tc>
          <w:tcPr>
            <w:tcW w:w="1134"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Micro</w:t>
            </w:r>
          </w:p>
        </w:tc>
        <w:tc>
          <w:tcPr>
            <w:tcW w:w="1134"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Small</w:t>
            </w:r>
          </w:p>
        </w:tc>
        <w:tc>
          <w:tcPr>
            <w:tcW w:w="1477"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Other classification</w:t>
            </w:r>
          </w:p>
        </w:tc>
        <w:tc>
          <w:tcPr>
            <w:tcW w:w="1134"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Not classified</w:t>
            </w:r>
          </w:p>
        </w:tc>
        <w:tc>
          <w:tcPr>
            <w:tcW w:w="1134"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Total</w:t>
            </w:r>
          </w:p>
        </w:tc>
      </w:tr>
      <w:tr w:rsidR="00B000C0" w:rsidRPr="00573DEB" w:rsidTr="00206D26">
        <w:trPr>
          <w:trHeight w:val="288"/>
        </w:trPr>
        <w:tc>
          <w:tcPr>
            <w:tcW w:w="1134"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2000</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16,244</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10,881</w:t>
            </w:r>
          </w:p>
        </w:tc>
        <w:tc>
          <w:tcPr>
            <w:tcW w:w="1477"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47,186</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8,519</w:t>
            </w:r>
          </w:p>
        </w:tc>
        <w:tc>
          <w:tcPr>
            <w:tcW w:w="1134" w:type="dxa"/>
            <w:tcBorders>
              <w:top w:val="nil"/>
              <w:left w:val="nil"/>
              <w:bottom w:val="nil"/>
              <w:right w:val="nil"/>
            </w:tcBorders>
            <w:shd w:val="clear" w:color="auto" w:fill="auto"/>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82,830</w:t>
            </w:r>
          </w:p>
        </w:tc>
      </w:tr>
      <w:tr w:rsidR="00B000C0" w:rsidRPr="00573DEB" w:rsidTr="00206D26">
        <w:trPr>
          <w:trHeight w:val="288"/>
        </w:trPr>
        <w:tc>
          <w:tcPr>
            <w:tcW w:w="1134"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2001</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17,077</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11,308</w:t>
            </w:r>
          </w:p>
        </w:tc>
        <w:tc>
          <w:tcPr>
            <w:tcW w:w="1477"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45,871</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6,164</w:t>
            </w:r>
          </w:p>
        </w:tc>
        <w:tc>
          <w:tcPr>
            <w:tcW w:w="1134" w:type="dxa"/>
            <w:tcBorders>
              <w:top w:val="nil"/>
              <w:left w:val="nil"/>
              <w:bottom w:val="nil"/>
              <w:right w:val="nil"/>
            </w:tcBorders>
            <w:shd w:val="clear" w:color="auto" w:fill="auto"/>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80,420</w:t>
            </w:r>
          </w:p>
        </w:tc>
      </w:tr>
      <w:tr w:rsidR="00B000C0" w:rsidRPr="00573DEB" w:rsidTr="00206D26">
        <w:trPr>
          <w:trHeight w:val="288"/>
        </w:trPr>
        <w:tc>
          <w:tcPr>
            <w:tcW w:w="1134"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2002</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17,644</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11,107</w:t>
            </w:r>
          </w:p>
        </w:tc>
        <w:tc>
          <w:tcPr>
            <w:tcW w:w="1477"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43,372</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4,327</w:t>
            </w:r>
          </w:p>
        </w:tc>
        <w:tc>
          <w:tcPr>
            <w:tcW w:w="1134" w:type="dxa"/>
            <w:tcBorders>
              <w:top w:val="nil"/>
              <w:left w:val="nil"/>
              <w:bottom w:val="nil"/>
              <w:right w:val="nil"/>
            </w:tcBorders>
            <w:shd w:val="clear" w:color="auto" w:fill="auto"/>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76,450</w:t>
            </w:r>
          </w:p>
        </w:tc>
      </w:tr>
      <w:tr w:rsidR="00B000C0" w:rsidRPr="00573DEB" w:rsidTr="00206D26">
        <w:trPr>
          <w:trHeight w:val="288"/>
        </w:trPr>
        <w:tc>
          <w:tcPr>
            <w:tcW w:w="1134"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2003</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19,151</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11,410</w:t>
            </w:r>
          </w:p>
        </w:tc>
        <w:tc>
          <w:tcPr>
            <w:tcW w:w="1477"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43,735</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2,881</w:t>
            </w:r>
          </w:p>
        </w:tc>
        <w:tc>
          <w:tcPr>
            <w:tcW w:w="1134" w:type="dxa"/>
            <w:tcBorders>
              <w:top w:val="nil"/>
              <w:left w:val="nil"/>
              <w:bottom w:val="nil"/>
              <w:right w:val="nil"/>
            </w:tcBorders>
            <w:shd w:val="clear" w:color="auto" w:fill="auto"/>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77,177</w:t>
            </w:r>
          </w:p>
        </w:tc>
      </w:tr>
      <w:tr w:rsidR="00B000C0" w:rsidRPr="00573DEB" w:rsidTr="00206D26">
        <w:trPr>
          <w:trHeight w:val="288"/>
        </w:trPr>
        <w:tc>
          <w:tcPr>
            <w:tcW w:w="1134"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2004</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19,739</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10,984</w:t>
            </w:r>
          </w:p>
        </w:tc>
        <w:tc>
          <w:tcPr>
            <w:tcW w:w="1477"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43,104</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1,556</w:t>
            </w:r>
          </w:p>
        </w:tc>
        <w:tc>
          <w:tcPr>
            <w:tcW w:w="1134" w:type="dxa"/>
            <w:tcBorders>
              <w:top w:val="nil"/>
              <w:left w:val="nil"/>
              <w:bottom w:val="nil"/>
              <w:right w:val="nil"/>
            </w:tcBorders>
            <w:shd w:val="clear" w:color="auto" w:fill="auto"/>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75,393</w:t>
            </w:r>
          </w:p>
        </w:tc>
      </w:tr>
      <w:tr w:rsidR="00B000C0" w:rsidRPr="00573DEB" w:rsidTr="00206D26">
        <w:trPr>
          <w:trHeight w:val="288"/>
        </w:trPr>
        <w:tc>
          <w:tcPr>
            <w:tcW w:w="1134"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2005</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20,906</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11,221</w:t>
            </w:r>
          </w:p>
        </w:tc>
        <w:tc>
          <w:tcPr>
            <w:tcW w:w="1477"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45,368</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900</w:t>
            </w:r>
          </w:p>
        </w:tc>
        <w:tc>
          <w:tcPr>
            <w:tcW w:w="1134" w:type="dxa"/>
            <w:tcBorders>
              <w:top w:val="nil"/>
              <w:left w:val="nil"/>
              <w:bottom w:val="nil"/>
              <w:right w:val="nil"/>
            </w:tcBorders>
            <w:shd w:val="clear" w:color="auto" w:fill="auto"/>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78,395</w:t>
            </w:r>
          </w:p>
        </w:tc>
      </w:tr>
      <w:tr w:rsidR="00B000C0" w:rsidRPr="00573DEB" w:rsidTr="00206D26">
        <w:trPr>
          <w:trHeight w:val="288"/>
        </w:trPr>
        <w:tc>
          <w:tcPr>
            <w:tcW w:w="1134"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2006</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19,614</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10,100</w:t>
            </w:r>
          </w:p>
        </w:tc>
        <w:tc>
          <w:tcPr>
            <w:tcW w:w="1477"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42,361</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740</w:t>
            </w:r>
          </w:p>
        </w:tc>
        <w:tc>
          <w:tcPr>
            <w:tcW w:w="1134" w:type="dxa"/>
            <w:tcBorders>
              <w:top w:val="nil"/>
              <w:left w:val="nil"/>
              <w:bottom w:val="nil"/>
              <w:right w:val="nil"/>
            </w:tcBorders>
            <w:shd w:val="clear" w:color="auto" w:fill="auto"/>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72,815</w:t>
            </w:r>
          </w:p>
        </w:tc>
      </w:tr>
      <w:tr w:rsidR="00B000C0" w:rsidRPr="00573DEB" w:rsidTr="00206D26">
        <w:trPr>
          <w:trHeight w:val="288"/>
        </w:trPr>
        <w:tc>
          <w:tcPr>
            <w:tcW w:w="1134"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2007</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21,318</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10,629</w:t>
            </w:r>
          </w:p>
        </w:tc>
        <w:tc>
          <w:tcPr>
            <w:tcW w:w="1477"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44,120</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857</w:t>
            </w:r>
          </w:p>
        </w:tc>
        <w:tc>
          <w:tcPr>
            <w:tcW w:w="1134" w:type="dxa"/>
            <w:tcBorders>
              <w:top w:val="nil"/>
              <w:left w:val="nil"/>
              <w:bottom w:val="nil"/>
              <w:right w:val="nil"/>
            </w:tcBorders>
            <w:shd w:val="clear" w:color="auto" w:fill="auto"/>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76,924</w:t>
            </w:r>
          </w:p>
        </w:tc>
      </w:tr>
      <w:tr w:rsidR="00B000C0" w:rsidRPr="00573DEB" w:rsidTr="00206D26">
        <w:trPr>
          <w:trHeight w:val="288"/>
        </w:trPr>
        <w:tc>
          <w:tcPr>
            <w:tcW w:w="1134"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2008</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26,291</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12,532</w:t>
            </w:r>
          </w:p>
        </w:tc>
        <w:tc>
          <w:tcPr>
            <w:tcW w:w="1477"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52,049</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739</w:t>
            </w:r>
          </w:p>
        </w:tc>
        <w:tc>
          <w:tcPr>
            <w:tcW w:w="1134" w:type="dxa"/>
            <w:tcBorders>
              <w:top w:val="nil"/>
              <w:left w:val="nil"/>
              <w:bottom w:val="nil"/>
              <w:right w:val="nil"/>
            </w:tcBorders>
            <w:shd w:val="clear" w:color="auto" w:fill="auto"/>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91,611</w:t>
            </w:r>
          </w:p>
        </w:tc>
      </w:tr>
      <w:tr w:rsidR="00B000C0" w:rsidRPr="00573DEB" w:rsidTr="00206D26">
        <w:trPr>
          <w:trHeight w:val="288"/>
        </w:trPr>
        <w:tc>
          <w:tcPr>
            <w:tcW w:w="1134"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2009</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27,331</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11,372</w:t>
            </w:r>
          </w:p>
        </w:tc>
        <w:tc>
          <w:tcPr>
            <w:tcW w:w="1477"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45,802</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934</w:t>
            </w:r>
          </w:p>
        </w:tc>
        <w:tc>
          <w:tcPr>
            <w:tcW w:w="1134" w:type="dxa"/>
            <w:tcBorders>
              <w:top w:val="nil"/>
              <w:left w:val="nil"/>
              <w:bottom w:val="nil"/>
              <w:right w:val="nil"/>
            </w:tcBorders>
            <w:shd w:val="clear" w:color="auto" w:fill="auto"/>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85,439</w:t>
            </w:r>
          </w:p>
        </w:tc>
      </w:tr>
      <w:tr w:rsidR="00B000C0" w:rsidRPr="00573DEB" w:rsidTr="00206D26">
        <w:trPr>
          <w:trHeight w:val="288"/>
        </w:trPr>
        <w:tc>
          <w:tcPr>
            <w:tcW w:w="1134"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2010</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29,795</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12,091</w:t>
            </w:r>
          </w:p>
        </w:tc>
        <w:tc>
          <w:tcPr>
            <w:tcW w:w="1477"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50,295</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1,891</w:t>
            </w:r>
          </w:p>
        </w:tc>
        <w:tc>
          <w:tcPr>
            <w:tcW w:w="1134" w:type="dxa"/>
            <w:tcBorders>
              <w:top w:val="nil"/>
              <w:left w:val="nil"/>
              <w:bottom w:val="nil"/>
              <w:right w:val="nil"/>
            </w:tcBorders>
            <w:shd w:val="clear" w:color="auto" w:fill="auto"/>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94,072</w:t>
            </w:r>
          </w:p>
        </w:tc>
      </w:tr>
      <w:tr w:rsidR="00B000C0" w:rsidRPr="00573DEB" w:rsidTr="00206D26">
        <w:trPr>
          <w:trHeight w:val="288"/>
        </w:trPr>
        <w:tc>
          <w:tcPr>
            <w:tcW w:w="1134"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2011</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36,567</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13,733</w:t>
            </w:r>
          </w:p>
        </w:tc>
        <w:tc>
          <w:tcPr>
            <w:tcW w:w="1477"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55,494</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3,859</w:t>
            </w:r>
          </w:p>
        </w:tc>
        <w:tc>
          <w:tcPr>
            <w:tcW w:w="1134" w:type="dxa"/>
            <w:tcBorders>
              <w:top w:val="nil"/>
              <w:left w:val="nil"/>
              <w:bottom w:val="nil"/>
              <w:right w:val="nil"/>
            </w:tcBorders>
            <w:shd w:val="clear" w:color="auto" w:fill="auto"/>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109,653</w:t>
            </w:r>
          </w:p>
        </w:tc>
      </w:tr>
      <w:tr w:rsidR="00B000C0" w:rsidRPr="00573DEB" w:rsidTr="00206D26">
        <w:trPr>
          <w:trHeight w:val="288"/>
        </w:trPr>
        <w:tc>
          <w:tcPr>
            <w:tcW w:w="1134" w:type="dxa"/>
            <w:tcBorders>
              <w:top w:val="nil"/>
              <w:left w:val="nil"/>
              <w:bottom w:val="nil"/>
              <w:right w:val="nil"/>
            </w:tcBorders>
            <w:shd w:val="clear" w:color="auto" w:fill="auto"/>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2012</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32,094</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11,436</w:t>
            </w:r>
          </w:p>
        </w:tc>
        <w:tc>
          <w:tcPr>
            <w:tcW w:w="1477"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46,946</w:t>
            </w:r>
          </w:p>
        </w:tc>
        <w:tc>
          <w:tcPr>
            <w:tcW w:w="1134"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14,420</w:t>
            </w:r>
          </w:p>
        </w:tc>
        <w:tc>
          <w:tcPr>
            <w:tcW w:w="1134" w:type="dxa"/>
            <w:tcBorders>
              <w:top w:val="nil"/>
              <w:left w:val="nil"/>
              <w:bottom w:val="nil"/>
              <w:right w:val="nil"/>
            </w:tcBorders>
            <w:shd w:val="clear" w:color="auto" w:fill="auto"/>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104,896</w:t>
            </w:r>
          </w:p>
        </w:tc>
      </w:tr>
      <w:tr w:rsidR="00B000C0" w:rsidRPr="00573DEB" w:rsidTr="00206D26">
        <w:trPr>
          <w:trHeight w:val="288"/>
        </w:trPr>
        <w:tc>
          <w:tcPr>
            <w:tcW w:w="1134" w:type="dxa"/>
            <w:tcBorders>
              <w:top w:val="nil"/>
              <w:left w:val="nil"/>
              <w:bottom w:val="single" w:sz="8" w:space="0" w:color="auto"/>
              <w:right w:val="nil"/>
            </w:tcBorders>
            <w:shd w:val="clear" w:color="auto" w:fill="auto"/>
            <w:noWrap/>
            <w:vAlign w:val="bottom"/>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Total</w:t>
            </w:r>
          </w:p>
        </w:tc>
        <w:tc>
          <w:tcPr>
            <w:tcW w:w="1134" w:type="dxa"/>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303,771</w:t>
            </w:r>
          </w:p>
        </w:tc>
        <w:tc>
          <w:tcPr>
            <w:tcW w:w="1134" w:type="dxa"/>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148,804</w:t>
            </w:r>
          </w:p>
        </w:tc>
        <w:tc>
          <w:tcPr>
            <w:tcW w:w="1477" w:type="dxa"/>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605,703</w:t>
            </w:r>
          </w:p>
        </w:tc>
        <w:tc>
          <w:tcPr>
            <w:tcW w:w="1134" w:type="dxa"/>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47,787</w:t>
            </w:r>
          </w:p>
        </w:tc>
        <w:tc>
          <w:tcPr>
            <w:tcW w:w="1134" w:type="dxa"/>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rFonts w:ascii="Arial Narrow" w:hAnsi="Arial Narrow"/>
                <w:sz w:val="20"/>
                <w:szCs w:val="20"/>
                <w:lang w:eastAsia="pt-BR"/>
              </w:rPr>
            </w:pPr>
            <w:r w:rsidRPr="00573DEB">
              <w:rPr>
                <w:rFonts w:ascii="Arial Narrow" w:hAnsi="Arial Narrow"/>
                <w:sz w:val="20"/>
                <w:szCs w:val="20"/>
                <w:lang w:eastAsia="pt-BR"/>
              </w:rPr>
              <w:t>1,106,075</w:t>
            </w:r>
          </w:p>
        </w:tc>
      </w:tr>
    </w:tbl>
    <w:p w:rsidR="00206D26" w:rsidRPr="00573DEB" w:rsidRDefault="00206D26">
      <w:pPr>
        <w:widowControl/>
        <w:spacing w:after="200" w:line="276" w:lineRule="auto"/>
      </w:pPr>
      <w:r w:rsidRPr="00573DEB">
        <w:br w:type="page"/>
      </w:r>
    </w:p>
    <w:p w:rsidR="00B000C0" w:rsidRPr="00573DEB" w:rsidRDefault="008C2A2F" w:rsidP="00206D26">
      <w:pPr>
        <w:pStyle w:val="Caption"/>
      </w:pPr>
      <w:bookmarkStart w:id="338" w:name="_Toc388620008"/>
      <w:r>
        <w:t xml:space="preserve">Table A.30:  </w:t>
      </w:r>
      <w:r w:rsidR="00B000C0" w:rsidRPr="00573DEB">
        <w:t>Trademark applications by Nice Class, 2000-2012</w:t>
      </w:r>
      <w:bookmarkEnd w:id="338"/>
    </w:p>
    <w:tbl>
      <w:tblPr>
        <w:tblW w:w="10115" w:type="dxa"/>
        <w:jc w:val="center"/>
        <w:tblInd w:w="55" w:type="dxa"/>
        <w:tblLayout w:type="fixed"/>
        <w:tblCellMar>
          <w:left w:w="0" w:type="dxa"/>
          <w:right w:w="0" w:type="dxa"/>
        </w:tblCellMar>
        <w:tblLook w:val="04A0" w:firstRow="1" w:lastRow="0" w:firstColumn="1" w:lastColumn="0" w:noHBand="0" w:noVBand="1"/>
      </w:tblPr>
      <w:tblGrid>
        <w:gridCol w:w="215"/>
        <w:gridCol w:w="2256"/>
        <w:gridCol w:w="588"/>
        <w:gridCol w:w="588"/>
        <w:gridCol w:w="588"/>
        <w:gridCol w:w="588"/>
        <w:gridCol w:w="588"/>
        <w:gridCol w:w="588"/>
        <w:gridCol w:w="588"/>
        <w:gridCol w:w="588"/>
        <w:gridCol w:w="588"/>
        <w:gridCol w:w="588"/>
        <w:gridCol w:w="588"/>
        <w:gridCol w:w="588"/>
        <w:gridCol w:w="588"/>
      </w:tblGrid>
      <w:tr w:rsidR="00206D26" w:rsidRPr="00573DEB" w:rsidTr="00206D26">
        <w:trPr>
          <w:trHeight w:val="288"/>
          <w:jc w:val="center"/>
        </w:trPr>
        <w:tc>
          <w:tcPr>
            <w:tcW w:w="215"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206D26">
            <w:pPr>
              <w:jc w:val="center"/>
              <w:rPr>
                <w:rFonts w:ascii="Arial Narrow" w:hAnsi="Arial Narrow"/>
                <w:sz w:val="18"/>
                <w:szCs w:val="18"/>
                <w:lang w:eastAsia="pt-BR"/>
              </w:rPr>
            </w:pPr>
          </w:p>
        </w:tc>
        <w:tc>
          <w:tcPr>
            <w:tcW w:w="2256"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Nice Classification</w:t>
            </w:r>
          </w:p>
        </w:tc>
        <w:tc>
          <w:tcPr>
            <w:tcW w:w="588"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2000</w:t>
            </w:r>
          </w:p>
        </w:tc>
        <w:tc>
          <w:tcPr>
            <w:tcW w:w="588"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2001</w:t>
            </w:r>
          </w:p>
        </w:tc>
        <w:tc>
          <w:tcPr>
            <w:tcW w:w="588"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2002</w:t>
            </w:r>
          </w:p>
        </w:tc>
        <w:tc>
          <w:tcPr>
            <w:tcW w:w="588"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2003</w:t>
            </w:r>
          </w:p>
        </w:tc>
        <w:tc>
          <w:tcPr>
            <w:tcW w:w="588"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2004</w:t>
            </w:r>
          </w:p>
        </w:tc>
        <w:tc>
          <w:tcPr>
            <w:tcW w:w="588"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2005</w:t>
            </w:r>
          </w:p>
        </w:tc>
        <w:tc>
          <w:tcPr>
            <w:tcW w:w="588"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2006</w:t>
            </w:r>
          </w:p>
        </w:tc>
        <w:tc>
          <w:tcPr>
            <w:tcW w:w="588"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2007</w:t>
            </w:r>
          </w:p>
        </w:tc>
        <w:tc>
          <w:tcPr>
            <w:tcW w:w="588"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2008</w:t>
            </w:r>
          </w:p>
        </w:tc>
        <w:tc>
          <w:tcPr>
            <w:tcW w:w="588"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2009</w:t>
            </w:r>
          </w:p>
        </w:tc>
        <w:tc>
          <w:tcPr>
            <w:tcW w:w="588"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2010</w:t>
            </w:r>
          </w:p>
        </w:tc>
        <w:tc>
          <w:tcPr>
            <w:tcW w:w="588"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2011</w:t>
            </w:r>
          </w:p>
        </w:tc>
        <w:tc>
          <w:tcPr>
            <w:tcW w:w="588"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2012</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01</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Chemicals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1,389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1,464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1,422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1,484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1,444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1,474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1,563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1,620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1,725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1,518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1,789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1,926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2,047</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02</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Paints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659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697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646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671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591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556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569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623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651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534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597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633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613</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03</w:t>
            </w:r>
          </w:p>
        </w:tc>
        <w:tc>
          <w:tcPr>
            <w:tcW w:w="2256" w:type="dxa"/>
            <w:tcBorders>
              <w:top w:val="nil"/>
              <w:left w:val="nil"/>
              <w:bottom w:val="nil"/>
              <w:right w:val="nil"/>
            </w:tcBorders>
            <w:shd w:val="clear" w:color="auto" w:fill="auto"/>
            <w:noWrap/>
            <w:vAlign w:val="bottom"/>
            <w:hideMark/>
          </w:tcPr>
          <w:p w:rsidR="00B000C0" w:rsidRPr="00573DEB" w:rsidRDefault="00B000C0" w:rsidP="00206D26">
            <w:pPr>
              <w:rPr>
                <w:rFonts w:ascii="Arial Narrow" w:hAnsi="Arial Narrow"/>
                <w:sz w:val="18"/>
                <w:szCs w:val="18"/>
                <w:lang w:eastAsia="pt-BR"/>
              </w:rPr>
            </w:pPr>
            <w:r w:rsidRPr="00573DEB">
              <w:rPr>
                <w:rFonts w:ascii="Arial Narrow" w:hAnsi="Arial Narrow"/>
                <w:sz w:val="18"/>
                <w:szCs w:val="18"/>
                <w:lang w:eastAsia="pt-BR"/>
              </w:rPr>
              <w:t xml:space="preserve">Cosmetics </w:t>
            </w:r>
            <w:r w:rsidR="00206D26" w:rsidRPr="00573DEB">
              <w:rPr>
                <w:rFonts w:ascii="Arial Narrow" w:hAnsi="Arial Narrow"/>
                <w:sz w:val="18"/>
                <w:szCs w:val="18"/>
                <w:lang w:eastAsia="pt-BR"/>
              </w:rPr>
              <w:t>&amp;</w:t>
            </w:r>
            <w:r w:rsidRPr="00573DEB">
              <w:rPr>
                <w:rFonts w:ascii="Arial Narrow" w:hAnsi="Arial Narrow"/>
                <w:sz w:val="18"/>
                <w:szCs w:val="18"/>
                <w:lang w:eastAsia="pt-BR"/>
              </w:rPr>
              <w:t xml:space="preserve"> Cleaning Prep</w:t>
            </w:r>
            <w:r w:rsidR="00206D26" w:rsidRPr="00573DEB">
              <w:rPr>
                <w:rFonts w:ascii="Arial Narrow" w:hAnsi="Arial Narrow"/>
                <w:sz w:val="18"/>
                <w:szCs w:val="18"/>
                <w:lang w:eastAsia="pt-BR"/>
              </w:rPr>
              <w:t>.</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3,604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3,412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3,507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3,920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3,687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3,660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3,611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4,045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4,083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4,047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4,711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5,327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5,437</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04</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proofErr w:type="spellStart"/>
            <w:r w:rsidRPr="00573DEB">
              <w:rPr>
                <w:rFonts w:ascii="Arial Narrow" w:hAnsi="Arial Narrow"/>
                <w:sz w:val="18"/>
                <w:szCs w:val="18"/>
                <w:lang w:eastAsia="pt-BR"/>
              </w:rPr>
              <w:t>Lubrificants</w:t>
            </w:r>
            <w:proofErr w:type="spellEnd"/>
            <w:r w:rsidRPr="00573DEB">
              <w:rPr>
                <w:rFonts w:ascii="Arial Narrow" w:hAnsi="Arial Narrow"/>
                <w:sz w:val="18"/>
                <w:szCs w:val="18"/>
                <w:lang w:eastAsia="pt-BR"/>
              </w:rPr>
              <w:t xml:space="preserve"> and Fuels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605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557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533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485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441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380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470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545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560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451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465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600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500</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05</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Pharmaceutical Products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5,070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5,811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4,167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3,709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3,331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3,664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3,428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3,830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4,531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4,170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4,591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5,361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5,174</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06</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Metal Goods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1,026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1,010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904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921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800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971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912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953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1,165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939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1,159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1,340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1,341</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07</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Machinery</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1,647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1,631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1,462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1,482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1,410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1,512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1,481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1,676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1,938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1,619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1,952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2,245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2,233</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08</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Hand Tools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357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339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245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266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272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310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265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327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372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315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367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547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513</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09</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Electrical and Scientific Apparatus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6,401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5,223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4,595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4,309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4,153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4,600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4,750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4,966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5,439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5,010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5,788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6,692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6,813</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Medical Apparatus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864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927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769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809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767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853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889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977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1,196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1,058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1,321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1,318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1,483</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Environmental Control Apparatus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1,125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1,123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849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859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790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789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883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1,123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1,244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1,150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1,450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1,808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1,601</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Vehicles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1,448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1,346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1,240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1,236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1,110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1,361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1,377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1,420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1,614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1,469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1,694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2,061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2,046</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Firearms; Explosives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96</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Jewelry</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731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623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609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660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675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641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707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643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848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665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894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1,092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1,212</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15</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Musical Instruments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80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88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88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187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178</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16</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Paper Goods and Printed Matter</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5,516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4,857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4,543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4,400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4,364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4,413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4,059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3,941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4,745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4,136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4,448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4,964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4,329</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17</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Rubber Goods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641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519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576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502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482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546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627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603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672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544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728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810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702</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18</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Leather Goods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795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690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692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786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780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821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822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963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1,185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965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1,229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1,583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1,519</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19</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proofErr w:type="spellStart"/>
            <w:r w:rsidRPr="00573DEB">
              <w:rPr>
                <w:rFonts w:ascii="Arial Narrow" w:hAnsi="Arial Narrow"/>
                <w:sz w:val="18"/>
                <w:szCs w:val="18"/>
                <w:lang w:eastAsia="pt-BR"/>
              </w:rPr>
              <w:t>Nonmetalic</w:t>
            </w:r>
            <w:proofErr w:type="spellEnd"/>
            <w:r w:rsidRPr="00573DEB">
              <w:rPr>
                <w:rFonts w:ascii="Arial Narrow" w:hAnsi="Arial Narrow"/>
                <w:sz w:val="18"/>
                <w:szCs w:val="18"/>
                <w:lang w:eastAsia="pt-BR"/>
              </w:rPr>
              <w:t xml:space="preserve"> Building Materials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1,353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1,251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1,143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1,168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946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860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886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1,005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1,142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1,010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1,263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1,465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1,395</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Furniture and Related Products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1,432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1,330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1,136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1,158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1,099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1,067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988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1,052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1,282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1,186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1,281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1,709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1,563</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21</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Housewares and Glass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780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773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696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748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666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701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708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765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877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792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900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1,181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1,175</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22</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Cordage and Fibers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177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171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188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189</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23</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Yarns and Threads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165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196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162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173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116</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24</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Textiles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804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767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684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640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522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613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564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657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790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609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661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901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771</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25</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Clothing</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7,095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6,538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6,329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6,228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6,351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6,676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6,252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6,706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7,865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7,375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7,891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8,966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9,244</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26</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Fancy Goods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159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166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179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236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209</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27</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Floor coverings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183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159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160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154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152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235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290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222</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28</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Toys and Sporting Goods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1,237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1,025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1,020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1,207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1,216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1,114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986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1,219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1,372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1,240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1,267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1,549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1,577</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29</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Meat and Processed Food</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2,299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2,064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2,028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2,046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1,955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1,954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1,869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2,017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2,161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2,025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2,034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2,433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2,456</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30</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Food staples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4,208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4,021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3,816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3,896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3,827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3,793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3,406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3,445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3,798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3,981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4,156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4,605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4,820</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31</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Natural Agricultural Products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1,499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1,419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1,499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1,523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1,473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1,433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1,245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1,289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1,441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1,260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1,528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1,648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1,501</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32</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Non-alcoholic beverages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1,513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1,334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1,277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1,290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1,310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1,272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1,372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1,584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1,593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1,562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1,655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2,009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1,958</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33</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Wine and Spirits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1,080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1,140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1,111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1,189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1,261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1,254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1,144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1,345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1,277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1,089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1,317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1,594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1,436</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34</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 xml:space="preserve">Tobacco; </w:t>
            </w:r>
            <w:proofErr w:type="spellStart"/>
            <w:r w:rsidRPr="00573DEB">
              <w:rPr>
                <w:rFonts w:ascii="Arial Narrow" w:hAnsi="Arial Narrow"/>
                <w:sz w:val="18"/>
                <w:szCs w:val="18"/>
                <w:lang w:eastAsia="pt-BR"/>
              </w:rPr>
              <w:t>Smokers'articles</w:t>
            </w:r>
            <w:proofErr w:type="spellEnd"/>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271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265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197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233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248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292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262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288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345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332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426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455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376</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35</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Advertising and Business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13,411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14,759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14,869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16,155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16,803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18,464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17,724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19,195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23,415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21,690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24,531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30,138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29,491</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36</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Insurance and Financial</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4,254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3,083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2,734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3,061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2,963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3,037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3,139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3,718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4,803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3,696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4,697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5,541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5,073</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37</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Building Construction and Repair</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3,828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3,678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3,365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3,291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3,021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3,099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3,037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3,360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4,340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3,994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4,581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5,568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5,884</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38</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Telecommunications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5,609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3,574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2,515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2,185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2,204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2,284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2,226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2,412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2,437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2,164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2,286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2,771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2,872</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39</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Transportation and Storage</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2,395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2,169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2,002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1,927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1,904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2,067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1,990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2,258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2,563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2,358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2,454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3,219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3,304</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40</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Treatment of Materials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767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695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810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884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915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914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978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1,173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1,385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1,189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1,323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1,606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1,601</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41</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Building Construction and Repair</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9,521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9,530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9,674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9,902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9,989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11,014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10,211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10,657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12,623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12,594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13,700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16,255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17,196</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42</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Computer and Scientific Research</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12,173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11,128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4,028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3,816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3,629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4,106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4,030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4,074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5,113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4,925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5,952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7,141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6,987</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43</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Restaurants and hotels</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2,767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2,667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2,823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2,855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2,820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3,259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3,899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3,843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4,164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5,409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5,646</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44</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Medical, Beauty, and Agricultural</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2,628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2,655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2,562</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2,530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2,431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2,753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3,273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3,238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3,587</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4,511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4,527</w:t>
            </w:r>
          </w:p>
        </w:tc>
      </w:tr>
      <w:tr w:rsidR="00206D26" w:rsidRPr="00573DEB" w:rsidTr="00206D26">
        <w:trPr>
          <w:trHeight w:val="288"/>
          <w:jc w:val="center"/>
        </w:trPr>
        <w:tc>
          <w:tcPr>
            <w:tcW w:w="215"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45</w:t>
            </w:r>
          </w:p>
        </w:tc>
        <w:tc>
          <w:tcPr>
            <w:tcW w:w="2256" w:type="dxa"/>
            <w:tcBorders>
              <w:top w:val="nil"/>
              <w:left w:val="nil"/>
              <w:bottom w:val="nil"/>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Personal and Security</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4</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610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551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628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713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605</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1,008</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1,313</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1,369</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1,771</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2,210</w:t>
            </w:r>
          </w:p>
        </w:tc>
        <w:tc>
          <w:tcPr>
            <w:tcW w:w="588" w:type="dxa"/>
            <w:tcBorders>
              <w:top w:val="nil"/>
              <w:left w:val="nil"/>
              <w:bottom w:val="nil"/>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2,236</w:t>
            </w:r>
          </w:p>
        </w:tc>
      </w:tr>
      <w:tr w:rsidR="00206D26" w:rsidRPr="00573DEB" w:rsidTr="00206D26">
        <w:trPr>
          <w:trHeight w:val="288"/>
          <w:jc w:val="center"/>
        </w:trPr>
        <w:tc>
          <w:tcPr>
            <w:tcW w:w="215" w:type="dxa"/>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p>
        </w:tc>
        <w:tc>
          <w:tcPr>
            <w:tcW w:w="2256" w:type="dxa"/>
            <w:tcBorders>
              <w:top w:val="nil"/>
              <w:left w:val="nil"/>
              <w:bottom w:val="single" w:sz="8" w:space="0" w:color="auto"/>
              <w:right w:val="nil"/>
            </w:tcBorders>
            <w:shd w:val="clear" w:color="auto" w:fill="auto"/>
            <w:noWrap/>
            <w:vAlign w:val="bottom"/>
            <w:hideMark/>
          </w:tcPr>
          <w:p w:rsidR="00B000C0" w:rsidRPr="00573DEB" w:rsidRDefault="00B000C0" w:rsidP="004B4B73">
            <w:pPr>
              <w:rPr>
                <w:rFonts w:ascii="Arial Narrow" w:hAnsi="Arial Narrow"/>
                <w:sz w:val="18"/>
                <w:szCs w:val="18"/>
                <w:lang w:eastAsia="pt-BR"/>
              </w:rPr>
            </w:pPr>
            <w:r w:rsidRPr="00573DEB">
              <w:rPr>
                <w:rFonts w:ascii="Arial Narrow" w:hAnsi="Arial Narrow"/>
                <w:sz w:val="18"/>
                <w:szCs w:val="18"/>
                <w:lang w:eastAsia="pt-BR"/>
              </w:rPr>
              <w:t> </w:t>
            </w:r>
            <w:r w:rsidR="00206D26" w:rsidRPr="00573DEB">
              <w:rPr>
                <w:rFonts w:ascii="Arial Narrow" w:hAnsi="Arial Narrow"/>
                <w:sz w:val="18"/>
                <w:szCs w:val="18"/>
                <w:lang w:eastAsia="pt-BR"/>
              </w:rPr>
              <w:t>Total</w:t>
            </w:r>
          </w:p>
        </w:tc>
        <w:tc>
          <w:tcPr>
            <w:tcW w:w="588" w:type="dxa"/>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108,231</w:t>
            </w:r>
          </w:p>
        </w:tc>
        <w:tc>
          <w:tcPr>
            <w:tcW w:w="588" w:type="dxa"/>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101,617</w:t>
            </w:r>
          </w:p>
        </w:tc>
        <w:tc>
          <w:tcPr>
            <w:tcW w:w="588" w:type="dxa"/>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94,315</w:t>
            </w:r>
          </w:p>
        </w:tc>
        <w:tc>
          <w:tcPr>
            <w:tcW w:w="588" w:type="dxa"/>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95,580</w:t>
            </w:r>
          </w:p>
        </w:tc>
        <w:tc>
          <w:tcPr>
            <w:tcW w:w="588" w:type="dxa"/>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94,040</w:t>
            </w:r>
          </w:p>
        </w:tc>
        <w:tc>
          <w:tcPr>
            <w:tcW w:w="588" w:type="dxa"/>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99,319</w:t>
            </w:r>
          </w:p>
        </w:tc>
        <w:tc>
          <w:tcPr>
            <w:tcW w:w="588" w:type="dxa"/>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95,860</w:t>
            </w:r>
          </w:p>
        </w:tc>
        <w:tc>
          <w:tcPr>
            <w:tcW w:w="588" w:type="dxa"/>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104,219</w:t>
            </w:r>
          </w:p>
        </w:tc>
        <w:tc>
          <w:tcPr>
            <w:tcW w:w="588" w:type="dxa"/>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121,912</w:t>
            </w:r>
          </w:p>
        </w:tc>
        <w:tc>
          <w:tcPr>
            <w:tcW w:w="588" w:type="dxa"/>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112,811</w:t>
            </w:r>
          </w:p>
        </w:tc>
        <w:tc>
          <w:tcPr>
            <w:tcW w:w="588" w:type="dxa"/>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127,692</w:t>
            </w:r>
          </w:p>
        </w:tc>
        <w:tc>
          <w:tcPr>
            <w:tcW w:w="588" w:type="dxa"/>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152,699</w:t>
            </w:r>
          </w:p>
        </w:tc>
        <w:tc>
          <w:tcPr>
            <w:tcW w:w="588" w:type="dxa"/>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rFonts w:ascii="Arial Narrow" w:hAnsi="Arial Narrow"/>
                <w:sz w:val="18"/>
                <w:szCs w:val="18"/>
                <w:lang w:eastAsia="pt-BR"/>
              </w:rPr>
            </w:pPr>
            <w:r w:rsidRPr="00573DEB">
              <w:rPr>
                <w:rFonts w:ascii="Arial Narrow" w:hAnsi="Arial Narrow"/>
                <w:sz w:val="18"/>
                <w:szCs w:val="18"/>
                <w:lang w:eastAsia="pt-BR"/>
              </w:rPr>
              <w:t>151,711</w:t>
            </w:r>
          </w:p>
        </w:tc>
      </w:tr>
    </w:tbl>
    <w:p w:rsidR="00B000C0" w:rsidRPr="00573DEB" w:rsidRDefault="00B000C0" w:rsidP="004B4B73"/>
    <w:p w:rsidR="00B000C0" w:rsidRPr="00573DEB" w:rsidRDefault="008C2A2F" w:rsidP="00206D26">
      <w:pPr>
        <w:pStyle w:val="Caption"/>
      </w:pPr>
      <w:bookmarkStart w:id="339" w:name="_Toc366845941"/>
      <w:bookmarkStart w:id="340" w:name="_Toc367700279"/>
      <w:bookmarkStart w:id="341" w:name="_Toc388620009"/>
      <w:r>
        <w:t xml:space="preserve">Table A.31:  </w:t>
      </w:r>
      <w:r w:rsidR="00B000C0" w:rsidRPr="00573DEB">
        <w:t>Trademark registrations</w:t>
      </w:r>
      <w:bookmarkEnd w:id="339"/>
      <w:bookmarkEnd w:id="340"/>
      <w:r w:rsidR="00B000C0" w:rsidRPr="00573DEB">
        <w:t>, 2000-2012</w:t>
      </w:r>
      <w:bookmarkEnd w:id="341"/>
    </w:p>
    <w:tbl>
      <w:tblPr>
        <w:tblW w:w="0" w:type="auto"/>
        <w:tblInd w:w="55" w:type="dxa"/>
        <w:tblCellMar>
          <w:left w:w="70" w:type="dxa"/>
          <w:right w:w="70" w:type="dxa"/>
        </w:tblCellMar>
        <w:tblLook w:val="04A0" w:firstRow="1" w:lastRow="0" w:firstColumn="1" w:lastColumn="0" w:noHBand="0" w:noVBand="1"/>
      </w:tblPr>
      <w:tblGrid>
        <w:gridCol w:w="630"/>
        <w:gridCol w:w="2513"/>
      </w:tblGrid>
      <w:tr w:rsidR="00B000C0" w:rsidRPr="00573DEB" w:rsidTr="004B4B73">
        <w:trPr>
          <w:trHeight w:val="315"/>
        </w:trPr>
        <w:tc>
          <w:tcPr>
            <w:tcW w:w="0" w:type="auto"/>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Year</w:t>
            </w:r>
          </w:p>
        </w:tc>
        <w:tc>
          <w:tcPr>
            <w:tcW w:w="0" w:type="auto"/>
            <w:tcBorders>
              <w:top w:val="single" w:sz="8" w:space="0" w:color="auto"/>
              <w:left w:val="nil"/>
              <w:bottom w:val="single" w:sz="4" w:space="0" w:color="auto"/>
              <w:right w:val="nil"/>
            </w:tcBorders>
            <w:shd w:val="clear" w:color="auto" w:fill="auto"/>
            <w:noWrap/>
            <w:vAlign w:val="center"/>
            <w:hideMark/>
          </w:tcPr>
          <w:p w:rsidR="00B000C0" w:rsidRPr="00573DEB" w:rsidRDefault="00B000C0" w:rsidP="00206D26">
            <w:pPr>
              <w:jc w:val="center"/>
              <w:rPr>
                <w:lang w:eastAsia="pt-BR"/>
              </w:rPr>
            </w:pPr>
            <w:r w:rsidRPr="00573DEB">
              <w:rPr>
                <w:lang w:eastAsia="pt-BR"/>
              </w:rPr>
              <w:t>Number of Registrations</w:t>
            </w:r>
          </w:p>
        </w:tc>
      </w:tr>
      <w:tr w:rsidR="00B000C0" w:rsidRPr="00573DEB" w:rsidTr="004B4B73">
        <w:trPr>
          <w:trHeight w:val="315"/>
        </w:trPr>
        <w:tc>
          <w:tcPr>
            <w:tcW w:w="0" w:type="auto"/>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2000</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18,412</w:t>
            </w:r>
          </w:p>
        </w:tc>
      </w:tr>
      <w:tr w:rsidR="00B000C0" w:rsidRPr="00573DEB" w:rsidTr="004B4B73">
        <w:trPr>
          <w:trHeight w:val="315"/>
        </w:trPr>
        <w:tc>
          <w:tcPr>
            <w:tcW w:w="0" w:type="auto"/>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2001</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20,857</w:t>
            </w:r>
          </w:p>
        </w:tc>
      </w:tr>
      <w:tr w:rsidR="00B000C0" w:rsidRPr="00573DEB" w:rsidTr="004B4B73">
        <w:trPr>
          <w:trHeight w:val="315"/>
        </w:trPr>
        <w:tc>
          <w:tcPr>
            <w:tcW w:w="0" w:type="auto"/>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2002</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17,682</w:t>
            </w:r>
          </w:p>
        </w:tc>
      </w:tr>
      <w:tr w:rsidR="00B000C0" w:rsidRPr="00573DEB" w:rsidTr="004B4B73">
        <w:trPr>
          <w:trHeight w:val="315"/>
        </w:trPr>
        <w:tc>
          <w:tcPr>
            <w:tcW w:w="0" w:type="auto"/>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2003</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10,857</w:t>
            </w:r>
          </w:p>
        </w:tc>
      </w:tr>
      <w:tr w:rsidR="00B000C0" w:rsidRPr="00573DEB" w:rsidTr="004B4B73">
        <w:trPr>
          <w:trHeight w:val="315"/>
        </w:trPr>
        <w:tc>
          <w:tcPr>
            <w:tcW w:w="0" w:type="auto"/>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2004</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12,492</w:t>
            </w:r>
          </w:p>
        </w:tc>
      </w:tr>
      <w:tr w:rsidR="00B000C0" w:rsidRPr="00573DEB" w:rsidTr="004B4B73">
        <w:trPr>
          <w:trHeight w:val="315"/>
        </w:trPr>
        <w:tc>
          <w:tcPr>
            <w:tcW w:w="0" w:type="auto"/>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2005</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18,032</w:t>
            </w:r>
          </w:p>
        </w:tc>
      </w:tr>
      <w:tr w:rsidR="00B000C0" w:rsidRPr="00573DEB" w:rsidTr="004B4B73">
        <w:trPr>
          <w:trHeight w:val="315"/>
        </w:trPr>
        <w:tc>
          <w:tcPr>
            <w:tcW w:w="0" w:type="auto"/>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2006</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32,803</w:t>
            </w:r>
          </w:p>
        </w:tc>
      </w:tr>
      <w:tr w:rsidR="00B000C0" w:rsidRPr="00573DEB" w:rsidTr="004B4B73">
        <w:trPr>
          <w:trHeight w:val="315"/>
        </w:trPr>
        <w:tc>
          <w:tcPr>
            <w:tcW w:w="0" w:type="auto"/>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2007</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128,545</w:t>
            </w:r>
          </w:p>
        </w:tc>
      </w:tr>
      <w:tr w:rsidR="00B000C0" w:rsidRPr="00573DEB" w:rsidTr="004B4B73">
        <w:trPr>
          <w:trHeight w:val="315"/>
        </w:trPr>
        <w:tc>
          <w:tcPr>
            <w:tcW w:w="0" w:type="auto"/>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2008</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60,305</w:t>
            </w:r>
          </w:p>
        </w:tc>
      </w:tr>
      <w:tr w:rsidR="00B000C0" w:rsidRPr="00573DEB" w:rsidTr="004B4B73">
        <w:trPr>
          <w:trHeight w:val="315"/>
        </w:trPr>
        <w:tc>
          <w:tcPr>
            <w:tcW w:w="0" w:type="auto"/>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2009</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64,186</w:t>
            </w:r>
          </w:p>
        </w:tc>
      </w:tr>
      <w:tr w:rsidR="00B000C0" w:rsidRPr="00573DEB" w:rsidTr="004B4B73">
        <w:trPr>
          <w:trHeight w:val="315"/>
        </w:trPr>
        <w:tc>
          <w:tcPr>
            <w:tcW w:w="0" w:type="auto"/>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2010</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64,537</w:t>
            </w:r>
          </w:p>
        </w:tc>
      </w:tr>
      <w:tr w:rsidR="00B000C0" w:rsidRPr="00573DEB" w:rsidTr="004B4B73">
        <w:trPr>
          <w:trHeight w:val="315"/>
        </w:trPr>
        <w:tc>
          <w:tcPr>
            <w:tcW w:w="0" w:type="auto"/>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2011</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60,485</w:t>
            </w:r>
          </w:p>
        </w:tc>
      </w:tr>
      <w:tr w:rsidR="00B000C0" w:rsidRPr="00573DEB" w:rsidTr="004B4B73">
        <w:trPr>
          <w:trHeight w:val="315"/>
        </w:trPr>
        <w:tc>
          <w:tcPr>
            <w:tcW w:w="0" w:type="auto"/>
            <w:tcBorders>
              <w:top w:val="nil"/>
              <w:left w:val="nil"/>
              <w:bottom w:val="nil"/>
              <w:right w:val="nil"/>
            </w:tcBorders>
            <w:shd w:val="clear" w:color="auto" w:fill="auto"/>
            <w:vAlign w:val="bottom"/>
            <w:hideMark/>
          </w:tcPr>
          <w:p w:rsidR="00B000C0" w:rsidRPr="00573DEB" w:rsidRDefault="00B000C0" w:rsidP="004B4B73">
            <w:pPr>
              <w:rPr>
                <w:lang w:eastAsia="pt-BR"/>
              </w:rPr>
            </w:pPr>
            <w:r w:rsidRPr="00573DEB">
              <w:rPr>
                <w:lang w:eastAsia="pt-BR"/>
              </w:rPr>
              <w:t>2012</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55,230</w:t>
            </w:r>
          </w:p>
        </w:tc>
      </w:tr>
      <w:tr w:rsidR="00B000C0" w:rsidRPr="00573DEB" w:rsidTr="004B4B73">
        <w:trPr>
          <w:trHeight w:val="315"/>
        </w:trPr>
        <w:tc>
          <w:tcPr>
            <w:tcW w:w="0" w:type="auto"/>
            <w:tcBorders>
              <w:top w:val="nil"/>
              <w:left w:val="nil"/>
              <w:bottom w:val="single" w:sz="8"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Total</w:t>
            </w:r>
          </w:p>
        </w:tc>
        <w:tc>
          <w:tcPr>
            <w:tcW w:w="0" w:type="auto"/>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564,423</w:t>
            </w:r>
          </w:p>
        </w:tc>
      </w:tr>
    </w:tbl>
    <w:p w:rsidR="00206D26" w:rsidRPr="00573DEB" w:rsidRDefault="00206D26" w:rsidP="004B4B73"/>
    <w:p w:rsidR="00B000C0" w:rsidRPr="00573DEB" w:rsidRDefault="00B000C0" w:rsidP="004B4B73">
      <w:pPr>
        <w:pStyle w:val="Heading1"/>
      </w:pPr>
      <w:bookmarkStart w:id="342" w:name="_Toc366845956"/>
      <w:bookmarkStart w:id="343" w:name="_Toc367700294"/>
      <w:bookmarkStart w:id="344" w:name="_Toc388620010"/>
      <w:proofErr w:type="spellStart"/>
      <w:r w:rsidRPr="00573DEB">
        <w:t>Software</w:t>
      </w:r>
      <w:bookmarkEnd w:id="342"/>
      <w:bookmarkEnd w:id="343"/>
      <w:r w:rsidRPr="00573DEB">
        <w:t>s</w:t>
      </w:r>
      <w:bookmarkEnd w:id="344"/>
      <w:proofErr w:type="spellEnd"/>
    </w:p>
    <w:p w:rsidR="00B000C0" w:rsidRPr="00573DEB" w:rsidRDefault="00B000C0" w:rsidP="004B4B73"/>
    <w:p w:rsidR="00B000C0" w:rsidRPr="00573DEB" w:rsidRDefault="008C2A2F" w:rsidP="00206D26">
      <w:pPr>
        <w:pStyle w:val="Caption"/>
      </w:pPr>
      <w:bookmarkStart w:id="345" w:name="_Toc388620011"/>
      <w:r>
        <w:t xml:space="preserve">Table A.32:  </w:t>
      </w:r>
      <w:r w:rsidR="00B000C0" w:rsidRPr="00573DEB">
        <w:t>Software applications, 2000-2011</w:t>
      </w:r>
      <w:bookmarkEnd w:id="345"/>
    </w:p>
    <w:tbl>
      <w:tblPr>
        <w:tblW w:w="2440" w:type="dxa"/>
        <w:tblInd w:w="55" w:type="dxa"/>
        <w:tblCellMar>
          <w:left w:w="70" w:type="dxa"/>
          <w:right w:w="70" w:type="dxa"/>
        </w:tblCellMar>
        <w:tblLook w:val="04A0" w:firstRow="1" w:lastRow="0" w:firstColumn="1" w:lastColumn="0" w:noHBand="0" w:noVBand="1"/>
      </w:tblPr>
      <w:tblGrid>
        <w:gridCol w:w="960"/>
        <w:gridCol w:w="1480"/>
      </w:tblGrid>
      <w:tr w:rsidR="00B000C0" w:rsidRPr="00573DEB" w:rsidTr="004B4B73">
        <w:trPr>
          <w:trHeight w:val="600"/>
        </w:trPr>
        <w:tc>
          <w:tcPr>
            <w:tcW w:w="96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Year</w:t>
            </w:r>
          </w:p>
        </w:tc>
        <w:tc>
          <w:tcPr>
            <w:tcW w:w="1480"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206D26">
            <w:pPr>
              <w:jc w:val="center"/>
              <w:rPr>
                <w:lang w:eastAsia="pt-BR"/>
              </w:rPr>
            </w:pPr>
            <w:r w:rsidRPr="00573DEB">
              <w:rPr>
                <w:lang w:eastAsia="pt-BR"/>
              </w:rPr>
              <w:t>Number of applications</w:t>
            </w:r>
          </w:p>
        </w:tc>
      </w:tr>
      <w:tr w:rsidR="00B000C0" w:rsidRPr="00573DEB" w:rsidTr="004B4B73">
        <w:trPr>
          <w:trHeight w:val="300"/>
        </w:trPr>
        <w:tc>
          <w:tcPr>
            <w:tcW w:w="9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2000</w:t>
            </w:r>
          </w:p>
        </w:tc>
        <w:tc>
          <w:tcPr>
            <w:tcW w:w="1480" w:type="dxa"/>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663</w:t>
            </w:r>
          </w:p>
        </w:tc>
      </w:tr>
      <w:tr w:rsidR="00B000C0" w:rsidRPr="00573DEB" w:rsidTr="004B4B73">
        <w:trPr>
          <w:trHeight w:val="300"/>
        </w:trPr>
        <w:tc>
          <w:tcPr>
            <w:tcW w:w="9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2001</w:t>
            </w:r>
          </w:p>
        </w:tc>
        <w:tc>
          <w:tcPr>
            <w:tcW w:w="1480" w:type="dxa"/>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608</w:t>
            </w:r>
          </w:p>
        </w:tc>
      </w:tr>
      <w:tr w:rsidR="00B000C0" w:rsidRPr="00573DEB" w:rsidTr="004B4B73">
        <w:trPr>
          <w:trHeight w:val="300"/>
        </w:trPr>
        <w:tc>
          <w:tcPr>
            <w:tcW w:w="9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2002</w:t>
            </w:r>
          </w:p>
        </w:tc>
        <w:tc>
          <w:tcPr>
            <w:tcW w:w="1480" w:type="dxa"/>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703</w:t>
            </w:r>
          </w:p>
        </w:tc>
      </w:tr>
      <w:tr w:rsidR="00B000C0" w:rsidRPr="00573DEB" w:rsidTr="004B4B73">
        <w:trPr>
          <w:trHeight w:val="300"/>
        </w:trPr>
        <w:tc>
          <w:tcPr>
            <w:tcW w:w="9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2003</w:t>
            </w:r>
          </w:p>
        </w:tc>
        <w:tc>
          <w:tcPr>
            <w:tcW w:w="1480" w:type="dxa"/>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781</w:t>
            </w:r>
          </w:p>
        </w:tc>
      </w:tr>
      <w:tr w:rsidR="00B000C0" w:rsidRPr="00573DEB" w:rsidTr="004B4B73">
        <w:trPr>
          <w:trHeight w:val="300"/>
        </w:trPr>
        <w:tc>
          <w:tcPr>
            <w:tcW w:w="9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2004</w:t>
            </w:r>
          </w:p>
        </w:tc>
        <w:tc>
          <w:tcPr>
            <w:tcW w:w="1480" w:type="dxa"/>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794</w:t>
            </w:r>
          </w:p>
        </w:tc>
      </w:tr>
      <w:tr w:rsidR="00B000C0" w:rsidRPr="00573DEB" w:rsidTr="004B4B73">
        <w:trPr>
          <w:trHeight w:val="300"/>
        </w:trPr>
        <w:tc>
          <w:tcPr>
            <w:tcW w:w="9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2005</w:t>
            </w:r>
          </w:p>
        </w:tc>
        <w:tc>
          <w:tcPr>
            <w:tcW w:w="1480" w:type="dxa"/>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686</w:t>
            </w:r>
          </w:p>
        </w:tc>
      </w:tr>
      <w:tr w:rsidR="00B000C0" w:rsidRPr="00573DEB" w:rsidTr="004B4B73">
        <w:trPr>
          <w:trHeight w:val="300"/>
        </w:trPr>
        <w:tc>
          <w:tcPr>
            <w:tcW w:w="9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2006</w:t>
            </w:r>
          </w:p>
        </w:tc>
        <w:tc>
          <w:tcPr>
            <w:tcW w:w="1480" w:type="dxa"/>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693</w:t>
            </w:r>
          </w:p>
        </w:tc>
      </w:tr>
      <w:tr w:rsidR="00B000C0" w:rsidRPr="00573DEB" w:rsidTr="004B4B73">
        <w:trPr>
          <w:trHeight w:val="300"/>
        </w:trPr>
        <w:tc>
          <w:tcPr>
            <w:tcW w:w="9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2007</w:t>
            </w:r>
          </w:p>
        </w:tc>
        <w:tc>
          <w:tcPr>
            <w:tcW w:w="1480" w:type="dxa"/>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686</w:t>
            </w:r>
          </w:p>
        </w:tc>
      </w:tr>
      <w:tr w:rsidR="00B000C0" w:rsidRPr="00573DEB" w:rsidTr="004B4B73">
        <w:trPr>
          <w:trHeight w:val="300"/>
        </w:trPr>
        <w:tc>
          <w:tcPr>
            <w:tcW w:w="9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2008</w:t>
            </w:r>
          </w:p>
        </w:tc>
        <w:tc>
          <w:tcPr>
            <w:tcW w:w="1480" w:type="dxa"/>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802</w:t>
            </w:r>
          </w:p>
        </w:tc>
      </w:tr>
      <w:tr w:rsidR="00B000C0" w:rsidRPr="00573DEB" w:rsidTr="004B4B73">
        <w:trPr>
          <w:trHeight w:val="300"/>
        </w:trPr>
        <w:tc>
          <w:tcPr>
            <w:tcW w:w="9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2009</w:t>
            </w:r>
          </w:p>
        </w:tc>
        <w:tc>
          <w:tcPr>
            <w:tcW w:w="1480" w:type="dxa"/>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922</w:t>
            </w:r>
          </w:p>
        </w:tc>
      </w:tr>
      <w:tr w:rsidR="00B000C0" w:rsidRPr="00573DEB" w:rsidTr="004B4B73">
        <w:trPr>
          <w:trHeight w:val="300"/>
        </w:trPr>
        <w:tc>
          <w:tcPr>
            <w:tcW w:w="9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2010</w:t>
            </w:r>
          </w:p>
        </w:tc>
        <w:tc>
          <w:tcPr>
            <w:tcW w:w="1480" w:type="dxa"/>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1111</w:t>
            </w:r>
          </w:p>
        </w:tc>
      </w:tr>
      <w:tr w:rsidR="00B000C0" w:rsidRPr="00573DEB" w:rsidTr="004B4B73">
        <w:trPr>
          <w:trHeight w:val="300"/>
        </w:trPr>
        <w:tc>
          <w:tcPr>
            <w:tcW w:w="9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2011</w:t>
            </w:r>
          </w:p>
        </w:tc>
        <w:tc>
          <w:tcPr>
            <w:tcW w:w="1480" w:type="dxa"/>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1279</w:t>
            </w:r>
          </w:p>
        </w:tc>
      </w:tr>
      <w:tr w:rsidR="00B000C0" w:rsidRPr="00573DEB" w:rsidTr="004B4B73">
        <w:trPr>
          <w:trHeight w:val="315"/>
        </w:trPr>
        <w:tc>
          <w:tcPr>
            <w:tcW w:w="960" w:type="dxa"/>
            <w:tcBorders>
              <w:top w:val="nil"/>
              <w:left w:val="nil"/>
              <w:bottom w:val="single" w:sz="8"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Total</w:t>
            </w:r>
          </w:p>
        </w:tc>
        <w:tc>
          <w:tcPr>
            <w:tcW w:w="1480" w:type="dxa"/>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9728</w:t>
            </w:r>
          </w:p>
        </w:tc>
      </w:tr>
    </w:tbl>
    <w:p w:rsidR="00206D26" w:rsidRPr="00573DEB" w:rsidRDefault="00206D26" w:rsidP="004B4B73"/>
    <w:p w:rsidR="00206D26" w:rsidRPr="00573DEB" w:rsidRDefault="00206D26">
      <w:pPr>
        <w:widowControl/>
        <w:spacing w:after="200" w:line="276" w:lineRule="auto"/>
      </w:pPr>
      <w:r w:rsidRPr="00573DEB">
        <w:br w:type="page"/>
      </w:r>
    </w:p>
    <w:p w:rsidR="00B000C0" w:rsidRPr="00573DEB" w:rsidRDefault="00B000C0" w:rsidP="004B4B73"/>
    <w:p w:rsidR="00B000C0" w:rsidRPr="00573DEB" w:rsidRDefault="008C2A2F" w:rsidP="00206D26">
      <w:pPr>
        <w:pStyle w:val="Caption"/>
      </w:pPr>
      <w:bookmarkStart w:id="346" w:name="_Toc366845957"/>
      <w:bookmarkStart w:id="347" w:name="_Toc367700295"/>
      <w:bookmarkStart w:id="348" w:name="_Toc388620012"/>
      <w:r>
        <w:t xml:space="preserve">Table A.33:  </w:t>
      </w:r>
      <w:r w:rsidR="00B000C0" w:rsidRPr="00573DEB">
        <w:t xml:space="preserve">Software applications by </w:t>
      </w:r>
      <w:bookmarkEnd w:id="346"/>
      <w:bookmarkEnd w:id="347"/>
      <w:r w:rsidR="00B000C0" w:rsidRPr="00573DEB">
        <w:t>type and number of applicants, 2000-2011</w:t>
      </w:r>
      <w:bookmarkEnd w:id="348"/>
    </w:p>
    <w:tbl>
      <w:tblPr>
        <w:tblW w:w="0" w:type="auto"/>
        <w:tblInd w:w="55" w:type="dxa"/>
        <w:tblCellMar>
          <w:left w:w="70" w:type="dxa"/>
          <w:right w:w="70" w:type="dxa"/>
        </w:tblCellMar>
        <w:tblLook w:val="04A0" w:firstRow="1" w:lastRow="0" w:firstColumn="1" w:lastColumn="0" w:noHBand="0" w:noVBand="1"/>
      </w:tblPr>
      <w:tblGrid>
        <w:gridCol w:w="631"/>
        <w:gridCol w:w="1725"/>
        <w:gridCol w:w="1509"/>
        <w:gridCol w:w="691"/>
        <w:gridCol w:w="146"/>
        <w:gridCol w:w="1725"/>
        <w:gridCol w:w="1509"/>
        <w:gridCol w:w="691"/>
        <w:gridCol w:w="813"/>
      </w:tblGrid>
      <w:tr w:rsidR="00B000C0" w:rsidRPr="00573DEB" w:rsidTr="004B4B73">
        <w:trPr>
          <w:trHeight w:val="300"/>
        </w:trPr>
        <w:tc>
          <w:tcPr>
            <w:tcW w:w="0" w:type="auto"/>
            <w:vMerge w:val="restart"/>
            <w:tcBorders>
              <w:top w:val="single" w:sz="8" w:space="0" w:color="auto"/>
              <w:left w:val="nil"/>
              <w:bottom w:val="single" w:sz="4" w:space="0" w:color="000000"/>
              <w:right w:val="nil"/>
            </w:tcBorders>
            <w:shd w:val="clear" w:color="auto" w:fill="auto"/>
            <w:noWrap/>
            <w:vAlign w:val="center"/>
            <w:hideMark/>
          </w:tcPr>
          <w:p w:rsidR="00B000C0" w:rsidRPr="00573DEB" w:rsidRDefault="00B000C0" w:rsidP="004B4B73">
            <w:pPr>
              <w:rPr>
                <w:lang w:eastAsia="pt-BR"/>
              </w:rPr>
            </w:pPr>
            <w:r w:rsidRPr="00573DEB">
              <w:rPr>
                <w:lang w:eastAsia="pt-BR"/>
              </w:rPr>
              <w:t>Year</w:t>
            </w:r>
          </w:p>
        </w:tc>
        <w:tc>
          <w:tcPr>
            <w:tcW w:w="0" w:type="auto"/>
            <w:gridSpan w:val="3"/>
            <w:tcBorders>
              <w:top w:val="single" w:sz="8" w:space="0" w:color="auto"/>
              <w:left w:val="nil"/>
              <w:bottom w:val="single" w:sz="4" w:space="0" w:color="auto"/>
              <w:right w:val="nil"/>
            </w:tcBorders>
            <w:shd w:val="clear" w:color="auto" w:fill="auto"/>
            <w:noWrap/>
            <w:vAlign w:val="center"/>
            <w:hideMark/>
          </w:tcPr>
          <w:p w:rsidR="00B000C0" w:rsidRPr="00573DEB" w:rsidRDefault="00B000C0" w:rsidP="00206D26">
            <w:pPr>
              <w:jc w:val="center"/>
              <w:rPr>
                <w:lang w:eastAsia="pt-BR"/>
              </w:rPr>
            </w:pPr>
            <w:r w:rsidRPr="00573DEB">
              <w:rPr>
                <w:lang w:eastAsia="pt-BR"/>
              </w:rPr>
              <w:t>Individuals</w:t>
            </w:r>
          </w:p>
        </w:tc>
        <w:tc>
          <w:tcPr>
            <w:tcW w:w="0" w:type="auto"/>
            <w:tcBorders>
              <w:top w:val="single" w:sz="8" w:space="0" w:color="auto"/>
              <w:left w:val="nil"/>
              <w:bottom w:val="nil"/>
              <w:right w:val="nil"/>
            </w:tcBorders>
            <w:shd w:val="clear" w:color="auto" w:fill="auto"/>
            <w:noWrap/>
            <w:vAlign w:val="center"/>
            <w:hideMark/>
          </w:tcPr>
          <w:p w:rsidR="00B000C0" w:rsidRPr="00573DEB" w:rsidRDefault="00B000C0" w:rsidP="00206D26">
            <w:pPr>
              <w:jc w:val="center"/>
              <w:rPr>
                <w:lang w:eastAsia="pt-BR"/>
              </w:rPr>
            </w:pPr>
          </w:p>
        </w:tc>
        <w:tc>
          <w:tcPr>
            <w:tcW w:w="0" w:type="auto"/>
            <w:gridSpan w:val="3"/>
            <w:tcBorders>
              <w:top w:val="single" w:sz="8" w:space="0" w:color="auto"/>
              <w:left w:val="nil"/>
              <w:bottom w:val="single" w:sz="4" w:space="0" w:color="auto"/>
              <w:right w:val="nil"/>
            </w:tcBorders>
            <w:shd w:val="clear" w:color="auto" w:fill="auto"/>
            <w:noWrap/>
            <w:vAlign w:val="center"/>
            <w:hideMark/>
          </w:tcPr>
          <w:p w:rsidR="00B000C0" w:rsidRPr="00573DEB" w:rsidRDefault="00B000C0" w:rsidP="00206D26">
            <w:pPr>
              <w:jc w:val="center"/>
              <w:rPr>
                <w:lang w:eastAsia="pt-BR"/>
              </w:rPr>
            </w:pPr>
            <w:r w:rsidRPr="00573DEB">
              <w:rPr>
                <w:lang w:eastAsia="pt-BR"/>
              </w:rPr>
              <w:t>Legal Entities</w:t>
            </w:r>
          </w:p>
        </w:tc>
        <w:tc>
          <w:tcPr>
            <w:tcW w:w="0" w:type="auto"/>
            <w:vMerge w:val="restart"/>
            <w:tcBorders>
              <w:top w:val="single" w:sz="8" w:space="0" w:color="auto"/>
              <w:left w:val="nil"/>
              <w:bottom w:val="single" w:sz="4" w:space="0" w:color="000000"/>
              <w:right w:val="nil"/>
            </w:tcBorders>
            <w:shd w:val="clear" w:color="auto" w:fill="auto"/>
            <w:noWrap/>
            <w:vAlign w:val="center"/>
            <w:hideMark/>
          </w:tcPr>
          <w:p w:rsidR="00B000C0" w:rsidRPr="00573DEB" w:rsidRDefault="00B000C0" w:rsidP="00206D26">
            <w:pPr>
              <w:jc w:val="center"/>
              <w:rPr>
                <w:lang w:eastAsia="pt-BR"/>
              </w:rPr>
            </w:pPr>
            <w:r w:rsidRPr="00573DEB">
              <w:rPr>
                <w:lang w:eastAsia="pt-BR"/>
              </w:rPr>
              <w:t>Total</w:t>
            </w:r>
          </w:p>
        </w:tc>
      </w:tr>
      <w:tr w:rsidR="00B000C0" w:rsidRPr="00573DEB" w:rsidTr="004B4B73">
        <w:trPr>
          <w:trHeight w:val="705"/>
        </w:trPr>
        <w:tc>
          <w:tcPr>
            <w:tcW w:w="0" w:type="auto"/>
            <w:vMerge/>
            <w:tcBorders>
              <w:top w:val="single" w:sz="8" w:space="0" w:color="auto"/>
              <w:left w:val="nil"/>
              <w:bottom w:val="single" w:sz="4" w:space="0" w:color="000000"/>
              <w:right w:val="nil"/>
            </w:tcBorders>
            <w:vAlign w:val="center"/>
            <w:hideMark/>
          </w:tcPr>
          <w:p w:rsidR="00B000C0" w:rsidRPr="00573DEB" w:rsidRDefault="00B000C0" w:rsidP="004B4B73">
            <w:pPr>
              <w:rPr>
                <w:lang w:eastAsia="pt-BR"/>
              </w:rPr>
            </w:pPr>
          </w:p>
        </w:tc>
        <w:tc>
          <w:tcPr>
            <w:tcW w:w="0" w:type="auto"/>
            <w:tcBorders>
              <w:top w:val="nil"/>
              <w:left w:val="nil"/>
              <w:bottom w:val="single" w:sz="4" w:space="0" w:color="auto"/>
              <w:right w:val="nil"/>
            </w:tcBorders>
            <w:shd w:val="clear" w:color="auto" w:fill="auto"/>
            <w:vAlign w:val="center"/>
            <w:hideMark/>
          </w:tcPr>
          <w:p w:rsidR="00B000C0" w:rsidRPr="00573DEB" w:rsidRDefault="00B000C0" w:rsidP="00206D26">
            <w:pPr>
              <w:jc w:val="center"/>
              <w:rPr>
                <w:lang w:eastAsia="pt-BR"/>
              </w:rPr>
            </w:pPr>
            <w:r w:rsidRPr="00573DEB">
              <w:rPr>
                <w:lang w:eastAsia="pt-BR"/>
              </w:rPr>
              <w:t>Multiple applicants</w:t>
            </w:r>
          </w:p>
        </w:tc>
        <w:tc>
          <w:tcPr>
            <w:tcW w:w="0" w:type="auto"/>
            <w:tcBorders>
              <w:top w:val="nil"/>
              <w:left w:val="nil"/>
              <w:bottom w:val="single" w:sz="4" w:space="0" w:color="auto"/>
              <w:right w:val="nil"/>
            </w:tcBorders>
            <w:shd w:val="clear" w:color="auto" w:fill="auto"/>
            <w:vAlign w:val="center"/>
            <w:hideMark/>
          </w:tcPr>
          <w:p w:rsidR="00B000C0" w:rsidRPr="00573DEB" w:rsidRDefault="00B000C0" w:rsidP="00206D26">
            <w:pPr>
              <w:jc w:val="center"/>
              <w:rPr>
                <w:lang w:eastAsia="pt-BR"/>
              </w:rPr>
            </w:pPr>
            <w:r w:rsidRPr="00573DEB">
              <w:rPr>
                <w:lang w:eastAsia="pt-BR"/>
              </w:rPr>
              <w:t>Single applicant</w:t>
            </w:r>
          </w:p>
        </w:tc>
        <w:tc>
          <w:tcPr>
            <w:tcW w:w="0" w:type="auto"/>
            <w:tcBorders>
              <w:top w:val="nil"/>
              <w:left w:val="nil"/>
              <w:bottom w:val="single" w:sz="4" w:space="0" w:color="auto"/>
              <w:right w:val="nil"/>
            </w:tcBorders>
            <w:shd w:val="clear" w:color="auto" w:fill="auto"/>
            <w:vAlign w:val="center"/>
            <w:hideMark/>
          </w:tcPr>
          <w:p w:rsidR="00B000C0" w:rsidRPr="00573DEB" w:rsidRDefault="00B000C0" w:rsidP="00206D26">
            <w:pPr>
              <w:jc w:val="center"/>
              <w:rPr>
                <w:lang w:eastAsia="pt-BR"/>
              </w:rPr>
            </w:pPr>
            <w:r w:rsidRPr="00573DEB">
              <w:rPr>
                <w:lang w:eastAsia="pt-BR"/>
              </w:rPr>
              <w:t>Total</w:t>
            </w:r>
          </w:p>
        </w:tc>
        <w:tc>
          <w:tcPr>
            <w:tcW w:w="0" w:type="auto"/>
            <w:tcBorders>
              <w:top w:val="nil"/>
              <w:left w:val="nil"/>
              <w:bottom w:val="nil"/>
              <w:right w:val="nil"/>
            </w:tcBorders>
            <w:shd w:val="clear" w:color="auto" w:fill="auto"/>
            <w:vAlign w:val="center"/>
            <w:hideMark/>
          </w:tcPr>
          <w:p w:rsidR="00B000C0" w:rsidRPr="00573DEB" w:rsidRDefault="00B000C0" w:rsidP="00206D26">
            <w:pPr>
              <w:jc w:val="center"/>
              <w:rPr>
                <w:lang w:eastAsia="pt-BR"/>
              </w:rPr>
            </w:pPr>
          </w:p>
        </w:tc>
        <w:tc>
          <w:tcPr>
            <w:tcW w:w="0" w:type="auto"/>
            <w:tcBorders>
              <w:top w:val="nil"/>
              <w:left w:val="nil"/>
              <w:bottom w:val="single" w:sz="4" w:space="0" w:color="auto"/>
              <w:right w:val="nil"/>
            </w:tcBorders>
            <w:shd w:val="clear" w:color="auto" w:fill="auto"/>
            <w:vAlign w:val="center"/>
            <w:hideMark/>
          </w:tcPr>
          <w:p w:rsidR="00B000C0" w:rsidRPr="00573DEB" w:rsidRDefault="00B000C0" w:rsidP="00206D26">
            <w:pPr>
              <w:jc w:val="center"/>
              <w:rPr>
                <w:lang w:eastAsia="pt-BR"/>
              </w:rPr>
            </w:pPr>
            <w:r w:rsidRPr="00573DEB">
              <w:rPr>
                <w:lang w:eastAsia="pt-BR"/>
              </w:rPr>
              <w:t>Multiple applicants</w:t>
            </w:r>
          </w:p>
        </w:tc>
        <w:tc>
          <w:tcPr>
            <w:tcW w:w="0" w:type="auto"/>
            <w:tcBorders>
              <w:top w:val="nil"/>
              <w:left w:val="nil"/>
              <w:bottom w:val="single" w:sz="4" w:space="0" w:color="auto"/>
              <w:right w:val="nil"/>
            </w:tcBorders>
            <w:shd w:val="clear" w:color="auto" w:fill="auto"/>
            <w:vAlign w:val="center"/>
            <w:hideMark/>
          </w:tcPr>
          <w:p w:rsidR="00B000C0" w:rsidRPr="00573DEB" w:rsidRDefault="00B000C0" w:rsidP="00206D26">
            <w:pPr>
              <w:jc w:val="center"/>
              <w:rPr>
                <w:lang w:eastAsia="pt-BR"/>
              </w:rPr>
            </w:pPr>
            <w:r w:rsidRPr="00573DEB">
              <w:rPr>
                <w:lang w:eastAsia="pt-BR"/>
              </w:rPr>
              <w:t>Single applicant</w:t>
            </w:r>
          </w:p>
        </w:tc>
        <w:tc>
          <w:tcPr>
            <w:tcW w:w="0" w:type="auto"/>
            <w:tcBorders>
              <w:top w:val="nil"/>
              <w:left w:val="nil"/>
              <w:bottom w:val="single" w:sz="4" w:space="0" w:color="auto"/>
              <w:right w:val="nil"/>
            </w:tcBorders>
            <w:shd w:val="clear" w:color="auto" w:fill="auto"/>
            <w:vAlign w:val="center"/>
            <w:hideMark/>
          </w:tcPr>
          <w:p w:rsidR="00B000C0" w:rsidRPr="00573DEB" w:rsidRDefault="00B000C0" w:rsidP="00206D26">
            <w:pPr>
              <w:jc w:val="center"/>
              <w:rPr>
                <w:lang w:eastAsia="pt-BR"/>
              </w:rPr>
            </w:pPr>
            <w:r w:rsidRPr="00573DEB">
              <w:rPr>
                <w:lang w:eastAsia="pt-BR"/>
              </w:rPr>
              <w:t>Total</w:t>
            </w:r>
          </w:p>
        </w:tc>
        <w:tc>
          <w:tcPr>
            <w:tcW w:w="0" w:type="auto"/>
            <w:vMerge/>
            <w:tcBorders>
              <w:top w:val="single" w:sz="8" w:space="0" w:color="auto"/>
              <w:left w:val="nil"/>
              <w:bottom w:val="single" w:sz="4" w:space="0" w:color="000000"/>
              <w:right w:val="nil"/>
            </w:tcBorders>
            <w:vAlign w:val="center"/>
            <w:hideMark/>
          </w:tcPr>
          <w:p w:rsidR="00B000C0" w:rsidRPr="00573DEB" w:rsidRDefault="00B000C0" w:rsidP="00206D26">
            <w:pPr>
              <w:jc w:val="center"/>
              <w:rPr>
                <w:lang w:eastAsia="pt-BR"/>
              </w:rPr>
            </w:pP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2000</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125</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151</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276</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32</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422</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454</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730</w:t>
            </w: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2001</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108</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137</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245</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63</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386</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449</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694</w:t>
            </w: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2002</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99</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154</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253</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53</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480</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533</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786</w:t>
            </w: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2003</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117</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160</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277</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48</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524</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572</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849</w:t>
            </w: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2004</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123</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240</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363</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62</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471</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533</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896</w:t>
            </w: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2005</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92</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178</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270</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27</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435</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462</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732</w:t>
            </w: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2006</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157</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149</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306</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34</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451</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485</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791</w:t>
            </w: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2007</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141</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157</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298</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66</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443</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509</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807</w:t>
            </w: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2008</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168</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211</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379</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43</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505</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548</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927</w:t>
            </w: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2009</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100</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207</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307</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106</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614</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720</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1,027</w:t>
            </w: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2010</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170</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210</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380</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89</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786</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875</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1,255</w:t>
            </w:r>
          </w:p>
        </w:tc>
      </w:tr>
      <w:tr w:rsidR="00B000C0" w:rsidRPr="00573DEB" w:rsidTr="004B4B73">
        <w:trPr>
          <w:trHeight w:val="300"/>
        </w:trPr>
        <w:tc>
          <w:tcPr>
            <w:tcW w:w="0" w:type="auto"/>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2011</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145</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213</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358</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34</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985</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1,019</w:t>
            </w:r>
          </w:p>
        </w:tc>
        <w:tc>
          <w:tcPr>
            <w:tcW w:w="0" w:type="auto"/>
            <w:tcBorders>
              <w:top w:val="nil"/>
              <w:left w:val="nil"/>
              <w:bottom w:val="nil"/>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1,377</w:t>
            </w:r>
          </w:p>
        </w:tc>
      </w:tr>
      <w:tr w:rsidR="00B000C0" w:rsidRPr="00573DEB" w:rsidTr="004B4B73">
        <w:trPr>
          <w:trHeight w:val="315"/>
        </w:trPr>
        <w:tc>
          <w:tcPr>
            <w:tcW w:w="0" w:type="auto"/>
            <w:tcBorders>
              <w:top w:val="nil"/>
              <w:left w:val="nil"/>
              <w:bottom w:val="single" w:sz="8"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Total</w:t>
            </w:r>
          </w:p>
        </w:tc>
        <w:tc>
          <w:tcPr>
            <w:tcW w:w="0" w:type="auto"/>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1,545</w:t>
            </w:r>
          </w:p>
        </w:tc>
        <w:tc>
          <w:tcPr>
            <w:tcW w:w="0" w:type="auto"/>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2,167</w:t>
            </w:r>
          </w:p>
        </w:tc>
        <w:tc>
          <w:tcPr>
            <w:tcW w:w="0" w:type="auto"/>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3,712</w:t>
            </w:r>
          </w:p>
        </w:tc>
        <w:tc>
          <w:tcPr>
            <w:tcW w:w="0" w:type="auto"/>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lang w:eastAsia="pt-BR"/>
              </w:rPr>
            </w:pPr>
          </w:p>
        </w:tc>
        <w:tc>
          <w:tcPr>
            <w:tcW w:w="0" w:type="auto"/>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657</w:t>
            </w:r>
          </w:p>
        </w:tc>
        <w:tc>
          <w:tcPr>
            <w:tcW w:w="0" w:type="auto"/>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6,502</w:t>
            </w:r>
          </w:p>
        </w:tc>
        <w:tc>
          <w:tcPr>
            <w:tcW w:w="0" w:type="auto"/>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7,159</w:t>
            </w:r>
          </w:p>
        </w:tc>
        <w:tc>
          <w:tcPr>
            <w:tcW w:w="0" w:type="auto"/>
            <w:tcBorders>
              <w:top w:val="nil"/>
              <w:left w:val="nil"/>
              <w:bottom w:val="single" w:sz="8" w:space="0" w:color="auto"/>
              <w:right w:val="nil"/>
            </w:tcBorders>
            <w:shd w:val="clear" w:color="auto" w:fill="auto"/>
            <w:noWrap/>
            <w:vAlign w:val="bottom"/>
            <w:hideMark/>
          </w:tcPr>
          <w:p w:rsidR="00B000C0" w:rsidRPr="00573DEB" w:rsidRDefault="00B000C0" w:rsidP="00206D26">
            <w:pPr>
              <w:jc w:val="center"/>
              <w:rPr>
                <w:lang w:eastAsia="pt-BR"/>
              </w:rPr>
            </w:pPr>
            <w:r w:rsidRPr="00573DEB">
              <w:rPr>
                <w:lang w:eastAsia="pt-BR"/>
              </w:rPr>
              <w:t>10,871</w:t>
            </w:r>
          </w:p>
        </w:tc>
      </w:tr>
    </w:tbl>
    <w:p w:rsidR="00B000C0" w:rsidRPr="00573DEB" w:rsidRDefault="00B000C0" w:rsidP="004B4B73"/>
    <w:p w:rsidR="00B000C0" w:rsidRPr="00573DEB" w:rsidRDefault="00B000C0" w:rsidP="004B4B73">
      <w:pPr>
        <w:pStyle w:val="Heading1"/>
      </w:pPr>
      <w:bookmarkStart w:id="349" w:name="_Toc366845972"/>
      <w:bookmarkStart w:id="350" w:name="_Toc367700310"/>
      <w:bookmarkStart w:id="351" w:name="_Toc388620013"/>
      <w:r w:rsidRPr="00573DEB">
        <w:t>Geographical Indications</w:t>
      </w:r>
      <w:bookmarkEnd w:id="349"/>
      <w:bookmarkEnd w:id="350"/>
      <w:bookmarkEnd w:id="351"/>
    </w:p>
    <w:p w:rsidR="00B000C0" w:rsidRPr="00573DEB" w:rsidRDefault="00B000C0" w:rsidP="004B4B73"/>
    <w:p w:rsidR="00B000C0" w:rsidRPr="00573DEB" w:rsidRDefault="001336C8" w:rsidP="001336C8">
      <w:pPr>
        <w:pStyle w:val="Caption"/>
      </w:pPr>
      <w:bookmarkStart w:id="352" w:name="_Toc388620014"/>
      <w:r w:rsidRPr="00573DEB">
        <w:t>Ta</w:t>
      </w:r>
      <w:r w:rsidR="008C2A2F">
        <w:t xml:space="preserve">ble A.34:  </w:t>
      </w:r>
      <w:r w:rsidR="00B000C0" w:rsidRPr="00573DEB">
        <w:t>Geographical Indication applications, 2000-2012</w:t>
      </w:r>
      <w:bookmarkEnd w:id="352"/>
    </w:p>
    <w:tbl>
      <w:tblPr>
        <w:tblW w:w="0" w:type="auto"/>
        <w:tblInd w:w="55" w:type="dxa"/>
        <w:tblLayout w:type="fixed"/>
        <w:tblCellMar>
          <w:left w:w="70" w:type="dxa"/>
          <w:right w:w="70" w:type="dxa"/>
        </w:tblCellMar>
        <w:tblLook w:val="04A0" w:firstRow="1" w:lastRow="0" w:firstColumn="1" w:lastColumn="0" w:noHBand="0" w:noVBand="1"/>
      </w:tblPr>
      <w:tblGrid>
        <w:gridCol w:w="866"/>
        <w:gridCol w:w="1417"/>
      </w:tblGrid>
      <w:tr w:rsidR="00B000C0" w:rsidRPr="00573DEB" w:rsidTr="004B4B73">
        <w:trPr>
          <w:trHeight w:val="900"/>
        </w:trPr>
        <w:tc>
          <w:tcPr>
            <w:tcW w:w="866"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Year</w:t>
            </w:r>
          </w:p>
        </w:tc>
        <w:tc>
          <w:tcPr>
            <w:tcW w:w="1417"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1336C8">
            <w:pPr>
              <w:jc w:val="center"/>
              <w:rPr>
                <w:lang w:eastAsia="pt-BR"/>
              </w:rPr>
            </w:pPr>
            <w:r w:rsidRPr="00573DEB">
              <w:rPr>
                <w:lang w:eastAsia="pt-BR"/>
              </w:rPr>
              <w:t>Number of applications</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2000</w:t>
            </w:r>
          </w:p>
        </w:tc>
        <w:tc>
          <w:tcPr>
            <w:tcW w:w="1417"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2</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2001</w:t>
            </w:r>
          </w:p>
        </w:tc>
        <w:tc>
          <w:tcPr>
            <w:tcW w:w="1417"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2</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2002</w:t>
            </w:r>
          </w:p>
        </w:tc>
        <w:tc>
          <w:tcPr>
            <w:tcW w:w="1417"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4</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2003</w:t>
            </w:r>
          </w:p>
        </w:tc>
        <w:tc>
          <w:tcPr>
            <w:tcW w:w="1417"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0</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2004</w:t>
            </w:r>
          </w:p>
        </w:tc>
        <w:tc>
          <w:tcPr>
            <w:tcW w:w="1417"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5</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2005</w:t>
            </w:r>
          </w:p>
        </w:tc>
        <w:tc>
          <w:tcPr>
            <w:tcW w:w="1417"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1</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2006</w:t>
            </w:r>
          </w:p>
        </w:tc>
        <w:tc>
          <w:tcPr>
            <w:tcW w:w="1417"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2</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2007</w:t>
            </w:r>
          </w:p>
        </w:tc>
        <w:tc>
          <w:tcPr>
            <w:tcW w:w="1417"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4</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2008</w:t>
            </w:r>
          </w:p>
        </w:tc>
        <w:tc>
          <w:tcPr>
            <w:tcW w:w="1417"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4</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2009</w:t>
            </w:r>
          </w:p>
        </w:tc>
        <w:tc>
          <w:tcPr>
            <w:tcW w:w="1417"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11</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2010</w:t>
            </w:r>
          </w:p>
        </w:tc>
        <w:tc>
          <w:tcPr>
            <w:tcW w:w="1417"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14</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2011</w:t>
            </w:r>
          </w:p>
        </w:tc>
        <w:tc>
          <w:tcPr>
            <w:tcW w:w="1417"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8</w:t>
            </w:r>
          </w:p>
        </w:tc>
      </w:tr>
      <w:tr w:rsidR="00B000C0" w:rsidRPr="00573DEB" w:rsidTr="004B4B73">
        <w:trPr>
          <w:trHeight w:val="300"/>
        </w:trPr>
        <w:tc>
          <w:tcPr>
            <w:tcW w:w="866"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2012</w:t>
            </w:r>
          </w:p>
        </w:tc>
        <w:tc>
          <w:tcPr>
            <w:tcW w:w="1417"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10</w:t>
            </w:r>
          </w:p>
        </w:tc>
      </w:tr>
      <w:tr w:rsidR="00B000C0" w:rsidRPr="00573DEB" w:rsidTr="004B4B73">
        <w:trPr>
          <w:trHeight w:val="315"/>
        </w:trPr>
        <w:tc>
          <w:tcPr>
            <w:tcW w:w="866" w:type="dxa"/>
            <w:tcBorders>
              <w:top w:val="nil"/>
              <w:left w:val="nil"/>
              <w:bottom w:val="single" w:sz="8"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Total</w:t>
            </w:r>
          </w:p>
        </w:tc>
        <w:tc>
          <w:tcPr>
            <w:tcW w:w="1417" w:type="dxa"/>
            <w:tcBorders>
              <w:top w:val="nil"/>
              <w:left w:val="nil"/>
              <w:bottom w:val="single" w:sz="8" w:space="0" w:color="auto"/>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67</w:t>
            </w:r>
          </w:p>
        </w:tc>
      </w:tr>
    </w:tbl>
    <w:p w:rsidR="001336C8" w:rsidRPr="00573DEB" w:rsidRDefault="001336C8" w:rsidP="004B4B73"/>
    <w:p w:rsidR="001336C8" w:rsidRPr="00573DEB" w:rsidRDefault="001336C8">
      <w:pPr>
        <w:widowControl/>
        <w:spacing w:after="200" w:line="276" w:lineRule="auto"/>
      </w:pPr>
      <w:r w:rsidRPr="00573DEB">
        <w:br w:type="page"/>
      </w:r>
    </w:p>
    <w:p w:rsidR="00B000C0" w:rsidRPr="00573DEB" w:rsidRDefault="00B000C0" w:rsidP="004B4B73"/>
    <w:p w:rsidR="00B000C0" w:rsidRPr="00573DEB" w:rsidRDefault="008C2A2F" w:rsidP="001336C8">
      <w:pPr>
        <w:pStyle w:val="Caption"/>
      </w:pPr>
      <w:bookmarkStart w:id="353" w:name="_Toc366845973"/>
      <w:bookmarkStart w:id="354" w:name="_Toc367700311"/>
      <w:bookmarkStart w:id="355" w:name="_Toc388620015"/>
      <w:r>
        <w:t xml:space="preserve">Table A.35:  </w:t>
      </w:r>
      <w:r w:rsidR="00B000C0" w:rsidRPr="00573DEB">
        <w:t xml:space="preserve">Geographical Indication applications by </w:t>
      </w:r>
      <w:bookmarkEnd w:id="353"/>
      <w:bookmarkEnd w:id="354"/>
      <w:r w:rsidR="00B000C0" w:rsidRPr="00573DEB">
        <w:t>countries, 2000-2012</w:t>
      </w:r>
      <w:bookmarkEnd w:id="355"/>
    </w:p>
    <w:tbl>
      <w:tblPr>
        <w:tblW w:w="3080" w:type="dxa"/>
        <w:tblInd w:w="55" w:type="dxa"/>
        <w:tblCellMar>
          <w:left w:w="70" w:type="dxa"/>
          <w:right w:w="70" w:type="dxa"/>
        </w:tblCellMar>
        <w:tblLook w:val="04A0" w:firstRow="1" w:lastRow="0" w:firstColumn="1" w:lastColumn="0" w:noHBand="0" w:noVBand="1"/>
      </w:tblPr>
      <w:tblGrid>
        <w:gridCol w:w="1540"/>
        <w:gridCol w:w="1540"/>
      </w:tblGrid>
      <w:tr w:rsidR="00B000C0" w:rsidRPr="00573DEB" w:rsidTr="004B4B73">
        <w:trPr>
          <w:trHeight w:val="600"/>
        </w:trPr>
        <w:tc>
          <w:tcPr>
            <w:tcW w:w="1540"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4B4B73">
            <w:pPr>
              <w:rPr>
                <w:lang w:eastAsia="pt-BR"/>
              </w:rPr>
            </w:pPr>
            <w:r w:rsidRPr="00573DEB">
              <w:rPr>
                <w:lang w:eastAsia="pt-BR"/>
              </w:rPr>
              <w:t>Country</w:t>
            </w:r>
          </w:p>
        </w:tc>
        <w:tc>
          <w:tcPr>
            <w:tcW w:w="1540"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1336C8">
            <w:pPr>
              <w:jc w:val="center"/>
              <w:rPr>
                <w:lang w:eastAsia="pt-BR"/>
              </w:rPr>
            </w:pPr>
            <w:r w:rsidRPr="00573DEB">
              <w:rPr>
                <w:lang w:eastAsia="pt-BR"/>
              </w:rPr>
              <w:t>Number of applications</w:t>
            </w:r>
          </w:p>
        </w:tc>
      </w:tr>
      <w:tr w:rsidR="00B000C0" w:rsidRPr="00573DEB" w:rsidTr="004B4B73">
        <w:trPr>
          <w:trHeight w:val="300"/>
        </w:trPr>
        <w:tc>
          <w:tcPr>
            <w:tcW w:w="154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Brazil</w:t>
            </w:r>
          </w:p>
        </w:tc>
        <w:tc>
          <w:tcPr>
            <w:tcW w:w="154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49</w:t>
            </w:r>
          </w:p>
        </w:tc>
      </w:tr>
      <w:tr w:rsidR="00B000C0" w:rsidRPr="00573DEB" w:rsidTr="004B4B73">
        <w:trPr>
          <w:trHeight w:val="300"/>
        </w:trPr>
        <w:tc>
          <w:tcPr>
            <w:tcW w:w="154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Germany</w:t>
            </w:r>
          </w:p>
        </w:tc>
        <w:tc>
          <w:tcPr>
            <w:tcW w:w="154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1</w:t>
            </w:r>
          </w:p>
        </w:tc>
      </w:tr>
      <w:tr w:rsidR="00B000C0" w:rsidRPr="00573DEB" w:rsidTr="004B4B73">
        <w:trPr>
          <w:trHeight w:val="300"/>
        </w:trPr>
        <w:tc>
          <w:tcPr>
            <w:tcW w:w="154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Spain</w:t>
            </w:r>
          </w:p>
        </w:tc>
        <w:tc>
          <w:tcPr>
            <w:tcW w:w="154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1</w:t>
            </w:r>
          </w:p>
        </w:tc>
      </w:tr>
      <w:tr w:rsidR="00B000C0" w:rsidRPr="00573DEB" w:rsidTr="004B4B73">
        <w:trPr>
          <w:trHeight w:val="300"/>
        </w:trPr>
        <w:tc>
          <w:tcPr>
            <w:tcW w:w="154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USA</w:t>
            </w:r>
          </w:p>
        </w:tc>
        <w:tc>
          <w:tcPr>
            <w:tcW w:w="154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1</w:t>
            </w:r>
          </w:p>
        </w:tc>
      </w:tr>
      <w:tr w:rsidR="00B000C0" w:rsidRPr="00573DEB" w:rsidTr="004B4B73">
        <w:trPr>
          <w:trHeight w:val="300"/>
        </w:trPr>
        <w:tc>
          <w:tcPr>
            <w:tcW w:w="154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France</w:t>
            </w:r>
          </w:p>
        </w:tc>
        <w:tc>
          <w:tcPr>
            <w:tcW w:w="154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2</w:t>
            </w:r>
          </w:p>
        </w:tc>
      </w:tr>
      <w:tr w:rsidR="00B000C0" w:rsidRPr="00573DEB" w:rsidTr="004B4B73">
        <w:trPr>
          <w:trHeight w:val="300"/>
        </w:trPr>
        <w:tc>
          <w:tcPr>
            <w:tcW w:w="154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Italy</w:t>
            </w:r>
          </w:p>
        </w:tc>
        <w:tc>
          <w:tcPr>
            <w:tcW w:w="154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8</w:t>
            </w:r>
          </w:p>
        </w:tc>
      </w:tr>
      <w:tr w:rsidR="00B000C0" w:rsidRPr="00573DEB" w:rsidTr="004B4B73">
        <w:trPr>
          <w:trHeight w:val="300"/>
        </w:trPr>
        <w:tc>
          <w:tcPr>
            <w:tcW w:w="154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Mexico</w:t>
            </w:r>
          </w:p>
        </w:tc>
        <w:tc>
          <w:tcPr>
            <w:tcW w:w="154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1</w:t>
            </w:r>
          </w:p>
        </w:tc>
      </w:tr>
      <w:tr w:rsidR="00B000C0" w:rsidRPr="00573DEB" w:rsidTr="004B4B73">
        <w:trPr>
          <w:trHeight w:val="300"/>
        </w:trPr>
        <w:tc>
          <w:tcPr>
            <w:tcW w:w="154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Portugal</w:t>
            </w:r>
          </w:p>
        </w:tc>
        <w:tc>
          <w:tcPr>
            <w:tcW w:w="154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3</w:t>
            </w:r>
          </w:p>
        </w:tc>
      </w:tr>
      <w:tr w:rsidR="00B000C0" w:rsidRPr="00573DEB" w:rsidTr="004B4B73">
        <w:trPr>
          <w:trHeight w:val="300"/>
        </w:trPr>
        <w:tc>
          <w:tcPr>
            <w:tcW w:w="154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UK</w:t>
            </w:r>
          </w:p>
        </w:tc>
        <w:tc>
          <w:tcPr>
            <w:tcW w:w="154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1</w:t>
            </w:r>
          </w:p>
        </w:tc>
      </w:tr>
      <w:tr w:rsidR="00B000C0" w:rsidRPr="00573DEB" w:rsidTr="004B4B73">
        <w:trPr>
          <w:trHeight w:val="315"/>
        </w:trPr>
        <w:tc>
          <w:tcPr>
            <w:tcW w:w="1540" w:type="dxa"/>
            <w:tcBorders>
              <w:top w:val="nil"/>
              <w:left w:val="nil"/>
              <w:bottom w:val="single" w:sz="8"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Total</w:t>
            </w:r>
          </w:p>
        </w:tc>
        <w:tc>
          <w:tcPr>
            <w:tcW w:w="1540" w:type="dxa"/>
            <w:tcBorders>
              <w:top w:val="nil"/>
              <w:left w:val="nil"/>
              <w:bottom w:val="single" w:sz="8" w:space="0" w:color="auto"/>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67</w:t>
            </w:r>
          </w:p>
        </w:tc>
      </w:tr>
    </w:tbl>
    <w:p w:rsidR="00B000C0" w:rsidRPr="00573DEB" w:rsidRDefault="00B000C0" w:rsidP="004B4B73"/>
    <w:p w:rsidR="00B000C0" w:rsidRPr="00573DEB" w:rsidRDefault="008C2A2F" w:rsidP="001336C8">
      <w:pPr>
        <w:pStyle w:val="Caption"/>
      </w:pPr>
      <w:bookmarkStart w:id="356" w:name="_Toc388620016"/>
      <w:r>
        <w:t xml:space="preserve">Table A.36:  </w:t>
      </w:r>
      <w:r w:rsidR="00B000C0" w:rsidRPr="00573DEB">
        <w:t xml:space="preserve">Geographical Indication applications by </w:t>
      </w:r>
      <w:r w:rsidR="001336C8" w:rsidRPr="00573DEB">
        <w:t>Brazilian</w:t>
      </w:r>
      <w:r w:rsidR="00B000C0" w:rsidRPr="00573DEB">
        <w:t xml:space="preserve"> states, 2000-2012</w:t>
      </w:r>
      <w:bookmarkEnd w:id="356"/>
    </w:p>
    <w:tbl>
      <w:tblPr>
        <w:tblW w:w="4120" w:type="dxa"/>
        <w:tblInd w:w="55" w:type="dxa"/>
        <w:tblCellMar>
          <w:left w:w="70" w:type="dxa"/>
          <w:right w:w="70" w:type="dxa"/>
        </w:tblCellMar>
        <w:tblLook w:val="04A0" w:firstRow="1" w:lastRow="0" w:firstColumn="1" w:lastColumn="0" w:noHBand="0" w:noVBand="1"/>
      </w:tblPr>
      <w:tblGrid>
        <w:gridCol w:w="1760"/>
        <w:gridCol w:w="2360"/>
      </w:tblGrid>
      <w:tr w:rsidR="00B000C0" w:rsidRPr="00573DEB" w:rsidTr="004B4B73">
        <w:trPr>
          <w:trHeight w:val="300"/>
        </w:trPr>
        <w:tc>
          <w:tcPr>
            <w:tcW w:w="176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Brazilian States</w:t>
            </w:r>
          </w:p>
        </w:tc>
        <w:tc>
          <w:tcPr>
            <w:tcW w:w="236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1336C8">
            <w:pPr>
              <w:jc w:val="center"/>
              <w:rPr>
                <w:lang w:eastAsia="pt-BR"/>
              </w:rPr>
            </w:pPr>
            <w:r w:rsidRPr="00573DEB">
              <w:rPr>
                <w:lang w:eastAsia="pt-BR"/>
              </w:rPr>
              <w:t>Number of Applications</w:t>
            </w:r>
          </w:p>
        </w:tc>
      </w:tr>
      <w:tr w:rsidR="00B000C0" w:rsidRPr="00573DEB" w:rsidTr="004B4B73">
        <w:trPr>
          <w:trHeight w:val="300"/>
        </w:trPr>
        <w:tc>
          <w:tcPr>
            <w:tcW w:w="17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proofErr w:type="spellStart"/>
            <w:r w:rsidRPr="00573DEB">
              <w:rPr>
                <w:lang w:eastAsia="pt-BR"/>
              </w:rPr>
              <w:t>Espírito</w:t>
            </w:r>
            <w:proofErr w:type="spellEnd"/>
            <w:r w:rsidRPr="00573DEB">
              <w:rPr>
                <w:lang w:eastAsia="pt-BR"/>
              </w:rPr>
              <w:t xml:space="preserve"> Santo</w:t>
            </w:r>
          </w:p>
        </w:tc>
        <w:tc>
          <w:tcPr>
            <w:tcW w:w="236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3</w:t>
            </w:r>
          </w:p>
        </w:tc>
      </w:tr>
      <w:tr w:rsidR="00B000C0" w:rsidRPr="00573DEB" w:rsidTr="004B4B73">
        <w:trPr>
          <w:trHeight w:val="300"/>
        </w:trPr>
        <w:tc>
          <w:tcPr>
            <w:tcW w:w="17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Minas </w:t>
            </w:r>
            <w:proofErr w:type="spellStart"/>
            <w:r w:rsidRPr="00573DEB">
              <w:rPr>
                <w:lang w:eastAsia="pt-BR"/>
              </w:rPr>
              <w:t>Gerais</w:t>
            </w:r>
            <w:proofErr w:type="spellEnd"/>
          </w:p>
        </w:tc>
        <w:tc>
          <w:tcPr>
            <w:tcW w:w="236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10</w:t>
            </w:r>
          </w:p>
        </w:tc>
      </w:tr>
      <w:tr w:rsidR="00B000C0" w:rsidRPr="00573DEB" w:rsidTr="004B4B73">
        <w:trPr>
          <w:trHeight w:val="300"/>
        </w:trPr>
        <w:tc>
          <w:tcPr>
            <w:tcW w:w="17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proofErr w:type="spellStart"/>
            <w:r w:rsidRPr="00573DEB">
              <w:rPr>
                <w:lang w:eastAsia="pt-BR"/>
              </w:rPr>
              <w:t>Pará</w:t>
            </w:r>
            <w:proofErr w:type="spellEnd"/>
          </w:p>
        </w:tc>
        <w:tc>
          <w:tcPr>
            <w:tcW w:w="236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2</w:t>
            </w:r>
          </w:p>
        </w:tc>
      </w:tr>
      <w:tr w:rsidR="00B000C0" w:rsidRPr="00573DEB" w:rsidTr="004B4B73">
        <w:trPr>
          <w:trHeight w:val="300"/>
        </w:trPr>
        <w:tc>
          <w:tcPr>
            <w:tcW w:w="17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proofErr w:type="spellStart"/>
            <w:r w:rsidRPr="00573DEB">
              <w:rPr>
                <w:lang w:eastAsia="pt-BR"/>
              </w:rPr>
              <w:t>Paraíba</w:t>
            </w:r>
            <w:proofErr w:type="spellEnd"/>
          </w:p>
        </w:tc>
        <w:tc>
          <w:tcPr>
            <w:tcW w:w="236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3</w:t>
            </w:r>
          </w:p>
        </w:tc>
      </w:tr>
      <w:tr w:rsidR="00B000C0" w:rsidRPr="00573DEB" w:rsidTr="004B4B73">
        <w:trPr>
          <w:trHeight w:val="300"/>
        </w:trPr>
        <w:tc>
          <w:tcPr>
            <w:tcW w:w="17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Pernambuco</w:t>
            </w:r>
          </w:p>
        </w:tc>
        <w:tc>
          <w:tcPr>
            <w:tcW w:w="236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2</w:t>
            </w:r>
          </w:p>
        </w:tc>
      </w:tr>
      <w:tr w:rsidR="00B000C0" w:rsidRPr="00573DEB" w:rsidTr="004B4B73">
        <w:trPr>
          <w:trHeight w:val="300"/>
        </w:trPr>
        <w:tc>
          <w:tcPr>
            <w:tcW w:w="17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proofErr w:type="spellStart"/>
            <w:r w:rsidRPr="00573DEB">
              <w:rPr>
                <w:lang w:eastAsia="pt-BR"/>
              </w:rPr>
              <w:t>Piauí</w:t>
            </w:r>
            <w:proofErr w:type="spellEnd"/>
          </w:p>
        </w:tc>
        <w:tc>
          <w:tcPr>
            <w:tcW w:w="236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2</w:t>
            </w:r>
          </w:p>
        </w:tc>
      </w:tr>
      <w:tr w:rsidR="00B000C0" w:rsidRPr="00573DEB" w:rsidTr="004B4B73">
        <w:trPr>
          <w:trHeight w:val="300"/>
        </w:trPr>
        <w:tc>
          <w:tcPr>
            <w:tcW w:w="17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Rio de Janeiro</w:t>
            </w:r>
          </w:p>
        </w:tc>
        <w:tc>
          <w:tcPr>
            <w:tcW w:w="236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5</w:t>
            </w:r>
          </w:p>
        </w:tc>
      </w:tr>
      <w:tr w:rsidR="00B000C0" w:rsidRPr="00573DEB" w:rsidTr="004B4B73">
        <w:trPr>
          <w:trHeight w:val="300"/>
        </w:trPr>
        <w:tc>
          <w:tcPr>
            <w:tcW w:w="17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 xml:space="preserve">Rio Grande do </w:t>
            </w:r>
            <w:proofErr w:type="spellStart"/>
            <w:r w:rsidRPr="00573DEB">
              <w:rPr>
                <w:lang w:eastAsia="pt-BR"/>
              </w:rPr>
              <w:t>Sul</w:t>
            </w:r>
            <w:proofErr w:type="spellEnd"/>
          </w:p>
        </w:tc>
        <w:tc>
          <w:tcPr>
            <w:tcW w:w="236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9</w:t>
            </w:r>
          </w:p>
        </w:tc>
      </w:tr>
      <w:tr w:rsidR="00B000C0" w:rsidRPr="00573DEB" w:rsidTr="004B4B73">
        <w:trPr>
          <w:trHeight w:val="300"/>
        </w:trPr>
        <w:tc>
          <w:tcPr>
            <w:tcW w:w="17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São Paulo</w:t>
            </w:r>
          </w:p>
        </w:tc>
        <w:tc>
          <w:tcPr>
            <w:tcW w:w="236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4</w:t>
            </w:r>
          </w:p>
        </w:tc>
      </w:tr>
      <w:tr w:rsidR="00B000C0" w:rsidRPr="00573DEB" w:rsidTr="004B4B73">
        <w:trPr>
          <w:trHeight w:val="300"/>
        </w:trPr>
        <w:tc>
          <w:tcPr>
            <w:tcW w:w="17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Others</w:t>
            </w:r>
          </w:p>
        </w:tc>
        <w:tc>
          <w:tcPr>
            <w:tcW w:w="236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9</w:t>
            </w:r>
          </w:p>
        </w:tc>
      </w:tr>
      <w:tr w:rsidR="00B000C0" w:rsidRPr="00573DEB" w:rsidTr="004B4B73">
        <w:trPr>
          <w:trHeight w:val="315"/>
        </w:trPr>
        <w:tc>
          <w:tcPr>
            <w:tcW w:w="1760" w:type="dxa"/>
            <w:tcBorders>
              <w:top w:val="nil"/>
              <w:left w:val="nil"/>
              <w:bottom w:val="single" w:sz="8"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Total</w:t>
            </w:r>
          </w:p>
        </w:tc>
        <w:tc>
          <w:tcPr>
            <w:tcW w:w="2360" w:type="dxa"/>
            <w:tcBorders>
              <w:top w:val="nil"/>
              <w:left w:val="nil"/>
              <w:bottom w:val="single" w:sz="8" w:space="0" w:color="auto"/>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49</w:t>
            </w:r>
          </w:p>
        </w:tc>
      </w:tr>
    </w:tbl>
    <w:p w:rsidR="00B000C0" w:rsidRPr="00573DEB" w:rsidRDefault="00B000C0" w:rsidP="004B4B73"/>
    <w:p w:rsidR="00B000C0" w:rsidRPr="00573DEB" w:rsidRDefault="008C2A2F" w:rsidP="001336C8">
      <w:pPr>
        <w:pStyle w:val="Caption"/>
      </w:pPr>
      <w:bookmarkStart w:id="357" w:name="_Toc388620017"/>
      <w:r>
        <w:t xml:space="preserve">Table A.37:  </w:t>
      </w:r>
      <w:r w:rsidR="00B000C0" w:rsidRPr="00573DEB">
        <w:t>Geographical Indication applications by specialty, 2000-2012</w:t>
      </w:r>
      <w:bookmarkEnd w:id="357"/>
    </w:p>
    <w:tbl>
      <w:tblPr>
        <w:tblW w:w="6160" w:type="dxa"/>
        <w:tblInd w:w="55" w:type="dxa"/>
        <w:tblCellMar>
          <w:left w:w="70" w:type="dxa"/>
          <w:right w:w="70" w:type="dxa"/>
        </w:tblCellMar>
        <w:tblLook w:val="04A0" w:firstRow="1" w:lastRow="0" w:firstColumn="1" w:lastColumn="0" w:noHBand="0" w:noVBand="1"/>
      </w:tblPr>
      <w:tblGrid>
        <w:gridCol w:w="2660"/>
        <w:gridCol w:w="1360"/>
        <w:gridCol w:w="1180"/>
        <w:gridCol w:w="960"/>
      </w:tblGrid>
      <w:tr w:rsidR="00B000C0" w:rsidRPr="00573DEB" w:rsidTr="004B4B73">
        <w:trPr>
          <w:trHeight w:val="300"/>
        </w:trPr>
        <w:tc>
          <w:tcPr>
            <w:tcW w:w="266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Specialty</w:t>
            </w:r>
          </w:p>
        </w:tc>
        <w:tc>
          <w:tcPr>
            <w:tcW w:w="1360" w:type="dxa"/>
            <w:tcBorders>
              <w:top w:val="single" w:sz="8" w:space="0" w:color="auto"/>
              <w:left w:val="nil"/>
              <w:bottom w:val="single" w:sz="4" w:space="0" w:color="auto"/>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Non-resident</w:t>
            </w:r>
          </w:p>
        </w:tc>
        <w:tc>
          <w:tcPr>
            <w:tcW w:w="1180" w:type="dxa"/>
            <w:tcBorders>
              <w:top w:val="single" w:sz="8" w:space="0" w:color="auto"/>
              <w:left w:val="nil"/>
              <w:bottom w:val="single" w:sz="4" w:space="0" w:color="auto"/>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Resident</w:t>
            </w:r>
          </w:p>
        </w:tc>
        <w:tc>
          <w:tcPr>
            <w:tcW w:w="96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1336C8">
            <w:pPr>
              <w:jc w:val="center"/>
              <w:rPr>
                <w:lang w:eastAsia="pt-BR"/>
              </w:rPr>
            </w:pPr>
            <w:r w:rsidRPr="00573DEB">
              <w:rPr>
                <w:lang w:eastAsia="pt-BR"/>
              </w:rPr>
              <w:t>Total</w:t>
            </w:r>
          </w:p>
        </w:tc>
      </w:tr>
      <w:tr w:rsidR="00B000C0" w:rsidRPr="00573DEB" w:rsidTr="004B4B73">
        <w:trPr>
          <w:trHeight w:val="300"/>
        </w:trPr>
        <w:tc>
          <w:tcPr>
            <w:tcW w:w="26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Handicraft</w:t>
            </w:r>
          </w:p>
        </w:tc>
        <w:tc>
          <w:tcPr>
            <w:tcW w:w="136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p>
        </w:tc>
        <w:tc>
          <w:tcPr>
            <w:tcW w:w="118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5</w:t>
            </w:r>
          </w:p>
        </w:tc>
        <w:tc>
          <w:tcPr>
            <w:tcW w:w="96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5</w:t>
            </w:r>
          </w:p>
        </w:tc>
      </w:tr>
      <w:tr w:rsidR="00B000C0" w:rsidRPr="00573DEB" w:rsidTr="004B4B73">
        <w:trPr>
          <w:trHeight w:val="300"/>
        </w:trPr>
        <w:tc>
          <w:tcPr>
            <w:tcW w:w="26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Wine/Others Spirit Drinks</w:t>
            </w:r>
          </w:p>
        </w:tc>
        <w:tc>
          <w:tcPr>
            <w:tcW w:w="136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15</w:t>
            </w:r>
          </w:p>
        </w:tc>
        <w:tc>
          <w:tcPr>
            <w:tcW w:w="118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9</w:t>
            </w:r>
          </w:p>
        </w:tc>
        <w:tc>
          <w:tcPr>
            <w:tcW w:w="96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24</w:t>
            </w:r>
          </w:p>
        </w:tc>
      </w:tr>
      <w:tr w:rsidR="00B000C0" w:rsidRPr="00573DEB" w:rsidTr="004B4B73">
        <w:trPr>
          <w:trHeight w:val="300"/>
        </w:trPr>
        <w:tc>
          <w:tcPr>
            <w:tcW w:w="26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Agricultural and Husbandry</w:t>
            </w:r>
          </w:p>
        </w:tc>
        <w:tc>
          <w:tcPr>
            <w:tcW w:w="136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2</w:t>
            </w:r>
          </w:p>
        </w:tc>
        <w:tc>
          <w:tcPr>
            <w:tcW w:w="118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16</w:t>
            </w:r>
          </w:p>
        </w:tc>
        <w:tc>
          <w:tcPr>
            <w:tcW w:w="96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18</w:t>
            </w:r>
          </w:p>
        </w:tc>
      </w:tr>
      <w:tr w:rsidR="00B000C0" w:rsidRPr="00573DEB" w:rsidTr="004B4B73">
        <w:trPr>
          <w:trHeight w:val="300"/>
        </w:trPr>
        <w:tc>
          <w:tcPr>
            <w:tcW w:w="26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Minerals</w:t>
            </w:r>
          </w:p>
        </w:tc>
        <w:tc>
          <w:tcPr>
            <w:tcW w:w="136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p>
        </w:tc>
        <w:tc>
          <w:tcPr>
            <w:tcW w:w="118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9</w:t>
            </w:r>
          </w:p>
        </w:tc>
        <w:tc>
          <w:tcPr>
            <w:tcW w:w="96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9</w:t>
            </w:r>
          </w:p>
        </w:tc>
      </w:tr>
      <w:tr w:rsidR="00B000C0" w:rsidRPr="00573DEB" w:rsidTr="004B4B73">
        <w:trPr>
          <w:trHeight w:val="300"/>
        </w:trPr>
        <w:tc>
          <w:tcPr>
            <w:tcW w:w="266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Others</w:t>
            </w:r>
          </w:p>
        </w:tc>
        <w:tc>
          <w:tcPr>
            <w:tcW w:w="136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1</w:t>
            </w:r>
          </w:p>
        </w:tc>
        <w:tc>
          <w:tcPr>
            <w:tcW w:w="118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10</w:t>
            </w:r>
          </w:p>
        </w:tc>
        <w:tc>
          <w:tcPr>
            <w:tcW w:w="96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11</w:t>
            </w:r>
          </w:p>
        </w:tc>
      </w:tr>
      <w:tr w:rsidR="00B000C0" w:rsidRPr="00573DEB" w:rsidTr="004B4B73">
        <w:trPr>
          <w:trHeight w:val="315"/>
        </w:trPr>
        <w:tc>
          <w:tcPr>
            <w:tcW w:w="2660" w:type="dxa"/>
            <w:tcBorders>
              <w:top w:val="nil"/>
              <w:left w:val="nil"/>
              <w:bottom w:val="single" w:sz="8"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Total</w:t>
            </w:r>
          </w:p>
        </w:tc>
        <w:tc>
          <w:tcPr>
            <w:tcW w:w="1360" w:type="dxa"/>
            <w:tcBorders>
              <w:top w:val="nil"/>
              <w:left w:val="nil"/>
              <w:bottom w:val="single" w:sz="8" w:space="0" w:color="auto"/>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18</w:t>
            </w:r>
          </w:p>
        </w:tc>
        <w:tc>
          <w:tcPr>
            <w:tcW w:w="1180" w:type="dxa"/>
            <w:tcBorders>
              <w:top w:val="nil"/>
              <w:left w:val="nil"/>
              <w:bottom w:val="single" w:sz="8" w:space="0" w:color="auto"/>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49</w:t>
            </w:r>
          </w:p>
        </w:tc>
        <w:tc>
          <w:tcPr>
            <w:tcW w:w="960" w:type="dxa"/>
            <w:tcBorders>
              <w:top w:val="nil"/>
              <w:left w:val="nil"/>
              <w:bottom w:val="single" w:sz="8" w:space="0" w:color="auto"/>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67</w:t>
            </w:r>
          </w:p>
        </w:tc>
      </w:tr>
    </w:tbl>
    <w:p w:rsidR="001336C8" w:rsidRPr="00573DEB" w:rsidRDefault="001336C8" w:rsidP="004B4B73"/>
    <w:p w:rsidR="001336C8" w:rsidRPr="00573DEB" w:rsidRDefault="001336C8">
      <w:pPr>
        <w:widowControl/>
        <w:spacing w:after="200" w:line="276" w:lineRule="auto"/>
      </w:pPr>
      <w:r w:rsidRPr="00573DEB">
        <w:br w:type="page"/>
      </w:r>
    </w:p>
    <w:p w:rsidR="00B000C0" w:rsidRPr="00573DEB" w:rsidRDefault="00B000C0" w:rsidP="004B4B73"/>
    <w:p w:rsidR="00B000C0" w:rsidRPr="00573DEB" w:rsidRDefault="008C2A2F" w:rsidP="001336C8">
      <w:pPr>
        <w:pStyle w:val="Caption"/>
      </w:pPr>
      <w:bookmarkStart w:id="358" w:name="_Toc388620018"/>
      <w:r>
        <w:t xml:space="preserve">Table A.38:  </w:t>
      </w:r>
      <w:r w:rsidR="00B000C0" w:rsidRPr="00573DEB">
        <w:t>Geographical Indication registrations, 2000-2012</w:t>
      </w:r>
      <w:bookmarkEnd w:id="358"/>
    </w:p>
    <w:tbl>
      <w:tblPr>
        <w:tblW w:w="3300" w:type="dxa"/>
        <w:tblInd w:w="55" w:type="dxa"/>
        <w:tblCellMar>
          <w:left w:w="70" w:type="dxa"/>
          <w:right w:w="70" w:type="dxa"/>
        </w:tblCellMar>
        <w:tblLook w:val="04A0" w:firstRow="1" w:lastRow="0" w:firstColumn="1" w:lastColumn="0" w:noHBand="0" w:noVBand="1"/>
      </w:tblPr>
      <w:tblGrid>
        <w:gridCol w:w="1580"/>
        <w:gridCol w:w="1720"/>
      </w:tblGrid>
      <w:tr w:rsidR="00B000C0" w:rsidRPr="00573DEB" w:rsidTr="004B4B73">
        <w:trPr>
          <w:trHeight w:val="600"/>
        </w:trPr>
        <w:tc>
          <w:tcPr>
            <w:tcW w:w="1580"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Year</w:t>
            </w:r>
          </w:p>
        </w:tc>
        <w:tc>
          <w:tcPr>
            <w:tcW w:w="1720"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1336C8">
            <w:pPr>
              <w:jc w:val="center"/>
              <w:rPr>
                <w:lang w:eastAsia="pt-BR"/>
              </w:rPr>
            </w:pPr>
            <w:r w:rsidRPr="00573DEB">
              <w:rPr>
                <w:lang w:eastAsia="pt-BR"/>
              </w:rPr>
              <w:t>Number of Registrations</w:t>
            </w:r>
          </w:p>
        </w:tc>
      </w:tr>
      <w:tr w:rsidR="00B000C0" w:rsidRPr="00573DEB" w:rsidTr="004B4B73">
        <w:trPr>
          <w:trHeight w:val="300"/>
        </w:trPr>
        <w:tc>
          <w:tcPr>
            <w:tcW w:w="158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2000</w:t>
            </w:r>
          </w:p>
        </w:tc>
        <w:tc>
          <w:tcPr>
            <w:tcW w:w="172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1</w:t>
            </w:r>
          </w:p>
        </w:tc>
      </w:tr>
      <w:tr w:rsidR="00B000C0" w:rsidRPr="00573DEB" w:rsidTr="004B4B73">
        <w:trPr>
          <w:trHeight w:val="300"/>
        </w:trPr>
        <w:tc>
          <w:tcPr>
            <w:tcW w:w="158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2001</w:t>
            </w:r>
          </w:p>
        </w:tc>
        <w:tc>
          <w:tcPr>
            <w:tcW w:w="172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0</w:t>
            </w:r>
          </w:p>
        </w:tc>
      </w:tr>
      <w:tr w:rsidR="00B000C0" w:rsidRPr="00573DEB" w:rsidTr="004B4B73">
        <w:trPr>
          <w:trHeight w:val="300"/>
        </w:trPr>
        <w:tc>
          <w:tcPr>
            <w:tcW w:w="158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2002</w:t>
            </w:r>
          </w:p>
        </w:tc>
        <w:tc>
          <w:tcPr>
            <w:tcW w:w="172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1</w:t>
            </w:r>
          </w:p>
        </w:tc>
      </w:tr>
      <w:tr w:rsidR="00B000C0" w:rsidRPr="00573DEB" w:rsidTr="004B4B73">
        <w:trPr>
          <w:trHeight w:val="300"/>
        </w:trPr>
        <w:tc>
          <w:tcPr>
            <w:tcW w:w="158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2003</w:t>
            </w:r>
          </w:p>
        </w:tc>
        <w:tc>
          <w:tcPr>
            <w:tcW w:w="172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1</w:t>
            </w:r>
          </w:p>
        </w:tc>
      </w:tr>
      <w:tr w:rsidR="00B000C0" w:rsidRPr="00573DEB" w:rsidTr="004B4B73">
        <w:trPr>
          <w:trHeight w:val="300"/>
        </w:trPr>
        <w:tc>
          <w:tcPr>
            <w:tcW w:w="158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2004</w:t>
            </w:r>
          </w:p>
        </w:tc>
        <w:tc>
          <w:tcPr>
            <w:tcW w:w="172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0</w:t>
            </w:r>
          </w:p>
        </w:tc>
      </w:tr>
      <w:tr w:rsidR="00B000C0" w:rsidRPr="00573DEB" w:rsidTr="004B4B73">
        <w:trPr>
          <w:trHeight w:val="300"/>
        </w:trPr>
        <w:tc>
          <w:tcPr>
            <w:tcW w:w="158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2005</w:t>
            </w:r>
          </w:p>
        </w:tc>
        <w:tc>
          <w:tcPr>
            <w:tcW w:w="172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1</w:t>
            </w:r>
          </w:p>
        </w:tc>
      </w:tr>
      <w:tr w:rsidR="00B000C0" w:rsidRPr="00573DEB" w:rsidTr="004B4B73">
        <w:trPr>
          <w:trHeight w:val="300"/>
        </w:trPr>
        <w:tc>
          <w:tcPr>
            <w:tcW w:w="158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2006</w:t>
            </w:r>
          </w:p>
        </w:tc>
        <w:tc>
          <w:tcPr>
            <w:tcW w:w="172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1</w:t>
            </w:r>
          </w:p>
        </w:tc>
      </w:tr>
      <w:tr w:rsidR="00B000C0" w:rsidRPr="00573DEB" w:rsidTr="004B4B73">
        <w:trPr>
          <w:trHeight w:val="300"/>
        </w:trPr>
        <w:tc>
          <w:tcPr>
            <w:tcW w:w="158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2007</w:t>
            </w:r>
          </w:p>
        </w:tc>
        <w:tc>
          <w:tcPr>
            <w:tcW w:w="172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1</w:t>
            </w:r>
          </w:p>
        </w:tc>
      </w:tr>
      <w:tr w:rsidR="00B000C0" w:rsidRPr="00573DEB" w:rsidTr="004B4B73">
        <w:trPr>
          <w:trHeight w:val="300"/>
        </w:trPr>
        <w:tc>
          <w:tcPr>
            <w:tcW w:w="158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2008</w:t>
            </w:r>
          </w:p>
        </w:tc>
        <w:tc>
          <w:tcPr>
            <w:tcW w:w="172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0</w:t>
            </w:r>
          </w:p>
        </w:tc>
      </w:tr>
      <w:tr w:rsidR="00B000C0" w:rsidRPr="00573DEB" w:rsidTr="004B4B73">
        <w:trPr>
          <w:trHeight w:val="300"/>
        </w:trPr>
        <w:tc>
          <w:tcPr>
            <w:tcW w:w="158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2009</w:t>
            </w:r>
          </w:p>
        </w:tc>
        <w:tc>
          <w:tcPr>
            <w:tcW w:w="172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3</w:t>
            </w:r>
          </w:p>
        </w:tc>
      </w:tr>
      <w:tr w:rsidR="00B000C0" w:rsidRPr="00573DEB" w:rsidTr="004B4B73">
        <w:trPr>
          <w:trHeight w:val="300"/>
        </w:trPr>
        <w:tc>
          <w:tcPr>
            <w:tcW w:w="158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2010</w:t>
            </w:r>
          </w:p>
        </w:tc>
        <w:tc>
          <w:tcPr>
            <w:tcW w:w="172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2</w:t>
            </w:r>
          </w:p>
        </w:tc>
      </w:tr>
      <w:tr w:rsidR="00B000C0" w:rsidRPr="00573DEB" w:rsidTr="004B4B73">
        <w:trPr>
          <w:trHeight w:val="300"/>
        </w:trPr>
        <w:tc>
          <w:tcPr>
            <w:tcW w:w="158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2011</w:t>
            </w:r>
          </w:p>
        </w:tc>
        <w:tc>
          <w:tcPr>
            <w:tcW w:w="172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7</w:t>
            </w:r>
          </w:p>
        </w:tc>
      </w:tr>
      <w:tr w:rsidR="00B000C0" w:rsidRPr="00573DEB" w:rsidTr="004B4B73">
        <w:trPr>
          <w:trHeight w:val="300"/>
        </w:trPr>
        <w:tc>
          <w:tcPr>
            <w:tcW w:w="1580" w:type="dxa"/>
            <w:tcBorders>
              <w:top w:val="nil"/>
              <w:left w:val="nil"/>
              <w:bottom w:val="nil"/>
              <w:right w:val="nil"/>
            </w:tcBorders>
            <w:shd w:val="clear" w:color="auto" w:fill="auto"/>
            <w:noWrap/>
            <w:vAlign w:val="bottom"/>
            <w:hideMark/>
          </w:tcPr>
          <w:p w:rsidR="00B000C0" w:rsidRPr="00573DEB" w:rsidRDefault="00B000C0" w:rsidP="004B4B73">
            <w:pPr>
              <w:rPr>
                <w:lang w:eastAsia="pt-BR"/>
              </w:rPr>
            </w:pPr>
            <w:r w:rsidRPr="00573DEB">
              <w:rPr>
                <w:lang w:eastAsia="pt-BR"/>
              </w:rPr>
              <w:t>2012</w:t>
            </w:r>
          </w:p>
        </w:tc>
        <w:tc>
          <w:tcPr>
            <w:tcW w:w="1720" w:type="dxa"/>
            <w:tcBorders>
              <w:top w:val="nil"/>
              <w:left w:val="nil"/>
              <w:bottom w:val="nil"/>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20</w:t>
            </w:r>
          </w:p>
        </w:tc>
      </w:tr>
      <w:tr w:rsidR="00B000C0" w:rsidRPr="00573DEB" w:rsidTr="004B4B73">
        <w:trPr>
          <w:trHeight w:val="315"/>
        </w:trPr>
        <w:tc>
          <w:tcPr>
            <w:tcW w:w="1580" w:type="dxa"/>
            <w:tcBorders>
              <w:top w:val="nil"/>
              <w:left w:val="nil"/>
              <w:bottom w:val="single" w:sz="8" w:space="0" w:color="auto"/>
              <w:right w:val="nil"/>
            </w:tcBorders>
            <w:shd w:val="clear" w:color="auto" w:fill="auto"/>
            <w:noWrap/>
            <w:vAlign w:val="bottom"/>
            <w:hideMark/>
          </w:tcPr>
          <w:p w:rsidR="00B000C0" w:rsidRPr="00573DEB" w:rsidRDefault="00B000C0" w:rsidP="004B4B73">
            <w:pPr>
              <w:rPr>
                <w:lang w:eastAsia="pt-BR"/>
              </w:rPr>
            </w:pPr>
            <w:r w:rsidRPr="00573DEB">
              <w:rPr>
                <w:lang w:eastAsia="pt-BR"/>
              </w:rPr>
              <w:t>Total</w:t>
            </w:r>
          </w:p>
        </w:tc>
        <w:tc>
          <w:tcPr>
            <w:tcW w:w="1720" w:type="dxa"/>
            <w:tcBorders>
              <w:top w:val="nil"/>
              <w:left w:val="nil"/>
              <w:bottom w:val="single" w:sz="8" w:space="0" w:color="auto"/>
              <w:right w:val="nil"/>
            </w:tcBorders>
            <w:shd w:val="clear" w:color="auto" w:fill="auto"/>
            <w:noWrap/>
            <w:vAlign w:val="bottom"/>
            <w:hideMark/>
          </w:tcPr>
          <w:p w:rsidR="00B000C0" w:rsidRPr="00573DEB" w:rsidRDefault="00B000C0" w:rsidP="001336C8">
            <w:pPr>
              <w:jc w:val="center"/>
              <w:rPr>
                <w:lang w:eastAsia="pt-BR"/>
              </w:rPr>
            </w:pPr>
            <w:r w:rsidRPr="00573DEB">
              <w:rPr>
                <w:lang w:eastAsia="pt-BR"/>
              </w:rPr>
              <w:t>38</w:t>
            </w:r>
          </w:p>
        </w:tc>
      </w:tr>
    </w:tbl>
    <w:p w:rsidR="00B000C0" w:rsidRPr="00573DEB" w:rsidRDefault="00B000C0" w:rsidP="004B4B73"/>
    <w:p w:rsidR="00B000C0" w:rsidRPr="00573DEB" w:rsidRDefault="00B000C0" w:rsidP="004B4B73">
      <w:pPr>
        <w:pStyle w:val="Heading1"/>
      </w:pPr>
      <w:bookmarkStart w:id="359" w:name="_Toc388620019"/>
      <w:r w:rsidRPr="00573DEB">
        <w:t>Contracts</w:t>
      </w:r>
      <w:bookmarkEnd w:id="359"/>
      <w:r w:rsidRPr="00573DEB">
        <w:t xml:space="preserve"> </w:t>
      </w:r>
    </w:p>
    <w:p w:rsidR="001336C8" w:rsidRPr="00573DEB" w:rsidRDefault="001336C8" w:rsidP="001336C8">
      <w:bookmarkStart w:id="360" w:name="_Toc388620020"/>
    </w:p>
    <w:p w:rsidR="00B000C0" w:rsidRPr="00573DEB" w:rsidRDefault="008C2A2F" w:rsidP="001336C8">
      <w:pPr>
        <w:pStyle w:val="Caption"/>
      </w:pPr>
      <w:r>
        <w:t xml:space="preserve">Table A.39:  </w:t>
      </w:r>
      <w:r w:rsidR="001336C8" w:rsidRPr="00573DEB">
        <w:t>Technological c</w:t>
      </w:r>
      <w:r w:rsidR="00B000C0" w:rsidRPr="00573DEB">
        <w:t>ontract registrations, 2000-2012</w:t>
      </w:r>
      <w:bookmarkEnd w:id="360"/>
    </w:p>
    <w:tbl>
      <w:tblPr>
        <w:tblW w:w="2850" w:type="dxa"/>
        <w:tblInd w:w="55" w:type="dxa"/>
        <w:tblCellMar>
          <w:left w:w="70" w:type="dxa"/>
          <w:right w:w="70" w:type="dxa"/>
        </w:tblCellMar>
        <w:tblLook w:val="04A0" w:firstRow="1" w:lastRow="0" w:firstColumn="1" w:lastColumn="0" w:noHBand="0" w:noVBand="1"/>
      </w:tblPr>
      <w:tblGrid>
        <w:gridCol w:w="1149"/>
        <w:gridCol w:w="1701"/>
      </w:tblGrid>
      <w:tr w:rsidR="00B000C0" w:rsidRPr="00573DEB" w:rsidTr="004B4B73">
        <w:trPr>
          <w:trHeight w:val="600"/>
        </w:trPr>
        <w:tc>
          <w:tcPr>
            <w:tcW w:w="1149"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4B4B73">
            <w:pPr>
              <w:rPr>
                <w:lang w:eastAsia="pt-BR"/>
              </w:rPr>
            </w:pPr>
            <w:r w:rsidRPr="00573DEB">
              <w:rPr>
                <w:lang w:eastAsia="pt-BR"/>
              </w:rPr>
              <w:t>Year</w:t>
            </w:r>
          </w:p>
        </w:tc>
        <w:tc>
          <w:tcPr>
            <w:tcW w:w="1701"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1336C8">
            <w:pPr>
              <w:jc w:val="center"/>
              <w:rPr>
                <w:lang w:eastAsia="pt-BR"/>
              </w:rPr>
            </w:pPr>
            <w:r w:rsidRPr="00573DEB">
              <w:rPr>
                <w:lang w:eastAsia="pt-BR"/>
              </w:rPr>
              <w:t>Number of Registrations</w:t>
            </w:r>
          </w:p>
        </w:tc>
      </w:tr>
      <w:tr w:rsidR="00B000C0" w:rsidRPr="00573DEB" w:rsidTr="004B4B73">
        <w:trPr>
          <w:trHeight w:val="300"/>
        </w:trPr>
        <w:tc>
          <w:tcPr>
            <w:tcW w:w="1149"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2000</w:t>
            </w:r>
          </w:p>
        </w:tc>
        <w:tc>
          <w:tcPr>
            <w:tcW w:w="1701" w:type="dxa"/>
            <w:tcBorders>
              <w:top w:val="nil"/>
              <w:left w:val="nil"/>
              <w:bottom w:val="nil"/>
              <w:right w:val="nil"/>
            </w:tcBorders>
            <w:shd w:val="clear" w:color="auto" w:fill="auto"/>
            <w:noWrap/>
            <w:vAlign w:val="center"/>
            <w:hideMark/>
          </w:tcPr>
          <w:p w:rsidR="00B000C0" w:rsidRPr="00573DEB" w:rsidRDefault="00B000C0" w:rsidP="001336C8">
            <w:pPr>
              <w:jc w:val="center"/>
              <w:rPr>
                <w:lang w:eastAsia="pt-BR"/>
              </w:rPr>
            </w:pPr>
            <w:r w:rsidRPr="00573DEB">
              <w:rPr>
                <w:lang w:eastAsia="pt-BR"/>
              </w:rPr>
              <w:t>1,212</w:t>
            </w:r>
          </w:p>
        </w:tc>
      </w:tr>
      <w:tr w:rsidR="00B000C0" w:rsidRPr="00573DEB" w:rsidTr="004B4B73">
        <w:trPr>
          <w:trHeight w:val="300"/>
        </w:trPr>
        <w:tc>
          <w:tcPr>
            <w:tcW w:w="1149"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2001</w:t>
            </w:r>
          </w:p>
        </w:tc>
        <w:tc>
          <w:tcPr>
            <w:tcW w:w="1701" w:type="dxa"/>
            <w:tcBorders>
              <w:top w:val="nil"/>
              <w:left w:val="nil"/>
              <w:bottom w:val="nil"/>
              <w:right w:val="nil"/>
            </w:tcBorders>
            <w:shd w:val="clear" w:color="auto" w:fill="auto"/>
            <w:noWrap/>
            <w:vAlign w:val="center"/>
            <w:hideMark/>
          </w:tcPr>
          <w:p w:rsidR="00B000C0" w:rsidRPr="00573DEB" w:rsidRDefault="00B000C0" w:rsidP="001336C8">
            <w:pPr>
              <w:jc w:val="center"/>
              <w:rPr>
                <w:lang w:eastAsia="pt-BR"/>
              </w:rPr>
            </w:pPr>
            <w:r w:rsidRPr="00573DEB">
              <w:rPr>
                <w:lang w:eastAsia="pt-BR"/>
              </w:rPr>
              <w:t>1,359</w:t>
            </w:r>
          </w:p>
        </w:tc>
      </w:tr>
      <w:tr w:rsidR="00B000C0" w:rsidRPr="00573DEB" w:rsidTr="004B4B73">
        <w:trPr>
          <w:trHeight w:val="300"/>
        </w:trPr>
        <w:tc>
          <w:tcPr>
            <w:tcW w:w="1149"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2002</w:t>
            </w:r>
          </w:p>
        </w:tc>
        <w:tc>
          <w:tcPr>
            <w:tcW w:w="1701" w:type="dxa"/>
            <w:tcBorders>
              <w:top w:val="nil"/>
              <w:left w:val="nil"/>
              <w:bottom w:val="nil"/>
              <w:right w:val="nil"/>
            </w:tcBorders>
            <w:shd w:val="clear" w:color="auto" w:fill="auto"/>
            <w:noWrap/>
            <w:vAlign w:val="center"/>
            <w:hideMark/>
          </w:tcPr>
          <w:p w:rsidR="00B000C0" w:rsidRPr="00573DEB" w:rsidRDefault="00B000C0" w:rsidP="001336C8">
            <w:pPr>
              <w:jc w:val="center"/>
              <w:rPr>
                <w:lang w:eastAsia="pt-BR"/>
              </w:rPr>
            </w:pPr>
            <w:r w:rsidRPr="00573DEB">
              <w:rPr>
                <w:lang w:eastAsia="pt-BR"/>
              </w:rPr>
              <w:t>1,351</w:t>
            </w:r>
          </w:p>
        </w:tc>
      </w:tr>
      <w:tr w:rsidR="00B000C0" w:rsidRPr="00573DEB" w:rsidTr="004B4B73">
        <w:trPr>
          <w:trHeight w:val="300"/>
        </w:trPr>
        <w:tc>
          <w:tcPr>
            <w:tcW w:w="1149"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2003</w:t>
            </w:r>
          </w:p>
        </w:tc>
        <w:tc>
          <w:tcPr>
            <w:tcW w:w="1701" w:type="dxa"/>
            <w:tcBorders>
              <w:top w:val="nil"/>
              <w:left w:val="nil"/>
              <w:bottom w:val="nil"/>
              <w:right w:val="nil"/>
            </w:tcBorders>
            <w:shd w:val="clear" w:color="auto" w:fill="auto"/>
            <w:noWrap/>
            <w:vAlign w:val="center"/>
            <w:hideMark/>
          </w:tcPr>
          <w:p w:rsidR="00B000C0" w:rsidRPr="00573DEB" w:rsidRDefault="00B000C0" w:rsidP="001336C8">
            <w:pPr>
              <w:jc w:val="center"/>
              <w:rPr>
                <w:lang w:eastAsia="pt-BR"/>
              </w:rPr>
            </w:pPr>
            <w:r w:rsidRPr="00573DEB">
              <w:rPr>
                <w:lang w:eastAsia="pt-BR"/>
              </w:rPr>
              <w:t>1,112</w:t>
            </w:r>
          </w:p>
        </w:tc>
      </w:tr>
      <w:tr w:rsidR="00B000C0" w:rsidRPr="00573DEB" w:rsidTr="004B4B73">
        <w:trPr>
          <w:trHeight w:val="300"/>
        </w:trPr>
        <w:tc>
          <w:tcPr>
            <w:tcW w:w="1149"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2004</w:t>
            </w:r>
          </w:p>
        </w:tc>
        <w:tc>
          <w:tcPr>
            <w:tcW w:w="1701" w:type="dxa"/>
            <w:tcBorders>
              <w:top w:val="nil"/>
              <w:left w:val="nil"/>
              <w:bottom w:val="nil"/>
              <w:right w:val="nil"/>
            </w:tcBorders>
            <w:shd w:val="clear" w:color="auto" w:fill="auto"/>
            <w:noWrap/>
            <w:vAlign w:val="center"/>
            <w:hideMark/>
          </w:tcPr>
          <w:p w:rsidR="00B000C0" w:rsidRPr="00573DEB" w:rsidRDefault="00B000C0" w:rsidP="001336C8">
            <w:pPr>
              <w:jc w:val="center"/>
              <w:rPr>
                <w:lang w:eastAsia="pt-BR"/>
              </w:rPr>
            </w:pPr>
            <w:r w:rsidRPr="00573DEB">
              <w:rPr>
                <w:lang w:eastAsia="pt-BR"/>
              </w:rPr>
              <w:t>992</w:t>
            </w:r>
          </w:p>
        </w:tc>
      </w:tr>
      <w:tr w:rsidR="00B000C0" w:rsidRPr="00573DEB" w:rsidTr="004B4B73">
        <w:trPr>
          <w:trHeight w:val="300"/>
        </w:trPr>
        <w:tc>
          <w:tcPr>
            <w:tcW w:w="1149"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2005</w:t>
            </w:r>
          </w:p>
        </w:tc>
        <w:tc>
          <w:tcPr>
            <w:tcW w:w="1701" w:type="dxa"/>
            <w:tcBorders>
              <w:top w:val="nil"/>
              <w:left w:val="nil"/>
              <w:bottom w:val="nil"/>
              <w:right w:val="nil"/>
            </w:tcBorders>
            <w:shd w:val="clear" w:color="auto" w:fill="auto"/>
            <w:noWrap/>
            <w:vAlign w:val="center"/>
            <w:hideMark/>
          </w:tcPr>
          <w:p w:rsidR="00B000C0" w:rsidRPr="00573DEB" w:rsidRDefault="00B000C0" w:rsidP="001336C8">
            <w:pPr>
              <w:jc w:val="center"/>
              <w:rPr>
                <w:lang w:eastAsia="pt-BR"/>
              </w:rPr>
            </w:pPr>
            <w:r w:rsidRPr="00573DEB">
              <w:rPr>
                <w:lang w:eastAsia="pt-BR"/>
              </w:rPr>
              <w:t>995</w:t>
            </w:r>
          </w:p>
        </w:tc>
      </w:tr>
      <w:tr w:rsidR="00B000C0" w:rsidRPr="00573DEB" w:rsidTr="004B4B73">
        <w:trPr>
          <w:trHeight w:val="300"/>
        </w:trPr>
        <w:tc>
          <w:tcPr>
            <w:tcW w:w="1149"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2006</w:t>
            </w:r>
          </w:p>
        </w:tc>
        <w:tc>
          <w:tcPr>
            <w:tcW w:w="1701" w:type="dxa"/>
            <w:tcBorders>
              <w:top w:val="nil"/>
              <w:left w:val="nil"/>
              <w:bottom w:val="nil"/>
              <w:right w:val="nil"/>
            </w:tcBorders>
            <w:shd w:val="clear" w:color="auto" w:fill="auto"/>
            <w:noWrap/>
            <w:vAlign w:val="center"/>
            <w:hideMark/>
          </w:tcPr>
          <w:p w:rsidR="00B000C0" w:rsidRPr="00573DEB" w:rsidRDefault="00B000C0" w:rsidP="001336C8">
            <w:pPr>
              <w:jc w:val="center"/>
              <w:rPr>
                <w:lang w:eastAsia="pt-BR"/>
              </w:rPr>
            </w:pPr>
            <w:r w:rsidRPr="00573DEB">
              <w:rPr>
                <w:lang w:eastAsia="pt-BR"/>
              </w:rPr>
              <w:t>1,049</w:t>
            </w:r>
          </w:p>
        </w:tc>
      </w:tr>
      <w:tr w:rsidR="00B000C0" w:rsidRPr="00573DEB" w:rsidTr="004B4B73">
        <w:trPr>
          <w:trHeight w:val="300"/>
        </w:trPr>
        <w:tc>
          <w:tcPr>
            <w:tcW w:w="1149"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2007</w:t>
            </w:r>
          </w:p>
        </w:tc>
        <w:tc>
          <w:tcPr>
            <w:tcW w:w="1701" w:type="dxa"/>
            <w:tcBorders>
              <w:top w:val="nil"/>
              <w:left w:val="nil"/>
              <w:bottom w:val="nil"/>
              <w:right w:val="nil"/>
            </w:tcBorders>
            <w:shd w:val="clear" w:color="auto" w:fill="auto"/>
            <w:noWrap/>
            <w:vAlign w:val="center"/>
            <w:hideMark/>
          </w:tcPr>
          <w:p w:rsidR="00B000C0" w:rsidRPr="00573DEB" w:rsidRDefault="00B000C0" w:rsidP="001336C8">
            <w:pPr>
              <w:jc w:val="center"/>
              <w:rPr>
                <w:lang w:eastAsia="pt-BR"/>
              </w:rPr>
            </w:pPr>
            <w:r w:rsidRPr="00573DEB">
              <w:rPr>
                <w:lang w:eastAsia="pt-BR"/>
              </w:rPr>
              <w:t>1,005</w:t>
            </w:r>
          </w:p>
        </w:tc>
      </w:tr>
      <w:tr w:rsidR="00B000C0" w:rsidRPr="00573DEB" w:rsidTr="004B4B73">
        <w:trPr>
          <w:trHeight w:val="300"/>
        </w:trPr>
        <w:tc>
          <w:tcPr>
            <w:tcW w:w="1149"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2008</w:t>
            </w:r>
          </w:p>
        </w:tc>
        <w:tc>
          <w:tcPr>
            <w:tcW w:w="1701" w:type="dxa"/>
            <w:tcBorders>
              <w:top w:val="nil"/>
              <w:left w:val="nil"/>
              <w:bottom w:val="nil"/>
              <w:right w:val="nil"/>
            </w:tcBorders>
            <w:shd w:val="clear" w:color="auto" w:fill="auto"/>
            <w:noWrap/>
            <w:vAlign w:val="center"/>
            <w:hideMark/>
          </w:tcPr>
          <w:p w:rsidR="00B000C0" w:rsidRPr="00573DEB" w:rsidRDefault="00B000C0" w:rsidP="001336C8">
            <w:pPr>
              <w:jc w:val="center"/>
              <w:rPr>
                <w:lang w:eastAsia="pt-BR"/>
              </w:rPr>
            </w:pPr>
            <w:r w:rsidRPr="00573DEB">
              <w:rPr>
                <w:lang w:eastAsia="pt-BR"/>
              </w:rPr>
              <w:t>979</w:t>
            </w:r>
          </w:p>
        </w:tc>
      </w:tr>
      <w:tr w:rsidR="00B000C0" w:rsidRPr="00573DEB" w:rsidTr="004B4B73">
        <w:trPr>
          <w:trHeight w:val="300"/>
        </w:trPr>
        <w:tc>
          <w:tcPr>
            <w:tcW w:w="1149"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2009</w:t>
            </w:r>
          </w:p>
        </w:tc>
        <w:tc>
          <w:tcPr>
            <w:tcW w:w="1701" w:type="dxa"/>
            <w:tcBorders>
              <w:top w:val="nil"/>
              <w:left w:val="nil"/>
              <w:bottom w:val="nil"/>
              <w:right w:val="nil"/>
            </w:tcBorders>
            <w:shd w:val="clear" w:color="auto" w:fill="auto"/>
            <w:noWrap/>
            <w:vAlign w:val="center"/>
            <w:hideMark/>
          </w:tcPr>
          <w:p w:rsidR="00B000C0" w:rsidRPr="00573DEB" w:rsidRDefault="00B000C0" w:rsidP="001336C8">
            <w:pPr>
              <w:jc w:val="center"/>
              <w:rPr>
                <w:lang w:eastAsia="pt-BR"/>
              </w:rPr>
            </w:pPr>
            <w:r w:rsidRPr="00573DEB">
              <w:rPr>
                <w:lang w:eastAsia="pt-BR"/>
              </w:rPr>
              <w:t>1,026</w:t>
            </w:r>
          </w:p>
        </w:tc>
      </w:tr>
      <w:tr w:rsidR="00B000C0" w:rsidRPr="00573DEB" w:rsidTr="004B4B73">
        <w:trPr>
          <w:trHeight w:val="300"/>
        </w:trPr>
        <w:tc>
          <w:tcPr>
            <w:tcW w:w="1149"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2010</w:t>
            </w:r>
          </w:p>
        </w:tc>
        <w:tc>
          <w:tcPr>
            <w:tcW w:w="1701" w:type="dxa"/>
            <w:tcBorders>
              <w:top w:val="nil"/>
              <w:left w:val="nil"/>
              <w:bottom w:val="nil"/>
              <w:right w:val="nil"/>
            </w:tcBorders>
            <w:shd w:val="clear" w:color="auto" w:fill="auto"/>
            <w:noWrap/>
            <w:vAlign w:val="center"/>
            <w:hideMark/>
          </w:tcPr>
          <w:p w:rsidR="00B000C0" w:rsidRPr="00573DEB" w:rsidRDefault="00B000C0" w:rsidP="001336C8">
            <w:pPr>
              <w:jc w:val="center"/>
              <w:rPr>
                <w:lang w:eastAsia="pt-BR"/>
              </w:rPr>
            </w:pPr>
            <w:r w:rsidRPr="00573DEB">
              <w:rPr>
                <w:lang w:eastAsia="pt-BR"/>
              </w:rPr>
              <w:t>987</w:t>
            </w:r>
          </w:p>
        </w:tc>
      </w:tr>
      <w:tr w:rsidR="00B000C0" w:rsidRPr="00573DEB" w:rsidTr="004B4B73">
        <w:trPr>
          <w:trHeight w:val="300"/>
        </w:trPr>
        <w:tc>
          <w:tcPr>
            <w:tcW w:w="1149"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2011</w:t>
            </w:r>
          </w:p>
        </w:tc>
        <w:tc>
          <w:tcPr>
            <w:tcW w:w="1701" w:type="dxa"/>
            <w:tcBorders>
              <w:top w:val="nil"/>
              <w:left w:val="nil"/>
              <w:bottom w:val="nil"/>
              <w:right w:val="nil"/>
            </w:tcBorders>
            <w:shd w:val="clear" w:color="auto" w:fill="auto"/>
            <w:noWrap/>
            <w:vAlign w:val="center"/>
            <w:hideMark/>
          </w:tcPr>
          <w:p w:rsidR="00B000C0" w:rsidRPr="00573DEB" w:rsidRDefault="00B000C0" w:rsidP="001336C8">
            <w:pPr>
              <w:jc w:val="center"/>
              <w:rPr>
                <w:lang w:eastAsia="pt-BR"/>
              </w:rPr>
            </w:pPr>
            <w:r w:rsidRPr="00573DEB">
              <w:rPr>
                <w:lang w:eastAsia="pt-BR"/>
              </w:rPr>
              <w:t>1,131</w:t>
            </w:r>
          </w:p>
        </w:tc>
      </w:tr>
      <w:tr w:rsidR="00B000C0" w:rsidRPr="00573DEB" w:rsidTr="004B4B73">
        <w:trPr>
          <w:trHeight w:val="315"/>
        </w:trPr>
        <w:tc>
          <w:tcPr>
            <w:tcW w:w="1149" w:type="dxa"/>
            <w:tcBorders>
              <w:top w:val="nil"/>
              <w:left w:val="nil"/>
              <w:bottom w:val="single" w:sz="8"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2012</w:t>
            </w:r>
          </w:p>
        </w:tc>
        <w:tc>
          <w:tcPr>
            <w:tcW w:w="1701" w:type="dxa"/>
            <w:tcBorders>
              <w:top w:val="nil"/>
              <w:left w:val="nil"/>
              <w:bottom w:val="single" w:sz="8" w:space="0" w:color="auto"/>
              <w:right w:val="nil"/>
            </w:tcBorders>
            <w:shd w:val="clear" w:color="auto" w:fill="auto"/>
            <w:noWrap/>
            <w:vAlign w:val="center"/>
            <w:hideMark/>
          </w:tcPr>
          <w:p w:rsidR="00B000C0" w:rsidRPr="00573DEB" w:rsidRDefault="00B000C0" w:rsidP="001336C8">
            <w:pPr>
              <w:jc w:val="center"/>
              <w:rPr>
                <w:lang w:eastAsia="pt-BR"/>
              </w:rPr>
            </w:pPr>
            <w:r w:rsidRPr="00573DEB">
              <w:rPr>
                <w:lang w:eastAsia="pt-BR"/>
              </w:rPr>
              <w:t>1,238</w:t>
            </w:r>
          </w:p>
        </w:tc>
      </w:tr>
    </w:tbl>
    <w:p w:rsidR="001336C8" w:rsidRPr="00573DEB" w:rsidRDefault="001336C8" w:rsidP="004B4B73"/>
    <w:p w:rsidR="001336C8" w:rsidRPr="00573DEB" w:rsidRDefault="001336C8">
      <w:pPr>
        <w:widowControl/>
        <w:spacing w:after="200" w:line="276" w:lineRule="auto"/>
      </w:pPr>
      <w:r w:rsidRPr="00573DEB">
        <w:br w:type="page"/>
      </w:r>
    </w:p>
    <w:p w:rsidR="00B000C0" w:rsidRPr="00573DEB" w:rsidRDefault="00B000C0" w:rsidP="004B4B73"/>
    <w:p w:rsidR="00B000C0" w:rsidRPr="00573DEB" w:rsidRDefault="008C2A2F" w:rsidP="001336C8">
      <w:pPr>
        <w:pStyle w:val="Caption"/>
      </w:pPr>
      <w:bookmarkStart w:id="361" w:name="_Toc388620021"/>
      <w:r>
        <w:t xml:space="preserve">Table A.40:  </w:t>
      </w:r>
      <w:r w:rsidR="001336C8" w:rsidRPr="00573DEB">
        <w:t xml:space="preserve">Technological contract </w:t>
      </w:r>
      <w:r w:rsidR="00B000C0" w:rsidRPr="00573DEB">
        <w:t>registrations by type of business, 2000-2012</w:t>
      </w:r>
      <w:bookmarkEnd w:id="361"/>
    </w:p>
    <w:tbl>
      <w:tblPr>
        <w:tblW w:w="6804" w:type="dxa"/>
        <w:tblInd w:w="55" w:type="dxa"/>
        <w:tblCellMar>
          <w:left w:w="70" w:type="dxa"/>
          <w:right w:w="70" w:type="dxa"/>
        </w:tblCellMar>
        <w:tblLook w:val="04A0" w:firstRow="1" w:lastRow="0" w:firstColumn="1" w:lastColumn="0" w:noHBand="0" w:noVBand="1"/>
      </w:tblPr>
      <w:tblGrid>
        <w:gridCol w:w="1134"/>
        <w:gridCol w:w="1134"/>
        <w:gridCol w:w="1134"/>
        <w:gridCol w:w="1134"/>
        <w:gridCol w:w="1134"/>
        <w:gridCol w:w="1134"/>
      </w:tblGrid>
      <w:tr w:rsidR="00B000C0" w:rsidRPr="00573DEB" w:rsidTr="004B4B73">
        <w:trPr>
          <w:trHeight w:val="600"/>
        </w:trPr>
        <w:tc>
          <w:tcPr>
            <w:tcW w:w="1134" w:type="dxa"/>
            <w:tcBorders>
              <w:top w:val="single" w:sz="8" w:space="0" w:color="auto"/>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Year</w:t>
            </w:r>
          </w:p>
        </w:tc>
        <w:tc>
          <w:tcPr>
            <w:tcW w:w="1134"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4B4B73">
            <w:pPr>
              <w:rPr>
                <w:lang w:eastAsia="pt-BR"/>
              </w:rPr>
            </w:pPr>
            <w:r w:rsidRPr="00573DEB">
              <w:rPr>
                <w:lang w:eastAsia="pt-BR"/>
              </w:rPr>
              <w:t xml:space="preserve">Between </w:t>
            </w:r>
          </w:p>
          <w:p w:rsidR="00B000C0" w:rsidRPr="00573DEB" w:rsidRDefault="00B000C0" w:rsidP="004B4B73">
            <w:pPr>
              <w:rPr>
                <w:lang w:eastAsia="pt-BR"/>
              </w:rPr>
            </w:pPr>
            <w:r w:rsidRPr="00573DEB">
              <w:rPr>
                <w:lang w:eastAsia="pt-BR"/>
              </w:rPr>
              <w:t>non-residents</w:t>
            </w:r>
          </w:p>
        </w:tc>
        <w:tc>
          <w:tcPr>
            <w:tcW w:w="1134"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4B4B73">
            <w:pPr>
              <w:rPr>
                <w:lang w:eastAsia="pt-BR"/>
              </w:rPr>
            </w:pPr>
            <w:r w:rsidRPr="00573DEB">
              <w:rPr>
                <w:lang w:eastAsia="pt-BR"/>
              </w:rPr>
              <w:t>Between  residents</w:t>
            </w:r>
          </w:p>
        </w:tc>
        <w:tc>
          <w:tcPr>
            <w:tcW w:w="1134"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4B4B73">
            <w:pPr>
              <w:rPr>
                <w:lang w:eastAsia="pt-BR"/>
              </w:rPr>
            </w:pPr>
            <w:r w:rsidRPr="00573DEB">
              <w:rPr>
                <w:lang w:eastAsia="pt-BR"/>
              </w:rPr>
              <w:t>Export</w:t>
            </w:r>
          </w:p>
        </w:tc>
        <w:tc>
          <w:tcPr>
            <w:tcW w:w="1134"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4B4B73">
            <w:pPr>
              <w:rPr>
                <w:lang w:eastAsia="pt-BR"/>
              </w:rPr>
            </w:pPr>
            <w:r w:rsidRPr="00573DEB">
              <w:rPr>
                <w:lang w:eastAsia="pt-BR"/>
              </w:rPr>
              <w:t>Import</w:t>
            </w:r>
          </w:p>
        </w:tc>
        <w:tc>
          <w:tcPr>
            <w:tcW w:w="1134"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4B4B73">
            <w:pPr>
              <w:rPr>
                <w:lang w:eastAsia="pt-BR"/>
              </w:rPr>
            </w:pPr>
            <w:r w:rsidRPr="00573DEB">
              <w:rPr>
                <w:lang w:eastAsia="pt-BR"/>
              </w:rPr>
              <w:t>Total</w:t>
            </w:r>
          </w:p>
        </w:tc>
      </w:tr>
      <w:tr w:rsidR="00B000C0" w:rsidRPr="00573DEB" w:rsidTr="004B4B73">
        <w:trPr>
          <w:trHeight w:val="300"/>
        </w:trPr>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2000</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11</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79</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1,122</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1,212</w:t>
            </w:r>
          </w:p>
        </w:tc>
      </w:tr>
      <w:tr w:rsidR="00B000C0" w:rsidRPr="00573DEB" w:rsidTr="004B4B73">
        <w:trPr>
          <w:trHeight w:val="300"/>
        </w:trPr>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2001</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11</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63</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1,284</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1,359</w:t>
            </w:r>
          </w:p>
        </w:tc>
      </w:tr>
      <w:tr w:rsidR="00B000C0" w:rsidRPr="00573DEB" w:rsidTr="004B4B73">
        <w:trPr>
          <w:trHeight w:val="300"/>
        </w:trPr>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2002</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12</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56</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1,282</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1,351</w:t>
            </w:r>
          </w:p>
        </w:tc>
      </w:tr>
      <w:tr w:rsidR="00B000C0" w:rsidRPr="00573DEB" w:rsidTr="004B4B73">
        <w:trPr>
          <w:trHeight w:val="300"/>
        </w:trPr>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2003</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21</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50</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1,039</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1,112</w:t>
            </w:r>
          </w:p>
        </w:tc>
      </w:tr>
      <w:tr w:rsidR="00B000C0" w:rsidRPr="00573DEB" w:rsidTr="004B4B73">
        <w:trPr>
          <w:trHeight w:val="300"/>
        </w:trPr>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2004</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7</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47</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937</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992</w:t>
            </w:r>
          </w:p>
        </w:tc>
      </w:tr>
      <w:tr w:rsidR="00B000C0" w:rsidRPr="00573DEB" w:rsidTr="004B4B73">
        <w:trPr>
          <w:trHeight w:val="300"/>
        </w:trPr>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2005</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11</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52</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930</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995</w:t>
            </w:r>
          </w:p>
        </w:tc>
      </w:tr>
      <w:tr w:rsidR="00B000C0" w:rsidRPr="00573DEB" w:rsidTr="004B4B73">
        <w:trPr>
          <w:trHeight w:val="300"/>
        </w:trPr>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2006</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8</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77</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964</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1,049</w:t>
            </w:r>
          </w:p>
        </w:tc>
      </w:tr>
      <w:tr w:rsidR="00B000C0" w:rsidRPr="00573DEB" w:rsidTr="004B4B73">
        <w:trPr>
          <w:trHeight w:val="300"/>
        </w:trPr>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2007</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13</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63</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928</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1,005</w:t>
            </w:r>
          </w:p>
        </w:tc>
      </w:tr>
      <w:tr w:rsidR="00B000C0" w:rsidRPr="00573DEB" w:rsidTr="004B4B73">
        <w:trPr>
          <w:trHeight w:val="300"/>
        </w:trPr>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2008</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11</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85</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882</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979</w:t>
            </w:r>
          </w:p>
        </w:tc>
      </w:tr>
      <w:tr w:rsidR="00B000C0" w:rsidRPr="00573DEB" w:rsidTr="004B4B73">
        <w:trPr>
          <w:trHeight w:val="300"/>
        </w:trPr>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2009</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13</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57</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955</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1,026</w:t>
            </w:r>
          </w:p>
        </w:tc>
      </w:tr>
      <w:tr w:rsidR="00B000C0" w:rsidRPr="00573DEB" w:rsidTr="004B4B73">
        <w:trPr>
          <w:trHeight w:val="300"/>
        </w:trPr>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2010</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12</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76</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3</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896</w:t>
            </w:r>
          </w:p>
        </w:tc>
        <w:tc>
          <w:tcPr>
            <w:tcW w:w="1134" w:type="dxa"/>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987</w:t>
            </w:r>
          </w:p>
        </w:tc>
      </w:tr>
      <w:tr w:rsidR="00B000C0" w:rsidRPr="00573DEB" w:rsidTr="004B4B73">
        <w:trPr>
          <w:trHeight w:val="300"/>
        </w:trPr>
        <w:tc>
          <w:tcPr>
            <w:tcW w:w="1134" w:type="dxa"/>
            <w:tcBorders>
              <w:top w:val="nil"/>
              <w:left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2011</w:t>
            </w:r>
          </w:p>
        </w:tc>
        <w:tc>
          <w:tcPr>
            <w:tcW w:w="1134" w:type="dxa"/>
            <w:tcBorders>
              <w:top w:val="nil"/>
              <w:left w:val="nil"/>
              <w:right w:val="nil"/>
            </w:tcBorders>
            <w:shd w:val="clear" w:color="auto" w:fill="auto"/>
            <w:noWrap/>
            <w:vAlign w:val="center"/>
            <w:hideMark/>
          </w:tcPr>
          <w:p w:rsidR="00B000C0" w:rsidRPr="00573DEB" w:rsidRDefault="00B000C0" w:rsidP="004B4B73">
            <w:pPr>
              <w:rPr>
                <w:lang w:eastAsia="pt-BR"/>
              </w:rPr>
            </w:pPr>
            <w:r w:rsidRPr="00573DEB">
              <w:rPr>
                <w:lang w:eastAsia="pt-BR"/>
              </w:rPr>
              <w:t>14</w:t>
            </w:r>
          </w:p>
        </w:tc>
        <w:tc>
          <w:tcPr>
            <w:tcW w:w="1134" w:type="dxa"/>
            <w:tcBorders>
              <w:top w:val="nil"/>
              <w:left w:val="nil"/>
              <w:right w:val="nil"/>
            </w:tcBorders>
            <w:shd w:val="clear" w:color="auto" w:fill="auto"/>
            <w:noWrap/>
            <w:vAlign w:val="center"/>
            <w:hideMark/>
          </w:tcPr>
          <w:p w:rsidR="00B000C0" w:rsidRPr="00573DEB" w:rsidRDefault="00B000C0" w:rsidP="004B4B73">
            <w:pPr>
              <w:rPr>
                <w:lang w:eastAsia="pt-BR"/>
              </w:rPr>
            </w:pPr>
            <w:r w:rsidRPr="00573DEB">
              <w:rPr>
                <w:lang w:eastAsia="pt-BR"/>
              </w:rPr>
              <w:t>100</w:t>
            </w:r>
          </w:p>
        </w:tc>
        <w:tc>
          <w:tcPr>
            <w:tcW w:w="1134" w:type="dxa"/>
            <w:tcBorders>
              <w:top w:val="nil"/>
              <w:left w:val="nil"/>
              <w:right w:val="nil"/>
            </w:tcBorders>
            <w:shd w:val="clear" w:color="auto" w:fill="auto"/>
            <w:noWrap/>
            <w:vAlign w:val="center"/>
            <w:hideMark/>
          </w:tcPr>
          <w:p w:rsidR="00B000C0" w:rsidRPr="00573DEB" w:rsidRDefault="00B000C0" w:rsidP="004B4B73">
            <w:pPr>
              <w:rPr>
                <w:lang w:eastAsia="pt-BR"/>
              </w:rPr>
            </w:pPr>
          </w:p>
        </w:tc>
        <w:tc>
          <w:tcPr>
            <w:tcW w:w="1134" w:type="dxa"/>
            <w:tcBorders>
              <w:top w:val="nil"/>
              <w:left w:val="nil"/>
              <w:right w:val="nil"/>
            </w:tcBorders>
            <w:shd w:val="clear" w:color="auto" w:fill="auto"/>
            <w:noWrap/>
            <w:vAlign w:val="center"/>
            <w:hideMark/>
          </w:tcPr>
          <w:p w:rsidR="00B000C0" w:rsidRPr="00573DEB" w:rsidRDefault="00B000C0" w:rsidP="004B4B73">
            <w:pPr>
              <w:rPr>
                <w:lang w:eastAsia="pt-BR"/>
              </w:rPr>
            </w:pPr>
            <w:r w:rsidRPr="00573DEB">
              <w:rPr>
                <w:lang w:eastAsia="pt-BR"/>
              </w:rPr>
              <w:t>1,017</w:t>
            </w:r>
          </w:p>
        </w:tc>
        <w:tc>
          <w:tcPr>
            <w:tcW w:w="1134" w:type="dxa"/>
            <w:tcBorders>
              <w:top w:val="nil"/>
              <w:left w:val="nil"/>
              <w:right w:val="nil"/>
            </w:tcBorders>
            <w:shd w:val="clear" w:color="auto" w:fill="auto"/>
            <w:noWrap/>
            <w:vAlign w:val="center"/>
            <w:hideMark/>
          </w:tcPr>
          <w:p w:rsidR="00B000C0" w:rsidRPr="00573DEB" w:rsidRDefault="00B000C0" w:rsidP="004B4B73">
            <w:pPr>
              <w:rPr>
                <w:lang w:eastAsia="pt-BR"/>
              </w:rPr>
            </w:pPr>
            <w:r w:rsidRPr="00573DEB">
              <w:rPr>
                <w:lang w:eastAsia="pt-BR"/>
              </w:rPr>
              <w:t>1,131</w:t>
            </w:r>
          </w:p>
        </w:tc>
      </w:tr>
      <w:tr w:rsidR="00B000C0" w:rsidRPr="00573DEB" w:rsidTr="004B4B73">
        <w:trPr>
          <w:trHeight w:val="300"/>
        </w:trPr>
        <w:tc>
          <w:tcPr>
            <w:tcW w:w="1134" w:type="dxa"/>
            <w:tcBorders>
              <w:top w:val="nil"/>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2012</w:t>
            </w:r>
          </w:p>
        </w:tc>
        <w:tc>
          <w:tcPr>
            <w:tcW w:w="1134" w:type="dxa"/>
            <w:tcBorders>
              <w:top w:val="nil"/>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4</w:t>
            </w:r>
          </w:p>
        </w:tc>
        <w:tc>
          <w:tcPr>
            <w:tcW w:w="1134" w:type="dxa"/>
            <w:tcBorders>
              <w:top w:val="nil"/>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92</w:t>
            </w:r>
          </w:p>
        </w:tc>
        <w:tc>
          <w:tcPr>
            <w:tcW w:w="1134" w:type="dxa"/>
            <w:tcBorders>
              <w:top w:val="nil"/>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3</w:t>
            </w:r>
          </w:p>
        </w:tc>
        <w:tc>
          <w:tcPr>
            <w:tcW w:w="1134" w:type="dxa"/>
            <w:tcBorders>
              <w:top w:val="nil"/>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1,139</w:t>
            </w:r>
          </w:p>
        </w:tc>
        <w:tc>
          <w:tcPr>
            <w:tcW w:w="1134" w:type="dxa"/>
            <w:tcBorders>
              <w:top w:val="nil"/>
              <w:left w:val="nil"/>
              <w:bottom w:val="single" w:sz="4"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1,238</w:t>
            </w:r>
          </w:p>
        </w:tc>
      </w:tr>
    </w:tbl>
    <w:p w:rsidR="00B000C0" w:rsidRPr="00573DEB" w:rsidRDefault="00B000C0" w:rsidP="004B4B73"/>
    <w:p w:rsidR="00B000C0" w:rsidRPr="00573DEB" w:rsidRDefault="008C2A2F" w:rsidP="001336C8">
      <w:pPr>
        <w:pStyle w:val="Caption"/>
      </w:pPr>
      <w:bookmarkStart w:id="362" w:name="_Toc388620022"/>
      <w:r>
        <w:t xml:space="preserve">Table A.41:  </w:t>
      </w:r>
      <w:r w:rsidR="001336C8" w:rsidRPr="00573DEB">
        <w:t xml:space="preserve">Technological contract </w:t>
      </w:r>
      <w:r w:rsidR="00B000C0" w:rsidRPr="00573DEB">
        <w:t>registrations by type, 2000-2012</w:t>
      </w:r>
      <w:bookmarkEnd w:id="362"/>
    </w:p>
    <w:tbl>
      <w:tblPr>
        <w:tblW w:w="9156" w:type="dxa"/>
        <w:tblInd w:w="55" w:type="dxa"/>
        <w:tblCellMar>
          <w:left w:w="70" w:type="dxa"/>
          <w:right w:w="70" w:type="dxa"/>
        </w:tblCellMar>
        <w:tblLook w:val="04A0" w:firstRow="1" w:lastRow="0" w:firstColumn="1" w:lastColumn="0" w:noHBand="0" w:noVBand="1"/>
      </w:tblPr>
      <w:tblGrid>
        <w:gridCol w:w="505"/>
        <w:gridCol w:w="1241"/>
        <w:gridCol w:w="1242"/>
        <w:gridCol w:w="1241"/>
        <w:gridCol w:w="1242"/>
        <w:gridCol w:w="1241"/>
        <w:gridCol w:w="1242"/>
        <w:gridCol w:w="1242"/>
      </w:tblGrid>
      <w:tr w:rsidR="00B000C0" w:rsidRPr="00573DEB" w:rsidTr="004B4B73">
        <w:trPr>
          <w:trHeight w:val="677"/>
        </w:trPr>
        <w:tc>
          <w:tcPr>
            <w:tcW w:w="0" w:type="auto"/>
            <w:tcBorders>
              <w:top w:val="single" w:sz="8" w:space="0" w:color="auto"/>
              <w:left w:val="nil"/>
              <w:bottom w:val="single" w:sz="4" w:space="0" w:color="auto"/>
              <w:right w:val="nil"/>
            </w:tcBorders>
            <w:shd w:val="clear" w:color="auto" w:fill="auto"/>
            <w:vAlign w:val="center"/>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Year</w:t>
            </w:r>
          </w:p>
        </w:tc>
        <w:tc>
          <w:tcPr>
            <w:tcW w:w="1241"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Patent and</w:t>
            </w:r>
          </w:p>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Industrial Design Licensing</w:t>
            </w:r>
          </w:p>
        </w:tc>
        <w:tc>
          <w:tcPr>
            <w:tcW w:w="1242"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Franchising</w:t>
            </w:r>
          </w:p>
        </w:tc>
        <w:tc>
          <w:tcPr>
            <w:tcW w:w="1241"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Know-How Agreements</w:t>
            </w:r>
          </w:p>
        </w:tc>
        <w:tc>
          <w:tcPr>
            <w:tcW w:w="1242"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Mixed</w:t>
            </w:r>
          </w:p>
        </w:tc>
        <w:tc>
          <w:tcPr>
            <w:tcW w:w="1241"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Technical Assistance Services</w:t>
            </w:r>
          </w:p>
        </w:tc>
        <w:tc>
          <w:tcPr>
            <w:tcW w:w="1242"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Trademark Licensing</w:t>
            </w:r>
          </w:p>
        </w:tc>
        <w:tc>
          <w:tcPr>
            <w:tcW w:w="1242"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Total</w:t>
            </w:r>
          </w:p>
        </w:tc>
      </w:tr>
      <w:tr w:rsidR="00B000C0" w:rsidRPr="00573DEB" w:rsidTr="004B4B73">
        <w:trPr>
          <w:trHeight w:val="300"/>
        </w:trPr>
        <w:tc>
          <w:tcPr>
            <w:tcW w:w="0" w:type="auto"/>
            <w:tcBorders>
              <w:top w:val="nil"/>
              <w:left w:val="nil"/>
              <w:bottom w:val="nil"/>
              <w:right w:val="nil"/>
            </w:tcBorders>
            <w:shd w:val="clear" w:color="auto" w:fill="auto"/>
            <w:noWrap/>
            <w:vAlign w:val="center"/>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2000</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7</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12</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131</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22</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895</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55</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1,122</w:t>
            </w:r>
          </w:p>
        </w:tc>
      </w:tr>
      <w:tr w:rsidR="00B000C0" w:rsidRPr="00573DEB" w:rsidTr="004B4B73">
        <w:trPr>
          <w:trHeight w:val="300"/>
        </w:trPr>
        <w:tc>
          <w:tcPr>
            <w:tcW w:w="0" w:type="auto"/>
            <w:tcBorders>
              <w:top w:val="nil"/>
              <w:left w:val="nil"/>
              <w:bottom w:val="nil"/>
              <w:right w:val="nil"/>
            </w:tcBorders>
            <w:shd w:val="clear" w:color="auto" w:fill="auto"/>
            <w:noWrap/>
            <w:vAlign w:val="center"/>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2001</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13</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21</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151</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23</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999</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77</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1,284</w:t>
            </w:r>
          </w:p>
        </w:tc>
      </w:tr>
      <w:tr w:rsidR="00B000C0" w:rsidRPr="00573DEB" w:rsidTr="004B4B73">
        <w:trPr>
          <w:trHeight w:val="300"/>
        </w:trPr>
        <w:tc>
          <w:tcPr>
            <w:tcW w:w="0" w:type="auto"/>
            <w:tcBorders>
              <w:top w:val="nil"/>
              <w:left w:val="nil"/>
              <w:bottom w:val="nil"/>
              <w:right w:val="nil"/>
            </w:tcBorders>
            <w:shd w:val="clear" w:color="auto" w:fill="auto"/>
            <w:noWrap/>
            <w:vAlign w:val="center"/>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2002</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17</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26</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116</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27</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1037</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59</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1,282</w:t>
            </w:r>
          </w:p>
        </w:tc>
      </w:tr>
      <w:tr w:rsidR="00B000C0" w:rsidRPr="00573DEB" w:rsidTr="004B4B73">
        <w:trPr>
          <w:trHeight w:val="300"/>
        </w:trPr>
        <w:tc>
          <w:tcPr>
            <w:tcW w:w="0" w:type="auto"/>
            <w:tcBorders>
              <w:top w:val="nil"/>
              <w:left w:val="nil"/>
              <w:bottom w:val="nil"/>
              <w:right w:val="nil"/>
            </w:tcBorders>
            <w:shd w:val="clear" w:color="auto" w:fill="auto"/>
            <w:noWrap/>
            <w:vAlign w:val="center"/>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2003</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9</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14</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91</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23</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854</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48</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1,039</w:t>
            </w:r>
          </w:p>
        </w:tc>
      </w:tr>
      <w:tr w:rsidR="00B000C0" w:rsidRPr="00573DEB" w:rsidTr="004B4B73">
        <w:trPr>
          <w:trHeight w:val="300"/>
        </w:trPr>
        <w:tc>
          <w:tcPr>
            <w:tcW w:w="0" w:type="auto"/>
            <w:tcBorders>
              <w:top w:val="nil"/>
              <w:left w:val="nil"/>
              <w:bottom w:val="nil"/>
              <w:right w:val="nil"/>
            </w:tcBorders>
            <w:shd w:val="clear" w:color="auto" w:fill="auto"/>
            <w:noWrap/>
            <w:vAlign w:val="center"/>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2004</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16</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3</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105</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16</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730</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67</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937</w:t>
            </w:r>
          </w:p>
        </w:tc>
      </w:tr>
      <w:tr w:rsidR="00B000C0" w:rsidRPr="00573DEB" w:rsidTr="004B4B73">
        <w:trPr>
          <w:trHeight w:val="300"/>
        </w:trPr>
        <w:tc>
          <w:tcPr>
            <w:tcW w:w="0" w:type="auto"/>
            <w:tcBorders>
              <w:top w:val="nil"/>
              <w:left w:val="nil"/>
              <w:bottom w:val="nil"/>
              <w:right w:val="nil"/>
            </w:tcBorders>
            <w:shd w:val="clear" w:color="auto" w:fill="auto"/>
            <w:noWrap/>
            <w:vAlign w:val="center"/>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2005</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19</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32</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103</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35</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670</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71</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930</w:t>
            </w:r>
          </w:p>
        </w:tc>
      </w:tr>
      <w:tr w:rsidR="00B000C0" w:rsidRPr="00573DEB" w:rsidTr="004B4B73">
        <w:trPr>
          <w:trHeight w:val="300"/>
        </w:trPr>
        <w:tc>
          <w:tcPr>
            <w:tcW w:w="0" w:type="auto"/>
            <w:tcBorders>
              <w:top w:val="nil"/>
              <w:left w:val="nil"/>
              <w:bottom w:val="nil"/>
              <w:right w:val="nil"/>
            </w:tcBorders>
            <w:shd w:val="clear" w:color="auto" w:fill="auto"/>
            <w:noWrap/>
            <w:vAlign w:val="center"/>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2006</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12</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33</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71</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19</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773</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56</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964</w:t>
            </w:r>
          </w:p>
        </w:tc>
      </w:tr>
      <w:tr w:rsidR="00B000C0" w:rsidRPr="00573DEB" w:rsidTr="004B4B73">
        <w:trPr>
          <w:trHeight w:val="300"/>
        </w:trPr>
        <w:tc>
          <w:tcPr>
            <w:tcW w:w="0" w:type="auto"/>
            <w:tcBorders>
              <w:top w:val="nil"/>
              <w:left w:val="nil"/>
              <w:bottom w:val="nil"/>
              <w:right w:val="nil"/>
            </w:tcBorders>
            <w:shd w:val="clear" w:color="auto" w:fill="auto"/>
            <w:noWrap/>
            <w:vAlign w:val="center"/>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2007</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12</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23</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95</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16</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711</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71</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928</w:t>
            </w:r>
          </w:p>
        </w:tc>
      </w:tr>
      <w:tr w:rsidR="00B000C0" w:rsidRPr="00573DEB" w:rsidTr="004B4B73">
        <w:trPr>
          <w:trHeight w:val="300"/>
        </w:trPr>
        <w:tc>
          <w:tcPr>
            <w:tcW w:w="0" w:type="auto"/>
            <w:tcBorders>
              <w:top w:val="nil"/>
              <w:left w:val="nil"/>
              <w:bottom w:val="nil"/>
              <w:right w:val="nil"/>
            </w:tcBorders>
            <w:shd w:val="clear" w:color="auto" w:fill="auto"/>
            <w:noWrap/>
            <w:vAlign w:val="center"/>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2008</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14</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28</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77</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29</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664</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70</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882</w:t>
            </w:r>
          </w:p>
        </w:tc>
      </w:tr>
      <w:tr w:rsidR="00B000C0" w:rsidRPr="00573DEB" w:rsidTr="004B4B73">
        <w:trPr>
          <w:trHeight w:val="300"/>
        </w:trPr>
        <w:tc>
          <w:tcPr>
            <w:tcW w:w="0" w:type="auto"/>
            <w:tcBorders>
              <w:top w:val="nil"/>
              <w:left w:val="nil"/>
              <w:bottom w:val="nil"/>
              <w:right w:val="nil"/>
            </w:tcBorders>
            <w:shd w:val="clear" w:color="auto" w:fill="auto"/>
            <w:noWrap/>
            <w:vAlign w:val="center"/>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2009</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15</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46</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101</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39</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670</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84</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955</w:t>
            </w:r>
          </w:p>
        </w:tc>
      </w:tr>
      <w:tr w:rsidR="00B000C0" w:rsidRPr="00573DEB" w:rsidTr="004B4B73">
        <w:trPr>
          <w:trHeight w:val="300"/>
        </w:trPr>
        <w:tc>
          <w:tcPr>
            <w:tcW w:w="0" w:type="auto"/>
            <w:tcBorders>
              <w:top w:val="nil"/>
              <w:left w:val="nil"/>
              <w:bottom w:val="nil"/>
              <w:right w:val="nil"/>
            </w:tcBorders>
            <w:shd w:val="clear" w:color="auto" w:fill="auto"/>
            <w:noWrap/>
            <w:vAlign w:val="center"/>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2010</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9</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50</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107</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33</w:t>
            </w:r>
          </w:p>
        </w:tc>
        <w:tc>
          <w:tcPr>
            <w:tcW w:w="1241"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629</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68</w:t>
            </w:r>
          </w:p>
        </w:tc>
        <w:tc>
          <w:tcPr>
            <w:tcW w:w="1242" w:type="dxa"/>
            <w:tcBorders>
              <w:top w:val="nil"/>
              <w:left w:val="nil"/>
              <w:bottom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896</w:t>
            </w:r>
          </w:p>
        </w:tc>
      </w:tr>
      <w:tr w:rsidR="00B000C0" w:rsidRPr="00573DEB" w:rsidTr="004B4B73">
        <w:trPr>
          <w:trHeight w:val="300"/>
        </w:trPr>
        <w:tc>
          <w:tcPr>
            <w:tcW w:w="0" w:type="auto"/>
            <w:tcBorders>
              <w:top w:val="nil"/>
              <w:left w:val="nil"/>
              <w:right w:val="nil"/>
            </w:tcBorders>
            <w:shd w:val="clear" w:color="auto" w:fill="auto"/>
            <w:noWrap/>
            <w:vAlign w:val="center"/>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2011</w:t>
            </w:r>
          </w:p>
        </w:tc>
        <w:tc>
          <w:tcPr>
            <w:tcW w:w="1241" w:type="dxa"/>
            <w:tcBorders>
              <w:top w:val="nil"/>
              <w:left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15</w:t>
            </w:r>
          </w:p>
        </w:tc>
        <w:tc>
          <w:tcPr>
            <w:tcW w:w="1242" w:type="dxa"/>
            <w:tcBorders>
              <w:top w:val="nil"/>
              <w:left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55</w:t>
            </w:r>
          </w:p>
        </w:tc>
        <w:tc>
          <w:tcPr>
            <w:tcW w:w="1241" w:type="dxa"/>
            <w:tcBorders>
              <w:top w:val="nil"/>
              <w:left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117</w:t>
            </w:r>
          </w:p>
        </w:tc>
        <w:tc>
          <w:tcPr>
            <w:tcW w:w="1242" w:type="dxa"/>
            <w:tcBorders>
              <w:top w:val="nil"/>
              <w:left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33</w:t>
            </w:r>
          </w:p>
        </w:tc>
        <w:tc>
          <w:tcPr>
            <w:tcW w:w="1241" w:type="dxa"/>
            <w:tcBorders>
              <w:top w:val="nil"/>
              <w:left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717</w:t>
            </w:r>
          </w:p>
        </w:tc>
        <w:tc>
          <w:tcPr>
            <w:tcW w:w="1242" w:type="dxa"/>
            <w:tcBorders>
              <w:top w:val="nil"/>
              <w:left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80</w:t>
            </w:r>
          </w:p>
        </w:tc>
        <w:tc>
          <w:tcPr>
            <w:tcW w:w="1242" w:type="dxa"/>
            <w:tcBorders>
              <w:top w:val="nil"/>
              <w:left w:val="nil"/>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1,017</w:t>
            </w:r>
          </w:p>
        </w:tc>
      </w:tr>
      <w:tr w:rsidR="00B000C0" w:rsidRPr="00573DEB" w:rsidTr="004B4B73">
        <w:trPr>
          <w:trHeight w:val="300"/>
        </w:trPr>
        <w:tc>
          <w:tcPr>
            <w:tcW w:w="0" w:type="auto"/>
            <w:tcBorders>
              <w:top w:val="nil"/>
              <w:left w:val="nil"/>
              <w:bottom w:val="single" w:sz="4" w:space="0" w:color="auto"/>
              <w:right w:val="nil"/>
            </w:tcBorders>
            <w:shd w:val="clear" w:color="auto" w:fill="auto"/>
            <w:noWrap/>
            <w:vAlign w:val="center"/>
            <w:hideMark/>
          </w:tcPr>
          <w:p w:rsidR="00B000C0" w:rsidRPr="00573DEB" w:rsidRDefault="00B000C0" w:rsidP="004B4B73">
            <w:pPr>
              <w:rPr>
                <w:rFonts w:ascii="Arial Narrow" w:hAnsi="Arial Narrow"/>
                <w:sz w:val="20"/>
                <w:szCs w:val="20"/>
                <w:lang w:eastAsia="pt-BR"/>
              </w:rPr>
            </w:pPr>
            <w:r w:rsidRPr="00573DEB">
              <w:rPr>
                <w:rFonts w:ascii="Arial Narrow" w:hAnsi="Arial Narrow"/>
                <w:sz w:val="20"/>
                <w:szCs w:val="20"/>
                <w:lang w:eastAsia="pt-BR"/>
              </w:rPr>
              <w:t>2012</w:t>
            </w:r>
          </w:p>
        </w:tc>
        <w:tc>
          <w:tcPr>
            <w:tcW w:w="1241" w:type="dxa"/>
            <w:tcBorders>
              <w:top w:val="nil"/>
              <w:left w:val="nil"/>
              <w:bottom w:val="single" w:sz="4" w:space="0" w:color="auto"/>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13</w:t>
            </w:r>
          </w:p>
        </w:tc>
        <w:tc>
          <w:tcPr>
            <w:tcW w:w="1242" w:type="dxa"/>
            <w:tcBorders>
              <w:top w:val="nil"/>
              <w:left w:val="nil"/>
              <w:bottom w:val="single" w:sz="4" w:space="0" w:color="auto"/>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94</w:t>
            </w:r>
          </w:p>
        </w:tc>
        <w:tc>
          <w:tcPr>
            <w:tcW w:w="1241" w:type="dxa"/>
            <w:tcBorders>
              <w:top w:val="nil"/>
              <w:left w:val="nil"/>
              <w:bottom w:val="single" w:sz="4" w:space="0" w:color="auto"/>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99</w:t>
            </w:r>
          </w:p>
        </w:tc>
        <w:tc>
          <w:tcPr>
            <w:tcW w:w="1242" w:type="dxa"/>
            <w:tcBorders>
              <w:top w:val="nil"/>
              <w:left w:val="nil"/>
              <w:bottom w:val="single" w:sz="4" w:space="0" w:color="auto"/>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27</w:t>
            </w:r>
          </w:p>
        </w:tc>
        <w:tc>
          <w:tcPr>
            <w:tcW w:w="1241" w:type="dxa"/>
            <w:tcBorders>
              <w:top w:val="nil"/>
              <w:left w:val="nil"/>
              <w:bottom w:val="single" w:sz="4" w:space="0" w:color="auto"/>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798</w:t>
            </w:r>
          </w:p>
        </w:tc>
        <w:tc>
          <w:tcPr>
            <w:tcW w:w="1242" w:type="dxa"/>
            <w:tcBorders>
              <w:top w:val="nil"/>
              <w:left w:val="nil"/>
              <w:bottom w:val="single" w:sz="4" w:space="0" w:color="auto"/>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108</w:t>
            </w:r>
          </w:p>
        </w:tc>
        <w:tc>
          <w:tcPr>
            <w:tcW w:w="1242" w:type="dxa"/>
            <w:tcBorders>
              <w:top w:val="nil"/>
              <w:left w:val="nil"/>
              <w:bottom w:val="single" w:sz="4" w:space="0" w:color="auto"/>
              <w:right w:val="nil"/>
            </w:tcBorders>
            <w:shd w:val="clear" w:color="auto" w:fill="auto"/>
            <w:noWrap/>
            <w:vAlign w:val="center"/>
            <w:hideMark/>
          </w:tcPr>
          <w:p w:rsidR="00B000C0" w:rsidRPr="00573DEB" w:rsidRDefault="00B000C0" w:rsidP="00684D03">
            <w:pPr>
              <w:jc w:val="center"/>
              <w:rPr>
                <w:rFonts w:ascii="Arial Narrow" w:hAnsi="Arial Narrow"/>
                <w:sz w:val="20"/>
                <w:szCs w:val="20"/>
                <w:lang w:eastAsia="pt-BR"/>
              </w:rPr>
            </w:pPr>
            <w:r w:rsidRPr="00573DEB">
              <w:rPr>
                <w:rFonts w:ascii="Arial Narrow" w:hAnsi="Arial Narrow"/>
                <w:sz w:val="20"/>
                <w:szCs w:val="20"/>
                <w:lang w:eastAsia="pt-BR"/>
              </w:rPr>
              <w:t>1,139</w:t>
            </w:r>
          </w:p>
        </w:tc>
      </w:tr>
    </w:tbl>
    <w:p w:rsidR="00B000C0" w:rsidRPr="008C2A2F" w:rsidRDefault="001336C8" w:rsidP="001336C8">
      <w:pPr>
        <w:pStyle w:val="Captionnotes"/>
        <w:rPr>
          <w:i w:val="0"/>
        </w:rPr>
      </w:pPr>
      <w:proofErr w:type="gramStart"/>
      <w:r w:rsidRPr="008C2A2F">
        <w:rPr>
          <w:i w:val="0"/>
        </w:rPr>
        <w:t>C</w:t>
      </w:r>
      <w:r w:rsidR="00B000C0" w:rsidRPr="008C2A2F">
        <w:rPr>
          <w:i w:val="0"/>
        </w:rPr>
        <w:t>onsidered only contracts for technology imports.</w:t>
      </w:r>
      <w:proofErr w:type="gramEnd"/>
    </w:p>
    <w:p w:rsidR="001336C8" w:rsidRPr="00573DEB" w:rsidRDefault="001336C8">
      <w:pPr>
        <w:widowControl/>
        <w:spacing w:after="200" w:line="276" w:lineRule="auto"/>
      </w:pPr>
      <w:r w:rsidRPr="00573DEB">
        <w:br w:type="page"/>
      </w:r>
    </w:p>
    <w:p w:rsidR="001336C8" w:rsidRPr="00573DEB" w:rsidRDefault="001336C8" w:rsidP="001336C8"/>
    <w:p w:rsidR="00B000C0" w:rsidRPr="00573DEB" w:rsidRDefault="008C2A2F" w:rsidP="001336C8">
      <w:pPr>
        <w:pStyle w:val="Caption"/>
      </w:pPr>
      <w:bookmarkStart w:id="363" w:name="_Toc388620023"/>
      <w:r>
        <w:t xml:space="preserve">Table A.42:  </w:t>
      </w:r>
      <w:r w:rsidR="00B000C0" w:rsidRPr="00573DEB">
        <w:t>Royalty Payments by type, 2000-2012 (US$ Thousand)</w:t>
      </w:r>
      <w:bookmarkEnd w:id="363"/>
    </w:p>
    <w:tbl>
      <w:tblPr>
        <w:tblW w:w="5000" w:type="pct"/>
        <w:tblCellMar>
          <w:left w:w="70" w:type="dxa"/>
          <w:right w:w="70" w:type="dxa"/>
        </w:tblCellMar>
        <w:tblLook w:val="04A0" w:firstRow="1" w:lastRow="0" w:firstColumn="1" w:lastColumn="0" w:noHBand="0" w:noVBand="1"/>
      </w:tblPr>
      <w:tblGrid>
        <w:gridCol w:w="630"/>
        <w:gridCol w:w="1477"/>
        <w:gridCol w:w="1478"/>
        <w:gridCol w:w="1478"/>
        <w:gridCol w:w="1478"/>
        <w:gridCol w:w="1478"/>
        <w:gridCol w:w="1476"/>
      </w:tblGrid>
      <w:tr w:rsidR="00B000C0" w:rsidRPr="00573DEB" w:rsidTr="004B4B73">
        <w:trPr>
          <w:trHeight w:val="638"/>
        </w:trPr>
        <w:tc>
          <w:tcPr>
            <w:tcW w:w="315" w:type="pct"/>
            <w:tcBorders>
              <w:top w:val="single" w:sz="8" w:space="0" w:color="auto"/>
              <w:left w:val="nil"/>
              <w:bottom w:val="single" w:sz="4" w:space="0" w:color="auto"/>
              <w:right w:val="nil"/>
            </w:tcBorders>
            <w:shd w:val="clear" w:color="auto" w:fill="auto"/>
            <w:vAlign w:val="center"/>
            <w:hideMark/>
          </w:tcPr>
          <w:p w:rsidR="00B000C0" w:rsidRPr="00573DEB" w:rsidRDefault="00B000C0" w:rsidP="004B4B73">
            <w:pPr>
              <w:rPr>
                <w:lang w:eastAsia="pt-BR"/>
              </w:rPr>
            </w:pPr>
            <w:r w:rsidRPr="00573DEB">
              <w:rPr>
                <w:lang w:eastAsia="pt-BR"/>
              </w:rPr>
              <w:t>Year</w:t>
            </w:r>
          </w:p>
        </w:tc>
        <w:tc>
          <w:tcPr>
            <w:tcW w:w="781" w:type="pct"/>
            <w:tcBorders>
              <w:top w:val="single" w:sz="8" w:space="0" w:color="auto"/>
              <w:left w:val="nil"/>
              <w:bottom w:val="single" w:sz="4" w:space="0" w:color="auto"/>
              <w:right w:val="nil"/>
            </w:tcBorders>
            <w:shd w:val="clear" w:color="auto" w:fill="auto"/>
            <w:vAlign w:val="center"/>
            <w:hideMark/>
          </w:tcPr>
          <w:p w:rsidR="00B000C0" w:rsidRPr="00573DEB" w:rsidRDefault="00B000C0" w:rsidP="00684D03">
            <w:pPr>
              <w:jc w:val="center"/>
              <w:rPr>
                <w:lang w:eastAsia="pt-BR"/>
              </w:rPr>
            </w:pPr>
            <w:r w:rsidRPr="00573DEB">
              <w:rPr>
                <w:lang w:eastAsia="pt-BR"/>
              </w:rPr>
              <w:t>Trademark Licensing</w:t>
            </w:r>
          </w:p>
        </w:tc>
        <w:tc>
          <w:tcPr>
            <w:tcW w:w="781" w:type="pct"/>
            <w:tcBorders>
              <w:top w:val="single" w:sz="8" w:space="0" w:color="auto"/>
              <w:left w:val="nil"/>
              <w:bottom w:val="single" w:sz="4" w:space="0" w:color="auto"/>
              <w:right w:val="nil"/>
            </w:tcBorders>
            <w:shd w:val="clear" w:color="auto" w:fill="auto"/>
            <w:vAlign w:val="center"/>
            <w:hideMark/>
          </w:tcPr>
          <w:p w:rsidR="00B000C0" w:rsidRPr="00573DEB" w:rsidRDefault="00B000C0" w:rsidP="00684D03">
            <w:pPr>
              <w:jc w:val="center"/>
              <w:rPr>
                <w:lang w:eastAsia="pt-BR"/>
              </w:rPr>
            </w:pPr>
            <w:r w:rsidRPr="00573DEB">
              <w:rPr>
                <w:lang w:eastAsia="pt-BR"/>
              </w:rPr>
              <w:t>Patent and Industrial Design Licensing</w:t>
            </w:r>
          </w:p>
        </w:tc>
        <w:tc>
          <w:tcPr>
            <w:tcW w:w="781" w:type="pct"/>
            <w:tcBorders>
              <w:top w:val="single" w:sz="8" w:space="0" w:color="auto"/>
              <w:left w:val="nil"/>
              <w:bottom w:val="single" w:sz="4" w:space="0" w:color="auto"/>
              <w:right w:val="nil"/>
            </w:tcBorders>
            <w:shd w:val="clear" w:color="auto" w:fill="auto"/>
            <w:vAlign w:val="center"/>
            <w:hideMark/>
          </w:tcPr>
          <w:p w:rsidR="00B000C0" w:rsidRPr="00573DEB" w:rsidRDefault="00B000C0" w:rsidP="00684D03">
            <w:pPr>
              <w:jc w:val="center"/>
              <w:rPr>
                <w:lang w:eastAsia="pt-BR"/>
              </w:rPr>
            </w:pPr>
            <w:r w:rsidRPr="00573DEB">
              <w:rPr>
                <w:lang w:eastAsia="pt-BR"/>
              </w:rPr>
              <w:t>Know-How Agreements</w:t>
            </w:r>
          </w:p>
        </w:tc>
        <w:tc>
          <w:tcPr>
            <w:tcW w:w="781" w:type="pct"/>
            <w:tcBorders>
              <w:top w:val="single" w:sz="8" w:space="0" w:color="auto"/>
              <w:left w:val="nil"/>
              <w:bottom w:val="single" w:sz="4" w:space="0" w:color="auto"/>
              <w:right w:val="nil"/>
            </w:tcBorders>
            <w:shd w:val="clear" w:color="auto" w:fill="auto"/>
            <w:vAlign w:val="center"/>
            <w:hideMark/>
          </w:tcPr>
          <w:p w:rsidR="00B000C0" w:rsidRPr="00573DEB" w:rsidRDefault="00B000C0" w:rsidP="00684D03">
            <w:pPr>
              <w:jc w:val="center"/>
              <w:rPr>
                <w:lang w:eastAsia="pt-BR"/>
              </w:rPr>
            </w:pPr>
            <w:r w:rsidRPr="00573DEB">
              <w:rPr>
                <w:lang w:eastAsia="pt-BR"/>
              </w:rPr>
              <w:t>Technical Assistance Services</w:t>
            </w:r>
          </w:p>
        </w:tc>
        <w:tc>
          <w:tcPr>
            <w:tcW w:w="781" w:type="pct"/>
            <w:tcBorders>
              <w:top w:val="single" w:sz="8" w:space="0" w:color="auto"/>
              <w:left w:val="nil"/>
              <w:bottom w:val="single" w:sz="4" w:space="0" w:color="auto"/>
              <w:right w:val="nil"/>
            </w:tcBorders>
            <w:shd w:val="clear" w:color="auto" w:fill="auto"/>
            <w:vAlign w:val="center"/>
            <w:hideMark/>
          </w:tcPr>
          <w:p w:rsidR="00B000C0" w:rsidRPr="00573DEB" w:rsidRDefault="00B000C0" w:rsidP="00684D03">
            <w:pPr>
              <w:jc w:val="center"/>
              <w:rPr>
                <w:lang w:eastAsia="pt-BR"/>
              </w:rPr>
            </w:pPr>
            <w:r w:rsidRPr="00573DEB">
              <w:rPr>
                <w:lang w:eastAsia="pt-BR"/>
              </w:rPr>
              <w:t>Franchising</w:t>
            </w:r>
          </w:p>
        </w:tc>
        <w:tc>
          <w:tcPr>
            <w:tcW w:w="781" w:type="pct"/>
            <w:tcBorders>
              <w:top w:val="single" w:sz="8" w:space="0" w:color="auto"/>
              <w:left w:val="nil"/>
              <w:bottom w:val="single" w:sz="4" w:space="0" w:color="auto"/>
              <w:right w:val="nil"/>
            </w:tcBorders>
            <w:shd w:val="clear" w:color="auto" w:fill="auto"/>
            <w:vAlign w:val="center"/>
            <w:hideMark/>
          </w:tcPr>
          <w:p w:rsidR="00B000C0" w:rsidRPr="00573DEB" w:rsidRDefault="00B000C0" w:rsidP="00684D03">
            <w:pPr>
              <w:jc w:val="center"/>
              <w:rPr>
                <w:lang w:eastAsia="pt-BR"/>
              </w:rPr>
            </w:pPr>
            <w:r w:rsidRPr="00573DEB">
              <w:rPr>
                <w:lang w:eastAsia="pt-BR"/>
              </w:rPr>
              <w:t>Total</w:t>
            </w:r>
          </w:p>
        </w:tc>
      </w:tr>
      <w:tr w:rsidR="00B000C0" w:rsidRPr="00573DEB" w:rsidTr="004B4B73">
        <w:trPr>
          <w:trHeight w:val="300"/>
        </w:trPr>
        <w:tc>
          <w:tcPr>
            <w:tcW w:w="315" w:type="pct"/>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2001</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28,134</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75,069</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505,126</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429,314</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10,550</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1,048,193</w:t>
            </w:r>
          </w:p>
        </w:tc>
      </w:tr>
      <w:tr w:rsidR="00B000C0" w:rsidRPr="00573DEB" w:rsidTr="004B4B73">
        <w:trPr>
          <w:trHeight w:val="300"/>
        </w:trPr>
        <w:tc>
          <w:tcPr>
            <w:tcW w:w="315" w:type="pct"/>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2002</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22,163</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59,102</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485,436</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423,009</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10,008</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999,718</w:t>
            </w:r>
          </w:p>
        </w:tc>
      </w:tr>
      <w:tr w:rsidR="00B000C0" w:rsidRPr="00573DEB" w:rsidTr="004B4B73">
        <w:trPr>
          <w:trHeight w:val="300"/>
        </w:trPr>
        <w:tc>
          <w:tcPr>
            <w:tcW w:w="315" w:type="pct"/>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2003</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26,680</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75,076</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453,737</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416,225</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13,901</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985,619</w:t>
            </w:r>
          </w:p>
        </w:tc>
      </w:tr>
      <w:tr w:rsidR="00B000C0" w:rsidRPr="00573DEB" w:rsidTr="004B4B73">
        <w:trPr>
          <w:trHeight w:val="300"/>
        </w:trPr>
        <w:tc>
          <w:tcPr>
            <w:tcW w:w="315" w:type="pct"/>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2004</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41,552</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64,475</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469,975</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291,923</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15,828</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883,753</w:t>
            </w:r>
          </w:p>
        </w:tc>
      </w:tr>
      <w:tr w:rsidR="00B000C0" w:rsidRPr="00573DEB" w:rsidTr="004B4B73">
        <w:trPr>
          <w:trHeight w:val="300"/>
        </w:trPr>
        <w:tc>
          <w:tcPr>
            <w:tcW w:w="315" w:type="pct"/>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2005</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65,287</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182,975</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646,272</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306,016</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25,143</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1,225,693</w:t>
            </w:r>
          </w:p>
        </w:tc>
      </w:tr>
      <w:tr w:rsidR="00B000C0" w:rsidRPr="00573DEB" w:rsidTr="004B4B73">
        <w:trPr>
          <w:trHeight w:val="300"/>
        </w:trPr>
        <w:tc>
          <w:tcPr>
            <w:tcW w:w="315" w:type="pct"/>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2006</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119,701</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198,242</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640,945</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327,425</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35,212</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1,321,525</w:t>
            </w:r>
          </w:p>
        </w:tc>
      </w:tr>
      <w:tr w:rsidR="00B000C0" w:rsidRPr="00573DEB" w:rsidTr="004B4B73">
        <w:trPr>
          <w:trHeight w:val="300"/>
        </w:trPr>
        <w:tc>
          <w:tcPr>
            <w:tcW w:w="315" w:type="pct"/>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2007</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179,550</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253,993</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1,055,070</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434,961</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53,649</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1,977,223</w:t>
            </w:r>
          </w:p>
        </w:tc>
      </w:tr>
      <w:tr w:rsidR="00B000C0" w:rsidRPr="00573DEB" w:rsidTr="004B4B73">
        <w:trPr>
          <w:trHeight w:val="300"/>
        </w:trPr>
        <w:tc>
          <w:tcPr>
            <w:tcW w:w="315" w:type="pct"/>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2008</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169,820</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186,817</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1,363,258</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592,174</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115,769</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2,427,838</w:t>
            </w:r>
          </w:p>
        </w:tc>
      </w:tr>
      <w:tr w:rsidR="00B000C0" w:rsidRPr="00573DEB" w:rsidTr="004B4B73">
        <w:trPr>
          <w:trHeight w:val="300"/>
        </w:trPr>
        <w:tc>
          <w:tcPr>
            <w:tcW w:w="315" w:type="pct"/>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2009</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172,717</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184,249</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1,277,263</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536,348</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105,217</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2,275,794</w:t>
            </w:r>
          </w:p>
        </w:tc>
      </w:tr>
      <w:tr w:rsidR="00B000C0" w:rsidRPr="00573DEB" w:rsidTr="004B4B73">
        <w:trPr>
          <w:trHeight w:val="300"/>
        </w:trPr>
        <w:tc>
          <w:tcPr>
            <w:tcW w:w="315" w:type="pct"/>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2010</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282,659</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211,725</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1,310,292</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546,881</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192,544</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2,544,101</w:t>
            </w:r>
          </w:p>
        </w:tc>
      </w:tr>
      <w:tr w:rsidR="00B000C0" w:rsidRPr="00573DEB" w:rsidTr="004B4B73">
        <w:trPr>
          <w:trHeight w:val="300"/>
        </w:trPr>
        <w:tc>
          <w:tcPr>
            <w:tcW w:w="315" w:type="pct"/>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2011</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340,188</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298,167</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1,378,264</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790,727</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219,176</w:t>
            </w:r>
          </w:p>
        </w:tc>
        <w:tc>
          <w:tcPr>
            <w:tcW w:w="781" w:type="pct"/>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3,026,522</w:t>
            </w:r>
          </w:p>
        </w:tc>
      </w:tr>
      <w:tr w:rsidR="00B000C0" w:rsidRPr="00573DEB" w:rsidTr="004B4B73">
        <w:trPr>
          <w:trHeight w:val="315"/>
        </w:trPr>
        <w:tc>
          <w:tcPr>
            <w:tcW w:w="315" w:type="pct"/>
            <w:tcBorders>
              <w:top w:val="nil"/>
              <w:left w:val="nil"/>
              <w:bottom w:val="single" w:sz="8"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2012</w:t>
            </w:r>
          </w:p>
        </w:tc>
        <w:tc>
          <w:tcPr>
            <w:tcW w:w="781" w:type="pct"/>
            <w:tcBorders>
              <w:top w:val="nil"/>
              <w:left w:val="nil"/>
              <w:bottom w:val="single" w:sz="8" w:space="0" w:color="auto"/>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432,728</w:t>
            </w:r>
          </w:p>
        </w:tc>
        <w:tc>
          <w:tcPr>
            <w:tcW w:w="781" w:type="pct"/>
            <w:tcBorders>
              <w:top w:val="nil"/>
              <w:left w:val="nil"/>
              <w:bottom w:val="single" w:sz="8" w:space="0" w:color="auto"/>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355,553</w:t>
            </w:r>
          </w:p>
        </w:tc>
        <w:tc>
          <w:tcPr>
            <w:tcW w:w="781" w:type="pct"/>
            <w:tcBorders>
              <w:top w:val="nil"/>
              <w:left w:val="nil"/>
              <w:bottom w:val="single" w:sz="8" w:space="0" w:color="auto"/>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1,475,162</w:t>
            </w:r>
          </w:p>
        </w:tc>
        <w:tc>
          <w:tcPr>
            <w:tcW w:w="781" w:type="pct"/>
            <w:tcBorders>
              <w:top w:val="nil"/>
              <w:left w:val="nil"/>
              <w:bottom w:val="single" w:sz="8" w:space="0" w:color="auto"/>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646,029</w:t>
            </w:r>
          </w:p>
        </w:tc>
        <w:tc>
          <w:tcPr>
            <w:tcW w:w="781" w:type="pct"/>
            <w:tcBorders>
              <w:top w:val="nil"/>
              <w:left w:val="nil"/>
              <w:bottom w:val="single" w:sz="8" w:space="0" w:color="auto"/>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224,953</w:t>
            </w:r>
          </w:p>
        </w:tc>
        <w:tc>
          <w:tcPr>
            <w:tcW w:w="781" w:type="pct"/>
            <w:tcBorders>
              <w:top w:val="nil"/>
              <w:left w:val="nil"/>
              <w:bottom w:val="single" w:sz="8" w:space="0" w:color="auto"/>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3,134,425</w:t>
            </w:r>
          </w:p>
        </w:tc>
      </w:tr>
    </w:tbl>
    <w:p w:rsidR="00B000C0" w:rsidRDefault="00B000C0" w:rsidP="004B4B73"/>
    <w:p w:rsidR="00EA4B26" w:rsidRDefault="00EA4B26" w:rsidP="004B4B73"/>
    <w:p w:rsidR="00EA4B26" w:rsidRPr="00573DEB" w:rsidRDefault="00EA4B26" w:rsidP="004B4B73"/>
    <w:p w:rsidR="00B000C0" w:rsidRPr="00573DEB" w:rsidRDefault="008C2A2F" w:rsidP="004B4B73">
      <w:pPr>
        <w:pStyle w:val="Heading2"/>
      </w:pPr>
      <w:bookmarkStart w:id="364" w:name="_Toc388620024"/>
      <w:r>
        <w:t xml:space="preserve">Table A.43:  </w:t>
      </w:r>
      <w:r w:rsidR="00B000C0" w:rsidRPr="00573DEB">
        <w:t>Royalty Receipts by type, 2001-2012 (US$ Thousand)</w:t>
      </w:r>
      <w:bookmarkEnd w:id="364"/>
    </w:p>
    <w:tbl>
      <w:tblPr>
        <w:tblW w:w="0" w:type="auto"/>
        <w:tblInd w:w="55" w:type="dxa"/>
        <w:tblCellMar>
          <w:left w:w="70" w:type="dxa"/>
          <w:right w:w="70" w:type="dxa"/>
        </w:tblCellMar>
        <w:tblLook w:val="04A0" w:firstRow="1" w:lastRow="0" w:firstColumn="1" w:lastColumn="0" w:noHBand="0" w:noVBand="1"/>
      </w:tblPr>
      <w:tblGrid>
        <w:gridCol w:w="630"/>
        <w:gridCol w:w="1448"/>
        <w:gridCol w:w="1449"/>
        <w:gridCol w:w="1448"/>
        <w:gridCol w:w="1449"/>
        <w:gridCol w:w="1448"/>
        <w:gridCol w:w="1449"/>
      </w:tblGrid>
      <w:tr w:rsidR="00B000C0" w:rsidRPr="00573DEB" w:rsidTr="004B4B73">
        <w:trPr>
          <w:trHeight w:val="595"/>
        </w:trPr>
        <w:tc>
          <w:tcPr>
            <w:tcW w:w="0" w:type="auto"/>
            <w:tcBorders>
              <w:top w:val="single" w:sz="8" w:space="0" w:color="auto"/>
              <w:left w:val="nil"/>
              <w:bottom w:val="single" w:sz="4" w:space="0" w:color="auto"/>
              <w:right w:val="nil"/>
            </w:tcBorders>
            <w:shd w:val="clear" w:color="auto" w:fill="auto"/>
            <w:vAlign w:val="center"/>
            <w:hideMark/>
          </w:tcPr>
          <w:p w:rsidR="00B000C0" w:rsidRPr="00573DEB" w:rsidRDefault="00B000C0" w:rsidP="004B4B73">
            <w:pPr>
              <w:rPr>
                <w:lang w:eastAsia="pt-BR"/>
              </w:rPr>
            </w:pPr>
            <w:r w:rsidRPr="00573DEB">
              <w:rPr>
                <w:lang w:eastAsia="pt-BR"/>
              </w:rPr>
              <w:t>Year</w:t>
            </w:r>
          </w:p>
        </w:tc>
        <w:tc>
          <w:tcPr>
            <w:tcW w:w="1448"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684D03">
            <w:pPr>
              <w:jc w:val="center"/>
              <w:rPr>
                <w:lang w:eastAsia="pt-BR"/>
              </w:rPr>
            </w:pPr>
            <w:r w:rsidRPr="00573DEB">
              <w:rPr>
                <w:lang w:eastAsia="pt-BR"/>
              </w:rPr>
              <w:t>Trademark Licensing</w:t>
            </w:r>
          </w:p>
        </w:tc>
        <w:tc>
          <w:tcPr>
            <w:tcW w:w="1449"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684D03">
            <w:pPr>
              <w:jc w:val="center"/>
              <w:rPr>
                <w:lang w:eastAsia="pt-BR"/>
              </w:rPr>
            </w:pPr>
            <w:r w:rsidRPr="00573DEB">
              <w:rPr>
                <w:lang w:eastAsia="pt-BR"/>
              </w:rPr>
              <w:t>Patent and Industrial Design Licensing</w:t>
            </w:r>
          </w:p>
        </w:tc>
        <w:tc>
          <w:tcPr>
            <w:tcW w:w="1448"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684D03">
            <w:pPr>
              <w:jc w:val="center"/>
              <w:rPr>
                <w:lang w:eastAsia="pt-BR"/>
              </w:rPr>
            </w:pPr>
            <w:r w:rsidRPr="00573DEB">
              <w:rPr>
                <w:lang w:eastAsia="pt-BR"/>
              </w:rPr>
              <w:t>Know-How Agreements</w:t>
            </w:r>
          </w:p>
        </w:tc>
        <w:tc>
          <w:tcPr>
            <w:tcW w:w="1449"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684D03">
            <w:pPr>
              <w:jc w:val="center"/>
              <w:rPr>
                <w:lang w:eastAsia="pt-BR"/>
              </w:rPr>
            </w:pPr>
            <w:r w:rsidRPr="00573DEB">
              <w:rPr>
                <w:lang w:eastAsia="pt-BR"/>
              </w:rPr>
              <w:t>Technical Assistance Services</w:t>
            </w:r>
          </w:p>
        </w:tc>
        <w:tc>
          <w:tcPr>
            <w:tcW w:w="1448"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684D03">
            <w:pPr>
              <w:jc w:val="center"/>
              <w:rPr>
                <w:lang w:eastAsia="pt-BR"/>
              </w:rPr>
            </w:pPr>
            <w:r w:rsidRPr="00573DEB">
              <w:rPr>
                <w:lang w:eastAsia="pt-BR"/>
              </w:rPr>
              <w:t>Franchising</w:t>
            </w:r>
          </w:p>
        </w:tc>
        <w:tc>
          <w:tcPr>
            <w:tcW w:w="1449" w:type="dxa"/>
            <w:tcBorders>
              <w:top w:val="single" w:sz="8" w:space="0" w:color="auto"/>
              <w:left w:val="nil"/>
              <w:bottom w:val="single" w:sz="4" w:space="0" w:color="auto"/>
              <w:right w:val="nil"/>
            </w:tcBorders>
            <w:shd w:val="clear" w:color="auto" w:fill="auto"/>
            <w:vAlign w:val="center"/>
            <w:hideMark/>
          </w:tcPr>
          <w:p w:rsidR="00B000C0" w:rsidRPr="00573DEB" w:rsidRDefault="00B000C0" w:rsidP="00684D03">
            <w:pPr>
              <w:jc w:val="center"/>
              <w:rPr>
                <w:lang w:eastAsia="pt-BR"/>
              </w:rPr>
            </w:pPr>
            <w:r w:rsidRPr="00573DEB">
              <w:rPr>
                <w:lang w:eastAsia="pt-BR"/>
              </w:rPr>
              <w:t>Total</w:t>
            </w:r>
          </w:p>
        </w:tc>
      </w:tr>
      <w:tr w:rsidR="00B000C0" w:rsidRPr="00573DEB" w:rsidTr="004B4B73">
        <w:trPr>
          <w:trHeight w:val="300"/>
        </w:trPr>
        <w:tc>
          <w:tcPr>
            <w:tcW w:w="0" w:type="auto"/>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2001</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4,192</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136</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9,103</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7,874</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142</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21,447</w:t>
            </w:r>
          </w:p>
        </w:tc>
      </w:tr>
      <w:tr w:rsidR="00B000C0" w:rsidRPr="00573DEB" w:rsidTr="004B4B73">
        <w:trPr>
          <w:trHeight w:val="300"/>
        </w:trPr>
        <w:tc>
          <w:tcPr>
            <w:tcW w:w="0" w:type="auto"/>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2002</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18,681</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60</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6,617</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1,565</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0</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26,923</w:t>
            </w:r>
          </w:p>
        </w:tc>
      </w:tr>
      <w:tr w:rsidR="00B000C0" w:rsidRPr="00573DEB" w:rsidTr="004B4B73">
        <w:trPr>
          <w:trHeight w:val="300"/>
        </w:trPr>
        <w:tc>
          <w:tcPr>
            <w:tcW w:w="0" w:type="auto"/>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2003</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2,109</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0</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2,354</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4,187</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23</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8,673</w:t>
            </w:r>
          </w:p>
        </w:tc>
      </w:tr>
      <w:tr w:rsidR="00B000C0" w:rsidRPr="00573DEB" w:rsidTr="004B4B73">
        <w:trPr>
          <w:trHeight w:val="300"/>
        </w:trPr>
        <w:tc>
          <w:tcPr>
            <w:tcW w:w="0" w:type="auto"/>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2004</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3,249</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1,555</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1,784</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135</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6,725</w:t>
            </w:r>
          </w:p>
        </w:tc>
      </w:tr>
      <w:tr w:rsidR="00B000C0" w:rsidRPr="00573DEB" w:rsidTr="004B4B73">
        <w:trPr>
          <w:trHeight w:val="300"/>
        </w:trPr>
        <w:tc>
          <w:tcPr>
            <w:tcW w:w="0" w:type="auto"/>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2005</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758</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34</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1,543</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38,062</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103</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40,500</w:t>
            </w:r>
          </w:p>
        </w:tc>
      </w:tr>
      <w:tr w:rsidR="00B000C0" w:rsidRPr="00573DEB" w:rsidTr="004B4B73">
        <w:trPr>
          <w:trHeight w:val="300"/>
        </w:trPr>
        <w:tc>
          <w:tcPr>
            <w:tcW w:w="0" w:type="auto"/>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2006</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22,482</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1,574</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6,172</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685,993</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301</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716,522</w:t>
            </w:r>
          </w:p>
        </w:tc>
      </w:tr>
      <w:tr w:rsidR="00B000C0" w:rsidRPr="00573DEB" w:rsidTr="004B4B73">
        <w:trPr>
          <w:trHeight w:val="300"/>
        </w:trPr>
        <w:tc>
          <w:tcPr>
            <w:tcW w:w="0" w:type="auto"/>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2007</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33,525</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1,552</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6,757</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901,342</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572</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943,748</w:t>
            </w:r>
          </w:p>
        </w:tc>
      </w:tr>
      <w:tr w:rsidR="00B000C0" w:rsidRPr="00573DEB" w:rsidTr="004B4B73">
        <w:trPr>
          <w:trHeight w:val="300"/>
        </w:trPr>
        <w:tc>
          <w:tcPr>
            <w:tcW w:w="0" w:type="auto"/>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2008</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49,301</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12,813</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46,548</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610,973</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706</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720,341</w:t>
            </w:r>
          </w:p>
        </w:tc>
      </w:tr>
      <w:tr w:rsidR="00B000C0" w:rsidRPr="00573DEB" w:rsidTr="004B4B73">
        <w:trPr>
          <w:trHeight w:val="300"/>
        </w:trPr>
        <w:tc>
          <w:tcPr>
            <w:tcW w:w="0" w:type="auto"/>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2009</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39,524</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1150</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74,616</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689,643</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2,766</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807,699</w:t>
            </w:r>
          </w:p>
        </w:tc>
      </w:tr>
      <w:tr w:rsidR="00B000C0" w:rsidRPr="00573DEB" w:rsidTr="004B4B73">
        <w:trPr>
          <w:trHeight w:val="300"/>
        </w:trPr>
        <w:tc>
          <w:tcPr>
            <w:tcW w:w="0" w:type="auto"/>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2010</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66,587</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6,891</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63,835</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605,161</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821</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743,295</w:t>
            </w:r>
          </w:p>
        </w:tc>
      </w:tr>
      <w:tr w:rsidR="00B000C0" w:rsidRPr="00573DEB" w:rsidTr="004B4B73">
        <w:trPr>
          <w:trHeight w:val="300"/>
        </w:trPr>
        <w:tc>
          <w:tcPr>
            <w:tcW w:w="0" w:type="auto"/>
            <w:tcBorders>
              <w:top w:val="nil"/>
              <w:left w:val="nil"/>
              <w:bottom w:val="nil"/>
              <w:right w:val="nil"/>
            </w:tcBorders>
            <w:shd w:val="clear" w:color="auto" w:fill="auto"/>
            <w:noWrap/>
            <w:vAlign w:val="center"/>
            <w:hideMark/>
          </w:tcPr>
          <w:p w:rsidR="00B000C0" w:rsidRPr="00573DEB" w:rsidRDefault="00B000C0" w:rsidP="004B4B73">
            <w:pPr>
              <w:rPr>
                <w:lang w:eastAsia="pt-BR"/>
              </w:rPr>
            </w:pPr>
            <w:r w:rsidRPr="00573DEB">
              <w:rPr>
                <w:lang w:eastAsia="pt-BR"/>
              </w:rPr>
              <w:t>2011</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94,101</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9,734</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122,029</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653,077</w:t>
            </w:r>
          </w:p>
        </w:tc>
        <w:tc>
          <w:tcPr>
            <w:tcW w:w="1448"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1,212</w:t>
            </w:r>
          </w:p>
        </w:tc>
        <w:tc>
          <w:tcPr>
            <w:tcW w:w="1449" w:type="dxa"/>
            <w:tcBorders>
              <w:top w:val="nil"/>
              <w:left w:val="nil"/>
              <w:bottom w:val="nil"/>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880,153</w:t>
            </w:r>
          </w:p>
        </w:tc>
      </w:tr>
      <w:tr w:rsidR="00B000C0" w:rsidRPr="00573DEB" w:rsidTr="004B4B73">
        <w:trPr>
          <w:trHeight w:val="315"/>
        </w:trPr>
        <w:tc>
          <w:tcPr>
            <w:tcW w:w="0" w:type="auto"/>
            <w:tcBorders>
              <w:top w:val="nil"/>
              <w:left w:val="nil"/>
              <w:bottom w:val="single" w:sz="8" w:space="0" w:color="auto"/>
              <w:right w:val="nil"/>
            </w:tcBorders>
            <w:shd w:val="clear" w:color="auto" w:fill="auto"/>
            <w:noWrap/>
            <w:vAlign w:val="center"/>
            <w:hideMark/>
          </w:tcPr>
          <w:p w:rsidR="00B000C0" w:rsidRPr="00573DEB" w:rsidRDefault="00B000C0" w:rsidP="004B4B73">
            <w:pPr>
              <w:rPr>
                <w:lang w:eastAsia="pt-BR"/>
              </w:rPr>
            </w:pPr>
            <w:r w:rsidRPr="00573DEB">
              <w:rPr>
                <w:lang w:eastAsia="pt-BR"/>
              </w:rPr>
              <w:t>2012</w:t>
            </w:r>
          </w:p>
        </w:tc>
        <w:tc>
          <w:tcPr>
            <w:tcW w:w="1448" w:type="dxa"/>
            <w:tcBorders>
              <w:top w:val="nil"/>
              <w:left w:val="nil"/>
              <w:bottom w:val="single" w:sz="8" w:space="0" w:color="auto"/>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84,086</w:t>
            </w:r>
          </w:p>
        </w:tc>
        <w:tc>
          <w:tcPr>
            <w:tcW w:w="1449" w:type="dxa"/>
            <w:tcBorders>
              <w:top w:val="nil"/>
              <w:left w:val="nil"/>
              <w:bottom w:val="single" w:sz="8" w:space="0" w:color="auto"/>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26,378</w:t>
            </w:r>
          </w:p>
        </w:tc>
        <w:tc>
          <w:tcPr>
            <w:tcW w:w="1448" w:type="dxa"/>
            <w:tcBorders>
              <w:top w:val="nil"/>
              <w:left w:val="nil"/>
              <w:bottom w:val="single" w:sz="8" w:space="0" w:color="auto"/>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95,098</w:t>
            </w:r>
          </w:p>
        </w:tc>
        <w:tc>
          <w:tcPr>
            <w:tcW w:w="1449" w:type="dxa"/>
            <w:tcBorders>
              <w:top w:val="nil"/>
              <w:left w:val="nil"/>
              <w:bottom w:val="single" w:sz="8" w:space="0" w:color="auto"/>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1,163,363</w:t>
            </w:r>
          </w:p>
        </w:tc>
        <w:tc>
          <w:tcPr>
            <w:tcW w:w="1448" w:type="dxa"/>
            <w:tcBorders>
              <w:top w:val="nil"/>
              <w:left w:val="nil"/>
              <w:bottom w:val="single" w:sz="8" w:space="0" w:color="auto"/>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2,804</w:t>
            </w:r>
          </w:p>
        </w:tc>
        <w:tc>
          <w:tcPr>
            <w:tcW w:w="1449" w:type="dxa"/>
            <w:tcBorders>
              <w:top w:val="nil"/>
              <w:left w:val="nil"/>
              <w:bottom w:val="single" w:sz="8" w:space="0" w:color="auto"/>
              <w:right w:val="nil"/>
            </w:tcBorders>
            <w:shd w:val="clear" w:color="auto" w:fill="auto"/>
            <w:noWrap/>
            <w:vAlign w:val="center"/>
            <w:hideMark/>
          </w:tcPr>
          <w:p w:rsidR="00B000C0" w:rsidRPr="00573DEB" w:rsidRDefault="00B000C0" w:rsidP="00684D03">
            <w:pPr>
              <w:jc w:val="center"/>
              <w:rPr>
                <w:lang w:eastAsia="pt-BR"/>
              </w:rPr>
            </w:pPr>
            <w:r w:rsidRPr="00573DEB">
              <w:rPr>
                <w:lang w:eastAsia="pt-BR"/>
              </w:rPr>
              <w:t>1,371,729</w:t>
            </w:r>
          </w:p>
        </w:tc>
      </w:tr>
    </w:tbl>
    <w:p w:rsidR="00845030" w:rsidRDefault="00845030" w:rsidP="004B4B73"/>
    <w:p w:rsidR="006E60E6" w:rsidRDefault="006E60E6" w:rsidP="004B4B73"/>
    <w:p w:rsidR="006E60E6" w:rsidRPr="00573DEB" w:rsidRDefault="006E60E6" w:rsidP="004B4B73"/>
    <w:p w:rsidR="00DB70AF" w:rsidRPr="00573DEB" w:rsidRDefault="00567A53" w:rsidP="004B4B73">
      <w:pPr>
        <w:pStyle w:val="Endofdocument-Annex"/>
        <w:rPr>
          <w:i/>
        </w:rPr>
      </w:pPr>
      <w:r w:rsidRPr="00573DEB">
        <w:t>[End of Annex and of document]</w:t>
      </w:r>
    </w:p>
    <w:sectPr w:rsidR="00DB70AF" w:rsidRPr="00573DEB" w:rsidSect="00AB52B8">
      <w:endnotePr>
        <w:numFmt w:val="decimal"/>
      </w:endnotePr>
      <w:type w:val="continuous"/>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852" w:rsidRDefault="00A03852" w:rsidP="004B4B73">
      <w:r>
        <w:separator/>
      </w:r>
    </w:p>
  </w:endnote>
  <w:endnote w:type="continuationSeparator" w:id="0">
    <w:p w:rsidR="00A03852" w:rsidRDefault="00A03852" w:rsidP="004B4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52" w:rsidRDefault="00A03852">
    <w:pPr>
      <w:pStyle w:val="Footer"/>
      <w:jc w:val="right"/>
    </w:pPr>
  </w:p>
  <w:p w:rsidR="00A03852" w:rsidRDefault="00A03852" w:rsidP="004B4B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52" w:rsidRDefault="00A03852">
    <w:pPr>
      <w:pStyle w:val="Footer"/>
      <w:jc w:val="right"/>
    </w:pPr>
  </w:p>
  <w:p w:rsidR="00A03852" w:rsidRDefault="00A03852" w:rsidP="004B4B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52" w:rsidRDefault="00A0385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52" w:rsidRDefault="00A03852" w:rsidP="004B4B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852" w:rsidRDefault="00A03852" w:rsidP="004B4B73">
      <w:r>
        <w:separator/>
      </w:r>
    </w:p>
  </w:footnote>
  <w:footnote w:type="continuationSeparator" w:id="0">
    <w:p w:rsidR="00A03852" w:rsidRDefault="00A03852" w:rsidP="004B4B73">
      <w:r>
        <w:continuationSeparator/>
      </w:r>
    </w:p>
  </w:footnote>
  <w:footnote w:id="1">
    <w:p w:rsidR="00A03852" w:rsidRDefault="00A03852" w:rsidP="004B4B73">
      <w:pPr>
        <w:pStyle w:val="FootnoteText"/>
      </w:pPr>
      <w:r w:rsidRPr="00343688">
        <w:rPr>
          <w:rStyle w:val="FootnoteReference"/>
          <w:sz w:val="16"/>
          <w:szCs w:val="16"/>
        </w:rPr>
        <w:footnoteRef/>
      </w:r>
      <w:r w:rsidRPr="00343688">
        <w:t xml:space="preserve"> See Document CDIP/5/7, available at http://www.wipo.int/meetings/en/doc_details.jsp?doc_id=131717.</w:t>
      </w:r>
    </w:p>
  </w:footnote>
  <w:footnote w:id="2">
    <w:p w:rsidR="00A03852" w:rsidRDefault="00A03852" w:rsidP="004B4B73">
      <w:pPr>
        <w:pStyle w:val="FootnoteText"/>
      </w:pPr>
      <w:r w:rsidRPr="00343688">
        <w:rPr>
          <w:rStyle w:val="FootnoteReference"/>
          <w:sz w:val="16"/>
          <w:szCs w:val="16"/>
        </w:rPr>
        <w:footnoteRef/>
      </w:r>
      <w:r w:rsidRPr="00343688">
        <w:t xml:space="preserve"> The EPO’s </w:t>
      </w:r>
      <w:proofErr w:type="spellStart"/>
      <w:r w:rsidRPr="00343688">
        <w:t>Patstat</w:t>
      </w:r>
      <w:proofErr w:type="spellEnd"/>
      <w:r w:rsidRPr="00343688">
        <w:t xml:space="preserve"> database offers </w:t>
      </w:r>
      <w:r>
        <w:t>comprehensive</w:t>
      </w:r>
      <w:r w:rsidRPr="00343688">
        <w:t xml:space="preserve"> patent data for a large number of middle</w:t>
      </w:r>
      <w:r>
        <w:t>-</w:t>
      </w:r>
      <w:r w:rsidRPr="00343688">
        <w:t>income countries, including Brazil</w:t>
      </w:r>
      <w:r>
        <w:t xml:space="preserve">.  </w:t>
      </w:r>
      <w:r w:rsidRPr="005A234F">
        <w:t>However</w:t>
      </w:r>
      <w:r>
        <w:t>, it only</w:t>
      </w:r>
      <w:r w:rsidRPr="005A234F">
        <w:t xml:space="preserve"> covers patents and utility models</w:t>
      </w:r>
      <w:r>
        <w:t xml:space="preserve">.  </w:t>
      </w:r>
    </w:p>
  </w:footnote>
  <w:footnote w:id="3">
    <w:p w:rsidR="00A03852" w:rsidRDefault="00A03852" w:rsidP="004B4B73">
      <w:pPr>
        <w:pStyle w:val="FootnoteText"/>
      </w:pPr>
      <w:r w:rsidRPr="00343688">
        <w:rPr>
          <w:rStyle w:val="FootnoteReference"/>
          <w:sz w:val="16"/>
          <w:szCs w:val="16"/>
        </w:rPr>
        <w:footnoteRef/>
      </w:r>
      <w:r w:rsidRPr="00343688">
        <w:t xml:space="preserve"> See Decree No</w:t>
      </w:r>
      <w:r>
        <w:t xml:space="preserve">.  </w:t>
      </w:r>
      <w:r w:rsidRPr="00343688">
        <w:t>7356 of 12 November 2010.</w:t>
      </w:r>
    </w:p>
  </w:footnote>
  <w:footnote w:id="4">
    <w:p w:rsidR="00A03852" w:rsidRPr="00343688" w:rsidRDefault="00A03852" w:rsidP="004B4B73">
      <w:pPr>
        <w:rPr>
          <w:vertAlign w:val="superscript"/>
          <w:lang w:eastAsia="pt-BR"/>
        </w:rPr>
      </w:pPr>
      <w:r w:rsidRPr="00343688">
        <w:rPr>
          <w:rStyle w:val="FootnoteReference"/>
          <w:sz w:val="16"/>
          <w:szCs w:val="16"/>
        </w:rPr>
        <w:footnoteRef/>
      </w:r>
      <w:r w:rsidRPr="00343688">
        <w:t xml:space="preserve"> </w:t>
      </w:r>
      <w:r w:rsidRPr="00343688">
        <w:rPr>
          <w:color w:val="FF0000"/>
          <w:vertAlign w:val="superscript"/>
          <w:lang w:eastAsia="pt-BR"/>
        </w:rPr>
        <w:t xml:space="preserve"> </w:t>
      </w:r>
      <w:r w:rsidRPr="006129E2">
        <w:rPr>
          <w:sz w:val="18"/>
          <w:szCs w:val="18"/>
          <w:lang w:eastAsia="pt-BR"/>
        </w:rPr>
        <w:t>The main external crises in the last decade were: In 2001, the energy crisis, the "contagion" of the Argentine crisis and the terrorist attacks of September 11; In 2002, the lack of international liquidity; In 2007, the subprime crisis and, starting at the end of 2009, the public debt crisis in the euro zone.</w:t>
      </w:r>
    </w:p>
    <w:p w:rsidR="00A03852" w:rsidRDefault="00A03852" w:rsidP="004B4B73"/>
  </w:footnote>
  <w:footnote w:id="5">
    <w:p w:rsidR="00A03852" w:rsidRPr="00044DF6" w:rsidRDefault="00A03852" w:rsidP="00800CA3">
      <w:pPr>
        <w:pStyle w:val="FootnoteText"/>
        <w:rPr>
          <w:lang w:val="pt-BR"/>
        </w:rPr>
      </w:pPr>
      <w:r w:rsidRPr="001307F5">
        <w:rPr>
          <w:rStyle w:val="FootnoteReference"/>
          <w:sz w:val="16"/>
          <w:szCs w:val="16"/>
        </w:rPr>
        <w:footnoteRef/>
      </w:r>
      <w:r w:rsidRPr="001307F5">
        <w:t xml:space="preserve"> </w:t>
      </w:r>
      <w:proofErr w:type="gramStart"/>
      <w:r w:rsidRPr="001307F5">
        <w:t>VIOTTI, E</w:t>
      </w:r>
      <w:r>
        <w:t>.</w:t>
      </w:r>
      <w:proofErr w:type="gramEnd"/>
      <w:r>
        <w:t xml:space="preserve">  </w:t>
      </w:r>
      <w:proofErr w:type="spellStart"/>
      <w:r w:rsidRPr="00587436">
        <w:rPr>
          <w:bCs/>
        </w:rPr>
        <w:t>Brasil</w:t>
      </w:r>
      <w:proofErr w:type="spellEnd"/>
      <w:r w:rsidRPr="001307F5">
        <w:rPr>
          <w:b/>
          <w:bCs/>
        </w:rPr>
        <w:t xml:space="preserve">: </w:t>
      </w:r>
      <w:r w:rsidRPr="001307F5">
        <w:t xml:space="preserve">from S&amp;T </w:t>
      </w:r>
      <w:r w:rsidRPr="00800CA3">
        <w:t>to</w:t>
      </w:r>
      <w:r w:rsidRPr="001307F5">
        <w:t xml:space="preserve"> innovation policy? </w:t>
      </w:r>
      <w:proofErr w:type="gramStart"/>
      <w:r w:rsidRPr="001307F5">
        <w:t>The evolution and the challenges facing Brazilian policies for science, technology and innovation</w:t>
      </w:r>
      <w:r>
        <w:t>.</w:t>
      </w:r>
      <w:proofErr w:type="gramEnd"/>
      <w:r>
        <w:t xml:space="preserve">  </w:t>
      </w:r>
      <w:r w:rsidRPr="00044DF6">
        <w:rPr>
          <w:lang w:val="pt-BR"/>
        </w:rPr>
        <w:t>Paper presented on Globelics Conference, Mexico City, September 22-24, 2008.</w:t>
      </w:r>
    </w:p>
    <w:p w:rsidR="00A03852" w:rsidRPr="00044DF6" w:rsidRDefault="00A03852" w:rsidP="004B4B73">
      <w:pPr>
        <w:pStyle w:val="FootnoteText"/>
        <w:rPr>
          <w:lang w:val="pt-BR"/>
        </w:rPr>
      </w:pPr>
    </w:p>
  </w:footnote>
  <w:footnote w:id="6">
    <w:p w:rsidR="00A03852" w:rsidRPr="00093AA4" w:rsidRDefault="00A03852" w:rsidP="00EC3024">
      <w:pPr>
        <w:pStyle w:val="FootnoteText"/>
        <w:rPr>
          <w:lang w:val="es-ES_tradnl"/>
        </w:rPr>
      </w:pPr>
      <w:r w:rsidRPr="00343688">
        <w:rPr>
          <w:rStyle w:val="FootnoteReference"/>
          <w:rFonts w:eastAsia="SimSun"/>
          <w:sz w:val="16"/>
          <w:szCs w:val="16"/>
        </w:rPr>
        <w:footnoteRef/>
      </w:r>
      <w:r w:rsidRPr="00343688">
        <w:t xml:space="preserve"> BARBOSA, A</w:t>
      </w:r>
      <w:r>
        <w:t xml:space="preserve">.  </w:t>
      </w:r>
      <w:r w:rsidRPr="00DA2C07">
        <w:rPr>
          <w:lang w:val="es-ES_tradnl"/>
        </w:rPr>
        <w:t xml:space="preserve">L.  F.  Sobre a </w:t>
      </w:r>
      <w:proofErr w:type="spellStart"/>
      <w:r w:rsidRPr="00DA2C07">
        <w:rPr>
          <w:lang w:val="es-ES_tradnl"/>
        </w:rPr>
        <w:t>propriedade</w:t>
      </w:r>
      <w:proofErr w:type="spellEnd"/>
      <w:r w:rsidRPr="00DA2C07">
        <w:rPr>
          <w:lang w:val="es-ES_tradnl"/>
        </w:rPr>
        <w:t xml:space="preserve"> do </w:t>
      </w:r>
      <w:proofErr w:type="spellStart"/>
      <w:r w:rsidRPr="00DA2C07">
        <w:rPr>
          <w:lang w:val="es-ES_tradnl"/>
        </w:rPr>
        <w:t>trabalho</w:t>
      </w:r>
      <w:proofErr w:type="spellEnd"/>
      <w:r w:rsidRPr="00DA2C07">
        <w:rPr>
          <w:lang w:val="es-ES_tradnl"/>
        </w:rPr>
        <w:t xml:space="preserve"> intelectual: </w:t>
      </w:r>
      <w:proofErr w:type="spellStart"/>
      <w:r w:rsidRPr="00DA2C07">
        <w:rPr>
          <w:lang w:val="es-ES_tradnl"/>
        </w:rPr>
        <w:t>uma</w:t>
      </w:r>
      <w:proofErr w:type="spellEnd"/>
      <w:r w:rsidRPr="00DA2C07">
        <w:rPr>
          <w:lang w:val="es-ES_tradnl"/>
        </w:rPr>
        <w:t xml:space="preserve"> perspectiva crítica.  </w:t>
      </w:r>
      <w:r w:rsidRPr="00093AA4">
        <w:rPr>
          <w:lang w:val="es-ES_tradnl"/>
        </w:rPr>
        <w:t>Rio de Janeiro: Editora UFRJ, 1999.</w:t>
      </w:r>
    </w:p>
  </w:footnote>
  <w:footnote w:id="7">
    <w:p w:rsidR="00A03852" w:rsidRPr="00DA2C07" w:rsidRDefault="00A03852" w:rsidP="00EC3024">
      <w:pPr>
        <w:pStyle w:val="FootnoteText"/>
        <w:rPr>
          <w:lang w:val="es-ES_tradnl"/>
        </w:rPr>
      </w:pPr>
      <w:r w:rsidRPr="00343688">
        <w:rPr>
          <w:rStyle w:val="FootnoteReference"/>
          <w:rFonts w:eastAsia="SimSun"/>
          <w:sz w:val="16"/>
          <w:szCs w:val="16"/>
        </w:rPr>
        <w:footnoteRef/>
      </w:r>
      <w:r w:rsidRPr="00093AA4">
        <w:rPr>
          <w:lang w:val="es-ES_tradnl"/>
        </w:rPr>
        <w:t xml:space="preserve"> CARVALHO, S.  M.  P.  </w:t>
      </w:r>
      <w:proofErr w:type="spellStart"/>
      <w:r w:rsidRPr="00776BE0">
        <w:rPr>
          <w:lang w:val="es-ES_tradnl"/>
        </w:rPr>
        <w:t>Proteção</w:t>
      </w:r>
      <w:proofErr w:type="spellEnd"/>
      <w:r w:rsidRPr="00776BE0">
        <w:rPr>
          <w:lang w:val="es-ES_tradnl"/>
        </w:rPr>
        <w:t xml:space="preserve"> de cultivares e </w:t>
      </w:r>
      <w:proofErr w:type="spellStart"/>
      <w:r w:rsidRPr="00776BE0">
        <w:rPr>
          <w:lang w:val="es-ES_tradnl"/>
        </w:rPr>
        <w:t>apropriabilidade</w:t>
      </w:r>
      <w:proofErr w:type="spellEnd"/>
      <w:r w:rsidRPr="00776BE0">
        <w:rPr>
          <w:lang w:val="es-ES_tradnl"/>
        </w:rPr>
        <w:t xml:space="preserve"> </w:t>
      </w:r>
      <w:proofErr w:type="spellStart"/>
      <w:r w:rsidRPr="00776BE0">
        <w:rPr>
          <w:lang w:val="es-ES_tradnl"/>
        </w:rPr>
        <w:t>econômica</w:t>
      </w:r>
      <w:proofErr w:type="spellEnd"/>
      <w:r w:rsidRPr="00776BE0">
        <w:rPr>
          <w:lang w:val="es-ES_tradnl"/>
        </w:rPr>
        <w:t xml:space="preserve"> no mercado de </w:t>
      </w:r>
      <w:proofErr w:type="spellStart"/>
      <w:r w:rsidRPr="00776BE0">
        <w:rPr>
          <w:lang w:val="es-ES_tradnl"/>
        </w:rPr>
        <w:t>sementes</w:t>
      </w:r>
      <w:proofErr w:type="spellEnd"/>
      <w:r w:rsidRPr="00776BE0">
        <w:rPr>
          <w:lang w:val="es-ES_tradnl"/>
        </w:rPr>
        <w:t xml:space="preserve"> no Brasil.  </w:t>
      </w:r>
      <w:proofErr w:type="spellStart"/>
      <w:r w:rsidRPr="00DA2C07">
        <w:rPr>
          <w:b/>
          <w:bCs/>
          <w:lang w:val="es-ES_tradnl"/>
        </w:rPr>
        <w:t>Cadernos</w:t>
      </w:r>
      <w:proofErr w:type="spellEnd"/>
      <w:r w:rsidRPr="00DA2C07">
        <w:rPr>
          <w:b/>
          <w:bCs/>
          <w:lang w:val="es-ES_tradnl"/>
        </w:rPr>
        <w:t xml:space="preserve"> de </w:t>
      </w:r>
      <w:proofErr w:type="spellStart"/>
      <w:r w:rsidRPr="00DA2C07">
        <w:rPr>
          <w:b/>
          <w:bCs/>
          <w:lang w:val="es-ES_tradnl"/>
        </w:rPr>
        <w:t>Difusão</w:t>
      </w:r>
      <w:proofErr w:type="spellEnd"/>
      <w:r w:rsidRPr="00DA2C07">
        <w:rPr>
          <w:b/>
          <w:bCs/>
          <w:lang w:val="es-ES_tradnl"/>
        </w:rPr>
        <w:t xml:space="preserve"> de </w:t>
      </w:r>
      <w:proofErr w:type="spellStart"/>
      <w:r w:rsidRPr="00DA2C07">
        <w:rPr>
          <w:b/>
          <w:bCs/>
          <w:lang w:val="es-ES_tradnl"/>
        </w:rPr>
        <w:t>Tecnologia</w:t>
      </w:r>
      <w:proofErr w:type="spellEnd"/>
      <w:r w:rsidRPr="00DA2C07">
        <w:rPr>
          <w:lang w:val="es-ES_tradnl"/>
        </w:rPr>
        <w:t xml:space="preserve">.  </w:t>
      </w:r>
      <w:proofErr w:type="spellStart"/>
      <w:r w:rsidRPr="00DA2C07">
        <w:rPr>
          <w:lang w:val="es-ES_tradnl"/>
        </w:rPr>
        <w:t>Brasília</w:t>
      </w:r>
      <w:proofErr w:type="spellEnd"/>
      <w:r w:rsidRPr="00DA2C07">
        <w:rPr>
          <w:lang w:val="es-ES_tradnl"/>
        </w:rPr>
        <w:t>: v.14, no 3, 1997, p.  365-409.</w:t>
      </w:r>
    </w:p>
  </w:footnote>
  <w:footnote w:id="8">
    <w:p w:rsidR="00A03852" w:rsidRPr="00AB5528" w:rsidRDefault="00A03852" w:rsidP="004B4B73">
      <w:pPr>
        <w:pStyle w:val="FootnoteText"/>
        <w:rPr>
          <w:lang w:val="pt-BR"/>
        </w:rPr>
      </w:pPr>
      <w:r w:rsidRPr="00343688">
        <w:rPr>
          <w:rStyle w:val="FootnoteReference"/>
          <w:sz w:val="16"/>
          <w:szCs w:val="16"/>
        </w:rPr>
        <w:footnoteRef/>
      </w:r>
      <w:r w:rsidRPr="00AB5528">
        <w:rPr>
          <w:lang w:val="pt-BR"/>
        </w:rPr>
        <w:t xml:space="preserve"> For more information, see: http://www.mdic.gov.br//sitio/interna/interna.php?area=3&amp;menu=1779</w:t>
      </w:r>
    </w:p>
  </w:footnote>
  <w:footnote w:id="9">
    <w:p w:rsidR="00A03852" w:rsidRPr="00850099" w:rsidRDefault="00A03852" w:rsidP="004B4B73">
      <w:pPr>
        <w:pStyle w:val="FootnoteText"/>
      </w:pPr>
      <w:r w:rsidRPr="00850099">
        <w:rPr>
          <w:rStyle w:val="FootnoteReference"/>
          <w:sz w:val="16"/>
        </w:rPr>
        <w:footnoteRef/>
      </w:r>
      <w:r>
        <w:t xml:space="preserve"> </w:t>
      </w:r>
      <w:r w:rsidRPr="00343688">
        <w:t xml:space="preserve">For more information, see: </w:t>
      </w:r>
      <w:hyperlink r:id="rId1" w:history="1">
        <w:r w:rsidRPr="000B5299">
          <w:rPr>
            <w:rStyle w:val="Hyperlink"/>
            <w:rFonts w:cs="Arial"/>
            <w:sz w:val="16"/>
            <w:szCs w:val="16"/>
          </w:rPr>
          <w:t>http://www.inpi.gov.br</w:t>
        </w:r>
      </w:hyperlink>
    </w:p>
  </w:footnote>
  <w:footnote w:id="10">
    <w:p w:rsidR="00A03852" w:rsidRDefault="00A03852" w:rsidP="004B4B73">
      <w:pPr>
        <w:pStyle w:val="FootnoteText"/>
      </w:pPr>
      <w:r w:rsidRPr="00343688">
        <w:rPr>
          <w:rStyle w:val="FootnoteReference"/>
          <w:sz w:val="16"/>
          <w:szCs w:val="16"/>
        </w:rPr>
        <w:footnoteRef/>
      </w:r>
      <w:r w:rsidRPr="00343688">
        <w:t xml:space="preserve"> For more information, see: </w:t>
      </w:r>
      <w:hyperlink r:id="rId2" w:history="1">
        <w:r w:rsidRPr="00343688">
          <w:rPr>
            <w:rStyle w:val="Hyperlink"/>
            <w:rFonts w:cs="Arial"/>
            <w:sz w:val="16"/>
            <w:szCs w:val="16"/>
          </w:rPr>
          <w:t>http://www.bn.br</w:t>
        </w:r>
      </w:hyperlink>
    </w:p>
  </w:footnote>
  <w:footnote w:id="11">
    <w:p w:rsidR="00A03852" w:rsidRDefault="00A03852" w:rsidP="004B4B73">
      <w:pPr>
        <w:pStyle w:val="FootnoteText"/>
      </w:pPr>
      <w:r w:rsidRPr="00343688">
        <w:rPr>
          <w:rStyle w:val="FootnoteReference"/>
          <w:sz w:val="16"/>
          <w:szCs w:val="16"/>
        </w:rPr>
        <w:footnoteRef/>
      </w:r>
      <w:r w:rsidRPr="00343688">
        <w:t xml:space="preserve"> For more information, see: </w:t>
      </w:r>
      <w:hyperlink r:id="rId3" w:history="1">
        <w:r w:rsidRPr="00343688">
          <w:rPr>
            <w:rStyle w:val="Hyperlink"/>
            <w:rFonts w:cs="Arial"/>
            <w:sz w:val="16"/>
            <w:szCs w:val="16"/>
          </w:rPr>
          <w:t>http://www.musica.ufrj.br</w:t>
        </w:r>
      </w:hyperlink>
    </w:p>
  </w:footnote>
  <w:footnote w:id="12">
    <w:p w:rsidR="00A03852" w:rsidRDefault="00A03852" w:rsidP="004B4B73">
      <w:pPr>
        <w:pStyle w:val="FootnoteText"/>
      </w:pPr>
      <w:r w:rsidRPr="00343688">
        <w:rPr>
          <w:rStyle w:val="FootnoteReference"/>
          <w:sz w:val="16"/>
          <w:szCs w:val="16"/>
        </w:rPr>
        <w:footnoteRef/>
      </w:r>
      <w:r w:rsidRPr="00343688">
        <w:t xml:space="preserve"> For more information, see: </w:t>
      </w:r>
      <w:hyperlink r:id="rId4" w:history="1">
        <w:r w:rsidRPr="00343688">
          <w:rPr>
            <w:rStyle w:val="Hyperlink"/>
            <w:rFonts w:cs="Arial"/>
            <w:sz w:val="16"/>
            <w:szCs w:val="16"/>
          </w:rPr>
          <w:t>http://www.eba.ufrj.br</w:t>
        </w:r>
      </w:hyperlink>
    </w:p>
  </w:footnote>
  <w:footnote w:id="13">
    <w:p w:rsidR="00A03852" w:rsidRDefault="00A03852" w:rsidP="004B4B73">
      <w:pPr>
        <w:pStyle w:val="FootnoteText"/>
      </w:pPr>
      <w:r w:rsidRPr="00343688">
        <w:rPr>
          <w:rStyle w:val="FootnoteReference"/>
          <w:sz w:val="16"/>
          <w:szCs w:val="16"/>
        </w:rPr>
        <w:footnoteRef/>
      </w:r>
      <w:r w:rsidRPr="00343688">
        <w:t xml:space="preserve"> For more information, see: </w:t>
      </w:r>
      <w:hyperlink r:id="rId5" w:history="1">
        <w:r w:rsidRPr="00343688">
          <w:rPr>
            <w:rStyle w:val="Hyperlink"/>
            <w:rFonts w:cs="Arial"/>
            <w:sz w:val="16"/>
            <w:szCs w:val="16"/>
          </w:rPr>
          <w:t>http://www.confea.org.br</w:t>
        </w:r>
      </w:hyperlink>
    </w:p>
  </w:footnote>
  <w:footnote w:id="14">
    <w:p w:rsidR="00A03852" w:rsidRDefault="00A03852" w:rsidP="004B4B73">
      <w:pPr>
        <w:pStyle w:val="FootnoteText"/>
      </w:pPr>
      <w:r w:rsidRPr="00343688">
        <w:rPr>
          <w:rStyle w:val="FootnoteReference"/>
          <w:sz w:val="16"/>
          <w:szCs w:val="16"/>
        </w:rPr>
        <w:footnoteRef/>
      </w:r>
      <w:r w:rsidRPr="00343688">
        <w:t xml:space="preserve"> For more information, see: </w:t>
      </w:r>
      <w:hyperlink r:id="rId6" w:history="1">
        <w:r w:rsidRPr="00343688">
          <w:rPr>
            <w:rStyle w:val="Hyperlink"/>
            <w:rFonts w:cs="Arial"/>
            <w:sz w:val="16"/>
            <w:szCs w:val="16"/>
          </w:rPr>
          <w:t>www.ancine.gov.br</w:t>
        </w:r>
      </w:hyperlink>
    </w:p>
  </w:footnote>
  <w:footnote w:id="15">
    <w:p w:rsidR="00A03852" w:rsidRDefault="00A03852" w:rsidP="004B4B73">
      <w:pPr>
        <w:pStyle w:val="FootnoteText"/>
      </w:pPr>
      <w:r w:rsidRPr="00343688">
        <w:rPr>
          <w:rStyle w:val="FootnoteReference"/>
          <w:sz w:val="16"/>
          <w:szCs w:val="16"/>
        </w:rPr>
        <w:footnoteRef/>
      </w:r>
      <w:r w:rsidRPr="00343688">
        <w:rPr>
          <w:szCs w:val="16"/>
        </w:rPr>
        <w:t xml:space="preserve"> For more information, see: </w:t>
      </w:r>
      <w:hyperlink r:id="rId7" w:history="1">
        <w:r w:rsidRPr="00AE29A7">
          <w:rPr>
            <w:rStyle w:val="Hyperlink"/>
            <w:rFonts w:cs="Arial"/>
            <w:sz w:val="16"/>
          </w:rPr>
          <w:t>http://www.agricultura.gov.br/vegetal/registros-autorizacoes/protecao-cultivares</w:t>
        </w:r>
      </w:hyperlink>
    </w:p>
  </w:footnote>
  <w:footnote w:id="16">
    <w:p w:rsidR="00A03852" w:rsidRPr="00AE29A7" w:rsidRDefault="00A03852" w:rsidP="004B4B73">
      <w:pPr>
        <w:pStyle w:val="FootnoteText"/>
      </w:pPr>
      <w:r w:rsidRPr="00AE29A7">
        <w:rPr>
          <w:rStyle w:val="FootnoteReference"/>
          <w:sz w:val="16"/>
          <w:szCs w:val="16"/>
        </w:rPr>
        <w:footnoteRef/>
      </w:r>
      <w:r w:rsidRPr="00AE29A7">
        <w:t xml:space="preserve"> Before the Industrial Property Law (No</w:t>
      </w:r>
      <w:r>
        <w:t xml:space="preserve">. </w:t>
      </w:r>
      <w:r w:rsidRPr="00AE29A7">
        <w:t>9.279</w:t>
      </w:r>
      <w:r>
        <w:t xml:space="preserve">, </w:t>
      </w:r>
      <w:r w:rsidRPr="00AE29A7">
        <w:t>14/05/1996) industrial design</w:t>
      </w:r>
      <w:r>
        <w:t>s</w:t>
      </w:r>
      <w:r w:rsidRPr="00AE29A7">
        <w:t xml:space="preserve"> </w:t>
      </w:r>
      <w:r>
        <w:t xml:space="preserve">were </w:t>
      </w:r>
      <w:r w:rsidRPr="00AE29A7">
        <w:t>protected by patents as an industrial model.</w:t>
      </w:r>
    </w:p>
  </w:footnote>
  <w:footnote w:id="17">
    <w:p w:rsidR="00A03852" w:rsidRPr="004A7C8B" w:rsidRDefault="00A03852" w:rsidP="004B4B73">
      <w:pPr>
        <w:pStyle w:val="FootnoteText"/>
      </w:pPr>
      <w:r>
        <w:rPr>
          <w:rStyle w:val="FootnoteReference"/>
        </w:rPr>
        <w:footnoteRef/>
      </w:r>
      <w:r>
        <w:t xml:space="preserve"> </w:t>
      </w:r>
      <w:r w:rsidRPr="00343688">
        <w:t>For more information, see: http://www.</w:t>
      </w:r>
      <w:r>
        <w:t>upov</w:t>
      </w:r>
      <w:r w:rsidRPr="00343688">
        <w:t>.</w:t>
      </w:r>
      <w:r>
        <w:t>org</w:t>
      </w:r>
    </w:p>
  </w:footnote>
  <w:footnote w:id="18">
    <w:p w:rsidR="00A03852" w:rsidRPr="004969F1" w:rsidRDefault="00A03852" w:rsidP="004B4B73">
      <w:pPr>
        <w:pStyle w:val="FootnoteText"/>
        <w:rPr>
          <w:lang w:val="fr-CH"/>
        </w:rPr>
      </w:pPr>
      <w:r w:rsidRPr="00A6143C">
        <w:rPr>
          <w:rStyle w:val="FootnoteReference"/>
        </w:rPr>
        <w:footnoteRef/>
      </w:r>
      <w:r w:rsidRPr="004969F1">
        <w:rPr>
          <w:lang w:val="fr-CH"/>
        </w:rPr>
        <w:t xml:space="preserve"> </w:t>
      </w:r>
      <w:r>
        <w:rPr>
          <w:lang w:val="fr-CH"/>
        </w:rPr>
        <w:t xml:space="preserve">Source: </w:t>
      </w:r>
      <w:hyperlink r:id="rId8" w:history="1">
        <w:r w:rsidRPr="0093286A">
          <w:rPr>
            <w:rStyle w:val="Hyperlink"/>
            <w:lang w:val="fr-CH"/>
          </w:rPr>
          <w:t>http://data.worldbank.org/country/brazil</w:t>
        </w:r>
      </w:hyperlink>
      <w:r>
        <w:rPr>
          <w:lang w:val="fr-CH"/>
        </w:rPr>
        <w:t xml:space="preserve"> </w:t>
      </w:r>
    </w:p>
  </w:footnote>
  <w:footnote w:id="19">
    <w:p w:rsidR="00A03852" w:rsidRPr="00080EB5" w:rsidRDefault="00A03852" w:rsidP="004B4B73">
      <w:pPr>
        <w:pStyle w:val="FootnoteText"/>
      </w:pPr>
      <w:r w:rsidRPr="00A6143C">
        <w:rPr>
          <w:rStyle w:val="FootnoteReference"/>
        </w:rPr>
        <w:footnoteRef/>
      </w:r>
      <w:r>
        <w:t xml:space="preserve"> Source</w:t>
      </w:r>
      <w:r w:rsidRPr="00080EB5">
        <w:t>: WIPO Statistical Database</w:t>
      </w:r>
      <w:r>
        <w:t xml:space="preserve">.  </w:t>
      </w:r>
      <w:r w:rsidRPr="00080EB5">
        <w:t>2011 data for Argentina are estimated</w:t>
      </w:r>
    </w:p>
  </w:footnote>
  <w:footnote w:id="20">
    <w:p w:rsidR="00A03852" w:rsidRPr="00531D38" w:rsidRDefault="00A03852" w:rsidP="004B4B73">
      <w:pPr>
        <w:pStyle w:val="FootnoteText"/>
      </w:pPr>
      <w:r>
        <w:rPr>
          <w:rStyle w:val="FootnoteReference"/>
        </w:rPr>
        <w:footnoteRef/>
      </w:r>
      <w:r>
        <w:t xml:space="preserve"> State Intellectual Property Office of China</w:t>
      </w:r>
    </w:p>
  </w:footnote>
  <w:footnote w:id="21">
    <w:p w:rsidR="00A03852" w:rsidRDefault="00A03852" w:rsidP="004B4B73">
      <w:pPr>
        <w:pStyle w:val="FootnoteText"/>
      </w:pPr>
      <w:r w:rsidRPr="00343688">
        <w:rPr>
          <w:rStyle w:val="FootnoteReference"/>
          <w:sz w:val="16"/>
          <w:szCs w:val="16"/>
        </w:rPr>
        <w:footnoteRef/>
      </w:r>
      <w:r w:rsidRPr="00343688">
        <w:t xml:space="preserve"> For more information, see: </w:t>
      </w:r>
      <w:hyperlink r:id="rId9" w:history="1">
        <w:r w:rsidRPr="00343688">
          <w:rPr>
            <w:rStyle w:val="Hyperlink"/>
            <w:rFonts w:cs="Arial"/>
            <w:sz w:val="16"/>
            <w:szCs w:val="16"/>
          </w:rPr>
          <w:t>http://www.wipo.int/export/sites/www/ipstats/en/wipi/2013/pdf/wipo_pub_941_2013_annex.pdf</w:t>
        </w:r>
      </w:hyperlink>
    </w:p>
  </w:footnote>
  <w:footnote w:id="22">
    <w:p w:rsidR="00A03852" w:rsidRPr="00D46357" w:rsidRDefault="00A03852" w:rsidP="004B4B73">
      <w:pPr>
        <w:pStyle w:val="FootnoteText"/>
      </w:pPr>
      <w:r w:rsidRPr="00343688">
        <w:rPr>
          <w:rStyle w:val="FootnoteReference"/>
          <w:sz w:val="16"/>
          <w:szCs w:val="16"/>
        </w:rPr>
        <w:footnoteRef/>
      </w:r>
      <w:r w:rsidRPr="00343688">
        <w:t xml:space="preserve"> </w:t>
      </w:r>
      <w:r w:rsidRPr="00D46357">
        <w:t>For more information, see methodological annex.</w:t>
      </w:r>
    </w:p>
  </w:footnote>
  <w:footnote w:id="23">
    <w:p w:rsidR="00A03852" w:rsidRPr="00F65AD8" w:rsidRDefault="00A03852" w:rsidP="004B4B73">
      <w:pPr>
        <w:rPr>
          <w:sz w:val="18"/>
          <w:szCs w:val="18"/>
        </w:rPr>
      </w:pPr>
      <w:r w:rsidRPr="00F65AD8">
        <w:rPr>
          <w:rStyle w:val="FootnoteReference"/>
          <w:sz w:val="18"/>
          <w:szCs w:val="18"/>
        </w:rPr>
        <w:footnoteRef/>
      </w:r>
      <w:r w:rsidRPr="00F65AD8">
        <w:rPr>
          <w:sz w:val="18"/>
          <w:szCs w:val="18"/>
        </w:rPr>
        <w:t xml:space="preserve"> For more information, see methodological annex.</w:t>
      </w:r>
    </w:p>
    <w:p w:rsidR="00A03852" w:rsidRDefault="00A03852" w:rsidP="004B4B73"/>
  </w:footnote>
  <w:footnote w:id="24">
    <w:p w:rsidR="00A03852" w:rsidRPr="00F65AD8" w:rsidRDefault="00A03852" w:rsidP="004B4B73">
      <w:pPr>
        <w:pStyle w:val="FootnoteText"/>
        <w:rPr>
          <w:szCs w:val="18"/>
        </w:rPr>
      </w:pPr>
      <w:r w:rsidRPr="00F65AD8">
        <w:rPr>
          <w:rStyle w:val="FootnoteReference"/>
          <w:szCs w:val="18"/>
        </w:rPr>
        <w:footnoteRef/>
      </w:r>
      <w:r w:rsidRPr="00F65AD8">
        <w:rPr>
          <w:szCs w:val="18"/>
        </w:rPr>
        <w:t xml:space="preserve"> Part of them had missing information for CNPJ and could not be classified by CNAE / IBGE.</w:t>
      </w:r>
    </w:p>
  </w:footnote>
  <w:footnote w:id="25">
    <w:p w:rsidR="00A03852" w:rsidRPr="00AE29A7" w:rsidRDefault="00A03852" w:rsidP="004B4B73">
      <w:pPr>
        <w:pStyle w:val="FootnoteText"/>
      </w:pPr>
      <w:r w:rsidRPr="00AE29A7">
        <w:rPr>
          <w:rStyle w:val="FootnoteReference"/>
          <w:sz w:val="16"/>
          <w:szCs w:val="16"/>
        </w:rPr>
        <w:footnoteRef/>
      </w:r>
      <w:r w:rsidRPr="00AE29A7">
        <w:t xml:space="preserve"> For more information, see methodological annex.</w:t>
      </w:r>
    </w:p>
  </w:footnote>
  <w:footnote w:id="26">
    <w:p w:rsidR="00A03852" w:rsidRPr="006A389B" w:rsidRDefault="00A03852" w:rsidP="004B4B73">
      <w:r w:rsidRPr="006A389B">
        <w:rPr>
          <w:rStyle w:val="FootnoteReference"/>
          <w:sz w:val="16"/>
          <w:szCs w:val="16"/>
        </w:rPr>
        <w:footnoteRef/>
      </w:r>
      <w:r w:rsidRPr="006A389B">
        <w:t xml:space="preserve"> </w:t>
      </w:r>
      <w:r w:rsidRPr="0062748E">
        <w:rPr>
          <w:sz w:val="18"/>
          <w:szCs w:val="18"/>
        </w:rPr>
        <w:t>For more information, see methodological annex.</w:t>
      </w:r>
    </w:p>
  </w:footnote>
  <w:footnote w:id="27">
    <w:p w:rsidR="00A03852" w:rsidRDefault="00A03852" w:rsidP="004B4B73">
      <w:pPr>
        <w:pStyle w:val="FootnoteText"/>
      </w:pPr>
      <w:r w:rsidRPr="00343688">
        <w:rPr>
          <w:rStyle w:val="FootnoteReference"/>
          <w:sz w:val="16"/>
          <w:szCs w:val="16"/>
        </w:rPr>
        <w:footnoteRef/>
      </w:r>
      <w:r w:rsidRPr="00343688">
        <w:t xml:space="preserve"> Part of them had missing information </w:t>
      </w:r>
      <w:r>
        <w:t xml:space="preserve">regarding the </w:t>
      </w:r>
      <w:r w:rsidRPr="00343688">
        <w:t xml:space="preserve">CNPJ and </w:t>
      </w:r>
      <w:r>
        <w:t xml:space="preserve">thus </w:t>
      </w:r>
      <w:r w:rsidRPr="00343688">
        <w:t>could not be classified by CNAE / IBGE.</w:t>
      </w:r>
    </w:p>
  </w:footnote>
  <w:footnote w:id="28">
    <w:p w:rsidR="00A03852" w:rsidRDefault="00A03852" w:rsidP="004B4B73">
      <w:pPr>
        <w:pStyle w:val="FootnoteText"/>
      </w:pPr>
      <w:r>
        <w:rPr>
          <w:rStyle w:val="FootnoteReference"/>
        </w:rPr>
        <w:footnoteRef/>
      </w:r>
      <w:r>
        <w:t xml:space="preserve"> For more information, </w:t>
      </w:r>
      <w:r w:rsidRPr="00343688">
        <w:t>see</w:t>
      </w:r>
      <w:r>
        <w:t>:</w:t>
      </w:r>
      <w:r w:rsidRPr="00343688">
        <w:t xml:space="preserve"> www.wipo.int/ipstats/en</w:t>
      </w:r>
    </w:p>
  </w:footnote>
  <w:footnote w:id="29">
    <w:p w:rsidR="00A03852" w:rsidRDefault="00A03852" w:rsidP="00625608">
      <w:pPr>
        <w:pStyle w:val="FootnoteText"/>
      </w:pPr>
      <w:r w:rsidRPr="00343688">
        <w:rPr>
          <w:rStyle w:val="FootnoteReference"/>
          <w:sz w:val="16"/>
          <w:szCs w:val="16"/>
        </w:rPr>
        <w:footnoteRef/>
      </w:r>
      <w:r w:rsidRPr="00343688">
        <w:t xml:space="preserve"> Part of them had missing information </w:t>
      </w:r>
      <w:r>
        <w:t>regarding their</w:t>
      </w:r>
      <w:r w:rsidRPr="00343688">
        <w:t xml:space="preserve"> CNPJ and </w:t>
      </w:r>
      <w:r>
        <w:t xml:space="preserve">thus </w:t>
      </w:r>
      <w:r w:rsidRPr="00343688">
        <w:t>could not be classified by CNAE / IBGE.</w:t>
      </w:r>
    </w:p>
  </w:footnote>
  <w:footnote w:id="30">
    <w:p w:rsidR="00A03852" w:rsidRDefault="00A03852" w:rsidP="00797E7B">
      <w:pPr>
        <w:pStyle w:val="FootnoteText"/>
      </w:pPr>
      <w:r>
        <w:rPr>
          <w:rStyle w:val="FootnoteReference"/>
        </w:rPr>
        <w:footnoteRef/>
      </w:r>
      <w:r>
        <w:t xml:space="preserve"> </w:t>
      </w:r>
      <w:r w:rsidRPr="00051196">
        <w:t>This classification is available only for trademarks, for which the level of missing information for CNPJ is low comparatively to total of applications</w:t>
      </w:r>
      <w:r>
        <w:t xml:space="preserve">.  </w:t>
      </w:r>
    </w:p>
  </w:footnote>
  <w:footnote w:id="31">
    <w:p w:rsidR="00A03852" w:rsidRDefault="00A03852" w:rsidP="004B4B73">
      <w:pPr>
        <w:pStyle w:val="FootnoteText"/>
      </w:pPr>
      <w:r>
        <w:rPr>
          <w:rStyle w:val="FootnoteReference"/>
        </w:rPr>
        <w:footnoteRef/>
      </w:r>
      <w:r>
        <w:t xml:space="preserve"> </w:t>
      </w:r>
      <w:r w:rsidRPr="007910CF">
        <w:t>For more information, see: Section 3, ar</w:t>
      </w:r>
      <w:r>
        <w:t>ticles 22-24 of TRIPS Agreement</w:t>
      </w:r>
    </w:p>
  </w:footnote>
  <w:footnote w:id="32">
    <w:p w:rsidR="00A03852" w:rsidRDefault="00A03852" w:rsidP="004B4B73">
      <w:pPr>
        <w:pStyle w:val="FootnoteText"/>
      </w:pPr>
      <w:r>
        <w:rPr>
          <w:rStyle w:val="FootnoteReference"/>
        </w:rPr>
        <w:footnoteRef/>
      </w:r>
      <w:r>
        <w:t xml:space="preserve"> See, for instance: Portugal, France and Italy</w:t>
      </w:r>
    </w:p>
  </w:footnote>
  <w:footnote w:id="33">
    <w:p w:rsidR="00A03852" w:rsidRDefault="00A03852" w:rsidP="004B4B73">
      <w:pPr>
        <w:pStyle w:val="FootnoteText"/>
      </w:pPr>
      <w:r>
        <w:rPr>
          <w:rStyle w:val="FootnoteReference"/>
        </w:rPr>
        <w:footnoteRef/>
      </w:r>
      <w:r>
        <w:t xml:space="preserve"> </w:t>
      </w:r>
      <w:r w:rsidRPr="00776E49">
        <w:t>For instance, in the European Community the legislation protects wines, spirits drinks and agricultural products.</w:t>
      </w:r>
    </w:p>
  </w:footnote>
  <w:footnote w:id="34">
    <w:p w:rsidR="00A03852" w:rsidRDefault="00A03852" w:rsidP="004B4B73">
      <w:r>
        <w:rPr>
          <w:rStyle w:val="FootnoteReference"/>
        </w:rPr>
        <w:footnoteRef/>
      </w:r>
      <w:r>
        <w:t xml:space="preserve"> For more information, see: </w:t>
      </w:r>
      <w:r w:rsidRPr="00C71586">
        <w:t>http://www.wipo.int/export/sites/www/freepublications/en/geographical/952/wipo_pub_952.pdf</w:t>
      </w:r>
    </w:p>
  </w:footnote>
  <w:footnote w:id="35">
    <w:p w:rsidR="00A03852" w:rsidRPr="00961E79" w:rsidRDefault="00A03852" w:rsidP="004B4B73">
      <w:pPr>
        <w:pStyle w:val="FootnoteText"/>
      </w:pPr>
      <w:r w:rsidRPr="00961E79">
        <w:rPr>
          <w:rStyle w:val="FootnoteReference"/>
          <w:sz w:val="16"/>
        </w:rPr>
        <w:footnoteRef/>
      </w:r>
      <w:r w:rsidRPr="00961E79">
        <w:t xml:space="preserve"> </w:t>
      </w:r>
      <w:proofErr w:type="gramStart"/>
      <w:r w:rsidRPr="00961E79">
        <w:t>Informix</w:t>
      </w:r>
      <w:r w:rsidRPr="00961E79">
        <w:rPr>
          <w:vertAlign w:val="superscript"/>
        </w:rPr>
        <w:t>®</w:t>
      </w:r>
      <w:r>
        <w:t xml:space="preserve"> Dynamic Server (IDS) from</w:t>
      </w:r>
      <w:r w:rsidRPr="00961E79">
        <w:t xml:space="preserve"> IBM.</w:t>
      </w:r>
      <w:proofErr w:type="gramEnd"/>
    </w:p>
  </w:footnote>
  <w:footnote w:id="36">
    <w:p w:rsidR="00A03852" w:rsidRPr="00961E79" w:rsidRDefault="00A03852" w:rsidP="004B4B73">
      <w:pPr>
        <w:pStyle w:val="FootnoteText"/>
      </w:pPr>
      <w:r w:rsidRPr="00961E79">
        <w:rPr>
          <w:rStyle w:val="FootnoteReference"/>
          <w:sz w:val="16"/>
          <w:szCs w:val="16"/>
        </w:rPr>
        <w:footnoteRef/>
      </w:r>
      <w:r w:rsidRPr="00961E79">
        <w:t xml:space="preserve"> The database also contains industrial designs (DI) data.</w:t>
      </w:r>
    </w:p>
  </w:footnote>
  <w:footnote w:id="37">
    <w:p w:rsidR="00A03852" w:rsidRPr="00961E79" w:rsidRDefault="00A03852" w:rsidP="004B4B73">
      <w:pPr>
        <w:pStyle w:val="FootnoteText"/>
      </w:pPr>
      <w:r w:rsidRPr="00961E79">
        <w:rPr>
          <w:rStyle w:val="FootnoteReference"/>
          <w:sz w:val="16"/>
          <w:szCs w:val="16"/>
        </w:rPr>
        <w:footnoteRef/>
      </w:r>
      <w:r w:rsidRPr="00961E79">
        <w:t xml:space="preserve"> The inconsistencies identified in BP-INPI can be corrected only by their own Directors (Patents, Trademarks, Contracts and Other Records)</w:t>
      </w:r>
      <w:proofErr w:type="gramStart"/>
      <w:r w:rsidRPr="00961E79">
        <w:t>,</w:t>
      </w:r>
      <w:proofErr w:type="gramEnd"/>
      <w:r w:rsidRPr="00961E79">
        <w:t xml:space="preserve"> then the corrections made in BADEPI not necessarily reflect the raw data</w:t>
      </w:r>
      <w:r>
        <w:t xml:space="preserve">.  </w:t>
      </w:r>
    </w:p>
  </w:footnote>
  <w:footnote w:id="38">
    <w:p w:rsidR="00A03852" w:rsidRPr="00C051D2" w:rsidRDefault="00A03852" w:rsidP="004B4B73">
      <w:pPr>
        <w:pStyle w:val="western"/>
        <w:rPr>
          <w:rFonts w:ascii="Arial" w:hAnsi="Arial" w:cs="Arial"/>
          <w:sz w:val="18"/>
          <w:szCs w:val="18"/>
        </w:rPr>
      </w:pPr>
      <w:r w:rsidRPr="00C051D2">
        <w:rPr>
          <w:rStyle w:val="FootnoteReference"/>
          <w:rFonts w:ascii="Arial" w:eastAsia="SimSun" w:hAnsi="Arial" w:cs="Arial"/>
          <w:sz w:val="18"/>
          <w:szCs w:val="18"/>
        </w:rPr>
        <w:footnoteRef/>
      </w:r>
      <w:r w:rsidRPr="00C051D2">
        <w:rPr>
          <w:rFonts w:ascii="Arial" w:hAnsi="Arial" w:cs="Arial"/>
          <w:sz w:val="18"/>
          <w:szCs w:val="18"/>
        </w:rPr>
        <w:t xml:space="preserve"> The collaborative network will be expanded with the incorporation of other institutions and researchers, such as Unicamp (Institute of Economics), UFF (Institute of Economics), UFRJ (Institute of Economics), Ministry of Science Technology and Innovation (Coordination Indicators C, T &amp; I), Central Bank of Brazil, the Brazilian Institute of Geography and Statistics - IBGE (Central Register of Enterprises and Survey of Technological Innovation - PINTEC), MDIC - Brazilian Agency for Industrial Development (ABDI - Research Survey of Innovation), Financier of Studies and Projects - FINEP, European Patent Office - EPO (PATSTAT - Vienna), Organization for Economic Cooperation and Development (OECD).</w:t>
      </w:r>
    </w:p>
    <w:p w:rsidR="00A03852" w:rsidRPr="00535CFE" w:rsidRDefault="00A03852" w:rsidP="004B4B7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52" w:rsidRPr="00F25064" w:rsidRDefault="00A03852" w:rsidP="00522F2E">
    <w:pPr>
      <w:pStyle w:val="Apendix"/>
      <w:ind w:firstLine="0"/>
      <w:jc w:val="right"/>
      <w:rPr>
        <w:b w:val="0"/>
      </w:rPr>
    </w:pPr>
    <w:r w:rsidRPr="00F25064">
      <w:rPr>
        <w:b w:val="0"/>
      </w:rPr>
      <w:t>CDIP/14/</w:t>
    </w:r>
    <w:r>
      <w:rPr>
        <w:b w:val="0"/>
      </w:rPr>
      <w:t>INF/6</w:t>
    </w:r>
  </w:p>
  <w:p w:rsidR="00A03852" w:rsidRDefault="00A03852" w:rsidP="00B447C7">
    <w:pPr>
      <w:jc w:val="right"/>
    </w:pPr>
    <w:r>
      <w:t xml:space="preserve">Annex, page </w:t>
    </w:r>
    <w:r>
      <w:fldChar w:fldCharType="begin"/>
    </w:r>
    <w:r>
      <w:instrText xml:space="preserve"> PAGE  \* MERGEFORMAT </w:instrText>
    </w:r>
    <w:r>
      <w:fldChar w:fldCharType="separate"/>
    </w:r>
    <w:r w:rsidR="009D5BE0">
      <w:rPr>
        <w:noProof/>
      </w:rPr>
      <w:t>30</w:t>
    </w:r>
    <w:r>
      <w:fldChar w:fldCharType="end"/>
    </w:r>
  </w:p>
  <w:p w:rsidR="00A03852" w:rsidRDefault="00A03852" w:rsidP="00B447C7">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52" w:rsidRPr="00F25064" w:rsidRDefault="00A03852" w:rsidP="00522F2E">
    <w:pPr>
      <w:pStyle w:val="Apendix"/>
      <w:ind w:firstLine="0"/>
      <w:jc w:val="right"/>
      <w:rPr>
        <w:b w:val="0"/>
      </w:rPr>
    </w:pPr>
    <w:r w:rsidRPr="00F25064">
      <w:rPr>
        <w:b w:val="0"/>
      </w:rPr>
      <w:t>CDIP/14/</w:t>
    </w:r>
    <w:r>
      <w:rPr>
        <w:b w:val="0"/>
      </w:rPr>
      <w:t>INF/6</w:t>
    </w:r>
  </w:p>
  <w:p w:rsidR="00A03852" w:rsidRDefault="00A03852" w:rsidP="00B447C7">
    <w:pPr>
      <w:jc w:val="right"/>
    </w:pPr>
    <w:r>
      <w:t xml:space="preserve">Annex, page </w:t>
    </w:r>
    <w:r>
      <w:fldChar w:fldCharType="begin"/>
    </w:r>
    <w:r>
      <w:instrText xml:space="preserve"> PAGE  \* MERGEFORMAT </w:instrText>
    </w:r>
    <w:r>
      <w:fldChar w:fldCharType="separate"/>
    </w:r>
    <w:r w:rsidR="009D5BE0">
      <w:rPr>
        <w:noProof/>
      </w:rPr>
      <w:t>75</w:t>
    </w:r>
    <w:r>
      <w:fldChar w:fldCharType="end"/>
    </w:r>
  </w:p>
  <w:p w:rsidR="00A03852" w:rsidRDefault="00A03852" w:rsidP="00B447C7">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52" w:rsidRDefault="00A03852" w:rsidP="00913E8C">
    <w:pPr>
      <w:pStyle w:val="Header"/>
      <w:jc w:val="right"/>
    </w:pPr>
    <w:r>
      <w:t>CDIP/14/INF/6</w:t>
    </w:r>
  </w:p>
  <w:p w:rsidR="00A03852" w:rsidRDefault="00A03852" w:rsidP="00913E8C">
    <w:pPr>
      <w:pStyle w:val="Header"/>
      <w:jc w:val="right"/>
    </w:pPr>
    <w:r>
      <w:t>ANNEX</w:t>
    </w:r>
  </w:p>
  <w:p w:rsidR="00A03852" w:rsidRDefault="00A0385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52" w:rsidRDefault="00A03852" w:rsidP="00522F2E">
    <w:pPr>
      <w:jc w:val="right"/>
    </w:pPr>
    <w:r>
      <w:t>CDIP/14/INF/6</w:t>
    </w:r>
  </w:p>
  <w:p w:rsidR="00A03852" w:rsidRDefault="00A03852" w:rsidP="00B447C7">
    <w:pPr>
      <w:jc w:val="right"/>
    </w:pPr>
    <w:r>
      <w:t xml:space="preserve">Annex, page </w:t>
    </w:r>
    <w:r>
      <w:fldChar w:fldCharType="begin"/>
    </w:r>
    <w:r>
      <w:instrText xml:space="preserve"> PAGE  \* MERGEFORMAT </w:instrText>
    </w:r>
    <w:r>
      <w:fldChar w:fldCharType="separate"/>
    </w:r>
    <w:r w:rsidR="009D5BE0">
      <w:rPr>
        <w:noProof/>
      </w:rPr>
      <w:t>98</w:t>
    </w:r>
    <w:r>
      <w:fldChar w:fldCharType="end"/>
    </w:r>
  </w:p>
  <w:p w:rsidR="00A03852" w:rsidRDefault="00A03852" w:rsidP="004B4B7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52" w:rsidRDefault="00A03852" w:rsidP="00522F2E">
    <w:pPr>
      <w:jc w:val="right"/>
    </w:pPr>
    <w:r>
      <w:t>CDIP/14/INF/6</w:t>
    </w:r>
  </w:p>
  <w:p w:rsidR="00A03852" w:rsidRDefault="00A03852" w:rsidP="008C2A2F">
    <w:pPr>
      <w:jc w:val="right"/>
    </w:pPr>
    <w:r>
      <w:t xml:space="preserve">Annex, page </w:t>
    </w:r>
    <w:r>
      <w:fldChar w:fldCharType="begin"/>
    </w:r>
    <w:r>
      <w:instrText xml:space="preserve"> PAGE  \* MERGEFORMAT </w:instrText>
    </w:r>
    <w:r>
      <w:fldChar w:fldCharType="separate"/>
    </w:r>
    <w:r w:rsidR="009D5BE0">
      <w:rPr>
        <w:noProof/>
      </w:rPr>
      <w:t>91</w:t>
    </w:r>
    <w:r>
      <w:fldChar w:fldCharType="end"/>
    </w:r>
  </w:p>
  <w:p w:rsidR="00A03852" w:rsidRDefault="00A03852" w:rsidP="004B4B7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B7A7F"/>
    <w:multiLevelType w:val="hybridMultilevel"/>
    <w:tmpl w:val="F6DACF68"/>
    <w:lvl w:ilvl="0" w:tplc="67BC1A6A">
      <w:start w:val="1"/>
      <w:numFmt w:val="lowerRoman"/>
      <w:lvlText w:val="(%1)"/>
      <w:lvlJc w:val="left"/>
      <w:pPr>
        <w:ind w:left="1004"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047E166C"/>
    <w:multiLevelType w:val="multilevel"/>
    <w:tmpl w:val="5DFE4768"/>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b/>
        <w:bCs/>
      </w:rPr>
    </w:lvl>
    <w:lvl w:ilvl="2">
      <w:start w:val="1"/>
      <w:numFmt w:val="decimal"/>
      <w:lvlText w:val="%1.%2.%3"/>
      <w:lvlJc w:val="left"/>
      <w:pPr>
        <w:ind w:left="720" w:hanging="720"/>
      </w:pPr>
      <w:rPr>
        <w:rFonts w:cs="Times New Roman"/>
        <w:b/>
        <w:bCs/>
        <w:i w:val="0"/>
        <w:iCs w:val="0"/>
        <w:caps w:val="0"/>
        <w:smallCaps w:val="0"/>
        <w:strike w:val="0"/>
        <w:dstrike w:val="0"/>
        <w:outline w:val="0"/>
        <w:shadow w:val="0"/>
        <w:emboss w:val="0"/>
        <w:imprint w:val="0"/>
        <w:vanish w:val="0"/>
        <w:spacing w:val="0"/>
        <w:kern w:val="0"/>
        <w:position w:val="0"/>
        <w:u w:val="none"/>
        <w:effect w:val="none"/>
        <w:vertAlign w:val="baseline"/>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Restart w:val="0"/>
      <w:suff w:val="space"/>
      <w:lvlText w:val="Figure %1.%2 -"/>
      <w:lvlJc w:val="left"/>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r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7550631"/>
    <w:multiLevelType w:val="hybridMultilevel"/>
    <w:tmpl w:val="609E21EA"/>
    <w:lvl w:ilvl="0" w:tplc="A11C2E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F9279B"/>
    <w:multiLevelType w:val="multilevel"/>
    <w:tmpl w:val="D8420CCE"/>
    <w:lvl w:ilvl="0">
      <w:start w:val="1"/>
      <w:numFmt w:val="decimal"/>
      <w:lvlText w:val="%1."/>
      <w:lvlJc w:val="left"/>
      <w:pPr>
        <w:ind w:left="360" w:hanging="360"/>
      </w:pPr>
      <w:rPr>
        <w:rFonts w:cs="Times New Roman" w:hint="default"/>
      </w:rPr>
    </w:lvl>
    <w:lvl w:ilvl="1">
      <w:start w:val="1"/>
      <w:numFmt w:val="decimal"/>
      <w:suff w:val="space"/>
      <w:lvlText w:val="Figure %1.%2 -"/>
      <w:lvlJc w:val="left"/>
      <w:pPr>
        <w:ind w:firstLine="288"/>
      </w:pPr>
      <w:rPr>
        <w:rFonts w:cs="Times New Roman" w:hint="default"/>
        <w:color w:val="auto"/>
      </w:rPr>
    </w:lvl>
    <w:lvl w:ilvl="2">
      <w:start w:val="1"/>
      <w:numFmt w:val="upperLetter"/>
      <w:lvlText w:val="Figure %1.%2.%3 -"/>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nsid w:val="144540D8"/>
    <w:multiLevelType w:val="hybridMultilevel"/>
    <w:tmpl w:val="A0FA3F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153E0F9D"/>
    <w:multiLevelType w:val="multilevel"/>
    <w:tmpl w:val="DE68F220"/>
    <w:lvl w:ilvl="0">
      <w:start w:val="1"/>
      <w:numFmt w:val="decimal"/>
      <w:lvlText w:val="Figure %1."/>
      <w:lvlJc w:val="left"/>
      <w:pPr>
        <w:ind w:left="1080" w:hanging="360"/>
      </w:pPr>
      <w:rPr>
        <w:rFonts w:cs="Times New Roman" w:hint="default"/>
      </w:rPr>
    </w:lvl>
    <w:lvl w:ilvl="1">
      <w:start w:val="1"/>
      <w:numFmt w:val="decimal"/>
      <w:suff w:val="space"/>
      <w:lvlText w:val="Figure %1.%2 -"/>
      <w:lvlJc w:val="left"/>
      <w:pPr>
        <w:ind w:left="1418"/>
      </w:pPr>
      <w:rPr>
        <w:rFonts w:ascii="Arial" w:hAnsi="Arial" w:cs="Arial" w:hint="default"/>
        <w:b/>
        <w:bCs/>
        <w:i w:val="0"/>
        <w:iCs w:val="0"/>
        <w:color w:val="auto"/>
        <w:sz w:val="22"/>
        <w:szCs w:val="22"/>
      </w:rPr>
    </w:lvl>
    <w:lvl w:ilvl="2">
      <w:start w:val="1"/>
      <w:numFmt w:val="upperLetter"/>
      <w:lvlText w:val="Figure %1.%2.%3 -"/>
      <w:lvlJc w:val="left"/>
      <w:pPr>
        <w:ind w:left="1944" w:hanging="504"/>
      </w:pPr>
      <w:rPr>
        <w:rFonts w:cs="Times New Roman" w:hint="default"/>
      </w:rPr>
    </w:lvl>
    <w:lvl w:ilvl="3">
      <w:start w:val="1"/>
      <w:numFmt w:val="decimal"/>
      <w:lvlText w:val="%1.%2.%3.%4."/>
      <w:lvlJc w:val="left"/>
      <w:pPr>
        <w:ind w:left="2448" w:hanging="648"/>
      </w:pPr>
      <w:rPr>
        <w:rFonts w:cs="Times New Roman" w:hint="default"/>
      </w:rPr>
    </w:lvl>
    <w:lvl w:ilvl="4">
      <w:start w:val="1"/>
      <w:numFmt w:val="decimal"/>
      <w:lvlText w:val="%1.%2.%3.%4.%5."/>
      <w:lvlJc w:val="left"/>
      <w:pPr>
        <w:ind w:left="2952" w:hanging="792"/>
      </w:pPr>
      <w:rPr>
        <w:rFonts w:cs="Times New Roman" w:hint="default"/>
      </w:rPr>
    </w:lvl>
    <w:lvl w:ilvl="5">
      <w:start w:val="1"/>
      <w:numFmt w:val="decimal"/>
      <w:lvlText w:val="%1.%2.%3.%4.%5.%6."/>
      <w:lvlJc w:val="left"/>
      <w:pPr>
        <w:ind w:left="3456" w:hanging="936"/>
      </w:pPr>
      <w:rPr>
        <w:rFonts w:cs="Times New Roman" w:hint="default"/>
      </w:rPr>
    </w:lvl>
    <w:lvl w:ilvl="6">
      <w:start w:val="1"/>
      <w:numFmt w:val="decimal"/>
      <w:lvlText w:val="%1.%2.%3.%4.%5.%6.%7."/>
      <w:lvlJc w:val="left"/>
      <w:pPr>
        <w:ind w:left="3960" w:hanging="1080"/>
      </w:pPr>
      <w:rPr>
        <w:rFonts w:cs="Times New Roman" w:hint="default"/>
      </w:rPr>
    </w:lvl>
    <w:lvl w:ilvl="7">
      <w:start w:val="1"/>
      <w:numFmt w:val="decimal"/>
      <w:lvlText w:val="%1.%2.%3.%4.%5.%6.%7.%8."/>
      <w:lvlJc w:val="left"/>
      <w:pPr>
        <w:ind w:left="4464" w:hanging="1224"/>
      </w:pPr>
      <w:rPr>
        <w:rFonts w:cs="Times New Roman" w:hint="default"/>
      </w:rPr>
    </w:lvl>
    <w:lvl w:ilvl="8">
      <w:start w:val="1"/>
      <w:numFmt w:val="decimal"/>
      <w:lvlText w:val="%1.%2.%3.%4.%5.%6.%7.%8.%9."/>
      <w:lvlJc w:val="left"/>
      <w:pPr>
        <w:ind w:left="5040" w:hanging="1440"/>
      </w:pPr>
      <w:rPr>
        <w:rFonts w:cs="Times New Roman" w:hint="default"/>
      </w:rPr>
    </w:lvl>
  </w:abstractNum>
  <w:abstractNum w:abstractNumId="7">
    <w:nsid w:val="16C00299"/>
    <w:multiLevelType w:val="multilevel"/>
    <w:tmpl w:val="5756DA44"/>
    <w:styleLink w:val="Estilo2"/>
    <w:lvl w:ilvl="0">
      <w:start w:val="1"/>
      <w:numFmt w:val="decimal"/>
      <w:suff w:val="space"/>
      <w:lvlText w:val="Figure 6.%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
    <w:nsid w:val="2263723B"/>
    <w:multiLevelType w:val="hybridMultilevel"/>
    <w:tmpl w:val="25CA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04585D"/>
    <w:multiLevelType w:val="hybridMultilevel"/>
    <w:tmpl w:val="5B368E66"/>
    <w:lvl w:ilvl="0" w:tplc="ADBCB214">
      <w:start w:val="1"/>
      <w:numFmt w:val="lowerRoman"/>
      <w:lvlText w:val="(%1)"/>
      <w:lvlJc w:val="left"/>
      <w:pPr>
        <w:ind w:left="1004"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27D67F46"/>
    <w:multiLevelType w:val="hybridMultilevel"/>
    <w:tmpl w:val="EF6471FC"/>
    <w:lvl w:ilvl="0" w:tplc="D0BA21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570E21"/>
    <w:multiLevelType w:val="multilevel"/>
    <w:tmpl w:val="77767AB6"/>
    <w:lvl w:ilvl="0">
      <w:start w:val="1"/>
      <w:numFmt w:val="decimal"/>
      <w:lvlText w:val="Table %1 -"/>
      <w:lvlJc w:val="left"/>
      <w:pPr>
        <w:ind w:left="360" w:hanging="360"/>
      </w:pPr>
      <w:rPr>
        <w:rFonts w:cs="Times New Roman" w:hint="default"/>
      </w:rPr>
    </w:lvl>
    <w:lvl w:ilvl="1">
      <w:start w:val="1"/>
      <w:numFmt w:val="decimal"/>
      <w:suff w:val="space"/>
      <w:lvlText w:val="Table %1.%2 -"/>
      <w:lvlJc w:val="left"/>
      <w:rPr>
        <w:rFonts w:cs="Times New Roman" w:hint="default"/>
        <w:b/>
        <w:bCs/>
        <w:i w:val="0"/>
        <w:iCs w:val="0"/>
        <w:color w:val="auto"/>
      </w:rPr>
    </w:lvl>
    <w:lvl w:ilvl="2">
      <w:start w:val="1"/>
      <w:numFmt w:val="upperLetter"/>
      <w:lvlText w:val="Figure %1.%2.%3 -"/>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nsid w:val="391064D5"/>
    <w:multiLevelType w:val="multilevel"/>
    <w:tmpl w:val="7C34610E"/>
    <w:lvl w:ilvl="0">
      <w:start w:val="1"/>
      <w:numFmt w:val="decimal"/>
      <w:lvlText w:val="Table %1 -"/>
      <w:lvlJc w:val="left"/>
      <w:pPr>
        <w:ind w:left="360" w:hanging="360"/>
      </w:pPr>
      <w:rPr>
        <w:rFonts w:cs="Times New Roman" w:hint="default"/>
      </w:rPr>
    </w:lvl>
    <w:lvl w:ilvl="1">
      <w:start w:val="1"/>
      <w:numFmt w:val="decimal"/>
      <w:suff w:val="space"/>
      <w:lvlText w:val="Table %1.%2 -"/>
      <w:lvlJc w:val="left"/>
      <w:rPr>
        <w:rFonts w:cs="Times New Roman" w:hint="default"/>
        <w:b/>
        <w:bCs/>
        <w:i w:val="0"/>
        <w:iCs w:val="0"/>
        <w:color w:val="auto"/>
      </w:rPr>
    </w:lvl>
    <w:lvl w:ilvl="2">
      <w:start w:val="1"/>
      <w:numFmt w:val="upperLetter"/>
      <w:lvlText w:val="Figure %1.%2.%3 -"/>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nsid w:val="3F8E6CB3"/>
    <w:multiLevelType w:val="multilevel"/>
    <w:tmpl w:val="0416001D"/>
    <w:styleLink w:val="Estilo1"/>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ascii="Arial" w:hAnsi="Arial" w:cs="Arial"/>
        <w:b/>
        <w:bCs/>
        <w:sz w:val="20"/>
        <w:szCs w:val="20"/>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D7720A0"/>
    <w:multiLevelType w:val="hybridMultilevel"/>
    <w:tmpl w:val="EF6471FC"/>
    <w:lvl w:ilvl="0" w:tplc="D0BA21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8B746B"/>
    <w:multiLevelType w:val="multilevel"/>
    <w:tmpl w:val="55C6E12C"/>
    <w:lvl w:ilvl="0">
      <w:start w:val="6"/>
      <w:numFmt w:val="decimal"/>
      <w:lvlText w:val="%1"/>
      <w:lvlJc w:val="left"/>
      <w:pPr>
        <w:ind w:left="360" w:hanging="36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8">
    <w:nsid w:val="54E21DCE"/>
    <w:multiLevelType w:val="hybridMultilevel"/>
    <w:tmpl w:val="3178103A"/>
    <w:lvl w:ilvl="0" w:tplc="DF70669E">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6DA37E2"/>
    <w:multiLevelType w:val="hybridMultilevel"/>
    <w:tmpl w:val="5D96D748"/>
    <w:lvl w:ilvl="0" w:tplc="D966DBD6">
      <w:start w:val="1"/>
      <w:numFmt w:val="decimal"/>
      <w:lvlText w:val="(%1)"/>
      <w:lvlJc w:val="left"/>
      <w:pPr>
        <w:ind w:left="720" w:hanging="360"/>
      </w:pPr>
      <w:rPr>
        <w:rFonts w:hint="default"/>
        <w:color w:val="auto"/>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921648"/>
    <w:multiLevelType w:val="hybridMultilevel"/>
    <w:tmpl w:val="F6DACF68"/>
    <w:lvl w:ilvl="0" w:tplc="67BC1A6A">
      <w:start w:val="1"/>
      <w:numFmt w:val="lowerRoman"/>
      <w:lvlText w:val="(%1)"/>
      <w:lvlJc w:val="left"/>
      <w:pPr>
        <w:ind w:left="1004"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63A877EE"/>
    <w:multiLevelType w:val="hybridMultilevel"/>
    <w:tmpl w:val="80301E92"/>
    <w:lvl w:ilvl="0" w:tplc="04160001">
      <w:start w:val="1"/>
      <w:numFmt w:val="bullet"/>
      <w:pStyle w:val="TOCHeading1"/>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2">
    <w:nsid w:val="65473137"/>
    <w:multiLevelType w:val="hybridMultilevel"/>
    <w:tmpl w:val="EFA088A6"/>
    <w:lvl w:ilvl="0" w:tplc="7AF81E54">
      <w:start w:val="1"/>
      <w:numFmt w:val="lowerRoman"/>
      <w:lvlText w:val="(%1)"/>
      <w:lvlJc w:val="left"/>
      <w:pPr>
        <w:ind w:left="1004" w:hanging="720"/>
      </w:pPr>
      <w:rPr>
        <w:rFonts w:cs="Times New Roman" w:hint="default"/>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23">
    <w:nsid w:val="664E0433"/>
    <w:multiLevelType w:val="hybridMultilevel"/>
    <w:tmpl w:val="C96847AE"/>
    <w:lvl w:ilvl="0" w:tplc="BD7A704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CB34FCD"/>
    <w:multiLevelType w:val="hybridMultilevel"/>
    <w:tmpl w:val="EF6471FC"/>
    <w:lvl w:ilvl="0" w:tplc="D0BA21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517E74"/>
    <w:multiLevelType w:val="hybridMultilevel"/>
    <w:tmpl w:val="046010A2"/>
    <w:lvl w:ilvl="0" w:tplc="67BC1A6A">
      <w:start w:val="1"/>
      <w:numFmt w:val="lowerRoman"/>
      <w:lvlText w:val="(%1)"/>
      <w:lvlJc w:val="left"/>
      <w:pPr>
        <w:ind w:left="783" w:hanging="360"/>
      </w:pPr>
      <w:rPr>
        <w:rFonts w:cs="Times New Roman" w:hint="default"/>
      </w:rPr>
    </w:lvl>
    <w:lvl w:ilvl="1" w:tplc="04090019">
      <w:start w:val="1"/>
      <w:numFmt w:val="lowerLetter"/>
      <w:lvlText w:val="%2."/>
      <w:lvlJc w:val="left"/>
      <w:pPr>
        <w:ind w:left="1503" w:hanging="360"/>
      </w:pPr>
      <w:rPr>
        <w:rFonts w:cs="Times New Roman"/>
      </w:rPr>
    </w:lvl>
    <w:lvl w:ilvl="2" w:tplc="0409001B">
      <w:start w:val="1"/>
      <w:numFmt w:val="lowerRoman"/>
      <w:lvlText w:val="%3."/>
      <w:lvlJc w:val="right"/>
      <w:pPr>
        <w:ind w:left="2223" w:hanging="180"/>
      </w:pPr>
      <w:rPr>
        <w:rFonts w:cs="Times New Roman"/>
      </w:rPr>
    </w:lvl>
    <w:lvl w:ilvl="3" w:tplc="0409000F">
      <w:start w:val="1"/>
      <w:numFmt w:val="decimal"/>
      <w:lvlText w:val="%4."/>
      <w:lvlJc w:val="left"/>
      <w:pPr>
        <w:ind w:left="2943" w:hanging="360"/>
      </w:pPr>
      <w:rPr>
        <w:rFonts w:cs="Times New Roman"/>
      </w:rPr>
    </w:lvl>
    <w:lvl w:ilvl="4" w:tplc="04090019">
      <w:start w:val="1"/>
      <w:numFmt w:val="lowerLetter"/>
      <w:lvlText w:val="%5."/>
      <w:lvlJc w:val="left"/>
      <w:pPr>
        <w:ind w:left="3663" w:hanging="360"/>
      </w:pPr>
      <w:rPr>
        <w:rFonts w:cs="Times New Roman"/>
      </w:rPr>
    </w:lvl>
    <w:lvl w:ilvl="5" w:tplc="0409001B">
      <w:start w:val="1"/>
      <w:numFmt w:val="lowerRoman"/>
      <w:lvlText w:val="%6."/>
      <w:lvlJc w:val="right"/>
      <w:pPr>
        <w:ind w:left="4383" w:hanging="180"/>
      </w:pPr>
      <w:rPr>
        <w:rFonts w:cs="Times New Roman"/>
      </w:rPr>
    </w:lvl>
    <w:lvl w:ilvl="6" w:tplc="0409000F">
      <w:start w:val="1"/>
      <w:numFmt w:val="decimal"/>
      <w:lvlText w:val="%7."/>
      <w:lvlJc w:val="left"/>
      <w:pPr>
        <w:ind w:left="5103" w:hanging="360"/>
      </w:pPr>
      <w:rPr>
        <w:rFonts w:cs="Times New Roman"/>
      </w:rPr>
    </w:lvl>
    <w:lvl w:ilvl="7" w:tplc="04090019">
      <w:start w:val="1"/>
      <w:numFmt w:val="lowerLetter"/>
      <w:lvlText w:val="%8."/>
      <w:lvlJc w:val="left"/>
      <w:pPr>
        <w:ind w:left="5823" w:hanging="360"/>
      </w:pPr>
      <w:rPr>
        <w:rFonts w:cs="Times New Roman"/>
      </w:rPr>
    </w:lvl>
    <w:lvl w:ilvl="8" w:tplc="0409001B">
      <w:start w:val="1"/>
      <w:numFmt w:val="lowerRoman"/>
      <w:lvlText w:val="%9."/>
      <w:lvlJc w:val="right"/>
      <w:pPr>
        <w:ind w:left="6543" w:hanging="180"/>
      </w:pPr>
      <w:rPr>
        <w:rFonts w:cs="Times New Roman"/>
      </w:rPr>
    </w:lvl>
  </w:abstractNum>
  <w:abstractNum w:abstractNumId="26">
    <w:nsid w:val="6E61436D"/>
    <w:multiLevelType w:val="multilevel"/>
    <w:tmpl w:val="AA529C1E"/>
    <w:styleLink w:val="Style1"/>
    <w:lvl w:ilvl="0">
      <w:start w:val="1"/>
      <w:numFmt w:val="decimal"/>
      <w:lvlText w:val="A.%1."/>
      <w:lvlJc w:val="left"/>
      <w:pPr>
        <w:ind w:left="522" w:hanging="432"/>
      </w:pPr>
      <w:rPr>
        <w:rFonts w:cs="Times New Roman" w:hint="default"/>
      </w:rPr>
    </w:lvl>
    <w:lvl w:ilvl="1">
      <w:start w:val="1"/>
      <w:numFmt w:val="decimal"/>
      <w:lvlText w:val="A.%1.%2"/>
      <w:lvlJc w:val="left"/>
      <w:pPr>
        <w:ind w:left="576" w:hanging="576"/>
      </w:pPr>
      <w:rPr>
        <w:rFonts w:cs="Times New Roman" w:hint="default"/>
      </w:rPr>
    </w:lvl>
    <w:lvl w:ilvl="2">
      <w:start w:val="1"/>
      <w:numFmt w:val="decimal"/>
      <w:lvlText w:val="A.%1.%2.%3"/>
      <w:lvlJc w:val="left"/>
      <w:pPr>
        <w:ind w:left="720" w:hanging="720"/>
      </w:pPr>
      <w:rPr>
        <w:rFonts w:cs="Times New Roman" w:hint="default"/>
      </w:rPr>
    </w:lvl>
    <w:lvl w:ilvl="3">
      <w:start w:val="1"/>
      <w:numFmt w:val="decimal"/>
      <w:lvlText w:val="A.%1.%2.%3.%4"/>
      <w:lvlJc w:val="left"/>
      <w:pPr>
        <w:ind w:left="864" w:hanging="864"/>
      </w:pPr>
      <w:rPr>
        <w:rFonts w:cs="Times New Roman" w:hint="default"/>
      </w:rPr>
    </w:lvl>
    <w:lvl w:ilvl="4">
      <w:start w:val="1"/>
      <w:numFmt w:val="decimal"/>
      <w:lvlText w:val="A.%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7">
    <w:nsid w:val="74506844"/>
    <w:multiLevelType w:val="hybridMultilevel"/>
    <w:tmpl w:val="609E21EA"/>
    <w:lvl w:ilvl="0" w:tplc="A11C2E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225BBC"/>
    <w:multiLevelType w:val="hybridMultilevel"/>
    <w:tmpl w:val="4B6E2208"/>
    <w:lvl w:ilvl="0" w:tplc="82E8695C">
      <w:start w:val="5"/>
      <w:numFmt w:val="bullet"/>
      <w:lvlText w:val="-"/>
      <w:lvlJc w:val="left"/>
      <w:pPr>
        <w:ind w:left="72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7C867523"/>
    <w:multiLevelType w:val="multilevel"/>
    <w:tmpl w:val="7788029C"/>
    <w:lvl w:ilvl="0">
      <w:start w:val="1"/>
      <w:numFmt w:val="decimal"/>
      <w:lvlText w:val="%1."/>
      <w:lvlJc w:val="left"/>
      <w:pPr>
        <w:ind w:left="360" w:hanging="360"/>
      </w:pPr>
      <w:rPr>
        <w:rFonts w:cs="Times New Roman" w:hint="default"/>
      </w:rPr>
    </w:lvl>
    <w:lvl w:ilvl="1">
      <w:start w:val="1"/>
      <w:numFmt w:val="decimal"/>
      <w:suff w:val="space"/>
      <w:lvlText w:val="Figure %1.%2 -"/>
      <w:lvlJc w:val="left"/>
      <w:pPr>
        <w:ind w:left="1850" w:hanging="432"/>
      </w:pPr>
      <w:rPr>
        <w:rFonts w:cs="Times New Roman" w:hint="default"/>
        <w:color w:val="auto"/>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15"/>
  </w:num>
  <w:num w:numId="2">
    <w:abstractNumId w:val="2"/>
  </w:num>
  <w:num w:numId="3">
    <w:abstractNumId w:val="8"/>
  </w:num>
  <w:num w:numId="4">
    <w:abstractNumId w:val="21"/>
  </w:num>
  <w:num w:numId="5">
    <w:abstractNumId w:val="1"/>
  </w:num>
  <w:num w:numId="6">
    <w:abstractNumId w:val="26"/>
  </w:num>
  <w:num w:numId="7">
    <w:abstractNumId w:val="22"/>
  </w:num>
  <w:num w:numId="8">
    <w:abstractNumId w:val="10"/>
  </w:num>
  <w:num w:numId="9">
    <w:abstractNumId w:val="20"/>
  </w:num>
  <w:num w:numId="10">
    <w:abstractNumId w:val="25"/>
  </w:num>
  <w:num w:numId="11">
    <w:abstractNumId w:val="4"/>
  </w:num>
  <w:num w:numId="12">
    <w:abstractNumId w:val="17"/>
  </w:num>
  <w:num w:numId="13">
    <w:abstractNumId w:val="29"/>
  </w:num>
  <w:num w:numId="14">
    <w:abstractNumId w:val="14"/>
  </w:num>
  <w:num w:numId="15">
    <w:abstractNumId w:val="13"/>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6"/>
  </w:num>
  <w:num w:numId="19">
    <w:abstractNumId w:val="12"/>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5"/>
  </w:num>
  <w:num w:numId="23">
    <w:abstractNumId w:val="28"/>
  </w:num>
  <w:num w:numId="24">
    <w:abstractNumId w:val="18"/>
  </w:num>
  <w:num w:numId="25">
    <w:abstractNumId w:val="0"/>
  </w:num>
  <w:num w:numId="26">
    <w:abstractNumId w:val="11"/>
  </w:num>
  <w:num w:numId="27">
    <w:abstractNumId w:val="3"/>
  </w:num>
  <w:num w:numId="28">
    <w:abstractNumId w:val="24"/>
  </w:num>
  <w:num w:numId="29">
    <w:abstractNumId w:val="27"/>
  </w:num>
  <w:num w:numId="30">
    <w:abstractNumId w:val="16"/>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56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0AF"/>
    <w:rsid w:val="0000123A"/>
    <w:rsid w:val="00017819"/>
    <w:rsid w:val="000208F9"/>
    <w:rsid w:val="00021F40"/>
    <w:rsid w:val="0003334D"/>
    <w:rsid w:val="000343AE"/>
    <w:rsid w:val="00060286"/>
    <w:rsid w:val="00065BED"/>
    <w:rsid w:val="00072F8F"/>
    <w:rsid w:val="0007485C"/>
    <w:rsid w:val="00093AA4"/>
    <w:rsid w:val="000A01E6"/>
    <w:rsid w:val="000A1DF6"/>
    <w:rsid w:val="000A2EF4"/>
    <w:rsid w:val="000B0092"/>
    <w:rsid w:val="000B3841"/>
    <w:rsid w:val="000C6B94"/>
    <w:rsid w:val="000C70CE"/>
    <w:rsid w:val="00101EFA"/>
    <w:rsid w:val="001120AE"/>
    <w:rsid w:val="0012162D"/>
    <w:rsid w:val="001336C8"/>
    <w:rsid w:val="00143785"/>
    <w:rsid w:val="00156225"/>
    <w:rsid w:val="001613D7"/>
    <w:rsid w:val="0016210F"/>
    <w:rsid w:val="00173827"/>
    <w:rsid w:val="00181227"/>
    <w:rsid w:val="001922D0"/>
    <w:rsid w:val="001B0F76"/>
    <w:rsid w:val="001C045D"/>
    <w:rsid w:val="001C48BA"/>
    <w:rsid w:val="001D57CA"/>
    <w:rsid w:val="001E0455"/>
    <w:rsid w:val="001E0C3A"/>
    <w:rsid w:val="001E619D"/>
    <w:rsid w:val="001F09A9"/>
    <w:rsid w:val="00206D26"/>
    <w:rsid w:val="00212789"/>
    <w:rsid w:val="00216AD2"/>
    <w:rsid w:val="0022486F"/>
    <w:rsid w:val="00232587"/>
    <w:rsid w:val="00237213"/>
    <w:rsid w:val="00237687"/>
    <w:rsid w:val="00237F25"/>
    <w:rsid w:val="002669F3"/>
    <w:rsid w:val="00280000"/>
    <w:rsid w:val="00284462"/>
    <w:rsid w:val="002878EB"/>
    <w:rsid w:val="00291629"/>
    <w:rsid w:val="0029515C"/>
    <w:rsid w:val="002A2ADD"/>
    <w:rsid w:val="002B1478"/>
    <w:rsid w:val="002C32DB"/>
    <w:rsid w:val="002C4E7C"/>
    <w:rsid w:val="002C6A77"/>
    <w:rsid w:val="002F58E7"/>
    <w:rsid w:val="002F6DC0"/>
    <w:rsid w:val="0030177A"/>
    <w:rsid w:val="0030238F"/>
    <w:rsid w:val="00317007"/>
    <w:rsid w:val="00324A33"/>
    <w:rsid w:val="00324F9A"/>
    <w:rsid w:val="00334CC6"/>
    <w:rsid w:val="00360DEA"/>
    <w:rsid w:val="0036580E"/>
    <w:rsid w:val="00373191"/>
    <w:rsid w:val="003856EA"/>
    <w:rsid w:val="003A460B"/>
    <w:rsid w:val="003B3850"/>
    <w:rsid w:val="003E71F0"/>
    <w:rsid w:val="003F41F5"/>
    <w:rsid w:val="003F5D01"/>
    <w:rsid w:val="004150B5"/>
    <w:rsid w:val="00432E81"/>
    <w:rsid w:val="004410A5"/>
    <w:rsid w:val="004473DA"/>
    <w:rsid w:val="00451763"/>
    <w:rsid w:val="004627D6"/>
    <w:rsid w:val="00494315"/>
    <w:rsid w:val="004B0E45"/>
    <w:rsid w:val="004B4B73"/>
    <w:rsid w:val="004C15EC"/>
    <w:rsid w:val="004C586B"/>
    <w:rsid w:val="004C6183"/>
    <w:rsid w:val="004D0F53"/>
    <w:rsid w:val="004D3727"/>
    <w:rsid w:val="004D77CD"/>
    <w:rsid w:val="004E0D5E"/>
    <w:rsid w:val="004E2CF9"/>
    <w:rsid w:val="004F186E"/>
    <w:rsid w:val="004F1D28"/>
    <w:rsid w:val="004F252A"/>
    <w:rsid w:val="0050316E"/>
    <w:rsid w:val="00522F2E"/>
    <w:rsid w:val="00531A4A"/>
    <w:rsid w:val="005437D4"/>
    <w:rsid w:val="00567A53"/>
    <w:rsid w:val="00573DEB"/>
    <w:rsid w:val="00574F03"/>
    <w:rsid w:val="00587436"/>
    <w:rsid w:val="0059212E"/>
    <w:rsid w:val="00593280"/>
    <w:rsid w:val="005937E3"/>
    <w:rsid w:val="00594AB7"/>
    <w:rsid w:val="005967B3"/>
    <w:rsid w:val="00597CFF"/>
    <w:rsid w:val="005B5FF7"/>
    <w:rsid w:val="005E44C5"/>
    <w:rsid w:val="006129E2"/>
    <w:rsid w:val="00616659"/>
    <w:rsid w:val="00617175"/>
    <w:rsid w:val="00625608"/>
    <w:rsid w:val="0062748E"/>
    <w:rsid w:val="00634D57"/>
    <w:rsid w:val="00656538"/>
    <w:rsid w:val="006617C0"/>
    <w:rsid w:val="00666FD7"/>
    <w:rsid w:val="00684D03"/>
    <w:rsid w:val="006B543D"/>
    <w:rsid w:val="006B5576"/>
    <w:rsid w:val="006B5AE7"/>
    <w:rsid w:val="006C4E07"/>
    <w:rsid w:val="006E021F"/>
    <w:rsid w:val="006E60E6"/>
    <w:rsid w:val="007036D9"/>
    <w:rsid w:val="00712CCE"/>
    <w:rsid w:val="00715200"/>
    <w:rsid w:val="00750888"/>
    <w:rsid w:val="0075722A"/>
    <w:rsid w:val="00757BD7"/>
    <w:rsid w:val="00766B47"/>
    <w:rsid w:val="00776BE0"/>
    <w:rsid w:val="00776EBD"/>
    <w:rsid w:val="00782B5E"/>
    <w:rsid w:val="00790129"/>
    <w:rsid w:val="00797E7B"/>
    <w:rsid w:val="007B2293"/>
    <w:rsid w:val="007B381B"/>
    <w:rsid w:val="007C2EC2"/>
    <w:rsid w:val="007C6C7E"/>
    <w:rsid w:val="007E03CA"/>
    <w:rsid w:val="007F08FF"/>
    <w:rsid w:val="00800CA3"/>
    <w:rsid w:val="00845030"/>
    <w:rsid w:val="00846927"/>
    <w:rsid w:val="00847165"/>
    <w:rsid w:val="00850965"/>
    <w:rsid w:val="00855F62"/>
    <w:rsid w:val="0086054B"/>
    <w:rsid w:val="00862D99"/>
    <w:rsid w:val="00863B4D"/>
    <w:rsid w:val="00880FF6"/>
    <w:rsid w:val="008949A5"/>
    <w:rsid w:val="008B28EC"/>
    <w:rsid w:val="008B3175"/>
    <w:rsid w:val="008B45FC"/>
    <w:rsid w:val="008C2A2F"/>
    <w:rsid w:val="008E6A8C"/>
    <w:rsid w:val="008E6CA5"/>
    <w:rsid w:val="0090442A"/>
    <w:rsid w:val="00912A1A"/>
    <w:rsid w:val="00912A6B"/>
    <w:rsid w:val="00913E8C"/>
    <w:rsid w:val="0092578F"/>
    <w:rsid w:val="00931037"/>
    <w:rsid w:val="00944122"/>
    <w:rsid w:val="00951A87"/>
    <w:rsid w:val="00954953"/>
    <w:rsid w:val="00967457"/>
    <w:rsid w:val="00971829"/>
    <w:rsid w:val="00977154"/>
    <w:rsid w:val="00982C7F"/>
    <w:rsid w:val="00987D51"/>
    <w:rsid w:val="009A01E3"/>
    <w:rsid w:val="009A0235"/>
    <w:rsid w:val="009A1B39"/>
    <w:rsid w:val="009A6D3D"/>
    <w:rsid w:val="009C455D"/>
    <w:rsid w:val="009D1B16"/>
    <w:rsid w:val="009D5BE0"/>
    <w:rsid w:val="009E123A"/>
    <w:rsid w:val="009E1EB5"/>
    <w:rsid w:val="009E7606"/>
    <w:rsid w:val="00A03852"/>
    <w:rsid w:val="00A221AC"/>
    <w:rsid w:val="00A26FD0"/>
    <w:rsid w:val="00A27A81"/>
    <w:rsid w:val="00A35368"/>
    <w:rsid w:val="00A44C07"/>
    <w:rsid w:val="00A53C17"/>
    <w:rsid w:val="00A56B93"/>
    <w:rsid w:val="00A80CFC"/>
    <w:rsid w:val="00A81353"/>
    <w:rsid w:val="00AA2007"/>
    <w:rsid w:val="00AA5C1F"/>
    <w:rsid w:val="00AB277B"/>
    <w:rsid w:val="00AB52B8"/>
    <w:rsid w:val="00AB5C83"/>
    <w:rsid w:val="00AC0D1F"/>
    <w:rsid w:val="00AE4490"/>
    <w:rsid w:val="00AF73C3"/>
    <w:rsid w:val="00B000C0"/>
    <w:rsid w:val="00B138E9"/>
    <w:rsid w:val="00B21B0E"/>
    <w:rsid w:val="00B447C7"/>
    <w:rsid w:val="00B449B9"/>
    <w:rsid w:val="00B62A80"/>
    <w:rsid w:val="00B70EA3"/>
    <w:rsid w:val="00B724C7"/>
    <w:rsid w:val="00B73BC3"/>
    <w:rsid w:val="00B8131E"/>
    <w:rsid w:val="00BA42F2"/>
    <w:rsid w:val="00BA44E2"/>
    <w:rsid w:val="00BA484C"/>
    <w:rsid w:val="00BC51A7"/>
    <w:rsid w:val="00BD11A2"/>
    <w:rsid w:val="00BD1481"/>
    <w:rsid w:val="00BE03CF"/>
    <w:rsid w:val="00BE4022"/>
    <w:rsid w:val="00BF3800"/>
    <w:rsid w:val="00C051D2"/>
    <w:rsid w:val="00C15297"/>
    <w:rsid w:val="00C202CE"/>
    <w:rsid w:val="00C208EA"/>
    <w:rsid w:val="00C267E7"/>
    <w:rsid w:val="00C65892"/>
    <w:rsid w:val="00C9121C"/>
    <w:rsid w:val="00CD129B"/>
    <w:rsid w:val="00CE2303"/>
    <w:rsid w:val="00CE7631"/>
    <w:rsid w:val="00D02A2E"/>
    <w:rsid w:val="00D0329E"/>
    <w:rsid w:val="00D377AB"/>
    <w:rsid w:val="00D41633"/>
    <w:rsid w:val="00D50470"/>
    <w:rsid w:val="00D51F50"/>
    <w:rsid w:val="00D66230"/>
    <w:rsid w:val="00D6625E"/>
    <w:rsid w:val="00D67C75"/>
    <w:rsid w:val="00D7355B"/>
    <w:rsid w:val="00D801F0"/>
    <w:rsid w:val="00D8380D"/>
    <w:rsid w:val="00DA2C07"/>
    <w:rsid w:val="00DB1F14"/>
    <w:rsid w:val="00DB200E"/>
    <w:rsid w:val="00DB70AF"/>
    <w:rsid w:val="00DC193F"/>
    <w:rsid w:val="00DF04A2"/>
    <w:rsid w:val="00DF608D"/>
    <w:rsid w:val="00DF7371"/>
    <w:rsid w:val="00E03C3B"/>
    <w:rsid w:val="00E06D92"/>
    <w:rsid w:val="00E1020F"/>
    <w:rsid w:val="00E103E8"/>
    <w:rsid w:val="00E10F27"/>
    <w:rsid w:val="00E36F1D"/>
    <w:rsid w:val="00E43236"/>
    <w:rsid w:val="00E46CF3"/>
    <w:rsid w:val="00E61339"/>
    <w:rsid w:val="00E63E52"/>
    <w:rsid w:val="00E71C10"/>
    <w:rsid w:val="00E729C7"/>
    <w:rsid w:val="00E84AC4"/>
    <w:rsid w:val="00E9009E"/>
    <w:rsid w:val="00EA4B26"/>
    <w:rsid w:val="00EA665D"/>
    <w:rsid w:val="00EB2086"/>
    <w:rsid w:val="00EB4BAD"/>
    <w:rsid w:val="00EB5F15"/>
    <w:rsid w:val="00EC3024"/>
    <w:rsid w:val="00ED322F"/>
    <w:rsid w:val="00F008A7"/>
    <w:rsid w:val="00F039EE"/>
    <w:rsid w:val="00F2562E"/>
    <w:rsid w:val="00F5706C"/>
    <w:rsid w:val="00F65AD8"/>
    <w:rsid w:val="00F66147"/>
    <w:rsid w:val="00F86B70"/>
    <w:rsid w:val="00FA3038"/>
    <w:rsid w:val="00FA62CB"/>
    <w:rsid w:val="00FB20E3"/>
    <w:rsid w:val="00FB6AA5"/>
    <w:rsid w:val="00FB76EF"/>
    <w:rsid w:val="00FC6796"/>
    <w:rsid w:val="00FC6E8C"/>
    <w:rsid w:val="00FE2C7E"/>
    <w:rsid w:val="00FF0C61"/>
    <w:rsid w:val="00FF100E"/>
    <w:rsid w:val="00FF1D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table of figures" w:uiPriority="0"/>
    <w:lsdException w:name="annotation reference" w:uiPriority="0"/>
    <w:lsdException w:name="List Number" w:uiPriority="0"/>
    <w:lsdException w:name="Title" w:semiHidden="0" w:unhideWhenUsed="0" w:qFormat="1"/>
    <w:lsdException w:name="Signature" w:uiPriority="0"/>
    <w:lsdException w:name="Default Paragraph Font" w:uiPriority="1"/>
    <w:lsdException w:name="Subtitle" w:semiHidden="0" w:unhideWhenUsed="0" w:qFormat="1"/>
    <w:lsdException w:name="Salutation" w:uiPriority="0"/>
    <w:lsdException w:name="Strong" w:semiHidden="0" w:unhideWhenUsed="0" w:qFormat="1"/>
    <w:lsdException w:name="Emphasis" w:semiHidden="0" w:unhideWhenUsed="0" w:qFormat="1"/>
    <w:lsdException w:name="Document Map" w:uiPriority="0"/>
    <w:lsdException w:name="annotation subjec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4B4B73"/>
    <w:pPr>
      <w:widowControl w:val="0"/>
      <w:spacing w:after="0" w:line="240" w:lineRule="auto"/>
    </w:pPr>
    <w:rPr>
      <w:rFonts w:ascii="Arial" w:hAnsi="Arial"/>
    </w:rPr>
  </w:style>
  <w:style w:type="paragraph" w:styleId="Heading1">
    <w:name w:val="heading 1"/>
    <w:basedOn w:val="Normal"/>
    <w:next w:val="Normal"/>
    <w:link w:val="Heading1Char"/>
    <w:uiPriority w:val="99"/>
    <w:qFormat/>
    <w:rsid w:val="00EC3024"/>
    <w:pPr>
      <w:keepNext/>
      <w:keepLines/>
      <w:ind w:left="432" w:hanging="432"/>
      <w:outlineLvl w:val="0"/>
    </w:pPr>
    <w:rPr>
      <w:rFonts w:eastAsiaTheme="majorEastAsia"/>
      <w:b/>
      <w:bCs/>
      <w:sz w:val="24"/>
      <w:szCs w:val="24"/>
    </w:rPr>
  </w:style>
  <w:style w:type="paragraph" w:styleId="Heading2">
    <w:name w:val="heading 2"/>
    <w:basedOn w:val="Normal"/>
    <w:next w:val="Normal"/>
    <w:link w:val="Heading2Char"/>
    <w:uiPriority w:val="99"/>
    <w:qFormat/>
    <w:rsid w:val="00EC3024"/>
    <w:pPr>
      <w:keepNext/>
      <w:keepLines/>
      <w:ind w:left="576" w:hanging="576"/>
      <w:outlineLvl w:val="1"/>
    </w:pPr>
    <w:rPr>
      <w:rFonts w:eastAsia="Calibri"/>
      <w:b/>
      <w:bCs/>
      <w:i/>
      <w:szCs w:val="26"/>
    </w:rPr>
  </w:style>
  <w:style w:type="paragraph" w:styleId="Heading3">
    <w:name w:val="heading 3"/>
    <w:basedOn w:val="Normal"/>
    <w:next w:val="Normal"/>
    <w:link w:val="Heading3Char"/>
    <w:uiPriority w:val="99"/>
    <w:qFormat/>
    <w:rsid w:val="00EC3024"/>
    <w:pPr>
      <w:keepNext/>
      <w:outlineLvl w:val="2"/>
    </w:pPr>
    <w:rPr>
      <w:bCs/>
      <w:i/>
      <w:szCs w:val="26"/>
    </w:rPr>
  </w:style>
  <w:style w:type="paragraph" w:styleId="Heading4">
    <w:name w:val="heading 4"/>
    <w:basedOn w:val="Normal"/>
    <w:next w:val="Normal"/>
    <w:link w:val="Heading4Char"/>
    <w:uiPriority w:val="99"/>
    <w:qFormat/>
    <w:rsid w:val="00EC3024"/>
    <w:pPr>
      <w:keepNext/>
      <w:outlineLvl w:val="3"/>
    </w:pPr>
    <w:rPr>
      <w:bCs/>
      <w:szCs w:val="28"/>
      <w:u w:val="single"/>
    </w:rPr>
  </w:style>
  <w:style w:type="paragraph" w:styleId="Heading5">
    <w:name w:val="heading 5"/>
    <w:basedOn w:val="Normal"/>
    <w:next w:val="Normal"/>
    <w:link w:val="Heading5Char"/>
    <w:uiPriority w:val="99"/>
    <w:qFormat/>
    <w:rsid w:val="00845030"/>
    <w:pPr>
      <w:spacing w:before="240" w:after="60"/>
      <w:ind w:left="1008" w:hanging="1008"/>
      <w:outlineLvl w:val="4"/>
    </w:pPr>
    <w:rPr>
      <w:rFonts w:eastAsia="Times New Roman"/>
      <w:b/>
      <w:bCs/>
      <w:i/>
      <w:iCs/>
      <w:sz w:val="26"/>
      <w:szCs w:val="26"/>
    </w:rPr>
  </w:style>
  <w:style w:type="paragraph" w:styleId="Heading6">
    <w:name w:val="heading 6"/>
    <w:basedOn w:val="Normal"/>
    <w:next w:val="Normal"/>
    <w:link w:val="Heading6Char"/>
    <w:uiPriority w:val="99"/>
    <w:qFormat/>
    <w:rsid w:val="00845030"/>
    <w:pPr>
      <w:spacing w:before="240" w:after="60"/>
      <w:ind w:left="1152" w:hanging="1152"/>
      <w:outlineLvl w:val="5"/>
    </w:pPr>
    <w:rPr>
      <w:rFonts w:eastAsia="Times New Roman"/>
      <w:b/>
      <w:bCs/>
    </w:rPr>
  </w:style>
  <w:style w:type="paragraph" w:styleId="Heading7">
    <w:name w:val="heading 7"/>
    <w:basedOn w:val="Normal"/>
    <w:next w:val="Normal"/>
    <w:link w:val="Heading7Char"/>
    <w:uiPriority w:val="99"/>
    <w:qFormat/>
    <w:rsid w:val="00845030"/>
    <w:pPr>
      <w:spacing w:before="240" w:after="60"/>
      <w:ind w:left="1296" w:hanging="1296"/>
      <w:outlineLvl w:val="6"/>
    </w:pPr>
    <w:rPr>
      <w:rFonts w:eastAsia="Times New Roman"/>
      <w:szCs w:val="24"/>
    </w:rPr>
  </w:style>
  <w:style w:type="paragraph" w:styleId="Heading8">
    <w:name w:val="heading 8"/>
    <w:basedOn w:val="Normal"/>
    <w:next w:val="Normal"/>
    <w:link w:val="Heading8Char"/>
    <w:uiPriority w:val="99"/>
    <w:qFormat/>
    <w:rsid w:val="00845030"/>
    <w:pPr>
      <w:spacing w:before="240" w:after="60"/>
      <w:ind w:left="1440" w:hanging="1440"/>
      <w:outlineLvl w:val="7"/>
    </w:pPr>
    <w:rPr>
      <w:rFonts w:eastAsia="Times New Roman"/>
      <w:i/>
      <w:iCs/>
      <w:szCs w:val="24"/>
    </w:rPr>
  </w:style>
  <w:style w:type="paragraph" w:styleId="Heading9">
    <w:name w:val="heading 9"/>
    <w:basedOn w:val="Normal"/>
    <w:next w:val="Normal"/>
    <w:link w:val="Heading9Char"/>
    <w:uiPriority w:val="99"/>
    <w:qFormat/>
    <w:rsid w:val="00845030"/>
    <w:pPr>
      <w:spacing w:before="240" w:after="60"/>
      <w:ind w:left="1584" w:hanging="1584"/>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C3024"/>
    <w:rPr>
      <w:rFonts w:ascii="Arial" w:eastAsiaTheme="majorEastAsia" w:hAnsi="Arial"/>
      <w:b/>
      <w:bCs/>
      <w:sz w:val="24"/>
      <w:szCs w:val="24"/>
    </w:rPr>
  </w:style>
  <w:style w:type="character" w:customStyle="1" w:styleId="Heading2Char">
    <w:name w:val="Heading 2 Char"/>
    <w:basedOn w:val="DefaultParagraphFont"/>
    <w:link w:val="Heading2"/>
    <w:uiPriority w:val="99"/>
    <w:rsid w:val="00EC3024"/>
    <w:rPr>
      <w:rFonts w:ascii="Arial" w:eastAsia="Calibri" w:hAnsi="Arial"/>
      <w:b/>
      <w:bCs/>
      <w:i/>
      <w:szCs w:val="26"/>
    </w:rPr>
  </w:style>
  <w:style w:type="character" w:customStyle="1" w:styleId="Heading3Char">
    <w:name w:val="Heading 3 Char"/>
    <w:basedOn w:val="DefaultParagraphFont"/>
    <w:link w:val="Heading3"/>
    <w:uiPriority w:val="99"/>
    <w:rsid w:val="00EC3024"/>
    <w:rPr>
      <w:rFonts w:ascii="Arial" w:hAnsi="Arial"/>
      <w:bCs/>
      <w:i/>
      <w:szCs w:val="26"/>
    </w:rPr>
  </w:style>
  <w:style w:type="character" w:customStyle="1" w:styleId="Heading4Char">
    <w:name w:val="Heading 4 Char"/>
    <w:basedOn w:val="DefaultParagraphFont"/>
    <w:link w:val="Heading4"/>
    <w:uiPriority w:val="99"/>
    <w:rsid w:val="00EC3024"/>
    <w:rPr>
      <w:rFonts w:ascii="Arial" w:hAnsi="Arial"/>
      <w:bCs/>
      <w:szCs w:val="28"/>
      <w:u w:val="single"/>
    </w:rPr>
  </w:style>
  <w:style w:type="paragraph" w:customStyle="1" w:styleId="Endofdocument-Annex">
    <w:name w:val="[End of document - Annex]"/>
    <w:basedOn w:val="Normal"/>
    <w:rsid w:val="00DB70AF"/>
    <w:pPr>
      <w:ind w:left="5534"/>
    </w:pPr>
  </w:style>
  <w:style w:type="paragraph" w:styleId="BodyText">
    <w:name w:val="Body Text"/>
    <w:basedOn w:val="Normal"/>
    <w:link w:val="BodyTextChar"/>
    <w:uiPriority w:val="99"/>
    <w:rsid w:val="00DB70AF"/>
    <w:pPr>
      <w:spacing w:after="220"/>
    </w:pPr>
  </w:style>
  <w:style w:type="character" w:customStyle="1" w:styleId="BodyTextChar">
    <w:name w:val="Body Text Char"/>
    <w:basedOn w:val="DefaultParagraphFont"/>
    <w:link w:val="BodyText"/>
    <w:uiPriority w:val="99"/>
    <w:rsid w:val="00DB70AF"/>
    <w:rPr>
      <w:rFonts w:ascii="Arial" w:eastAsia="SimSun" w:hAnsi="Arial" w:cs="Arial"/>
      <w:szCs w:val="20"/>
      <w:lang w:eastAsia="zh-CN"/>
    </w:rPr>
  </w:style>
  <w:style w:type="paragraph" w:styleId="Caption">
    <w:name w:val="caption"/>
    <w:basedOn w:val="Normal"/>
    <w:next w:val="Normal"/>
    <w:uiPriority w:val="99"/>
    <w:qFormat/>
    <w:rsid w:val="00F86B70"/>
    <w:pPr>
      <w:keepNext/>
      <w:keepLines/>
      <w:outlineLvl w:val="3"/>
    </w:pPr>
    <w:rPr>
      <w:b/>
      <w:bCs/>
    </w:rPr>
  </w:style>
  <w:style w:type="paragraph" w:styleId="CommentText">
    <w:name w:val="annotation text"/>
    <w:basedOn w:val="Normal"/>
    <w:link w:val="CommentTextChar1"/>
    <w:semiHidden/>
    <w:rsid w:val="00DB70AF"/>
    <w:rPr>
      <w:sz w:val="18"/>
    </w:rPr>
  </w:style>
  <w:style w:type="character" w:customStyle="1" w:styleId="CommentTextChar">
    <w:name w:val="Comment Text Char"/>
    <w:basedOn w:val="DefaultParagraphFont"/>
    <w:rsid w:val="00DB70AF"/>
    <w:rPr>
      <w:rFonts w:ascii="Arial" w:eastAsia="SimSun" w:hAnsi="Arial" w:cs="Arial"/>
      <w:sz w:val="20"/>
      <w:szCs w:val="20"/>
      <w:lang w:eastAsia="zh-CN"/>
    </w:rPr>
  </w:style>
  <w:style w:type="paragraph" w:styleId="EndnoteText">
    <w:name w:val="endnote text"/>
    <w:basedOn w:val="Normal"/>
    <w:link w:val="EndnoteTextChar"/>
    <w:uiPriority w:val="99"/>
    <w:semiHidden/>
    <w:rsid w:val="00DB70AF"/>
    <w:rPr>
      <w:sz w:val="18"/>
    </w:rPr>
  </w:style>
  <w:style w:type="character" w:customStyle="1" w:styleId="EndnoteTextChar">
    <w:name w:val="Endnote Text Char"/>
    <w:basedOn w:val="DefaultParagraphFont"/>
    <w:link w:val="EndnoteText"/>
    <w:uiPriority w:val="99"/>
    <w:semiHidden/>
    <w:rsid w:val="00DB70AF"/>
    <w:rPr>
      <w:rFonts w:ascii="Arial" w:eastAsia="SimSun" w:hAnsi="Arial" w:cs="Arial"/>
      <w:sz w:val="18"/>
      <w:szCs w:val="20"/>
      <w:lang w:eastAsia="zh-CN"/>
    </w:rPr>
  </w:style>
  <w:style w:type="paragraph" w:styleId="Footer">
    <w:name w:val="footer"/>
    <w:basedOn w:val="Normal"/>
    <w:link w:val="FooterChar"/>
    <w:uiPriority w:val="99"/>
    <w:rsid w:val="00DB70AF"/>
    <w:pPr>
      <w:tabs>
        <w:tab w:val="center" w:pos="4320"/>
        <w:tab w:val="right" w:pos="8640"/>
      </w:tabs>
    </w:pPr>
  </w:style>
  <w:style w:type="character" w:customStyle="1" w:styleId="FooterChar">
    <w:name w:val="Footer Char"/>
    <w:basedOn w:val="DefaultParagraphFont"/>
    <w:link w:val="Footer"/>
    <w:uiPriority w:val="99"/>
    <w:rsid w:val="00DB70AF"/>
    <w:rPr>
      <w:rFonts w:ascii="Arial" w:eastAsia="SimSun" w:hAnsi="Arial" w:cs="Arial"/>
      <w:szCs w:val="20"/>
      <w:lang w:eastAsia="zh-CN"/>
    </w:rPr>
  </w:style>
  <w:style w:type="paragraph" w:styleId="BalloonText">
    <w:name w:val="Balloon Text"/>
    <w:basedOn w:val="Normal"/>
    <w:link w:val="BalloonTextChar"/>
    <w:uiPriority w:val="99"/>
    <w:rsid w:val="00DB70AF"/>
    <w:rPr>
      <w:rFonts w:ascii="Tahoma" w:hAnsi="Tahoma" w:cs="Tahoma"/>
      <w:sz w:val="16"/>
      <w:szCs w:val="16"/>
    </w:rPr>
  </w:style>
  <w:style w:type="character" w:customStyle="1" w:styleId="BalloonTextChar">
    <w:name w:val="Balloon Text Char"/>
    <w:basedOn w:val="DefaultParagraphFont"/>
    <w:link w:val="BalloonText"/>
    <w:uiPriority w:val="99"/>
    <w:rsid w:val="00DB70AF"/>
    <w:rPr>
      <w:rFonts w:ascii="Tahoma" w:eastAsia="SimSun" w:hAnsi="Tahoma" w:cs="Tahoma"/>
      <w:sz w:val="16"/>
      <w:szCs w:val="16"/>
      <w:lang w:eastAsia="zh-CN"/>
    </w:rPr>
  </w:style>
  <w:style w:type="paragraph" w:styleId="FootnoteText">
    <w:name w:val="footnote text"/>
    <w:basedOn w:val="Normal"/>
    <w:link w:val="FootnoteTextChar"/>
    <w:uiPriority w:val="99"/>
    <w:rsid w:val="00DB70AF"/>
    <w:rPr>
      <w:sz w:val="18"/>
    </w:rPr>
  </w:style>
  <w:style w:type="character" w:customStyle="1" w:styleId="FootnoteTextChar">
    <w:name w:val="Footnote Text Char"/>
    <w:basedOn w:val="DefaultParagraphFont"/>
    <w:link w:val="FootnoteText"/>
    <w:uiPriority w:val="99"/>
    <w:rsid w:val="00DB70AF"/>
    <w:rPr>
      <w:rFonts w:ascii="Arial" w:eastAsia="SimSun" w:hAnsi="Arial" w:cs="Arial"/>
      <w:sz w:val="18"/>
      <w:szCs w:val="20"/>
      <w:lang w:eastAsia="zh-CN"/>
    </w:rPr>
  </w:style>
  <w:style w:type="paragraph" w:styleId="Header">
    <w:name w:val="header"/>
    <w:basedOn w:val="Normal"/>
    <w:link w:val="HeaderChar"/>
    <w:uiPriority w:val="99"/>
    <w:rsid w:val="00DB70AF"/>
    <w:pPr>
      <w:tabs>
        <w:tab w:val="center" w:pos="4536"/>
        <w:tab w:val="right" w:pos="9072"/>
      </w:tabs>
    </w:pPr>
  </w:style>
  <w:style w:type="character" w:customStyle="1" w:styleId="HeaderChar">
    <w:name w:val="Header Char"/>
    <w:basedOn w:val="DefaultParagraphFont"/>
    <w:link w:val="Header"/>
    <w:uiPriority w:val="99"/>
    <w:rsid w:val="00DB70AF"/>
    <w:rPr>
      <w:rFonts w:ascii="Arial" w:eastAsia="SimSun" w:hAnsi="Arial" w:cs="Arial"/>
      <w:szCs w:val="20"/>
      <w:lang w:eastAsia="zh-CN"/>
    </w:rPr>
  </w:style>
  <w:style w:type="paragraph" w:styleId="ListNumber">
    <w:name w:val="List Number"/>
    <w:basedOn w:val="Normal"/>
    <w:semiHidden/>
    <w:rsid w:val="00DB70AF"/>
    <w:pPr>
      <w:numPr>
        <w:numId w:val="1"/>
      </w:numPr>
    </w:pPr>
  </w:style>
  <w:style w:type="paragraph" w:customStyle="1" w:styleId="ONUME">
    <w:name w:val="ONUM E"/>
    <w:basedOn w:val="BodyText"/>
    <w:rsid w:val="00DB70AF"/>
    <w:pPr>
      <w:numPr>
        <w:numId w:val="2"/>
      </w:numPr>
    </w:pPr>
  </w:style>
  <w:style w:type="paragraph" w:customStyle="1" w:styleId="ONUMFS">
    <w:name w:val="ONUM FS"/>
    <w:basedOn w:val="BodyText"/>
    <w:rsid w:val="00DB70AF"/>
    <w:pPr>
      <w:numPr>
        <w:numId w:val="3"/>
      </w:numPr>
    </w:pPr>
  </w:style>
  <w:style w:type="paragraph" w:styleId="Salutation">
    <w:name w:val="Salutation"/>
    <w:basedOn w:val="Normal"/>
    <w:next w:val="Normal"/>
    <w:link w:val="SalutationChar"/>
    <w:semiHidden/>
    <w:rsid w:val="00DB70AF"/>
  </w:style>
  <w:style w:type="character" w:customStyle="1" w:styleId="SalutationChar">
    <w:name w:val="Salutation Char"/>
    <w:basedOn w:val="DefaultParagraphFont"/>
    <w:link w:val="Salutation"/>
    <w:semiHidden/>
    <w:rsid w:val="00DB70AF"/>
    <w:rPr>
      <w:rFonts w:ascii="Arial" w:eastAsia="SimSun" w:hAnsi="Arial" w:cs="Arial"/>
      <w:szCs w:val="20"/>
      <w:lang w:eastAsia="zh-CN"/>
    </w:rPr>
  </w:style>
  <w:style w:type="paragraph" w:styleId="Signature">
    <w:name w:val="Signature"/>
    <w:basedOn w:val="Normal"/>
    <w:link w:val="SignatureChar"/>
    <w:semiHidden/>
    <w:rsid w:val="00DB70AF"/>
    <w:pPr>
      <w:ind w:left="5250"/>
    </w:pPr>
  </w:style>
  <w:style w:type="character" w:customStyle="1" w:styleId="SignatureChar">
    <w:name w:val="Signature Char"/>
    <w:basedOn w:val="DefaultParagraphFont"/>
    <w:link w:val="Signature"/>
    <w:semiHidden/>
    <w:rsid w:val="00DB70AF"/>
    <w:rPr>
      <w:rFonts w:ascii="Arial" w:eastAsia="SimSun" w:hAnsi="Arial" w:cs="Arial"/>
      <w:szCs w:val="20"/>
      <w:lang w:eastAsia="zh-CN"/>
    </w:rPr>
  </w:style>
  <w:style w:type="character" w:styleId="Hyperlink">
    <w:name w:val="Hyperlink"/>
    <w:uiPriority w:val="99"/>
    <w:unhideWhenUsed/>
    <w:rsid w:val="00DB70AF"/>
    <w:rPr>
      <w:color w:val="0000FF"/>
      <w:u w:val="single"/>
    </w:rPr>
  </w:style>
  <w:style w:type="paragraph" w:styleId="NoSpacing">
    <w:name w:val="No Spacing"/>
    <w:uiPriority w:val="99"/>
    <w:qFormat/>
    <w:rsid w:val="00DB70AF"/>
    <w:pPr>
      <w:spacing w:after="0" w:line="240" w:lineRule="auto"/>
    </w:pPr>
    <w:rPr>
      <w:rFonts w:ascii="Calibri" w:eastAsia="Calibri" w:hAnsi="Calibri" w:cs="Times New Roman"/>
    </w:rPr>
  </w:style>
  <w:style w:type="paragraph" w:styleId="ListParagraph">
    <w:name w:val="List Paragraph"/>
    <w:basedOn w:val="Normal"/>
    <w:uiPriority w:val="99"/>
    <w:qFormat/>
    <w:rsid w:val="00EC3024"/>
    <w:pPr>
      <w:ind w:left="720"/>
      <w:contextualSpacing/>
    </w:pPr>
    <w:rPr>
      <w:rFonts w:eastAsia="Calibri" w:cs="Times New Roman"/>
    </w:rPr>
  </w:style>
  <w:style w:type="table" w:styleId="LightList-Accent1">
    <w:name w:val="Light List Accent 1"/>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4">
    <w:name w:val="Light List Accent 4"/>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2">
    <w:name w:val="Light List Accent 2"/>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5">
    <w:name w:val="Light List Accent 5"/>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
    <w:name w:val="Light Shading"/>
    <w:basedOn w:val="TableNormal"/>
    <w:uiPriority w:val="60"/>
    <w:rsid w:val="00DB70A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rsid w:val="00DB70A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uiPriority w:val="99"/>
    <w:unhideWhenUsed/>
    <w:rsid w:val="00DB70AF"/>
    <w:rPr>
      <w:vertAlign w:val="superscript"/>
    </w:rPr>
  </w:style>
  <w:style w:type="character" w:customStyle="1" w:styleId="StyleBold">
    <w:name w:val="Style Bold"/>
    <w:rsid w:val="00DB70AF"/>
    <w:rPr>
      <w:b/>
      <w:bCs/>
    </w:rPr>
  </w:style>
  <w:style w:type="paragraph" w:styleId="NormalWeb">
    <w:name w:val="Normal (Web)"/>
    <w:basedOn w:val="Normal"/>
    <w:uiPriority w:val="99"/>
    <w:unhideWhenUsed/>
    <w:rsid w:val="00DB70AF"/>
    <w:pPr>
      <w:spacing w:before="100" w:beforeAutospacing="1" w:after="100" w:afterAutospacing="1"/>
    </w:pPr>
    <w:rPr>
      <w:rFonts w:ascii="Times New Roman" w:eastAsia="Times New Roman" w:hAnsi="Times New Roman" w:cs="Times New Roman"/>
      <w:sz w:val="24"/>
      <w:szCs w:val="24"/>
    </w:rPr>
  </w:style>
  <w:style w:type="paragraph" w:styleId="TOCHeading">
    <w:name w:val="TOC Heading"/>
    <w:basedOn w:val="Heading1"/>
    <w:next w:val="Normal"/>
    <w:uiPriority w:val="99"/>
    <w:unhideWhenUsed/>
    <w:qFormat/>
    <w:rsid w:val="00DB70AF"/>
    <w:pPr>
      <w:spacing w:before="480" w:line="276" w:lineRule="auto"/>
      <w:outlineLvl w:val="9"/>
    </w:pPr>
    <w:rPr>
      <w:rFonts w:asciiTheme="majorHAnsi" w:hAnsiTheme="majorHAnsi" w:cstheme="majorBidi"/>
      <w:caps/>
      <w:color w:val="365F91" w:themeColor="accent1" w:themeShade="BF"/>
      <w:sz w:val="28"/>
      <w:szCs w:val="28"/>
      <w:lang w:eastAsia="ja-JP"/>
    </w:rPr>
  </w:style>
  <w:style w:type="paragraph" w:styleId="TOC1">
    <w:name w:val="toc 1"/>
    <w:basedOn w:val="Normal"/>
    <w:next w:val="Normal"/>
    <w:autoRedefine/>
    <w:uiPriority w:val="39"/>
    <w:unhideWhenUsed/>
    <w:rsid w:val="00DB70AF"/>
    <w:pPr>
      <w:spacing w:after="100" w:line="276" w:lineRule="auto"/>
    </w:pPr>
    <w:rPr>
      <w:rFonts w:ascii="Calibri" w:eastAsia="Calibri" w:hAnsi="Calibri" w:cs="Times New Roman"/>
    </w:rPr>
  </w:style>
  <w:style w:type="paragraph" w:styleId="TOC3">
    <w:name w:val="toc 3"/>
    <w:basedOn w:val="Normal"/>
    <w:next w:val="Normal"/>
    <w:autoRedefine/>
    <w:uiPriority w:val="39"/>
    <w:unhideWhenUsed/>
    <w:rsid w:val="00DB70AF"/>
    <w:pPr>
      <w:spacing w:after="100" w:line="276" w:lineRule="auto"/>
      <w:ind w:left="440"/>
    </w:pPr>
    <w:rPr>
      <w:rFonts w:ascii="Calibri" w:eastAsia="Calibri" w:hAnsi="Calibri" w:cs="Times New Roman"/>
    </w:rPr>
  </w:style>
  <w:style w:type="paragraph" w:styleId="DocumentMap">
    <w:name w:val="Document Map"/>
    <w:basedOn w:val="Normal"/>
    <w:link w:val="DocumentMapChar"/>
    <w:unhideWhenUsed/>
    <w:rsid w:val="00DB70AF"/>
    <w:rPr>
      <w:rFonts w:ascii="Tahoma" w:eastAsia="Calibri" w:hAnsi="Tahoma" w:cs="Tahoma"/>
      <w:sz w:val="16"/>
      <w:szCs w:val="16"/>
    </w:rPr>
  </w:style>
  <w:style w:type="character" w:customStyle="1" w:styleId="DocumentMapChar">
    <w:name w:val="Document Map Char"/>
    <w:basedOn w:val="DefaultParagraphFont"/>
    <w:link w:val="DocumentMap"/>
    <w:rsid w:val="00DB70AF"/>
    <w:rPr>
      <w:rFonts w:ascii="Tahoma" w:eastAsia="Calibri" w:hAnsi="Tahoma" w:cs="Tahoma"/>
      <w:sz w:val="16"/>
      <w:szCs w:val="16"/>
    </w:rPr>
  </w:style>
  <w:style w:type="character" w:styleId="CommentReference">
    <w:name w:val="annotation reference"/>
    <w:basedOn w:val="DefaultParagraphFont"/>
    <w:unhideWhenUsed/>
    <w:rsid w:val="00DB70AF"/>
    <w:rPr>
      <w:sz w:val="16"/>
      <w:szCs w:val="16"/>
    </w:rPr>
  </w:style>
  <w:style w:type="paragraph" w:styleId="CommentSubject">
    <w:name w:val="annotation subject"/>
    <w:basedOn w:val="CommentText"/>
    <w:next w:val="CommentText"/>
    <w:link w:val="CommentSubjectChar"/>
    <w:unhideWhenUsed/>
    <w:rsid w:val="00DB70AF"/>
    <w:pPr>
      <w:spacing w:after="200"/>
    </w:pPr>
    <w:rPr>
      <w:rFonts w:ascii="Calibri" w:eastAsia="Calibri" w:hAnsi="Calibri" w:cs="Times New Roman"/>
      <w:b/>
      <w:bCs/>
      <w:sz w:val="20"/>
    </w:rPr>
  </w:style>
  <w:style w:type="character" w:customStyle="1" w:styleId="CommentSubjectChar">
    <w:name w:val="Comment Subject Char"/>
    <w:basedOn w:val="CommentTextChar"/>
    <w:link w:val="CommentSubject"/>
    <w:rsid w:val="00DB70AF"/>
    <w:rPr>
      <w:rFonts w:ascii="Calibri" w:eastAsia="Calibri" w:hAnsi="Calibri" w:cs="Times New Roman"/>
      <w:b/>
      <w:bCs/>
      <w:sz w:val="20"/>
      <w:szCs w:val="20"/>
      <w:lang w:eastAsia="zh-CN"/>
    </w:rPr>
  </w:style>
  <w:style w:type="character" w:customStyle="1" w:styleId="CommentTextChar1">
    <w:name w:val="Comment Text Char1"/>
    <w:basedOn w:val="DefaultParagraphFont"/>
    <w:link w:val="CommentText"/>
    <w:uiPriority w:val="99"/>
    <w:semiHidden/>
    <w:rsid w:val="00DB70AF"/>
    <w:rPr>
      <w:rFonts w:ascii="Arial" w:eastAsia="SimSun" w:hAnsi="Arial" w:cs="Arial"/>
      <w:sz w:val="18"/>
      <w:szCs w:val="20"/>
      <w:lang w:eastAsia="zh-CN"/>
    </w:rPr>
  </w:style>
  <w:style w:type="paragraph" w:styleId="TOC2">
    <w:name w:val="toc 2"/>
    <w:basedOn w:val="Normal"/>
    <w:next w:val="Normal"/>
    <w:autoRedefine/>
    <w:uiPriority w:val="39"/>
    <w:unhideWhenUsed/>
    <w:rsid w:val="00DB70AF"/>
    <w:pPr>
      <w:spacing w:after="100" w:line="276" w:lineRule="auto"/>
      <w:ind w:left="220"/>
    </w:pPr>
    <w:rPr>
      <w:rFonts w:ascii="Calibri" w:eastAsia="Calibri" w:hAnsi="Calibri" w:cs="Times New Roman"/>
    </w:rPr>
  </w:style>
  <w:style w:type="paragraph" w:styleId="TableofFigures">
    <w:name w:val="table of figures"/>
    <w:basedOn w:val="Normal"/>
    <w:next w:val="Normal"/>
    <w:unhideWhenUsed/>
    <w:rsid w:val="00DB70AF"/>
    <w:rPr>
      <w:rFonts w:eastAsia="MS Mincho"/>
      <w:szCs w:val="24"/>
      <w:lang w:val="de-DE"/>
    </w:rPr>
  </w:style>
  <w:style w:type="paragraph" w:styleId="Revision">
    <w:name w:val="Revision"/>
    <w:hidden/>
    <w:uiPriority w:val="99"/>
    <w:semiHidden/>
    <w:rsid w:val="002B1478"/>
    <w:pPr>
      <w:spacing w:after="0" w:line="240" w:lineRule="auto"/>
    </w:pPr>
    <w:rPr>
      <w:rFonts w:ascii="Arial" w:eastAsia="SimSun" w:hAnsi="Arial" w:cs="Arial"/>
      <w:szCs w:val="20"/>
      <w:lang w:eastAsia="zh-CN"/>
    </w:rPr>
  </w:style>
  <w:style w:type="character" w:styleId="FollowedHyperlink">
    <w:name w:val="FollowedHyperlink"/>
    <w:basedOn w:val="DefaultParagraphFont"/>
    <w:uiPriority w:val="99"/>
    <w:semiHidden/>
    <w:unhideWhenUsed/>
    <w:rsid w:val="001C48BA"/>
    <w:rPr>
      <w:color w:val="800080" w:themeColor="followedHyperlink"/>
      <w:u w:val="single"/>
    </w:rPr>
  </w:style>
  <w:style w:type="paragraph" w:customStyle="1" w:styleId="Captionnotes">
    <w:name w:val="Caption notes"/>
    <w:basedOn w:val="BodyText"/>
    <w:qFormat/>
    <w:rsid w:val="009E7606"/>
    <w:pPr>
      <w:spacing w:after="0"/>
    </w:pPr>
    <w:rPr>
      <w:rFonts w:eastAsia="Times New Roman"/>
      <w:i/>
      <w:sz w:val="18"/>
      <w:szCs w:val="24"/>
    </w:rPr>
  </w:style>
  <w:style w:type="character" w:customStyle="1" w:styleId="Heading5Char">
    <w:name w:val="Heading 5 Char"/>
    <w:basedOn w:val="DefaultParagraphFont"/>
    <w:link w:val="Heading5"/>
    <w:uiPriority w:val="99"/>
    <w:rsid w:val="00845030"/>
    <w:rPr>
      <w:rFonts w:ascii="Arial" w:eastAsia="Times New Roman" w:hAnsi="Arial" w:cs="Arial"/>
      <w:b/>
      <w:bCs/>
      <w:i/>
      <w:iCs/>
      <w:sz w:val="26"/>
      <w:szCs w:val="26"/>
    </w:rPr>
  </w:style>
  <w:style w:type="character" w:customStyle="1" w:styleId="Heading6Char">
    <w:name w:val="Heading 6 Char"/>
    <w:basedOn w:val="DefaultParagraphFont"/>
    <w:link w:val="Heading6"/>
    <w:uiPriority w:val="99"/>
    <w:rsid w:val="00845030"/>
    <w:rPr>
      <w:rFonts w:ascii="Arial" w:eastAsia="Times New Roman" w:hAnsi="Arial" w:cs="Arial"/>
      <w:b/>
      <w:bCs/>
    </w:rPr>
  </w:style>
  <w:style w:type="character" w:customStyle="1" w:styleId="Heading7Char">
    <w:name w:val="Heading 7 Char"/>
    <w:basedOn w:val="DefaultParagraphFont"/>
    <w:link w:val="Heading7"/>
    <w:uiPriority w:val="99"/>
    <w:rsid w:val="00845030"/>
    <w:rPr>
      <w:rFonts w:ascii="Arial" w:eastAsia="Times New Roman" w:hAnsi="Arial" w:cs="Arial"/>
      <w:szCs w:val="24"/>
    </w:rPr>
  </w:style>
  <w:style w:type="character" w:customStyle="1" w:styleId="Heading8Char">
    <w:name w:val="Heading 8 Char"/>
    <w:basedOn w:val="DefaultParagraphFont"/>
    <w:link w:val="Heading8"/>
    <w:uiPriority w:val="99"/>
    <w:rsid w:val="00845030"/>
    <w:rPr>
      <w:rFonts w:ascii="Arial" w:eastAsia="Times New Roman" w:hAnsi="Arial" w:cs="Arial"/>
      <w:i/>
      <w:iCs/>
      <w:szCs w:val="24"/>
    </w:rPr>
  </w:style>
  <w:style w:type="character" w:customStyle="1" w:styleId="Heading9Char">
    <w:name w:val="Heading 9 Char"/>
    <w:basedOn w:val="DefaultParagraphFont"/>
    <w:link w:val="Heading9"/>
    <w:uiPriority w:val="99"/>
    <w:rsid w:val="00845030"/>
    <w:rPr>
      <w:rFonts w:ascii="Arial" w:eastAsia="Times New Roman" w:hAnsi="Arial" w:cs="Arial"/>
    </w:rPr>
  </w:style>
  <w:style w:type="table" w:customStyle="1" w:styleId="LightList-Accent11">
    <w:name w:val="Light List - Accent 11"/>
    <w:basedOn w:val="TableNormal"/>
    <w:uiPriority w:val="61"/>
    <w:rsid w:val="00845030"/>
    <w:pPr>
      <w:spacing w:after="0" w:line="240" w:lineRule="auto"/>
    </w:pPr>
    <w:rPr>
      <w:rFonts w:ascii="Calibri" w:eastAsia="Calibri" w:hAnsi="Calibri" w:cs="Times New Roman"/>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
    <w:name w:val="Light Shading1"/>
    <w:basedOn w:val="TableNormal"/>
    <w:uiPriority w:val="60"/>
    <w:rsid w:val="00845030"/>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itle">
    <w:name w:val="Title"/>
    <w:basedOn w:val="Normal"/>
    <w:link w:val="TitleChar"/>
    <w:uiPriority w:val="99"/>
    <w:qFormat/>
    <w:rsid w:val="00EC3024"/>
    <w:pPr>
      <w:jc w:val="center"/>
      <w:outlineLvl w:val="0"/>
    </w:pPr>
    <w:rPr>
      <w:rFonts w:eastAsia="Times New Roman"/>
      <w:b/>
      <w:bCs/>
      <w:kern w:val="28"/>
      <w:sz w:val="32"/>
      <w:szCs w:val="32"/>
    </w:rPr>
  </w:style>
  <w:style w:type="character" w:customStyle="1" w:styleId="TitleChar">
    <w:name w:val="Title Char"/>
    <w:basedOn w:val="DefaultParagraphFont"/>
    <w:link w:val="Title"/>
    <w:uiPriority w:val="99"/>
    <w:rsid w:val="00EC3024"/>
    <w:rPr>
      <w:rFonts w:ascii="Arial" w:eastAsia="Times New Roman" w:hAnsi="Arial"/>
      <w:b/>
      <w:bCs/>
      <w:kern w:val="28"/>
      <w:sz w:val="32"/>
      <w:szCs w:val="32"/>
    </w:rPr>
  </w:style>
  <w:style w:type="paragraph" w:styleId="Bibliography">
    <w:name w:val="Bibliography"/>
    <w:basedOn w:val="Normal"/>
    <w:next w:val="Normal"/>
    <w:uiPriority w:val="37"/>
    <w:rsid w:val="00845030"/>
    <w:pPr>
      <w:spacing w:before="60"/>
      <w:ind w:left="720" w:hanging="720"/>
    </w:pPr>
    <w:rPr>
      <w:rFonts w:eastAsia="Times New Roman"/>
      <w:sz w:val="20"/>
      <w:szCs w:val="24"/>
    </w:rPr>
  </w:style>
  <w:style w:type="paragraph" w:styleId="Subtitle">
    <w:name w:val="Subtitle"/>
    <w:aliases w:val="Figure"/>
    <w:basedOn w:val="Normal"/>
    <w:link w:val="SubtitleChar"/>
    <w:uiPriority w:val="99"/>
    <w:qFormat/>
    <w:rsid w:val="00845030"/>
    <w:pPr>
      <w:spacing w:after="60"/>
      <w:jc w:val="center"/>
      <w:outlineLvl w:val="1"/>
    </w:pPr>
    <w:rPr>
      <w:rFonts w:ascii="Century" w:eastAsia="Times New Roman" w:hAnsi="Century"/>
      <w:szCs w:val="24"/>
    </w:rPr>
  </w:style>
  <w:style w:type="character" w:customStyle="1" w:styleId="SubtitleChar">
    <w:name w:val="Subtitle Char"/>
    <w:aliases w:val="Figure Char"/>
    <w:basedOn w:val="DefaultParagraphFont"/>
    <w:link w:val="Subtitle"/>
    <w:uiPriority w:val="99"/>
    <w:rsid w:val="00845030"/>
    <w:rPr>
      <w:rFonts w:ascii="Century" w:eastAsia="Times New Roman" w:hAnsi="Century" w:cs="Arial"/>
      <w:szCs w:val="24"/>
    </w:rPr>
  </w:style>
  <w:style w:type="paragraph" w:customStyle="1" w:styleId="ListParagraph1">
    <w:name w:val="List Paragraph1"/>
    <w:basedOn w:val="Normal"/>
    <w:qFormat/>
    <w:rsid w:val="00845030"/>
    <w:pPr>
      <w:spacing w:after="200" w:line="276" w:lineRule="auto"/>
      <w:ind w:left="720"/>
      <w:contextualSpacing/>
    </w:pPr>
    <w:rPr>
      <w:rFonts w:ascii="Bookman Old Style" w:eastAsia="Times New Roman" w:hAnsi="Bookman Old Style" w:cs="Times New Roman"/>
      <w:sz w:val="20"/>
      <w:lang w:val="pt-BR"/>
    </w:rPr>
  </w:style>
  <w:style w:type="character" w:customStyle="1" w:styleId="apple-converted-space">
    <w:name w:val="apple-converted-space"/>
    <w:rsid w:val="00845030"/>
    <w:rPr>
      <w:rFonts w:cs="Times New Roman"/>
    </w:rPr>
  </w:style>
  <w:style w:type="character" w:styleId="Strong">
    <w:name w:val="Strong"/>
    <w:uiPriority w:val="99"/>
    <w:qFormat/>
    <w:rsid w:val="00B000C0"/>
    <w:rPr>
      <w:rFonts w:cs="Times New Roman"/>
      <w:b/>
      <w:bCs/>
    </w:rPr>
  </w:style>
  <w:style w:type="character" w:styleId="Emphasis">
    <w:name w:val="Emphasis"/>
    <w:aliases w:val="Quadros"/>
    <w:uiPriority w:val="99"/>
    <w:qFormat/>
    <w:rsid w:val="00B000C0"/>
    <w:rPr>
      <w:rFonts w:cs="Times New Roman"/>
      <w:b/>
      <w:bCs/>
      <w:i/>
      <w:iCs/>
      <w:spacing w:val="10"/>
      <w:shd w:val="clear" w:color="auto" w:fill="auto"/>
    </w:rPr>
  </w:style>
  <w:style w:type="paragraph" w:customStyle="1" w:styleId="Quote1">
    <w:name w:val="Quote1"/>
    <w:basedOn w:val="Normal"/>
    <w:next w:val="Normal"/>
    <w:link w:val="QuoteChar"/>
    <w:rsid w:val="00B000C0"/>
    <w:pPr>
      <w:spacing w:before="200"/>
      <w:ind w:left="360" w:right="360"/>
    </w:pPr>
    <w:rPr>
      <w:rFonts w:ascii="Calibri" w:eastAsia="Times New Roman" w:hAnsi="Calibri" w:cs="Times New Roman"/>
      <w:i/>
      <w:iCs/>
      <w:sz w:val="20"/>
      <w:lang w:val="pt-BR" w:eastAsia="pt-BR"/>
    </w:rPr>
  </w:style>
  <w:style w:type="character" w:customStyle="1" w:styleId="QuoteChar">
    <w:name w:val="Quote Char"/>
    <w:link w:val="Quote1"/>
    <w:rsid w:val="00B000C0"/>
    <w:rPr>
      <w:rFonts w:ascii="Calibri" w:eastAsia="Times New Roman" w:hAnsi="Calibri" w:cs="Times New Roman"/>
      <w:i/>
      <w:iCs/>
      <w:sz w:val="20"/>
      <w:szCs w:val="20"/>
      <w:lang w:val="pt-BR" w:eastAsia="pt-BR"/>
    </w:rPr>
  </w:style>
  <w:style w:type="paragraph" w:customStyle="1" w:styleId="IntenseQuote1">
    <w:name w:val="Intense Quote1"/>
    <w:basedOn w:val="Normal"/>
    <w:next w:val="Normal"/>
    <w:link w:val="IntenseQuoteChar"/>
    <w:rsid w:val="00B000C0"/>
    <w:pPr>
      <w:pBdr>
        <w:bottom w:val="single" w:sz="4" w:space="1" w:color="auto"/>
      </w:pBdr>
      <w:spacing w:before="200" w:after="280"/>
      <w:ind w:left="1008" w:right="1152"/>
      <w:jc w:val="both"/>
    </w:pPr>
    <w:rPr>
      <w:rFonts w:ascii="Calibri" w:eastAsia="Times New Roman" w:hAnsi="Calibri" w:cs="Times New Roman"/>
      <w:b/>
      <w:bCs/>
      <w:i/>
      <w:iCs/>
      <w:sz w:val="20"/>
      <w:lang w:val="pt-BR" w:eastAsia="pt-BR"/>
    </w:rPr>
  </w:style>
  <w:style w:type="character" w:customStyle="1" w:styleId="IntenseQuoteChar">
    <w:name w:val="Intense Quote Char"/>
    <w:link w:val="IntenseQuote1"/>
    <w:rsid w:val="00B000C0"/>
    <w:rPr>
      <w:rFonts w:ascii="Calibri" w:eastAsia="Times New Roman" w:hAnsi="Calibri" w:cs="Times New Roman"/>
      <w:b/>
      <w:bCs/>
      <w:i/>
      <w:iCs/>
      <w:sz w:val="20"/>
      <w:szCs w:val="20"/>
      <w:lang w:val="pt-BR" w:eastAsia="pt-BR"/>
    </w:rPr>
  </w:style>
  <w:style w:type="character" w:customStyle="1" w:styleId="SubtleEmphasis1">
    <w:name w:val="Subtle Emphasis1"/>
    <w:rsid w:val="00B000C0"/>
    <w:rPr>
      <w:i/>
    </w:rPr>
  </w:style>
  <w:style w:type="character" w:customStyle="1" w:styleId="IntenseEmphasis1">
    <w:name w:val="Intense Emphasis1"/>
    <w:rsid w:val="00B000C0"/>
    <w:rPr>
      <w:b/>
    </w:rPr>
  </w:style>
  <w:style w:type="character" w:customStyle="1" w:styleId="SubtleReference1">
    <w:name w:val="Subtle Reference1"/>
    <w:rsid w:val="00B000C0"/>
    <w:rPr>
      <w:smallCaps/>
    </w:rPr>
  </w:style>
  <w:style w:type="character" w:customStyle="1" w:styleId="IntenseReference1">
    <w:name w:val="Intense Reference1"/>
    <w:rsid w:val="00B000C0"/>
    <w:rPr>
      <w:smallCaps/>
      <w:spacing w:val="5"/>
      <w:u w:val="single"/>
    </w:rPr>
  </w:style>
  <w:style w:type="character" w:customStyle="1" w:styleId="BookTitle1">
    <w:name w:val="Book Title1"/>
    <w:rsid w:val="00B000C0"/>
    <w:rPr>
      <w:i/>
      <w:smallCaps/>
      <w:spacing w:val="5"/>
    </w:rPr>
  </w:style>
  <w:style w:type="paragraph" w:customStyle="1" w:styleId="TOCHeading1">
    <w:name w:val="TOC Heading1"/>
    <w:basedOn w:val="Heading1"/>
    <w:next w:val="Normal"/>
    <w:rsid w:val="00B000C0"/>
    <w:pPr>
      <w:keepNext w:val="0"/>
      <w:keepLines w:val="0"/>
      <w:numPr>
        <w:numId w:val="4"/>
      </w:numPr>
      <w:outlineLvl w:val="9"/>
    </w:pPr>
    <w:rPr>
      <w:rFonts w:ascii="Cambria" w:eastAsia="Times New Roman" w:hAnsi="Cambria" w:cs="Cambria"/>
      <w:sz w:val="28"/>
      <w:szCs w:val="28"/>
      <w:lang w:val="pt-BR" w:eastAsia="pt-BR"/>
    </w:rPr>
  </w:style>
  <w:style w:type="paragraph" w:styleId="TOC4">
    <w:name w:val="toc 4"/>
    <w:basedOn w:val="Normal"/>
    <w:next w:val="Normal"/>
    <w:autoRedefine/>
    <w:uiPriority w:val="39"/>
    <w:rsid w:val="00B000C0"/>
    <w:pPr>
      <w:spacing w:after="100"/>
      <w:ind w:left="660"/>
    </w:pPr>
    <w:rPr>
      <w:rFonts w:eastAsia="Times New Roman"/>
    </w:rPr>
  </w:style>
  <w:style w:type="paragraph" w:styleId="TOC5">
    <w:name w:val="toc 5"/>
    <w:basedOn w:val="Normal"/>
    <w:next w:val="Normal"/>
    <w:autoRedefine/>
    <w:uiPriority w:val="39"/>
    <w:rsid w:val="00B000C0"/>
    <w:pPr>
      <w:spacing w:after="100"/>
      <w:ind w:left="880"/>
    </w:pPr>
    <w:rPr>
      <w:rFonts w:eastAsia="Times New Roman"/>
    </w:rPr>
  </w:style>
  <w:style w:type="paragraph" w:styleId="TOC6">
    <w:name w:val="toc 6"/>
    <w:basedOn w:val="Normal"/>
    <w:next w:val="Normal"/>
    <w:autoRedefine/>
    <w:uiPriority w:val="39"/>
    <w:rsid w:val="00B000C0"/>
    <w:pPr>
      <w:spacing w:after="100"/>
      <w:ind w:left="1100"/>
    </w:pPr>
    <w:rPr>
      <w:rFonts w:eastAsia="Times New Roman"/>
    </w:rPr>
  </w:style>
  <w:style w:type="paragraph" w:styleId="TOC7">
    <w:name w:val="toc 7"/>
    <w:basedOn w:val="Normal"/>
    <w:next w:val="Normal"/>
    <w:autoRedefine/>
    <w:uiPriority w:val="39"/>
    <w:rsid w:val="00B000C0"/>
    <w:pPr>
      <w:spacing w:after="100"/>
      <w:ind w:left="1320"/>
    </w:pPr>
    <w:rPr>
      <w:rFonts w:eastAsia="Times New Roman"/>
    </w:rPr>
  </w:style>
  <w:style w:type="paragraph" w:styleId="TOC8">
    <w:name w:val="toc 8"/>
    <w:basedOn w:val="Normal"/>
    <w:next w:val="Normal"/>
    <w:autoRedefine/>
    <w:uiPriority w:val="39"/>
    <w:rsid w:val="00B000C0"/>
    <w:pPr>
      <w:spacing w:after="100"/>
      <w:ind w:left="1540"/>
    </w:pPr>
    <w:rPr>
      <w:rFonts w:eastAsia="Times New Roman"/>
    </w:rPr>
  </w:style>
  <w:style w:type="paragraph" w:styleId="TOC9">
    <w:name w:val="toc 9"/>
    <w:basedOn w:val="Normal"/>
    <w:next w:val="Normal"/>
    <w:autoRedefine/>
    <w:uiPriority w:val="39"/>
    <w:rsid w:val="00B000C0"/>
    <w:pPr>
      <w:spacing w:after="100"/>
      <w:ind w:left="1760"/>
    </w:pPr>
    <w:rPr>
      <w:rFonts w:eastAsia="Times New Roman"/>
    </w:rPr>
  </w:style>
  <w:style w:type="character" w:styleId="EndnoteReference">
    <w:name w:val="endnote reference"/>
    <w:uiPriority w:val="99"/>
    <w:semiHidden/>
    <w:rsid w:val="00B000C0"/>
    <w:rPr>
      <w:rFonts w:cs="Times New Roman"/>
      <w:vertAlign w:val="superscript"/>
    </w:rPr>
  </w:style>
  <w:style w:type="paragraph" w:customStyle="1" w:styleId="BodyTextIndent1">
    <w:name w:val="Body Text Indent1"/>
    <w:basedOn w:val="Normal"/>
    <w:link w:val="BodyTextIndentChar"/>
    <w:semiHidden/>
    <w:rsid w:val="00B000C0"/>
    <w:pPr>
      <w:spacing w:after="120"/>
      <w:ind w:left="360"/>
    </w:pPr>
    <w:rPr>
      <w:rFonts w:ascii="Calibri" w:eastAsia="Times New Roman" w:hAnsi="Calibri" w:cs="Calibri"/>
      <w:lang w:val="pt-BR" w:eastAsia="pt-BR"/>
    </w:rPr>
  </w:style>
  <w:style w:type="character" w:customStyle="1" w:styleId="BodyTextIndentChar">
    <w:name w:val="Body Text Indent Char"/>
    <w:link w:val="BodyTextIndent1"/>
    <w:semiHidden/>
    <w:rsid w:val="00B000C0"/>
    <w:rPr>
      <w:rFonts w:ascii="Calibri" w:eastAsia="Times New Roman" w:hAnsi="Calibri" w:cs="Calibri"/>
      <w:lang w:val="pt-BR" w:eastAsia="pt-BR"/>
    </w:rPr>
  </w:style>
  <w:style w:type="paragraph" w:customStyle="1" w:styleId="captionnotes0">
    <w:name w:val="caption notes"/>
    <w:basedOn w:val="Normal"/>
    <w:link w:val="captionnotesChar"/>
    <w:rsid w:val="00B000C0"/>
    <w:pPr>
      <w:spacing w:before="60"/>
    </w:pPr>
    <w:rPr>
      <w:rFonts w:eastAsia="Times New Roman" w:cs="Times New Roman"/>
      <w:i/>
      <w:iCs/>
      <w:lang w:val="pt-BR" w:eastAsia="pt-BR"/>
    </w:rPr>
  </w:style>
  <w:style w:type="character" w:customStyle="1" w:styleId="captionnotesChar">
    <w:name w:val="caption notes Char"/>
    <w:link w:val="captionnotes0"/>
    <w:rsid w:val="00B000C0"/>
    <w:rPr>
      <w:rFonts w:ascii="Arial" w:eastAsia="Times New Roman" w:hAnsi="Arial" w:cs="Times New Roman"/>
      <w:i/>
      <w:iCs/>
      <w:lang w:val="pt-BR" w:eastAsia="pt-BR"/>
    </w:rPr>
  </w:style>
  <w:style w:type="paragraph" w:customStyle="1" w:styleId="ListParagraph2">
    <w:name w:val="List Paragraph2"/>
    <w:basedOn w:val="Normal"/>
    <w:rsid w:val="00B000C0"/>
    <w:pPr>
      <w:ind w:left="720"/>
    </w:pPr>
    <w:rPr>
      <w:rFonts w:eastAsia="Times New Roman"/>
    </w:rPr>
  </w:style>
  <w:style w:type="character" w:customStyle="1" w:styleId="notranslate">
    <w:name w:val="notranslate"/>
    <w:rsid w:val="00B000C0"/>
    <w:rPr>
      <w:rFonts w:cs="Times New Roman"/>
    </w:rPr>
  </w:style>
  <w:style w:type="paragraph" w:customStyle="1" w:styleId="referencia">
    <w:name w:val="referencia"/>
    <w:basedOn w:val="Normal"/>
    <w:rsid w:val="00B000C0"/>
    <w:pPr>
      <w:spacing w:before="120" w:after="120"/>
      <w:ind w:left="357" w:hanging="357"/>
      <w:jc w:val="both"/>
    </w:pPr>
    <w:rPr>
      <w:rFonts w:eastAsia="Times New Roman" w:cs="Times New Roman"/>
      <w:sz w:val="24"/>
      <w:szCs w:val="24"/>
      <w:lang w:val="pt-BR" w:eastAsia="pt-BR"/>
    </w:rPr>
  </w:style>
  <w:style w:type="character" w:customStyle="1" w:styleId="IntenseEmphasis2">
    <w:name w:val="Intense Emphasis2"/>
    <w:rsid w:val="00B000C0"/>
    <w:rPr>
      <w:rFonts w:cs="Times New Roman"/>
      <w:b/>
      <w:bCs/>
      <w:i/>
      <w:iCs/>
      <w:color w:val="auto"/>
    </w:rPr>
  </w:style>
  <w:style w:type="character" w:customStyle="1" w:styleId="hps">
    <w:name w:val="hps"/>
    <w:rsid w:val="00B000C0"/>
    <w:rPr>
      <w:rFonts w:cs="Times New Roman"/>
    </w:rPr>
  </w:style>
  <w:style w:type="character" w:customStyle="1" w:styleId="shorttext">
    <w:name w:val="short_text"/>
    <w:rsid w:val="00B000C0"/>
    <w:rPr>
      <w:rFonts w:cs="Times New Roman"/>
    </w:rPr>
  </w:style>
  <w:style w:type="character" w:customStyle="1" w:styleId="hpsalt-edited">
    <w:name w:val="hps alt-edited"/>
    <w:rsid w:val="00B000C0"/>
    <w:rPr>
      <w:rFonts w:cs="Times New Roman"/>
    </w:rPr>
  </w:style>
  <w:style w:type="paragraph" w:customStyle="1" w:styleId="TOCHeading2">
    <w:name w:val="TOC Heading2"/>
    <w:basedOn w:val="Heading1"/>
    <w:next w:val="Normal"/>
    <w:rsid w:val="00B000C0"/>
    <w:pPr>
      <w:spacing w:before="480" w:line="276" w:lineRule="auto"/>
      <w:ind w:left="0" w:firstLine="0"/>
      <w:outlineLvl w:val="9"/>
    </w:pPr>
    <w:rPr>
      <w:rFonts w:ascii="Cambria" w:eastAsia="Times New Roman" w:hAnsi="Cambria" w:cs="Cambria"/>
      <w:color w:val="365F91"/>
      <w:sz w:val="28"/>
      <w:szCs w:val="28"/>
      <w:lang w:val="pt-BR" w:eastAsia="pt-BR"/>
    </w:rPr>
  </w:style>
  <w:style w:type="paragraph" w:customStyle="1" w:styleId="NoSpacing1">
    <w:name w:val="No Spacing1"/>
    <w:rsid w:val="00B000C0"/>
    <w:pPr>
      <w:spacing w:after="0" w:line="240" w:lineRule="auto"/>
    </w:pPr>
    <w:rPr>
      <w:rFonts w:ascii="Arial" w:eastAsia="Times New Roman" w:hAnsi="Arial" w:cs="Arial"/>
    </w:rPr>
  </w:style>
  <w:style w:type="paragraph" w:customStyle="1" w:styleId="PargrafodaLista1">
    <w:name w:val="Parágrafo da Lista1"/>
    <w:basedOn w:val="Normal"/>
    <w:rsid w:val="00B000C0"/>
    <w:pPr>
      <w:ind w:left="720"/>
    </w:pPr>
    <w:rPr>
      <w:rFonts w:eastAsia="Times New Roman"/>
    </w:rPr>
  </w:style>
  <w:style w:type="numbering" w:customStyle="1" w:styleId="Estilo2">
    <w:name w:val="Estilo2"/>
    <w:rsid w:val="00B000C0"/>
    <w:pPr>
      <w:numPr>
        <w:numId w:val="17"/>
      </w:numPr>
    </w:pPr>
  </w:style>
  <w:style w:type="numbering" w:customStyle="1" w:styleId="Estilo1">
    <w:name w:val="Estilo1"/>
    <w:rsid w:val="00B000C0"/>
    <w:pPr>
      <w:numPr>
        <w:numId w:val="14"/>
      </w:numPr>
    </w:pPr>
  </w:style>
  <w:style w:type="numbering" w:customStyle="1" w:styleId="Style1">
    <w:name w:val="Style1"/>
    <w:rsid w:val="00B000C0"/>
    <w:pPr>
      <w:numPr>
        <w:numId w:val="6"/>
      </w:numPr>
    </w:pPr>
  </w:style>
  <w:style w:type="character" w:customStyle="1" w:styleId="hpsatn">
    <w:name w:val="hps atn"/>
    <w:basedOn w:val="DefaultParagraphFont"/>
    <w:rsid w:val="00B000C0"/>
  </w:style>
  <w:style w:type="paragraph" w:customStyle="1" w:styleId="western">
    <w:name w:val="western"/>
    <w:basedOn w:val="Normal"/>
    <w:rsid w:val="00B000C0"/>
    <w:pPr>
      <w:spacing w:before="100" w:beforeAutospacing="1" w:after="119"/>
    </w:pPr>
    <w:rPr>
      <w:rFonts w:ascii="Times New Roman" w:eastAsia="Times New Roman" w:hAnsi="Times New Roman" w:cs="Times New Roman"/>
      <w:szCs w:val="24"/>
      <w:lang w:val="pt-BR" w:eastAsia="pt-BR"/>
    </w:rPr>
  </w:style>
  <w:style w:type="character" w:styleId="IntenseEmphasis">
    <w:name w:val="Intense Emphasis"/>
    <w:uiPriority w:val="99"/>
    <w:qFormat/>
    <w:rsid w:val="00B000C0"/>
    <w:rPr>
      <w:b/>
      <w:bCs/>
      <w:i/>
      <w:iCs/>
      <w:color w:val="4F81BD"/>
    </w:rPr>
  </w:style>
  <w:style w:type="paragraph" w:customStyle="1" w:styleId="CabealhodoSumrio1">
    <w:name w:val="Cabeçalho do Sumário1"/>
    <w:basedOn w:val="Heading1"/>
    <w:next w:val="Normal"/>
    <w:rsid w:val="00B000C0"/>
    <w:pPr>
      <w:spacing w:before="480" w:line="276" w:lineRule="auto"/>
      <w:ind w:left="0" w:firstLine="0"/>
      <w:outlineLvl w:val="9"/>
    </w:pPr>
    <w:rPr>
      <w:rFonts w:ascii="Cambria" w:eastAsia="Times New Roman" w:hAnsi="Cambria" w:cs="Cambria"/>
      <w:color w:val="365F91"/>
      <w:sz w:val="28"/>
      <w:szCs w:val="28"/>
      <w:lang w:val="pt-BR" w:eastAsia="pt-BR"/>
    </w:rPr>
  </w:style>
  <w:style w:type="paragraph" w:styleId="Quote">
    <w:name w:val="Quote"/>
    <w:basedOn w:val="Normal"/>
    <w:next w:val="Normal"/>
    <w:link w:val="QuoteChar1"/>
    <w:uiPriority w:val="99"/>
    <w:qFormat/>
    <w:rsid w:val="00B000C0"/>
    <w:pPr>
      <w:spacing w:before="200" w:line="276" w:lineRule="auto"/>
      <w:ind w:left="360" w:right="360"/>
    </w:pPr>
    <w:rPr>
      <w:rFonts w:ascii="Calibri" w:eastAsia="Times New Roman" w:hAnsi="Calibri" w:cs="Calibri"/>
      <w:i/>
      <w:iCs/>
    </w:rPr>
  </w:style>
  <w:style w:type="character" w:customStyle="1" w:styleId="QuoteChar1">
    <w:name w:val="Quote Char1"/>
    <w:basedOn w:val="DefaultParagraphFont"/>
    <w:link w:val="Quote"/>
    <w:uiPriority w:val="99"/>
    <w:rsid w:val="00B000C0"/>
    <w:rPr>
      <w:rFonts w:ascii="Calibri" w:eastAsia="Times New Roman" w:hAnsi="Calibri" w:cs="Calibri"/>
      <w:i/>
      <w:iCs/>
    </w:rPr>
  </w:style>
  <w:style w:type="paragraph" w:styleId="IntenseQuote">
    <w:name w:val="Intense Quote"/>
    <w:basedOn w:val="Normal"/>
    <w:next w:val="Normal"/>
    <w:link w:val="IntenseQuoteChar1"/>
    <w:uiPriority w:val="99"/>
    <w:qFormat/>
    <w:rsid w:val="00B000C0"/>
    <w:pPr>
      <w:pBdr>
        <w:bottom w:val="single" w:sz="4" w:space="1" w:color="auto"/>
      </w:pBdr>
      <w:spacing w:before="200" w:after="280" w:line="276" w:lineRule="auto"/>
      <w:ind w:left="1008" w:right="1152"/>
      <w:jc w:val="both"/>
    </w:pPr>
    <w:rPr>
      <w:rFonts w:ascii="Calibri" w:eastAsia="Times New Roman" w:hAnsi="Calibri" w:cs="Calibri"/>
      <w:b/>
      <w:bCs/>
      <w:i/>
      <w:iCs/>
    </w:rPr>
  </w:style>
  <w:style w:type="character" w:customStyle="1" w:styleId="IntenseQuoteChar1">
    <w:name w:val="Intense Quote Char1"/>
    <w:basedOn w:val="DefaultParagraphFont"/>
    <w:link w:val="IntenseQuote"/>
    <w:uiPriority w:val="99"/>
    <w:rsid w:val="00B000C0"/>
    <w:rPr>
      <w:rFonts w:ascii="Calibri" w:eastAsia="Times New Roman" w:hAnsi="Calibri" w:cs="Calibri"/>
      <w:b/>
      <w:bCs/>
      <w:i/>
      <w:iCs/>
    </w:rPr>
  </w:style>
  <w:style w:type="character" w:styleId="SubtleEmphasis">
    <w:name w:val="Subtle Emphasis"/>
    <w:uiPriority w:val="99"/>
    <w:qFormat/>
    <w:rsid w:val="00B000C0"/>
    <w:rPr>
      <w:i/>
      <w:iCs/>
    </w:rPr>
  </w:style>
  <w:style w:type="character" w:styleId="SubtleReference">
    <w:name w:val="Subtle Reference"/>
    <w:uiPriority w:val="99"/>
    <w:qFormat/>
    <w:rsid w:val="00B000C0"/>
    <w:rPr>
      <w:smallCaps/>
    </w:rPr>
  </w:style>
  <w:style w:type="character" w:styleId="IntenseReference">
    <w:name w:val="Intense Reference"/>
    <w:uiPriority w:val="99"/>
    <w:qFormat/>
    <w:rsid w:val="00B000C0"/>
    <w:rPr>
      <w:smallCaps/>
      <w:spacing w:val="5"/>
      <w:u w:val="single"/>
    </w:rPr>
  </w:style>
  <w:style w:type="character" w:styleId="BookTitle">
    <w:name w:val="Book Title"/>
    <w:uiPriority w:val="99"/>
    <w:qFormat/>
    <w:rsid w:val="00B000C0"/>
    <w:rPr>
      <w:i/>
      <w:iCs/>
      <w:smallCaps/>
      <w:spacing w:val="5"/>
    </w:rPr>
  </w:style>
  <w:style w:type="paragraph" w:styleId="BodyTextIndent">
    <w:name w:val="Body Text Indent"/>
    <w:basedOn w:val="Normal"/>
    <w:link w:val="BodyTextIndentChar1"/>
    <w:uiPriority w:val="99"/>
    <w:semiHidden/>
    <w:rsid w:val="00B000C0"/>
    <w:pPr>
      <w:spacing w:after="120" w:line="276" w:lineRule="auto"/>
      <w:ind w:left="360"/>
    </w:pPr>
    <w:rPr>
      <w:rFonts w:ascii="Calibri" w:eastAsia="Times New Roman" w:hAnsi="Calibri" w:cs="Calibri"/>
    </w:rPr>
  </w:style>
  <w:style w:type="character" w:customStyle="1" w:styleId="BodyTextIndentChar1">
    <w:name w:val="Body Text Indent Char1"/>
    <w:basedOn w:val="DefaultParagraphFont"/>
    <w:link w:val="BodyTextIndent"/>
    <w:uiPriority w:val="99"/>
    <w:semiHidden/>
    <w:rsid w:val="00B000C0"/>
    <w:rPr>
      <w:rFonts w:ascii="Calibri" w:eastAsia="Times New Roman" w:hAnsi="Calibri" w:cs="Calibri"/>
    </w:rPr>
  </w:style>
  <w:style w:type="paragraph" w:customStyle="1" w:styleId="Ttulo0">
    <w:name w:val="Título 0"/>
    <w:basedOn w:val="Heading1"/>
    <w:uiPriority w:val="99"/>
    <w:rsid w:val="00B000C0"/>
    <w:pPr>
      <w:keepNext w:val="0"/>
      <w:keepLines w:val="0"/>
      <w:spacing w:before="480" w:line="276" w:lineRule="auto"/>
    </w:pPr>
    <w:rPr>
      <w:rFonts w:ascii="Cambria" w:eastAsia="Times New Roman" w:hAnsi="Cambria" w:cs="Cambria"/>
      <w:sz w:val="28"/>
      <w:szCs w:val="28"/>
    </w:rPr>
  </w:style>
  <w:style w:type="character" w:customStyle="1" w:styleId="Caracteresdenotaderodap">
    <w:name w:val="Caracteres de nota de rodapé"/>
    <w:uiPriority w:val="99"/>
    <w:rsid w:val="00B000C0"/>
    <w:rPr>
      <w:vertAlign w:val="superscript"/>
    </w:rPr>
  </w:style>
  <w:style w:type="paragraph" w:customStyle="1" w:styleId="xl70">
    <w:name w:val="xl70"/>
    <w:basedOn w:val="Normal"/>
    <w:rsid w:val="00B000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1">
    <w:name w:val="xl71"/>
    <w:basedOn w:val="Normal"/>
    <w:rsid w:val="00B000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2">
    <w:name w:val="xl72"/>
    <w:basedOn w:val="Normal"/>
    <w:rsid w:val="00B000C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73">
    <w:name w:val="xl73"/>
    <w:basedOn w:val="Normal"/>
    <w:rsid w:val="00B000C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eastAsia="Times New Roman" w:hAnsi="Times New Roman" w:cs="Times New Roman"/>
      <w:b/>
      <w:bCs/>
      <w:sz w:val="24"/>
      <w:szCs w:val="24"/>
    </w:rPr>
  </w:style>
  <w:style w:type="paragraph" w:customStyle="1" w:styleId="xl74">
    <w:name w:val="xl74"/>
    <w:basedOn w:val="Normal"/>
    <w:rsid w:val="00B000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5">
    <w:name w:val="xl75"/>
    <w:basedOn w:val="Normal"/>
    <w:rsid w:val="00B000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b/>
      <w:bCs/>
      <w:sz w:val="24"/>
      <w:szCs w:val="24"/>
    </w:rPr>
  </w:style>
  <w:style w:type="paragraph" w:customStyle="1" w:styleId="xl76">
    <w:name w:val="xl76"/>
    <w:basedOn w:val="Normal"/>
    <w:rsid w:val="00B000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sz w:val="24"/>
      <w:szCs w:val="24"/>
    </w:rPr>
  </w:style>
  <w:style w:type="paragraph" w:customStyle="1" w:styleId="xl77">
    <w:name w:val="xl77"/>
    <w:basedOn w:val="Normal"/>
    <w:rsid w:val="00B000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b/>
      <w:bCs/>
      <w:sz w:val="24"/>
      <w:szCs w:val="24"/>
    </w:rPr>
  </w:style>
  <w:style w:type="paragraph" w:customStyle="1" w:styleId="xl78">
    <w:name w:val="xl78"/>
    <w:basedOn w:val="Normal"/>
    <w:rsid w:val="00B000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sz w:val="24"/>
      <w:szCs w:val="24"/>
    </w:rPr>
  </w:style>
  <w:style w:type="paragraph" w:customStyle="1" w:styleId="xl79">
    <w:name w:val="xl79"/>
    <w:basedOn w:val="Normal"/>
    <w:rsid w:val="00B000C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eastAsia="Times New Roman" w:hAnsi="Times New Roman" w:cs="Times New Roman"/>
      <w:b/>
      <w:bCs/>
      <w:sz w:val="24"/>
      <w:szCs w:val="24"/>
    </w:rPr>
  </w:style>
  <w:style w:type="paragraph" w:customStyle="1" w:styleId="xl80">
    <w:name w:val="xl80"/>
    <w:basedOn w:val="Normal"/>
    <w:rsid w:val="00B000C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eastAsia="Times New Roman" w:hAnsi="Times New Roman" w:cs="Times New Roman"/>
      <w:sz w:val="24"/>
      <w:szCs w:val="24"/>
    </w:rPr>
  </w:style>
  <w:style w:type="paragraph" w:customStyle="1" w:styleId="xl81">
    <w:name w:val="xl81"/>
    <w:basedOn w:val="Normal"/>
    <w:rsid w:val="00B000C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eastAsia="Times New Roman" w:hAnsi="Times New Roman" w:cs="Times New Roman"/>
      <w:sz w:val="24"/>
      <w:szCs w:val="24"/>
    </w:rPr>
  </w:style>
  <w:style w:type="paragraph" w:customStyle="1" w:styleId="xl66">
    <w:name w:val="xl66"/>
    <w:basedOn w:val="Normal"/>
    <w:rsid w:val="00B000C0"/>
    <w:pPr>
      <w:shd w:val="clear" w:color="000000" w:fill="FFFFFF"/>
      <w:spacing w:before="100" w:beforeAutospacing="1" w:after="100" w:afterAutospacing="1"/>
      <w:ind w:firstLineChars="100" w:firstLine="100"/>
      <w:textAlignment w:val="center"/>
    </w:pPr>
    <w:rPr>
      <w:rFonts w:ascii="Times New Roman" w:eastAsia="Times New Roman" w:hAnsi="Times New Roman" w:cs="Times New Roman"/>
      <w:color w:val="333333"/>
      <w:sz w:val="24"/>
      <w:szCs w:val="24"/>
      <w:lang w:val="pt-BR" w:eastAsia="pt-BR"/>
    </w:rPr>
  </w:style>
  <w:style w:type="paragraph" w:customStyle="1" w:styleId="xl67">
    <w:name w:val="xl67"/>
    <w:basedOn w:val="Normal"/>
    <w:rsid w:val="00B000C0"/>
    <w:pPr>
      <w:pBdr>
        <w:top w:val="single" w:sz="8"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333333"/>
      <w:sz w:val="24"/>
      <w:szCs w:val="24"/>
      <w:lang w:val="pt-BR" w:eastAsia="pt-BR"/>
    </w:rPr>
  </w:style>
  <w:style w:type="paragraph" w:customStyle="1" w:styleId="xl68">
    <w:name w:val="xl68"/>
    <w:basedOn w:val="Normal"/>
    <w:rsid w:val="00B000C0"/>
    <w:pPr>
      <w:pBdr>
        <w:bottom w:val="single" w:sz="8" w:space="0" w:color="auto"/>
      </w:pBdr>
      <w:shd w:val="clear" w:color="000000" w:fill="FFFFFF"/>
      <w:spacing w:before="100" w:beforeAutospacing="1" w:after="100" w:afterAutospacing="1"/>
      <w:ind w:firstLineChars="100" w:firstLine="100"/>
      <w:textAlignment w:val="center"/>
    </w:pPr>
    <w:rPr>
      <w:rFonts w:ascii="Times New Roman" w:eastAsia="Times New Roman" w:hAnsi="Times New Roman" w:cs="Times New Roman"/>
      <w:b/>
      <w:bCs/>
      <w:color w:val="333333"/>
      <w:sz w:val="24"/>
      <w:szCs w:val="24"/>
      <w:lang w:val="pt-BR" w:eastAsia="pt-BR"/>
    </w:rPr>
  </w:style>
  <w:style w:type="paragraph" w:customStyle="1" w:styleId="xl69">
    <w:name w:val="xl69"/>
    <w:basedOn w:val="Normal"/>
    <w:rsid w:val="00B000C0"/>
    <w:pPr>
      <w:pBdr>
        <w:bottom w:val="single" w:sz="8" w:space="0" w:color="auto"/>
      </w:pBdr>
      <w:spacing w:before="100" w:beforeAutospacing="1" w:after="100" w:afterAutospacing="1"/>
    </w:pPr>
    <w:rPr>
      <w:rFonts w:ascii="Times New Roman" w:eastAsia="Times New Roman" w:hAnsi="Times New Roman" w:cs="Times New Roman"/>
      <w:b/>
      <w:bCs/>
      <w:sz w:val="24"/>
      <w:szCs w:val="24"/>
      <w:lang w:val="pt-BR" w:eastAsia="pt-BR"/>
    </w:rPr>
  </w:style>
  <w:style w:type="paragraph" w:customStyle="1" w:styleId="Apendix">
    <w:name w:val="Apendix"/>
    <w:basedOn w:val="Heading1"/>
    <w:qFormat/>
    <w:rsid w:val="00DA2C07"/>
    <w:pPr>
      <w:keepNext w:val="0"/>
      <w:keepLines w:val="0"/>
      <w:widowControl/>
      <w:contextualSpacing/>
    </w:pPr>
    <w:rPr>
      <w:rFonts w:eastAsia="Times New Roman" w:cs="Times New Roman"/>
      <w:sz w:val="22"/>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table of figures" w:uiPriority="0"/>
    <w:lsdException w:name="annotation reference" w:uiPriority="0"/>
    <w:lsdException w:name="List Number" w:uiPriority="0"/>
    <w:lsdException w:name="Title" w:semiHidden="0" w:unhideWhenUsed="0" w:qFormat="1"/>
    <w:lsdException w:name="Signature" w:uiPriority="0"/>
    <w:lsdException w:name="Default Paragraph Font" w:uiPriority="1"/>
    <w:lsdException w:name="Subtitle" w:semiHidden="0" w:unhideWhenUsed="0" w:qFormat="1"/>
    <w:lsdException w:name="Salutation" w:uiPriority="0"/>
    <w:lsdException w:name="Strong" w:semiHidden="0" w:unhideWhenUsed="0" w:qFormat="1"/>
    <w:lsdException w:name="Emphasis" w:semiHidden="0" w:unhideWhenUsed="0" w:qFormat="1"/>
    <w:lsdException w:name="Document Map" w:uiPriority="0"/>
    <w:lsdException w:name="annotation subjec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4B4B73"/>
    <w:pPr>
      <w:widowControl w:val="0"/>
      <w:spacing w:after="0" w:line="240" w:lineRule="auto"/>
    </w:pPr>
    <w:rPr>
      <w:rFonts w:ascii="Arial" w:hAnsi="Arial"/>
    </w:rPr>
  </w:style>
  <w:style w:type="paragraph" w:styleId="Heading1">
    <w:name w:val="heading 1"/>
    <w:basedOn w:val="Normal"/>
    <w:next w:val="Normal"/>
    <w:link w:val="Heading1Char"/>
    <w:uiPriority w:val="99"/>
    <w:qFormat/>
    <w:rsid w:val="00EC3024"/>
    <w:pPr>
      <w:keepNext/>
      <w:keepLines/>
      <w:ind w:left="432" w:hanging="432"/>
      <w:outlineLvl w:val="0"/>
    </w:pPr>
    <w:rPr>
      <w:rFonts w:eastAsiaTheme="majorEastAsia"/>
      <w:b/>
      <w:bCs/>
      <w:sz w:val="24"/>
      <w:szCs w:val="24"/>
    </w:rPr>
  </w:style>
  <w:style w:type="paragraph" w:styleId="Heading2">
    <w:name w:val="heading 2"/>
    <w:basedOn w:val="Normal"/>
    <w:next w:val="Normal"/>
    <w:link w:val="Heading2Char"/>
    <w:uiPriority w:val="99"/>
    <w:qFormat/>
    <w:rsid w:val="00EC3024"/>
    <w:pPr>
      <w:keepNext/>
      <w:keepLines/>
      <w:ind w:left="576" w:hanging="576"/>
      <w:outlineLvl w:val="1"/>
    </w:pPr>
    <w:rPr>
      <w:rFonts w:eastAsia="Calibri"/>
      <w:b/>
      <w:bCs/>
      <w:i/>
      <w:szCs w:val="26"/>
    </w:rPr>
  </w:style>
  <w:style w:type="paragraph" w:styleId="Heading3">
    <w:name w:val="heading 3"/>
    <w:basedOn w:val="Normal"/>
    <w:next w:val="Normal"/>
    <w:link w:val="Heading3Char"/>
    <w:uiPriority w:val="99"/>
    <w:qFormat/>
    <w:rsid w:val="00EC3024"/>
    <w:pPr>
      <w:keepNext/>
      <w:outlineLvl w:val="2"/>
    </w:pPr>
    <w:rPr>
      <w:bCs/>
      <w:i/>
      <w:szCs w:val="26"/>
    </w:rPr>
  </w:style>
  <w:style w:type="paragraph" w:styleId="Heading4">
    <w:name w:val="heading 4"/>
    <w:basedOn w:val="Normal"/>
    <w:next w:val="Normal"/>
    <w:link w:val="Heading4Char"/>
    <w:uiPriority w:val="99"/>
    <w:qFormat/>
    <w:rsid w:val="00EC3024"/>
    <w:pPr>
      <w:keepNext/>
      <w:outlineLvl w:val="3"/>
    </w:pPr>
    <w:rPr>
      <w:bCs/>
      <w:szCs w:val="28"/>
      <w:u w:val="single"/>
    </w:rPr>
  </w:style>
  <w:style w:type="paragraph" w:styleId="Heading5">
    <w:name w:val="heading 5"/>
    <w:basedOn w:val="Normal"/>
    <w:next w:val="Normal"/>
    <w:link w:val="Heading5Char"/>
    <w:uiPriority w:val="99"/>
    <w:qFormat/>
    <w:rsid w:val="00845030"/>
    <w:pPr>
      <w:spacing w:before="240" w:after="60"/>
      <w:ind w:left="1008" w:hanging="1008"/>
      <w:outlineLvl w:val="4"/>
    </w:pPr>
    <w:rPr>
      <w:rFonts w:eastAsia="Times New Roman"/>
      <w:b/>
      <w:bCs/>
      <w:i/>
      <w:iCs/>
      <w:sz w:val="26"/>
      <w:szCs w:val="26"/>
    </w:rPr>
  </w:style>
  <w:style w:type="paragraph" w:styleId="Heading6">
    <w:name w:val="heading 6"/>
    <w:basedOn w:val="Normal"/>
    <w:next w:val="Normal"/>
    <w:link w:val="Heading6Char"/>
    <w:uiPriority w:val="99"/>
    <w:qFormat/>
    <w:rsid w:val="00845030"/>
    <w:pPr>
      <w:spacing w:before="240" w:after="60"/>
      <w:ind w:left="1152" w:hanging="1152"/>
      <w:outlineLvl w:val="5"/>
    </w:pPr>
    <w:rPr>
      <w:rFonts w:eastAsia="Times New Roman"/>
      <w:b/>
      <w:bCs/>
    </w:rPr>
  </w:style>
  <w:style w:type="paragraph" w:styleId="Heading7">
    <w:name w:val="heading 7"/>
    <w:basedOn w:val="Normal"/>
    <w:next w:val="Normal"/>
    <w:link w:val="Heading7Char"/>
    <w:uiPriority w:val="99"/>
    <w:qFormat/>
    <w:rsid w:val="00845030"/>
    <w:pPr>
      <w:spacing w:before="240" w:after="60"/>
      <w:ind w:left="1296" w:hanging="1296"/>
      <w:outlineLvl w:val="6"/>
    </w:pPr>
    <w:rPr>
      <w:rFonts w:eastAsia="Times New Roman"/>
      <w:szCs w:val="24"/>
    </w:rPr>
  </w:style>
  <w:style w:type="paragraph" w:styleId="Heading8">
    <w:name w:val="heading 8"/>
    <w:basedOn w:val="Normal"/>
    <w:next w:val="Normal"/>
    <w:link w:val="Heading8Char"/>
    <w:uiPriority w:val="99"/>
    <w:qFormat/>
    <w:rsid w:val="00845030"/>
    <w:pPr>
      <w:spacing w:before="240" w:after="60"/>
      <w:ind w:left="1440" w:hanging="1440"/>
      <w:outlineLvl w:val="7"/>
    </w:pPr>
    <w:rPr>
      <w:rFonts w:eastAsia="Times New Roman"/>
      <w:i/>
      <w:iCs/>
      <w:szCs w:val="24"/>
    </w:rPr>
  </w:style>
  <w:style w:type="paragraph" w:styleId="Heading9">
    <w:name w:val="heading 9"/>
    <w:basedOn w:val="Normal"/>
    <w:next w:val="Normal"/>
    <w:link w:val="Heading9Char"/>
    <w:uiPriority w:val="99"/>
    <w:qFormat/>
    <w:rsid w:val="00845030"/>
    <w:pPr>
      <w:spacing w:before="240" w:after="60"/>
      <w:ind w:left="1584" w:hanging="1584"/>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C3024"/>
    <w:rPr>
      <w:rFonts w:ascii="Arial" w:eastAsiaTheme="majorEastAsia" w:hAnsi="Arial"/>
      <w:b/>
      <w:bCs/>
      <w:sz w:val="24"/>
      <w:szCs w:val="24"/>
    </w:rPr>
  </w:style>
  <w:style w:type="character" w:customStyle="1" w:styleId="Heading2Char">
    <w:name w:val="Heading 2 Char"/>
    <w:basedOn w:val="DefaultParagraphFont"/>
    <w:link w:val="Heading2"/>
    <w:uiPriority w:val="99"/>
    <w:rsid w:val="00EC3024"/>
    <w:rPr>
      <w:rFonts w:ascii="Arial" w:eastAsia="Calibri" w:hAnsi="Arial"/>
      <w:b/>
      <w:bCs/>
      <w:i/>
      <w:szCs w:val="26"/>
    </w:rPr>
  </w:style>
  <w:style w:type="character" w:customStyle="1" w:styleId="Heading3Char">
    <w:name w:val="Heading 3 Char"/>
    <w:basedOn w:val="DefaultParagraphFont"/>
    <w:link w:val="Heading3"/>
    <w:uiPriority w:val="99"/>
    <w:rsid w:val="00EC3024"/>
    <w:rPr>
      <w:rFonts w:ascii="Arial" w:hAnsi="Arial"/>
      <w:bCs/>
      <w:i/>
      <w:szCs w:val="26"/>
    </w:rPr>
  </w:style>
  <w:style w:type="character" w:customStyle="1" w:styleId="Heading4Char">
    <w:name w:val="Heading 4 Char"/>
    <w:basedOn w:val="DefaultParagraphFont"/>
    <w:link w:val="Heading4"/>
    <w:uiPriority w:val="99"/>
    <w:rsid w:val="00EC3024"/>
    <w:rPr>
      <w:rFonts w:ascii="Arial" w:hAnsi="Arial"/>
      <w:bCs/>
      <w:szCs w:val="28"/>
      <w:u w:val="single"/>
    </w:rPr>
  </w:style>
  <w:style w:type="paragraph" w:customStyle="1" w:styleId="Endofdocument-Annex">
    <w:name w:val="[End of document - Annex]"/>
    <w:basedOn w:val="Normal"/>
    <w:rsid w:val="00DB70AF"/>
    <w:pPr>
      <w:ind w:left="5534"/>
    </w:pPr>
  </w:style>
  <w:style w:type="paragraph" w:styleId="BodyText">
    <w:name w:val="Body Text"/>
    <w:basedOn w:val="Normal"/>
    <w:link w:val="BodyTextChar"/>
    <w:uiPriority w:val="99"/>
    <w:rsid w:val="00DB70AF"/>
    <w:pPr>
      <w:spacing w:after="220"/>
    </w:pPr>
  </w:style>
  <w:style w:type="character" w:customStyle="1" w:styleId="BodyTextChar">
    <w:name w:val="Body Text Char"/>
    <w:basedOn w:val="DefaultParagraphFont"/>
    <w:link w:val="BodyText"/>
    <w:uiPriority w:val="99"/>
    <w:rsid w:val="00DB70AF"/>
    <w:rPr>
      <w:rFonts w:ascii="Arial" w:eastAsia="SimSun" w:hAnsi="Arial" w:cs="Arial"/>
      <w:szCs w:val="20"/>
      <w:lang w:eastAsia="zh-CN"/>
    </w:rPr>
  </w:style>
  <w:style w:type="paragraph" w:styleId="Caption">
    <w:name w:val="caption"/>
    <w:basedOn w:val="Normal"/>
    <w:next w:val="Normal"/>
    <w:uiPriority w:val="99"/>
    <w:qFormat/>
    <w:rsid w:val="00F86B70"/>
    <w:pPr>
      <w:keepNext/>
      <w:keepLines/>
      <w:outlineLvl w:val="3"/>
    </w:pPr>
    <w:rPr>
      <w:b/>
      <w:bCs/>
    </w:rPr>
  </w:style>
  <w:style w:type="paragraph" w:styleId="CommentText">
    <w:name w:val="annotation text"/>
    <w:basedOn w:val="Normal"/>
    <w:link w:val="CommentTextChar1"/>
    <w:semiHidden/>
    <w:rsid w:val="00DB70AF"/>
    <w:rPr>
      <w:sz w:val="18"/>
    </w:rPr>
  </w:style>
  <w:style w:type="character" w:customStyle="1" w:styleId="CommentTextChar">
    <w:name w:val="Comment Text Char"/>
    <w:basedOn w:val="DefaultParagraphFont"/>
    <w:rsid w:val="00DB70AF"/>
    <w:rPr>
      <w:rFonts w:ascii="Arial" w:eastAsia="SimSun" w:hAnsi="Arial" w:cs="Arial"/>
      <w:sz w:val="20"/>
      <w:szCs w:val="20"/>
      <w:lang w:eastAsia="zh-CN"/>
    </w:rPr>
  </w:style>
  <w:style w:type="paragraph" w:styleId="EndnoteText">
    <w:name w:val="endnote text"/>
    <w:basedOn w:val="Normal"/>
    <w:link w:val="EndnoteTextChar"/>
    <w:uiPriority w:val="99"/>
    <w:semiHidden/>
    <w:rsid w:val="00DB70AF"/>
    <w:rPr>
      <w:sz w:val="18"/>
    </w:rPr>
  </w:style>
  <w:style w:type="character" w:customStyle="1" w:styleId="EndnoteTextChar">
    <w:name w:val="Endnote Text Char"/>
    <w:basedOn w:val="DefaultParagraphFont"/>
    <w:link w:val="EndnoteText"/>
    <w:uiPriority w:val="99"/>
    <w:semiHidden/>
    <w:rsid w:val="00DB70AF"/>
    <w:rPr>
      <w:rFonts w:ascii="Arial" w:eastAsia="SimSun" w:hAnsi="Arial" w:cs="Arial"/>
      <w:sz w:val="18"/>
      <w:szCs w:val="20"/>
      <w:lang w:eastAsia="zh-CN"/>
    </w:rPr>
  </w:style>
  <w:style w:type="paragraph" w:styleId="Footer">
    <w:name w:val="footer"/>
    <w:basedOn w:val="Normal"/>
    <w:link w:val="FooterChar"/>
    <w:uiPriority w:val="99"/>
    <w:rsid w:val="00DB70AF"/>
    <w:pPr>
      <w:tabs>
        <w:tab w:val="center" w:pos="4320"/>
        <w:tab w:val="right" w:pos="8640"/>
      </w:tabs>
    </w:pPr>
  </w:style>
  <w:style w:type="character" w:customStyle="1" w:styleId="FooterChar">
    <w:name w:val="Footer Char"/>
    <w:basedOn w:val="DefaultParagraphFont"/>
    <w:link w:val="Footer"/>
    <w:uiPriority w:val="99"/>
    <w:rsid w:val="00DB70AF"/>
    <w:rPr>
      <w:rFonts w:ascii="Arial" w:eastAsia="SimSun" w:hAnsi="Arial" w:cs="Arial"/>
      <w:szCs w:val="20"/>
      <w:lang w:eastAsia="zh-CN"/>
    </w:rPr>
  </w:style>
  <w:style w:type="paragraph" w:styleId="BalloonText">
    <w:name w:val="Balloon Text"/>
    <w:basedOn w:val="Normal"/>
    <w:link w:val="BalloonTextChar"/>
    <w:uiPriority w:val="99"/>
    <w:rsid w:val="00DB70AF"/>
    <w:rPr>
      <w:rFonts w:ascii="Tahoma" w:hAnsi="Tahoma" w:cs="Tahoma"/>
      <w:sz w:val="16"/>
      <w:szCs w:val="16"/>
    </w:rPr>
  </w:style>
  <w:style w:type="character" w:customStyle="1" w:styleId="BalloonTextChar">
    <w:name w:val="Balloon Text Char"/>
    <w:basedOn w:val="DefaultParagraphFont"/>
    <w:link w:val="BalloonText"/>
    <w:uiPriority w:val="99"/>
    <w:rsid w:val="00DB70AF"/>
    <w:rPr>
      <w:rFonts w:ascii="Tahoma" w:eastAsia="SimSun" w:hAnsi="Tahoma" w:cs="Tahoma"/>
      <w:sz w:val="16"/>
      <w:szCs w:val="16"/>
      <w:lang w:eastAsia="zh-CN"/>
    </w:rPr>
  </w:style>
  <w:style w:type="paragraph" w:styleId="FootnoteText">
    <w:name w:val="footnote text"/>
    <w:basedOn w:val="Normal"/>
    <w:link w:val="FootnoteTextChar"/>
    <w:uiPriority w:val="99"/>
    <w:rsid w:val="00DB70AF"/>
    <w:rPr>
      <w:sz w:val="18"/>
    </w:rPr>
  </w:style>
  <w:style w:type="character" w:customStyle="1" w:styleId="FootnoteTextChar">
    <w:name w:val="Footnote Text Char"/>
    <w:basedOn w:val="DefaultParagraphFont"/>
    <w:link w:val="FootnoteText"/>
    <w:uiPriority w:val="99"/>
    <w:rsid w:val="00DB70AF"/>
    <w:rPr>
      <w:rFonts w:ascii="Arial" w:eastAsia="SimSun" w:hAnsi="Arial" w:cs="Arial"/>
      <w:sz w:val="18"/>
      <w:szCs w:val="20"/>
      <w:lang w:eastAsia="zh-CN"/>
    </w:rPr>
  </w:style>
  <w:style w:type="paragraph" w:styleId="Header">
    <w:name w:val="header"/>
    <w:basedOn w:val="Normal"/>
    <w:link w:val="HeaderChar"/>
    <w:uiPriority w:val="99"/>
    <w:rsid w:val="00DB70AF"/>
    <w:pPr>
      <w:tabs>
        <w:tab w:val="center" w:pos="4536"/>
        <w:tab w:val="right" w:pos="9072"/>
      </w:tabs>
    </w:pPr>
  </w:style>
  <w:style w:type="character" w:customStyle="1" w:styleId="HeaderChar">
    <w:name w:val="Header Char"/>
    <w:basedOn w:val="DefaultParagraphFont"/>
    <w:link w:val="Header"/>
    <w:uiPriority w:val="99"/>
    <w:rsid w:val="00DB70AF"/>
    <w:rPr>
      <w:rFonts w:ascii="Arial" w:eastAsia="SimSun" w:hAnsi="Arial" w:cs="Arial"/>
      <w:szCs w:val="20"/>
      <w:lang w:eastAsia="zh-CN"/>
    </w:rPr>
  </w:style>
  <w:style w:type="paragraph" w:styleId="ListNumber">
    <w:name w:val="List Number"/>
    <w:basedOn w:val="Normal"/>
    <w:semiHidden/>
    <w:rsid w:val="00DB70AF"/>
    <w:pPr>
      <w:numPr>
        <w:numId w:val="1"/>
      </w:numPr>
    </w:pPr>
  </w:style>
  <w:style w:type="paragraph" w:customStyle="1" w:styleId="ONUME">
    <w:name w:val="ONUM E"/>
    <w:basedOn w:val="BodyText"/>
    <w:rsid w:val="00DB70AF"/>
    <w:pPr>
      <w:numPr>
        <w:numId w:val="2"/>
      </w:numPr>
    </w:pPr>
  </w:style>
  <w:style w:type="paragraph" w:customStyle="1" w:styleId="ONUMFS">
    <w:name w:val="ONUM FS"/>
    <w:basedOn w:val="BodyText"/>
    <w:rsid w:val="00DB70AF"/>
    <w:pPr>
      <w:numPr>
        <w:numId w:val="3"/>
      </w:numPr>
    </w:pPr>
  </w:style>
  <w:style w:type="paragraph" w:styleId="Salutation">
    <w:name w:val="Salutation"/>
    <w:basedOn w:val="Normal"/>
    <w:next w:val="Normal"/>
    <w:link w:val="SalutationChar"/>
    <w:semiHidden/>
    <w:rsid w:val="00DB70AF"/>
  </w:style>
  <w:style w:type="character" w:customStyle="1" w:styleId="SalutationChar">
    <w:name w:val="Salutation Char"/>
    <w:basedOn w:val="DefaultParagraphFont"/>
    <w:link w:val="Salutation"/>
    <w:semiHidden/>
    <w:rsid w:val="00DB70AF"/>
    <w:rPr>
      <w:rFonts w:ascii="Arial" w:eastAsia="SimSun" w:hAnsi="Arial" w:cs="Arial"/>
      <w:szCs w:val="20"/>
      <w:lang w:eastAsia="zh-CN"/>
    </w:rPr>
  </w:style>
  <w:style w:type="paragraph" w:styleId="Signature">
    <w:name w:val="Signature"/>
    <w:basedOn w:val="Normal"/>
    <w:link w:val="SignatureChar"/>
    <w:semiHidden/>
    <w:rsid w:val="00DB70AF"/>
    <w:pPr>
      <w:ind w:left="5250"/>
    </w:pPr>
  </w:style>
  <w:style w:type="character" w:customStyle="1" w:styleId="SignatureChar">
    <w:name w:val="Signature Char"/>
    <w:basedOn w:val="DefaultParagraphFont"/>
    <w:link w:val="Signature"/>
    <w:semiHidden/>
    <w:rsid w:val="00DB70AF"/>
    <w:rPr>
      <w:rFonts w:ascii="Arial" w:eastAsia="SimSun" w:hAnsi="Arial" w:cs="Arial"/>
      <w:szCs w:val="20"/>
      <w:lang w:eastAsia="zh-CN"/>
    </w:rPr>
  </w:style>
  <w:style w:type="character" w:styleId="Hyperlink">
    <w:name w:val="Hyperlink"/>
    <w:uiPriority w:val="99"/>
    <w:unhideWhenUsed/>
    <w:rsid w:val="00DB70AF"/>
    <w:rPr>
      <w:color w:val="0000FF"/>
      <w:u w:val="single"/>
    </w:rPr>
  </w:style>
  <w:style w:type="paragraph" w:styleId="NoSpacing">
    <w:name w:val="No Spacing"/>
    <w:uiPriority w:val="99"/>
    <w:qFormat/>
    <w:rsid w:val="00DB70AF"/>
    <w:pPr>
      <w:spacing w:after="0" w:line="240" w:lineRule="auto"/>
    </w:pPr>
    <w:rPr>
      <w:rFonts w:ascii="Calibri" w:eastAsia="Calibri" w:hAnsi="Calibri" w:cs="Times New Roman"/>
    </w:rPr>
  </w:style>
  <w:style w:type="paragraph" w:styleId="ListParagraph">
    <w:name w:val="List Paragraph"/>
    <w:basedOn w:val="Normal"/>
    <w:uiPriority w:val="99"/>
    <w:qFormat/>
    <w:rsid w:val="00EC3024"/>
    <w:pPr>
      <w:ind w:left="720"/>
      <w:contextualSpacing/>
    </w:pPr>
    <w:rPr>
      <w:rFonts w:eastAsia="Calibri" w:cs="Times New Roman"/>
    </w:rPr>
  </w:style>
  <w:style w:type="table" w:styleId="LightList-Accent1">
    <w:name w:val="Light List Accent 1"/>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4">
    <w:name w:val="Light List Accent 4"/>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2">
    <w:name w:val="Light List Accent 2"/>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5">
    <w:name w:val="Light List Accent 5"/>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
    <w:name w:val="Light Shading"/>
    <w:basedOn w:val="TableNormal"/>
    <w:uiPriority w:val="60"/>
    <w:rsid w:val="00DB70A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rsid w:val="00DB70A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uiPriority w:val="99"/>
    <w:unhideWhenUsed/>
    <w:rsid w:val="00DB70AF"/>
    <w:rPr>
      <w:vertAlign w:val="superscript"/>
    </w:rPr>
  </w:style>
  <w:style w:type="character" w:customStyle="1" w:styleId="StyleBold">
    <w:name w:val="Style Bold"/>
    <w:rsid w:val="00DB70AF"/>
    <w:rPr>
      <w:b/>
      <w:bCs/>
    </w:rPr>
  </w:style>
  <w:style w:type="paragraph" w:styleId="NormalWeb">
    <w:name w:val="Normal (Web)"/>
    <w:basedOn w:val="Normal"/>
    <w:uiPriority w:val="99"/>
    <w:unhideWhenUsed/>
    <w:rsid w:val="00DB70AF"/>
    <w:pPr>
      <w:spacing w:before="100" w:beforeAutospacing="1" w:after="100" w:afterAutospacing="1"/>
    </w:pPr>
    <w:rPr>
      <w:rFonts w:ascii="Times New Roman" w:eastAsia="Times New Roman" w:hAnsi="Times New Roman" w:cs="Times New Roman"/>
      <w:sz w:val="24"/>
      <w:szCs w:val="24"/>
    </w:rPr>
  </w:style>
  <w:style w:type="paragraph" w:styleId="TOCHeading">
    <w:name w:val="TOC Heading"/>
    <w:basedOn w:val="Heading1"/>
    <w:next w:val="Normal"/>
    <w:uiPriority w:val="99"/>
    <w:unhideWhenUsed/>
    <w:qFormat/>
    <w:rsid w:val="00DB70AF"/>
    <w:pPr>
      <w:spacing w:before="480" w:line="276" w:lineRule="auto"/>
      <w:outlineLvl w:val="9"/>
    </w:pPr>
    <w:rPr>
      <w:rFonts w:asciiTheme="majorHAnsi" w:hAnsiTheme="majorHAnsi" w:cstheme="majorBidi"/>
      <w:caps/>
      <w:color w:val="365F91" w:themeColor="accent1" w:themeShade="BF"/>
      <w:sz w:val="28"/>
      <w:szCs w:val="28"/>
      <w:lang w:eastAsia="ja-JP"/>
    </w:rPr>
  </w:style>
  <w:style w:type="paragraph" w:styleId="TOC1">
    <w:name w:val="toc 1"/>
    <w:basedOn w:val="Normal"/>
    <w:next w:val="Normal"/>
    <w:autoRedefine/>
    <w:uiPriority w:val="39"/>
    <w:unhideWhenUsed/>
    <w:rsid w:val="00DB70AF"/>
    <w:pPr>
      <w:spacing w:after="100" w:line="276" w:lineRule="auto"/>
    </w:pPr>
    <w:rPr>
      <w:rFonts w:ascii="Calibri" w:eastAsia="Calibri" w:hAnsi="Calibri" w:cs="Times New Roman"/>
    </w:rPr>
  </w:style>
  <w:style w:type="paragraph" w:styleId="TOC3">
    <w:name w:val="toc 3"/>
    <w:basedOn w:val="Normal"/>
    <w:next w:val="Normal"/>
    <w:autoRedefine/>
    <w:uiPriority w:val="39"/>
    <w:unhideWhenUsed/>
    <w:rsid w:val="00DB70AF"/>
    <w:pPr>
      <w:spacing w:after="100" w:line="276" w:lineRule="auto"/>
      <w:ind w:left="440"/>
    </w:pPr>
    <w:rPr>
      <w:rFonts w:ascii="Calibri" w:eastAsia="Calibri" w:hAnsi="Calibri" w:cs="Times New Roman"/>
    </w:rPr>
  </w:style>
  <w:style w:type="paragraph" w:styleId="DocumentMap">
    <w:name w:val="Document Map"/>
    <w:basedOn w:val="Normal"/>
    <w:link w:val="DocumentMapChar"/>
    <w:unhideWhenUsed/>
    <w:rsid w:val="00DB70AF"/>
    <w:rPr>
      <w:rFonts w:ascii="Tahoma" w:eastAsia="Calibri" w:hAnsi="Tahoma" w:cs="Tahoma"/>
      <w:sz w:val="16"/>
      <w:szCs w:val="16"/>
    </w:rPr>
  </w:style>
  <w:style w:type="character" w:customStyle="1" w:styleId="DocumentMapChar">
    <w:name w:val="Document Map Char"/>
    <w:basedOn w:val="DefaultParagraphFont"/>
    <w:link w:val="DocumentMap"/>
    <w:rsid w:val="00DB70AF"/>
    <w:rPr>
      <w:rFonts w:ascii="Tahoma" w:eastAsia="Calibri" w:hAnsi="Tahoma" w:cs="Tahoma"/>
      <w:sz w:val="16"/>
      <w:szCs w:val="16"/>
    </w:rPr>
  </w:style>
  <w:style w:type="character" w:styleId="CommentReference">
    <w:name w:val="annotation reference"/>
    <w:basedOn w:val="DefaultParagraphFont"/>
    <w:unhideWhenUsed/>
    <w:rsid w:val="00DB70AF"/>
    <w:rPr>
      <w:sz w:val="16"/>
      <w:szCs w:val="16"/>
    </w:rPr>
  </w:style>
  <w:style w:type="paragraph" w:styleId="CommentSubject">
    <w:name w:val="annotation subject"/>
    <w:basedOn w:val="CommentText"/>
    <w:next w:val="CommentText"/>
    <w:link w:val="CommentSubjectChar"/>
    <w:unhideWhenUsed/>
    <w:rsid w:val="00DB70AF"/>
    <w:pPr>
      <w:spacing w:after="200"/>
    </w:pPr>
    <w:rPr>
      <w:rFonts w:ascii="Calibri" w:eastAsia="Calibri" w:hAnsi="Calibri" w:cs="Times New Roman"/>
      <w:b/>
      <w:bCs/>
      <w:sz w:val="20"/>
    </w:rPr>
  </w:style>
  <w:style w:type="character" w:customStyle="1" w:styleId="CommentSubjectChar">
    <w:name w:val="Comment Subject Char"/>
    <w:basedOn w:val="CommentTextChar"/>
    <w:link w:val="CommentSubject"/>
    <w:rsid w:val="00DB70AF"/>
    <w:rPr>
      <w:rFonts w:ascii="Calibri" w:eastAsia="Calibri" w:hAnsi="Calibri" w:cs="Times New Roman"/>
      <w:b/>
      <w:bCs/>
      <w:sz w:val="20"/>
      <w:szCs w:val="20"/>
      <w:lang w:eastAsia="zh-CN"/>
    </w:rPr>
  </w:style>
  <w:style w:type="character" w:customStyle="1" w:styleId="CommentTextChar1">
    <w:name w:val="Comment Text Char1"/>
    <w:basedOn w:val="DefaultParagraphFont"/>
    <w:link w:val="CommentText"/>
    <w:uiPriority w:val="99"/>
    <w:semiHidden/>
    <w:rsid w:val="00DB70AF"/>
    <w:rPr>
      <w:rFonts w:ascii="Arial" w:eastAsia="SimSun" w:hAnsi="Arial" w:cs="Arial"/>
      <w:sz w:val="18"/>
      <w:szCs w:val="20"/>
      <w:lang w:eastAsia="zh-CN"/>
    </w:rPr>
  </w:style>
  <w:style w:type="paragraph" w:styleId="TOC2">
    <w:name w:val="toc 2"/>
    <w:basedOn w:val="Normal"/>
    <w:next w:val="Normal"/>
    <w:autoRedefine/>
    <w:uiPriority w:val="39"/>
    <w:unhideWhenUsed/>
    <w:rsid w:val="00DB70AF"/>
    <w:pPr>
      <w:spacing w:after="100" w:line="276" w:lineRule="auto"/>
      <w:ind w:left="220"/>
    </w:pPr>
    <w:rPr>
      <w:rFonts w:ascii="Calibri" w:eastAsia="Calibri" w:hAnsi="Calibri" w:cs="Times New Roman"/>
    </w:rPr>
  </w:style>
  <w:style w:type="paragraph" w:styleId="TableofFigures">
    <w:name w:val="table of figures"/>
    <w:basedOn w:val="Normal"/>
    <w:next w:val="Normal"/>
    <w:unhideWhenUsed/>
    <w:rsid w:val="00DB70AF"/>
    <w:rPr>
      <w:rFonts w:eastAsia="MS Mincho"/>
      <w:szCs w:val="24"/>
      <w:lang w:val="de-DE"/>
    </w:rPr>
  </w:style>
  <w:style w:type="paragraph" w:styleId="Revision">
    <w:name w:val="Revision"/>
    <w:hidden/>
    <w:uiPriority w:val="99"/>
    <w:semiHidden/>
    <w:rsid w:val="002B1478"/>
    <w:pPr>
      <w:spacing w:after="0" w:line="240" w:lineRule="auto"/>
    </w:pPr>
    <w:rPr>
      <w:rFonts w:ascii="Arial" w:eastAsia="SimSun" w:hAnsi="Arial" w:cs="Arial"/>
      <w:szCs w:val="20"/>
      <w:lang w:eastAsia="zh-CN"/>
    </w:rPr>
  </w:style>
  <w:style w:type="character" w:styleId="FollowedHyperlink">
    <w:name w:val="FollowedHyperlink"/>
    <w:basedOn w:val="DefaultParagraphFont"/>
    <w:uiPriority w:val="99"/>
    <w:semiHidden/>
    <w:unhideWhenUsed/>
    <w:rsid w:val="001C48BA"/>
    <w:rPr>
      <w:color w:val="800080" w:themeColor="followedHyperlink"/>
      <w:u w:val="single"/>
    </w:rPr>
  </w:style>
  <w:style w:type="paragraph" w:customStyle="1" w:styleId="Captionnotes">
    <w:name w:val="Caption notes"/>
    <w:basedOn w:val="BodyText"/>
    <w:qFormat/>
    <w:rsid w:val="009E7606"/>
    <w:pPr>
      <w:spacing w:after="0"/>
    </w:pPr>
    <w:rPr>
      <w:rFonts w:eastAsia="Times New Roman"/>
      <w:i/>
      <w:sz w:val="18"/>
      <w:szCs w:val="24"/>
    </w:rPr>
  </w:style>
  <w:style w:type="character" w:customStyle="1" w:styleId="Heading5Char">
    <w:name w:val="Heading 5 Char"/>
    <w:basedOn w:val="DefaultParagraphFont"/>
    <w:link w:val="Heading5"/>
    <w:uiPriority w:val="99"/>
    <w:rsid w:val="00845030"/>
    <w:rPr>
      <w:rFonts w:ascii="Arial" w:eastAsia="Times New Roman" w:hAnsi="Arial" w:cs="Arial"/>
      <w:b/>
      <w:bCs/>
      <w:i/>
      <w:iCs/>
      <w:sz w:val="26"/>
      <w:szCs w:val="26"/>
    </w:rPr>
  </w:style>
  <w:style w:type="character" w:customStyle="1" w:styleId="Heading6Char">
    <w:name w:val="Heading 6 Char"/>
    <w:basedOn w:val="DefaultParagraphFont"/>
    <w:link w:val="Heading6"/>
    <w:uiPriority w:val="99"/>
    <w:rsid w:val="00845030"/>
    <w:rPr>
      <w:rFonts w:ascii="Arial" w:eastAsia="Times New Roman" w:hAnsi="Arial" w:cs="Arial"/>
      <w:b/>
      <w:bCs/>
    </w:rPr>
  </w:style>
  <w:style w:type="character" w:customStyle="1" w:styleId="Heading7Char">
    <w:name w:val="Heading 7 Char"/>
    <w:basedOn w:val="DefaultParagraphFont"/>
    <w:link w:val="Heading7"/>
    <w:uiPriority w:val="99"/>
    <w:rsid w:val="00845030"/>
    <w:rPr>
      <w:rFonts w:ascii="Arial" w:eastAsia="Times New Roman" w:hAnsi="Arial" w:cs="Arial"/>
      <w:szCs w:val="24"/>
    </w:rPr>
  </w:style>
  <w:style w:type="character" w:customStyle="1" w:styleId="Heading8Char">
    <w:name w:val="Heading 8 Char"/>
    <w:basedOn w:val="DefaultParagraphFont"/>
    <w:link w:val="Heading8"/>
    <w:uiPriority w:val="99"/>
    <w:rsid w:val="00845030"/>
    <w:rPr>
      <w:rFonts w:ascii="Arial" w:eastAsia="Times New Roman" w:hAnsi="Arial" w:cs="Arial"/>
      <w:i/>
      <w:iCs/>
      <w:szCs w:val="24"/>
    </w:rPr>
  </w:style>
  <w:style w:type="character" w:customStyle="1" w:styleId="Heading9Char">
    <w:name w:val="Heading 9 Char"/>
    <w:basedOn w:val="DefaultParagraphFont"/>
    <w:link w:val="Heading9"/>
    <w:uiPriority w:val="99"/>
    <w:rsid w:val="00845030"/>
    <w:rPr>
      <w:rFonts w:ascii="Arial" w:eastAsia="Times New Roman" w:hAnsi="Arial" w:cs="Arial"/>
    </w:rPr>
  </w:style>
  <w:style w:type="table" w:customStyle="1" w:styleId="LightList-Accent11">
    <w:name w:val="Light List - Accent 11"/>
    <w:basedOn w:val="TableNormal"/>
    <w:uiPriority w:val="61"/>
    <w:rsid w:val="00845030"/>
    <w:pPr>
      <w:spacing w:after="0" w:line="240" w:lineRule="auto"/>
    </w:pPr>
    <w:rPr>
      <w:rFonts w:ascii="Calibri" w:eastAsia="Calibri" w:hAnsi="Calibri" w:cs="Times New Roman"/>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
    <w:name w:val="Light Shading1"/>
    <w:basedOn w:val="TableNormal"/>
    <w:uiPriority w:val="60"/>
    <w:rsid w:val="00845030"/>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itle">
    <w:name w:val="Title"/>
    <w:basedOn w:val="Normal"/>
    <w:link w:val="TitleChar"/>
    <w:uiPriority w:val="99"/>
    <w:qFormat/>
    <w:rsid w:val="00EC3024"/>
    <w:pPr>
      <w:jc w:val="center"/>
      <w:outlineLvl w:val="0"/>
    </w:pPr>
    <w:rPr>
      <w:rFonts w:eastAsia="Times New Roman"/>
      <w:b/>
      <w:bCs/>
      <w:kern w:val="28"/>
      <w:sz w:val="32"/>
      <w:szCs w:val="32"/>
    </w:rPr>
  </w:style>
  <w:style w:type="character" w:customStyle="1" w:styleId="TitleChar">
    <w:name w:val="Title Char"/>
    <w:basedOn w:val="DefaultParagraphFont"/>
    <w:link w:val="Title"/>
    <w:uiPriority w:val="99"/>
    <w:rsid w:val="00EC3024"/>
    <w:rPr>
      <w:rFonts w:ascii="Arial" w:eastAsia="Times New Roman" w:hAnsi="Arial"/>
      <w:b/>
      <w:bCs/>
      <w:kern w:val="28"/>
      <w:sz w:val="32"/>
      <w:szCs w:val="32"/>
    </w:rPr>
  </w:style>
  <w:style w:type="paragraph" w:styleId="Bibliography">
    <w:name w:val="Bibliography"/>
    <w:basedOn w:val="Normal"/>
    <w:next w:val="Normal"/>
    <w:uiPriority w:val="37"/>
    <w:rsid w:val="00845030"/>
    <w:pPr>
      <w:spacing w:before="60"/>
      <w:ind w:left="720" w:hanging="720"/>
    </w:pPr>
    <w:rPr>
      <w:rFonts w:eastAsia="Times New Roman"/>
      <w:sz w:val="20"/>
      <w:szCs w:val="24"/>
    </w:rPr>
  </w:style>
  <w:style w:type="paragraph" w:styleId="Subtitle">
    <w:name w:val="Subtitle"/>
    <w:aliases w:val="Figure"/>
    <w:basedOn w:val="Normal"/>
    <w:link w:val="SubtitleChar"/>
    <w:uiPriority w:val="99"/>
    <w:qFormat/>
    <w:rsid w:val="00845030"/>
    <w:pPr>
      <w:spacing w:after="60"/>
      <w:jc w:val="center"/>
      <w:outlineLvl w:val="1"/>
    </w:pPr>
    <w:rPr>
      <w:rFonts w:ascii="Century" w:eastAsia="Times New Roman" w:hAnsi="Century"/>
      <w:szCs w:val="24"/>
    </w:rPr>
  </w:style>
  <w:style w:type="character" w:customStyle="1" w:styleId="SubtitleChar">
    <w:name w:val="Subtitle Char"/>
    <w:aliases w:val="Figure Char"/>
    <w:basedOn w:val="DefaultParagraphFont"/>
    <w:link w:val="Subtitle"/>
    <w:uiPriority w:val="99"/>
    <w:rsid w:val="00845030"/>
    <w:rPr>
      <w:rFonts w:ascii="Century" w:eastAsia="Times New Roman" w:hAnsi="Century" w:cs="Arial"/>
      <w:szCs w:val="24"/>
    </w:rPr>
  </w:style>
  <w:style w:type="paragraph" w:customStyle="1" w:styleId="ListParagraph1">
    <w:name w:val="List Paragraph1"/>
    <w:basedOn w:val="Normal"/>
    <w:qFormat/>
    <w:rsid w:val="00845030"/>
    <w:pPr>
      <w:spacing w:after="200" w:line="276" w:lineRule="auto"/>
      <w:ind w:left="720"/>
      <w:contextualSpacing/>
    </w:pPr>
    <w:rPr>
      <w:rFonts w:ascii="Bookman Old Style" w:eastAsia="Times New Roman" w:hAnsi="Bookman Old Style" w:cs="Times New Roman"/>
      <w:sz w:val="20"/>
      <w:lang w:val="pt-BR"/>
    </w:rPr>
  </w:style>
  <w:style w:type="character" w:customStyle="1" w:styleId="apple-converted-space">
    <w:name w:val="apple-converted-space"/>
    <w:rsid w:val="00845030"/>
    <w:rPr>
      <w:rFonts w:cs="Times New Roman"/>
    </w:rPr>
  </w:style>
  <w:style w:type="character" w:styleId="Strong">
    <w:name w:val="Strong"/>
    <w:uiPriority w:val="99"/>
    <w:qFormat/>
    <w:rsid w:val="00B000C0"/>
    <w:rPr>
      <w:rFonts w:cs="Times New Roman"/>
      <w:b/>
      <w:bCs/>
    </w:rPr>
  </w:style>
  <w:style w:type="character" w:styleId="Emphasis">
    <w:name w:val="Emphasis"/>
    <w:aliases w:val="Quadros"/>
    <w:uiPriority w:val="99"/>
    <w:qFormat/>
    <w:rsid w:val="00B000C0"/>
    <w:rPr>
      <w:rFonts w:cs="Times New Roman"/>
      <w:b/>
      <w:bCs/>
      <w:i/>
      <w:iCs/>
      <w:spacing w:val="10"/>
      <w:shd w:val="clear" w:color="auto" w:fill="auto"/>
    </w:rPr>
  </w:style>
  <w:style w:type="paragraph" w:customStyle="1" w:styleId="Quote1">
    <w:name w:val="Quote1"/>
    <w:basedOn w:val="Normal"/>
    <w:next w:val="Normal"/>
    <w:link w:val="QuoteChar"/>
    <w:rsid w:val="00B000C0"/>
    <w:pPr>
      <w:spacing w:before="200"/>
      <w:ind w:left="360" w:right="360"/>
    </w:pPr>
    <w:rPr>
      <w:rFonts w:ascii="Calibri" w:eastAsia="Times New Roman" w:hAnsi="Calibri" w:cs="Times New Roman"/>
      <w:i/>
      <w:iCs/>
      <w:sz w:val="20"/>
      <w:lang w:val="pt-BR" w:eastAsia="pt-BR"/>
    </w:rPr>
  </w:style>
  <w:style w:type="character" w:customStyle="1" w:styleId="QuoteChar">
    <w:name w:val="Quote Char"/>
    <w:link w:val="Quote1"/>
    <w:rsid w:val="00B000C0"/>
    <w:rPr>
      <w:rFonts w:ascii="Calibri" w:eastAsia="Times New Roman" w:hAnsi="Calibri" w:cs="Times New Roman"/>
      <w:i/>
      <w:iCs/>
      <w:sz w:val="20"/>
      <w:szCs w:val="20"/>
      <w:lang w:val="pt-BR" w:eastAsia="pt-BR"/>
    </w:rPr>
  </w:style>
  <w:style w:type="paragraph" w:customStyle="1" w:styleId="IntenseQuote1">
    <w:name w:val="Intense Quote1"/>
    <w:basedOn w:val="Normal"/>
    <w:next w:val="Normal"/>
    <w:link w:val="IntenseQuoteChar"/>
    <w:rsid w:val="00B000C0"/>
    <w:pPr>
      <w:pBdr>
        <w:bottom w:val="single" w:sz="4" w:space="1" w:color="auto"/>
      </w:pBdr>
      <w:spacing w:before="200" w:after="280"/>
      <w:ind w:left="1008" w:right="1152"/>
      <w:jc w:val="both"/>
    </w:pPr>
    <w:rPr>
      <w:rFonts w:ascii="Calibri" w:eastAsia="Times New Roman" w:hAnsi="Calibri" w:cs="Times New Roman"/>
      <w:b/>
      <w:bCs/>
      <w:i/>
      <w:iCs/>
      <w:sz w:val="20"/>
      <w:lang w:val="pt-BR" w:eastAsia="pt-BR"/>
    </w:rPr>
  </w:style>
  <w:style w:type="character" w:customStyle="1" w:styleId="IntenseQuoteChar">
    <w:name w:val="Intense Quote Char"/>
    <w:link w:val="IntenseQuote1"/>
    <w:rsid w:val="00B000C0"/>
    <w:rPr>
      <w:rFonts w:ascii="Calibri" w:eastAsia="Times New Roman" w:hAnsi="Calibri" w:cs="Times New Roman"/>
      <w:b/>
      <w:bCs/>
      <w:i/>
      <w:iCs/>
      <w:sz w:val="20"/>
      <w:szCs w:val="20"/>
      <w:lang w:val="pt-BR" w:eastAsia="pt-BR"/>
    </w:rPr>
  </w:style>
  <w:style w:type="character" w:customStyle="1" w:styleId="SubtleEmphasis1">
    <w:name w:val="Subtle Emphasis1"/>
    <w:rsid w:val="00B000C0"/>
    <w:rPr>
      <w:i/>
    </w:rPr>
  </w:style>
  <w:style w:type="character" w:customStyle="1" w:styleId="IntenseEmphasis1">
    <w:name w:val="Intense Emphasis1"/>
    <w:rsid w:val="00B000C0"/>
    <w:rPr>
      <w:b/>
    </w:rPr>
  </w:style>
  <w:style w:type="character" w:customStyle="1" w:styleId="SubtleReference1">
    <w:name w:val="Subtle Reference1"/>
    <w:rsid w:val="00B000C0"/>
    <w:rPr>
      <w:smallCaps/>
    </w:rPr>
  </w:style>
  <w:style w:type="character" w:customStyle="1" w:styleId="IntenseReference1">
    <w:name w:val="Intense Reference1"/>
    <w:rsid w:val="00B000C0"/>
    <w:rPr>
      <w:smallCaps/>
      <w:spacing w:val="5"/>
      <w:u w:val="single"/>
    </w:rPr>
  </w:style>
  <w:style w:type="character" w:customStyle="1" w:styleId="BookTitle1">
    <w:name w:val="Book Title1"/>
    <w:rsid w:val="00B000C0"/>
    <w:rPr>
      <w:i/>
      <w:smallCaps/>
      <w:spacing w:val="5"/>
    </w:rPr>
  </w:style>
  <w:style w:type="paragraph" w:customStyle="1" w:styleId="TOCHeading1">
    <w:name w:val="TOC Heading1"/>
    <w:basedOn w:val="Heading1"/>
    <w:next w:val="Normal"/>
    <w:rsid w:val="00B000C0"/>
    <w:pPr>
      <w:keepNext w:val="0"/>
      <w:keepLines w:val="0"/>
      <w:numPr>
        <w:numId w:val="4"/>
      </w:numPr>
      <w:outlineLvl w:val="9"/>
    </w:pPr>
    <w:rPr>
      <w:rFonts w:ascii="Cambria" w:eastAsia="Times New Roman" w:hAnsi="Cambria" w:cs="Cambria"/>
      <w:sz w:val="28"/>
      <w:szCs w:val="28"/>
      <w:lang w:val="pt-BR" w:eastAsia="pt-BR"/>
    </w:rPr>
  </w:style>
  <w:style w:type="paragraph" w:styleId="TOC4">
    <w:name w:val="toc 4"/>
    <w:basedOn w:val="Normal"/>
    <w:next w:val="Normal"/>
    <w:autoRedefine/>
    <w:uiPriority w:val="39"/>
    <w:rsid w:val="00B000C0"/>
    <w:pPr>
      <w:spacing w:after="100"/>
      <w:ind w:left="660"/>
    </w:pPr>
    <w:rPr>
      <w:rFonts w:eastAsia="Times New Roman"/>
    </w:rPr>
  </w:style>
  <w:style w:type="paragraph" w:styleId="TOC5">
    <w:name w:val="toc 5"/>
    <w:basedOn w:val="Normal"/>
    <w:next w:val="Normal"/>
    <w:autoRedefine/>
    <w:uiPriority w:val="39"/>
    <w:rsid w:val="00B000C0"/>
    <w:pPr>
      <w:spacing w:after="100"/>
      <w:ind w:left="880"/>
    </w:pPr>
    <w:rPr>
      <w:rFonts w:eastAsia="Times New Roman"/>
    </w:rPr>
  </w:style>
  <w:style w:type="paragraph" w:styleId="TOC6">
    <w:name w:val="toc 6"/>
    <w:basedOn w:val="Normal"/>
    <w:next w:val="Normal"/>
    <w:autoRedefine/>
    <w:uiPriority w:val="39"/>
    <w:rsid w:val="00B000C0"/>
    <w:pPr>
      <w:spacing w:after="100"/>
      <w:ind w:left="1100"/>
    </w:pPr>
    <w:rPr>
      <w:rFonts w:eastAsia="Times New Roman"/>
    </w:rPr>
  </w:style>
  <w:style w:type="paragraph" w:styleId="TOC7">
    <w:name w:val="toc 7"/>
    <w:basedOn w:val="Normal"/>
    <w:next w:val="Normal"/>
    <w:autoRedefine/>
    <w:uiPriority w:val="39"/>
    <w:rsid w:val="00B000C0"/>
    <w:pPr>
      <w:spacing w:after="100"/>
      <w:ind w:left="1320"/>
    </w:pPr>
    <w:rPr>
      <w:rFonts w:eastAsia="Times New Roman"/>
    </w:rPr>
  </w:style>
  <w:style w:type="paragraph" w:styleId="TOC8">
    <w:name w:val="toc 8"/>
    <w:basedOn w:val="Normal"/>
    <w:next w:val="Normal"/>
    <w:autoRedefine/>
    <w:uiPriority w:val="39"/>
    <w:rsid w:val="00B000C0"/>
    <w:pPr>
      <w:spacing w:after="100"/>
      <w:ind w:left="1540"/>
    </w:pPr>
    <w:rPr>
      <w:rFonts w:eastAsia="Times New Roman"/>
    </w:rPr>
  </w:style>
  <w:style w:type="paragraph" w:styleId="TOC9">
    <w:name w:val="toc 9"/>
    <w:basedOn w:val="Normal"/>
    <w:next w:val="Normal"/>
    <w:autoRedefine/>
    <w:uiPriority w:val="39"/>
    <w:rsid w:val="00B000C0"/>
    <w:pPr>
      <w:spacing w:after="100"/>
      <w:ind w:left="1760"/>
    </w:pPr>
    <w:rPr>
      <w:rFonts w:eastAsia="Times New Roman"/>
    </w:rPr>
  </w:style>
  <w:style w:type="character" w:styleId="EndnoteReference">
    <w:name w:val="endnote reference"/>
    <w:uiPriority w:val="99"/>
    <w:semiHidden/>
    <w:rsid w:val="00B000C0"/>
    <w:rPr>
      <w:rFonts w:cs="Times New Roman"/>
      <w:vertAlign w:val="superscript"/>
    </w:rPr>
  </w:style>
  <w:style w:type="paragraph" w:customStyle="1" w:styleId="BodyTextIndent1">
    <w:name w:val="Body Text Indent1"/>
    <w:basedOn w:val="Normal"/>
    <w:link w:val="BodyTextIndentChar"/>
    <w:semiHidden/>
    <w:rsid w:val="00B000C0"/>
    <w:pPr>
      <w:spacing w:after="120"/>
      <w:ind w:left="360"/>
    </w:pPr>
    <w:rPr>
      <w:rFonts w:ascii="Calibri" w:eastAsia="Times New Roman" w:hAnsi="Calibri" w:cs="Calibri"/>
      <w:lang w:val="pt-BR" w:eastAsia="pt-BR"/>
    </w:rPr>
  </w:style>
  <w:style w:type="character" w:customStyle="1" w:styleId="BodyTextIndentChar">
    <w:name w:val="Body Text Indent Char"/>
    <w:link w:val="BodyTextIndent1"/>
    <w:semiHidden/>
    <w:rsid w:val="00B000C0"/>
    <w:rPr>
      <w:rFonts w:ascii="Calibri" w:eastAsia="Times New Roman" w:hAnsi="Calibri" w:cs="Calibri"/>
      <w:lang w:val="pt-BR" w:eastAsia="pt-BR"/>
    </w:rPr>
  </w:style>
  <w:style w:type="paragraph" w:customStyle="1" w:styleId="captionnotes0">
    <w:name w:val="caption notes"/>
    <w:basedOn w:val="Normal"/>
    <w:link w:val="captionnotesChar"/>
    <w:rsid w:val="00B000C0"/>
    <w:pPr>
      <w:spacing w:before="60"/>
    </w:pPr>
    <w:rPr>
      <w:rFonts w:eastAsia="Times New Roman" w:cs="Times New Roman"/>
      <w:i/>
      <w:iCs/>
      <w:lang w:val="pt-BR" w:eastAsia="pt-BR"/>
    </w:rPr>
  </w:style>
  <w:style w:type="character" w:customStyle="1" w:styleId="captionnotesChar">
    <w:name w:val="caption notes Char"/>
    <w:link w:val="captionnotes0"/>
    <w:rsid w:val="00B000C0"/>
    <w:rPr>
      <w:rFonts w:ascii="Arial" w:eastAsia="Times New Roman" w:hAnsi="Arial" w:cs="Times New Roman"/>
      <w:i/>
      <w:iCs/>
      <w:lang w:val="pt-BR" w:eastAsia="pt-BR"/>
    </w:rPr>
  </w:style>
  <w:style w:type="paragraph" w:customStyle="1" w:styleId="ListParagraph2">
    <w:name w:val="List Paragraph2"/>
    <w:basedOn w:val="Normal"/>
    <w:rsid w:val="00B000C0"/>
    <w:pPr>
      <w:ind w:left="720"/>
    </w:pPr>
    <w:rPr>
      <w:rFonts w:eastAsia="Times New Roman"/>
    </w:rPr>
  </w:style>
  <w:style w:type="character" w:customStyle="1" w:styleId="notranslate">
    <w:name w:val="notranslate"/>
    <w:rsid w:val="00B000C0"/>
    <w:rPr>
      <w:rFonts w:cs="Times New Roman"/>
    </w:rPr>
  </w:style>
  <w:style w:type="paragraph" w:customStyle="1" w:styleId="referencia">
    <w:name w:val="referencia"/>
    <w:basedOn w:val="Normal"/>
    <w:rsid w:val="00B000C0"/>
    <w:pPr>
      <w:spacing w:before="120" w:after="120"/>
      <w:ind w:left="357" w:hanging="357"/>
      <w:jc w:val="both"/>
    </w:pPr>
    <w:rPr>
      <w:rFonts w:eastAsia="Times New Roman" w:cs="Times New Roman"/>
      <w:sz w:val="24"/>
      <w:szCs w:val="24"/>
      <w:lang w:val="pt-BR" w:eastAsia="pt-BR"/>
    </w:rPr>
  </w:style>
  <w:style w:type="character" w:customStyle="1" w:styleId="IntenseEmphasis2">
    <w:name w:val="Intense Emphasis2"/>
    <w:rsid w:val="00B000C0"/>
    <w:rPr>
      <w:rFonts w:cs="Times New Roman"/>
      <w:b/>
      <w:bCs/>
      <w:i/>
      <w:iCs/>
      <w:color w:val="auto"/>
    </w:rPr>
  </w:style>
  <w:style w:type="character" w:customStyle="1" w:styleId="hps">
    <w:name w:val="hps"/>
    <w:rsid w:val="00B000C0"/>
    <w:rPr>
      <w:rFonts w:cs="Times New Roman"/>
    </w:rPr>
  </w:style>
  <w:style w:type="character" w:customStyle="1" w:styleId="shorttext">
    <w:name w:val="short_text"/>
    <w:rsid w:val="00B000C0"/>
    <w:rPr>
      <w:rFonts w:cs="Times New Roman"/>
    </w:rPr>
  </w:style>
  <w:style w:type="character" w:customStyle="1" w:styleId="hpsalt-edited">
    <w:name w:val="hps alt-edited"/>
    <w:rsid w:val="00B000C0"/>
    <w:rPr>
      <w:rFonts w:cs="Times New Roman"/>
    </w:rPr>
  </w:style>
  <w:style w:type="paragraph" w:customStyle="1" w:styleId="TOCHeading2">
    <w:name w:val="TOC Heading2"/>
    <w:basedOn w:val="Heading1"/>
    <w:next w:val="Normal"/>
    <w:rsid w:val="00B000C0"/>
    <w:pPr>
      <w:spacing w:before="480" w:line="276" w:lineRule="auto"/>
      <w:ind w:left="0" w:firstLine="0"/>
      <w:outlineLvl w:val="9"/>
    </w:pPr>
    <w:rPr>
      <w:rFonts w:ascii="Cambria" w:eastAsia="Times New Roman" w:hAnsi="Cambria" w:cs="Cambria"/>
      <w:color w:val="365F91"/>
      <w:sz w:val="28"/>
      <w:szCs w:val="28"/>
      <w:lang w:val="pt-BR" w:eastAsia="pt-BR"/>
    </w:rPr>
  </w:style>
  <w:style w:type="paragraph" w:customStyle="1" w:styleId="NoSpacing1">
    <w:name w:val="No Spacing1"/>
    <w:rsid w:val="00B000C0"/>
    <w:pPr>
      <w:spacing w:after="0" w:line="240" w:lineRule="auto"/>
    </w:pPr>
    <w:rPr>
      <w:rFonts w:ascii="Arial" w:eastAsia="Times New Roman" w:hAnsi="Arial" w:cs="Arial"/>
    </w:rPr>
  </w:style>
  <w:style w:type="paragraph" w:customStyle="1" w:styleId="PargrafodaLista1">
    <w:name w:val="Parágrafo da Lista1"/>
    <w:basedOn w:val="Normal"/>
    <w:rsid w:val="00B000C0"/>
    <w:pPr>
      <w:ind w:left="720"/>
    </w:pPr>
    <w:rPr>
      <w:rFonts w:eastAsia="Times New Roman"/>
    </w:rPr>
  </w:style>
  <w:style w:type="numbering" w:customStyle="1" w:styleId="Estilo2">
    <w:name w:val="Estilo2"/>
    <w:rsid w:val="00B000C0"/>
    <w:pPr>
      <w:numPr>
        <w:numId w:val="17"/>
      </w:numPr>
    </w:pPr>
  </w:style>
  <w:style w:type="numbering" w:customStyle="1" w:styleId="Estilo1">
    <w:name w:val="Estilo1"/>
    <w:rsid w:val="00B000C0"/>
    <w:pPr>
      <w:numPr>
        <w:numId w:val="14"/>
      </w:numPr>
    </w:pPr>
  </w:style>
  <w:style w:type="numbering" w:customStyle="1" w:styleId="Style1">
    <w:name w:val="Style1"/>
    <w:rsid w:val="00B000C0"/>
    <w:pPr>
      <w:numPr>
        <w:numId w:val="6"/>
      </w:numPr>
    </w:pPr>
  </w:style>
  <w:style w:type="character" w:customStyle="1" w:styleId="hpsatn">
    <w:name w:val="hps atn"/>
    <w:basedOn w:val="DefaultParagraphFont"/>
    <w:rsid w:val="00B000C0"/>
  </w:style>
  <w:style w:type="paragraph" w:customStyle="1" w:styleId="western">
    <w:name w:val="western"/>
    <w:basedOn w:val="Normal"/>
    <w:rsid w:val="00B000C0"/>
    <w:pPr>
      <w:spacing w:before="100" w:beforeAutospacing="1" w:after="119"/>
    </w:pPr>
    <w:rPr>
      <w:rFonts w:ascii="Times New Roman" w:eastAsia="Times New Roman" w:hAnsi="Times New Roman" w:cs="Times New Roman"/>
      <w:szCs w:val="24"/>
      <w:lang w:val="pt-BR" w:eastAsia="pt-BR"/>
    </w:rPr>
  </w:style>
  <w:style w:type="character" w:styleId="IntenseEmphasis">
    <w:name w:val="Intense Emphasis"/>
    <w:uiPriority w:val="99"/>
    <w:qFormat/>
    <w:rsid w:val="00B000C0"/>
    <w:rPr>
      <w:b/>
      <w:bCs/>
      <w:i/>
      <w:iCs/>
      <w:color w:val="4F81BD"/>
    </w:rPr>
  </w:style>
  <w:style w:type="paragraph" w:customStyle="1" w:styleId="CabealhodoSumrio1">
    <w:name w:val="Cabeçalho do Sumário1"/>
    <w:basedOn w:val="Heading1"/>
    <w:next w:val="Normal"/>
    <w:rsid w:val="00B000C0"/>
    <w:pPr>
      <w:spacing w:before="480" w:line="276" w:lineRule="auto"/>
      <w:ind w:left="0" w:firstLine="0"/>
      <w:outlineLvl w:val="9"/>
    </w:pPr>
    <w:rPr>
      <w:rFonts w:ascii="Cambria" w:eastAsia="Times New Roman" w:hAnsi="Cambria" w:cs="Cambria"/>
      <w:color w:val="365F91"/>
      <w:sz w:val="28"/>
      <w:szCs w:val="28"/>
      <w:lang w:val="pt-BR" w:eastAsia="pt-BR"/>
    </w:rPr>
  </w:style>
  <w:style w:type="paragraph" w:styleId="Quote">
    <w:name w:val="Quote"/>
    <w:basedOn w:val="Normal"/>
    <w:next w:val="Normal"/>
    <w:link w:val="QuoteChar1"/>
    <w:uiPriority w:val="99"/>
    <w:qFormat/>
    <w:rsid w:val="00B000C0"/>
    <w:pPr>
      <w:spacing w:before="200" w:line="276" w:lineRule="auto"/>
      <w:ind w:left="360" w:right="360"/>
    </w:pPr>
    <w:rPr>
      <w:rFonts w:ascii="Calibri" w:eastAsia="Times New Roman" w:hAnsi="Calibri" w:cs="Calibri"/>
      <w:i/>
      <w:iCs/>
    </w:rPr>
  </w:style>
  <w:style w:type="character" w:customStyle="1" w:styleId="QuoteChar1">
    <w:name w:val="Quote Char1"/>
    <w:basedOn w:val="DefaultParagraphFont"/>
    <w:link w:val="Quote"/>
    <w:uiPriority w:val="99"/>
    <w:rsid w:val="00B000C0"/>
    <w:rPr>
      <w:rFonts w:ascii="Calibri" w:eastAsia="Times New Roman" w:hAnsi="Calibri" w:cs="Calibri"/>
      <w:i/>
      <w:iCs/>
    </w:rPr>
  </w:style>
  <w:style w:type="paragraph" w:styleId="IntenseQuote">
    <w:name w:val="Intense Quote"/>
    <w:basedOn w:val="Normal"/>
    <w:next w:val="Normal"/>
    <w:link w:val="IntenseQuoteChar1"/>
    <w:uiPriority w:val="99"/>
    <w:qFormat/>
    <w:rsid w:val="00B000C0"/>
    <w:pPr>
      <w:pBdr>
        <w:bottom w:val="single" w:sz="4" w:space="1" w:color="auto"/>
      </w:pBdr>
      <w:spacing w:before="200" w:after="280" w:line="276" w:lineRule="auto"/>
      <w:ind w:left="1008" w:right="1152"/>
      <w:jc w:val="both"/>
    </w:pPr>
    <w:rPr>
      <w:rFonts w:ascii="Calibri" w:eastAsia="Times New Roman" w:hAnsi="Calibri" w:cs="Calibri"/>
      <w:b/>
      <w:bCs/>
      <w:i/>
      <w:iCs/>
    </w:rPr>
  </w:style>
  <w:style w:type="character" w:customStyle="1" w:styleId="IntenseQuoteChar1">
    <w:name w:val="Intense Quote Char1"/>
    <w:basedOn w:val="DefaultParagraphFont"/>
    <w:link w:val="IntenseQuote"/>
    <w:uiPriority w:val="99"/>
    <w:rsid w:val="00B000C0"/>
    <w:rPr>
      <w:rFonts w:ascii="Calibri" w:eastAsia="Times New Roman" w:hAnsi="Calibri" w:cs="Calibri"/>
      <w:b/>
      <w:bCs/>
      <w:i/>
      <w:iCs/>
    </w:rPr>
  </w:style>
  <w:style w:type="character" w:styleId="SubtleEmphasis">
    <w:name w:val="Subtle Emphasis"/>
    <w:uiPriority w:val="99"/>
    <w:qFormat/>
    <w:rsid w:val="00B000C0"/>
    <w:rPr>
      <w:i/>
      <w:iCs/>
    </w:rPr>
  </w:style>
  <w:style w:type="character" w:styleId="SubtleReference">
    <w:name w:val="Subtle Reference"/>
    <w:uiPriority w:val="99"/>
    <w:qFormat/>
    <w:rsid w:val="00B000C0"/>
    <w:rPr>
      <w:smallCaps/>
    </w:rPr>
  </w:style>
  <w:style w:type="character" w:styleId="IntenseReference">
    <w:name w:val="Intense Reference"/>
    <w:uiPriority w:val="99"/>
    <w:qFormat/>
    <w:rsid w:val="00B000C0"/>
    <w:rPr>
      <w:smallCaps/>
      <w:spacing w:val="5"/>
      <w:u w:val="single"/>
    </w:rPr>
  </w:style>
  <w:style w:type="character" w:styleId="BookTitle">
    <w:name w:val="Book Title"/>
    <w:uiPriority w:val="99"/>
    <w:qFormat/>
    <w:rsid w:val="00B000C0"/>
    <w:rPr>
      <w:i/>
      <w:iCs/>
      <w:smallCaps/>
      <w:spacing w:val="5"/>
    </w:rPr>
  </w:style>
  <w:style w:type="paragraph" w:styleId="BodyTextIndent">
    <w:name w:val="Body Text Indent"/>
    <w:basedOn w:val="Normal"/>
    <w:link w:val="BodyTextIndentChar1"/>
    <w:uiPriority w:val="99"/>
    <w:semiHidden/>
    <w:rsid w:val="00B000C0"/>
    <w:pPr>
      <w:spacing w:after="120" w:line="276" w:lineRule="auto"/>
      <w:ind w:left="360"/>
    </w:pPr>
    <w:rPr>
      <w:rFonts w:ascii="Calibri" w:eastAsia="Times New Roman" w:hAnsi="Calibri" w:cs="Calibri"/>
    </w:rPr>
  </w:style>
  <w:style w:type="character" w:customStyle="1" w:styleId="BodyTextIndentChar1">
    <w:name w:val="Body Text Indent Char1"/>
    <w:basedOn w:val="DefaultParagraphFont"/>
    <w:link w:val="BodyTextIndent"/>
    <w:uiPriority w:val="99"/>
    <w:semiHidden/>
    <w:rsid w:val="00B000C0"/>
    <w:rPr>
      <w:rFonts w:ascii="Calibri" w:eastAsia="Times New Roman" w:hAnsi="Calibri" w:cs="Calibri"/>
    </w:rPr>
  </w:style>
  <w:style w:type="paragraph" w:customStyle="1" w:styleId="Ttulo0">
    <w:name w:val="Título 0"/>
    <w:basedOn w:val="Heading1"/>
    <w:uiPriority w:val="99"/>
    <w:rsid w:val="00B000C0"/>
    <w:pPr>
      <w:keepNext w:val="0"/>
      <w:keepLines w:val="0"/>
      <w:spacing w:before="480" w:line="276" w:lineRule="auto"/>
    </w:pPr>
    <w:rPr>
      <w:rFonts w:ascii="Cambria" w:eastAsia="Times New Roman" w:hAnsi="Cambria" w:cs="Cambria"/>
      <w:sz w:val="28"/>
      <w:szCs w:val="28"/>
    </w:rPr>
  </w:style>
  <w:style w:type="character" w:customStyle="1" w:styleId="Caracteresdenotaderodap">
    <w:name w:val="Caracteres de nota de rodapé"/>
    <w:uiPriority w:val="99"/>
    <w:rsid w:val="00B000C0"/>
    <w:rPr>
      <w:vertAlign w:val="superscript"/>
    </w:rPr>
  </w:style>
  <w:style w:type="paragraph" w:customStyle="1" w:styleId="xl70">
    <w:name w:val="xl70"/>
    <w:basedOn w:val="Normal"/>
    <w:rsid w:val="00B000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1">
    <w:name w:val="xl71"/>
    <w:basedOn w:val="Normal"/>
    <w:rsid w:val="00B000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2">
    <w:name w:val="xl72"/>
    <w:basedOn w:val="Normal"/>
    <w:rsid w:val="00B000C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73">
    <w:name w:val="xl73"/>
    <w:basedOn w:val="Normal"/>
    <w:rsid w:val="00B000C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eastAsia="Times New Roman" w:hAnsi="Times New Roman" w:cs="Times New Roman"/>
      <w:b/>
      <w:bCs/>
      <w:sz w:val="24"/>
      <w:szCs w:val="24"/>
    </w:rPr>
  </w:style>
  <w:style w:type="paragraph" w:customStyle="1" w:styleId="xl74">
    <w:name w:val="xl74"/>
    <w:basedOn w:val="Normal"/>
    <w:rsid w:val="00B000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5">
    <w:name w:val="xl75"/>
    <w:basedOn w:val="Normal"/>
    <w:rsid w:val="00B000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b/>
      <w:bCs/>
      <w:sz w:val="24"/>
      <w:szCs w:val="24"/>
    </w:rPr>
  </w:style>
  <w:style w:type="paragraph" w:customStyle="1" w:styleId="xl76">
    <w:name w:val="xl76"/>
    <w:basedOn w:val="Normal"/>
    <w:rsid w:val="00B000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sz w:val="24"/>
      <w:szCs w:val="24"/>
    </w:rPr>
  </w:style>
  <w:style w:type="paragraph" w:customStyle="1" w:styleId="xl77">
    <w:name w:val="xl77"/>
    <w:basedOn w:val="Normal"/>
    <w:rsid w:val="00B000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b/>
      <w:bCs/>
      <w:sz w:val="24"/>
      <w:szCs w:val="24"/>
    </w:rPr>
  </w:style>
  <w:style w:type="paragraph" w:customStyle="1" w:styleId="xl78">
    <w:name w:val="xl78"/>
    <w:basedOn w:val="Normal"/>
    <w:rsid w:val="00B000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sz w:val="24"/>
      <w:szCs w:val="24"/>
    </w:rPr>
  </w:style>
  <w:style w:type="paragraph" w:customStyle="1" w:styleId="xl79">
    <w:name w:val="xl79"/>
    <w:basedOn w:val="Normal"/>
    <w:rsid w:val="00B000C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eastAsia="Times New Roman" w:hAnsi="Times New Roman" w:cs="Times New Roman"/>
      <w:b/>
      <w:bCs/>
      <w:sz w:val="24"/>
      <w:szCs w:val="24"/>
    </w:rPr>
  </w:style>
  <w:style w:type="paragraph" w:customStyle="1" w:styleId="xl80">
    <w:name w:val="xl80"/>
    <w:basedOn w:val="Normal"/>
    <w:rsid w:val="00B000C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eastAsia="Times New Roman" w:hAnsi="Times New Roman" w:cs="Times New Roman"/>
      <w:sz w:val="24"/>
      <w:szCs w:val="24"/>
    </w:rPr>
  </w:style>
  <w:style w:type="paragraph" w:customStyle="1" w:styleId="xl81">
    <w:name w:val="xl81"/>
    <w:basedOn w:val="Normal"/>
    <w:rsid w:val="00B000C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eastAsia="Times New Roman" w:hAnsi="Times New Roman" w:cs="Times New Roman"/>
      <w:sz w:val="24"/>
      <w:szCs w:val="24"/>
    </w:rPr>
  </w:style>
  <w:style w:type="paragraph" w:customStyle="1" w:styleId="xl66">
    <w:name w:val="xl66"/>
    <w:basedOn w:val="Normal"/>
    <w:rsid w:val="00B000C0"/>
    <w:pPr>
      <w:shd w:val="clear" w:color="000000" w:fill="FFFFFF"/>
      <w:spacing w:before="100" w:beforeAutospacing="1" w:after="100" w:afterAutospacing="1"/>
      <w:ind w:firstLineChars="100" w:firstLine="100"/>
      <w:textAlignment w:val="center"/>
    </w:pPr>
    <w:rPr>
      <w:rFonts w:ascii="Times New Roman" w:eastAsia="Times New Roman" w:hAnsi="Times New Roman" w:cs="Times New Roman"/>
      <w:color w:val="333333"/>
      <w:sz w:val="24"/>
      <w:szCs w:val="24"/>
      <w:lang w:val="pt-BR" w:eastAsia="pt-BR"/>
    </w:rPr>
  </w:style>
  <w:style w:type="paragraph" w:customStyle="1" w:styleId="xl67">
    <w:name w:val="xl67"/>
    <w:basedOn w:val="Normal"/>
    <w:rsid w:val="00B000C0"/>
    <w:pPr>
      <w:pBdr>
        <w:top w:val="single" w:sz="8"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333333"/>
      <w:sz w:val="24"/>
      <w:szCs w:val="24"/>
      <w:lang w:val="pt-BR" w:eastAsia="pt-BR"/>
    </w:rPr>
  </w:style>
  <w:style w:type="paragraph" w:customStyle="1" w:styleId="xl68">
    <w:name w:val="xl68"/>
    <w:basedOn w:val="Normal"/>
    <w:rsid w:val="00B000C0"/>
    <w:pPr>
      <w:pBdr>
        <w:bottom w:val="single" w:sz="8" w:space="0" w:color="auto"/>
      </w:pBdr>
      <w:shd w:val="clear" w:color="000000" w:fill="FFFFFF"/>
      <w:spacing w:before="100" w:beforeAutospacing="1" w:after="100" w:afterAutospacing="1"/>
      <w:ind w:firstLineChars="100" w:firstLine="100"/>
      <w:textAlignment w:val="center"/>
    </w:pPr>
    <w:rPr>
      <w:rFonts w:ascii="Times New Roman" w:eastAsia="Times New Roman" w:hAnsi="Times New Roman" w:cs="Times New Roman"/>
      <w:b/>
      <w:bCs/>
      <w:color w:val="333333"/>
      <w:sz w:val="24"/>
      <w:szCs w:val="24"/>
      <w:lang w:val="pt-BR" w:eastAsia="pt-BR"/>
    </w:rPr>
  </w:style>
  <w:style w:type="paragraph" w:customStyle="1" w:styleId="xl69">
    <w:name w:val="xl69"/>
    <w:basedOn w:val="Normal"/>
    <w:rsid w:val="00B000C0"/>
    <w:pPr>
      <w:pBdr>
        <w:bottom w:val="single" w:sz="8" w:space="0" w:color="auto"/>
      </w:pBdr>
      <w:spacing w:before="100" w:beforeAutospacing="1" w:after="100" w:afterAutospacing="1"/>
    </w:pPr>
    <w:rPr>
      <w:rFonts w:ascii="Times New Roman" w:eastAsia="Times New Roman" w:hAnsi="Times New Roman" w:cs="Times New Roman"/>
      <w:b/>
      <w:bCs/>
      <w:sz w:val="24"/>
      <w:szCs w:val="24"/>
      <w:lang w:val="pt-BR" w:eastAsia="pt-BR"/>
    </w:rPr>
  </w:style>
  <w:style w:type="paragraph" w:customStyle="1" w:styleId="Apendix">
    <w:name w:val="Apendix"/>
    <w:basedOn w:val="Heading1"/>
    <w:qFormat/>
    <w:rsid w:val="00DA2C07"/>
    <w:pPr>
      <w:keepNext w:val="0"/>
      <w:keepLines w:val="0"/>
      <w:widowControl/>
      <w:contextualSpacing/>
    </w:pPr>
    <w:rPr>
      <w:rFonts w:eastAsia="Times New Roman" w:cs="Times New Roman"/>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89986">
      <w:bodyDiv w:val="1"/>
      <w:marLeft w:val="0"/>
      <w:marRight w:val="0"/>
      <w:marTop w:val="0"/>
      <w:marBottom w:val="0"/>
      <w:divBdr>
        <w:top w:val="none" w:sz="0" w:space="0" w:color="auto"/>
        <w:left w:val="none" w:sz="0" w:space="0" w:color="auto"/>
        <w:bottom w:val="none" w:sz="0" w:space="0" w:color="auto"/>
        <w:right w:val="none" w:sz="0" w:space="0" w:color="auto"/>
      </w:divBdr>
    </w:div>
    <w:div w:id="657459752">
      <w:bodyDiv w:val="1"/>
      <w:marLeft w:val="0"/>
      <w:marRight w:val="0"/>
      <w:marTop w:val="0"/>
      <w:marBottom w:val="0"/>
      <w:divBdr>
        <w:top w:val="none" w:sz="0" w:space="0" w:color="auto"/>
        <w:left w:val="none" w:sz="0" w:space="0" w:color="auto"/>
        <w:bottom w:val="none" w:sz="0" w:space="0" w:color="auto"/>
        <w:right w:val="none" w:sz="0" w:space="0" w:color="auto"/>
      </w:divBdr>
    </w:div>
    <w:div w:id="1000430198">
      <w:bodyDiv w:val="1"/>
      <w:marLeft w:val="0"/>
      <w:marRight w:val="0"/>
      <w:marTop w:val="0"/>
      <w:marBottom w:val="0"/>
      <w:divBdr>
        <w:top w:val="none" w:sz="0" w:space="0" w:color="auto"/>
        <w:left w:val="none" w:sz="0" w:space="0" w:color="auto"/>
        <w:bottom w:val="none" w:sz="0" w:space="0" w:color="auto"/>
        <w:right w:val="none" w:sz="0" w:space="0" w:color="auto"/>
      </w:divBdr>
    </w:div>
    <w:div w:id="1316760316">
      <w:bodyDiv w:val="1"/>
      <w:marLeft w:val="0"/>
      <w:marRight w:val="0"/>
      <w:marTop w:val="0"/>
      <w:marBottom w:val="0"/>
      <w:divBdr>
        <w:top w:val="none" w:sz="0" w:space="0" w:color="auto"/>
        <w:left w:val="none" w:sz="0" w:space="0" w:color="auto"/>
        <w:bottom w:val="none" w:sz="0" w:space="0" w:color="auto"/>
        <w:right w:val="none" w:sz="0" w:space="0" w:color="auto"/>
      </w:divBdr>
      <w:divsChild>
        <w:div w:id="1309751009">
          <w:marLeft w:val="0"/>
          <w:marRight w:val="0"/>
          <w:marTop w:val="75"/>
          <w:marBottom w:val="0"/>
          <w:divBdr>
            <w:top w:val="none" w:sz="0" w:space="0" w:color="auto"/>
            <w:left w:val="none" w:sz="0" w:space="0" w:color="auto"/>
            <w:bottom w:val="none" w:sz="0" w:space="0" w:color="auto"/>
            <w:right w:val="none" w:sz="0" w:space="0" w:color="auto"/>
          </w:divBdr>
        </w:div>
        <w:div w:id="2024890710">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2.png"/><Relationship Id="rId84" Type="http://schemas.openxmlformats.org/officeDocument/2006/relationships/diagramData" Target="diagrams/data4.xml"/><Relationship Id="rId89" Type="http://schemas.openxmlformats.org/officeDocument/2006/relationships/diagramData" Target="diagrams/data5.xml"/><Relationship Id="rId7" Type="http://schemas.openxmlformats.org/officeDocument/2006/relationships/footnotes" Target="footnotes.xml"/><Relationship Id="rId71" Type="http://schemas.openxmlformats.org/officeDocument/2006/relationships/diagramQuickStyle" Target="diagrams/quickStyle1.xml"/><Relationship Id="rId92" Type="http://schemas.openxmlformats.org/officeDocument/2006/relationships/diagramColors" Target="diagrams/colors5.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emf"/><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diagramData" Target="diagrams/data2.xml"/><Relationship Id="rId79" Type="http://schemas.openxmlformats.org/officeDocument/2006/relationships/diagramData" Target="diagrams/data3.xml"/><Relationship Id="rId87" Type="http://schemas.openxmlformats.org/officeDocument/2006/relationships/diagramColors" Target="diagrams/colors4.xml"/><Relationship Id="rId102"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diagramColors" Target="diagrams/colors3.xml"/><Relationship Id="rId90" Type="http://schemas.openxmlformats.org/officeDocument/2006/relationships/diagramLayout" Target="diagrams/layout5.xml"/><Relationship Id="rId95" Type="http://schemas.openxmlformats.org/officeDocument/2006/relationships/diagramLayout" Target="diagrams/layout6.xml"/><Relationship Id="rId19" Type="http://schemas.openxmlformats.org/officeDocument/2006/relationships/hyperlink" Target="http://www.wipo.int/wipolex/en/details.jsp?id=513" TargetMode="External"/><Relationship Id="rId14" Type="http://schemas.openxmlformats.org/officeDocument/2006/relationships/image" Target="media/image4.w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diagramData" Target="diagrams/data1.xml"/><Relationship Id="rId77" Type="http://schemas.openxmlformats.org/officeDocument/2006/relationships/diagramColors" Target="diagrams/colors2.xml"/><Relationship Id="rId100" Type="http://schemas.openxmlformats.org/officeDocument/2006/relationships/image" Target="media/image53.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diagramColors" Target="diagrams/colors1.xml"/><Relationship Id="rId80" Type="http://schemas.openxmlformats.org/officeDocument/2006/relationships/diagramLayout" Target="diagrams/layout3.xml"/><Relationship Id="rId85" Type="http://schemas.openxmlformats.org/officeDocument/2006/relationships/diagramLayout" Target="diagrams/layout4.xml"/><Relationship Id="rId93" Type="http://schemas.microsoft.com/office/2007/relationships/diagramDrawing" Target="diagrams/drawing5.xml"/><Relationship Id="rId98" Type="http://schemas.microsoft.com/office/2007/relationships/diagramDrawing" Target="diagrams/drawing6.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www.receita.fazenda.gov.br/pessoajuridica/cnpj/cnpjreva/cnpjreva_solicitacao.asp" TargetMode="External"/><Relationship Id="rId103" Type="http://schemas.openxmlformats.org/officeDocument/2006/relationships/header" Target="header5.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diagramLayout" Target="diagrams/layout1.xml"/><Relationship Id="rId75" Type="http://schemas.openxmlformats.org/officeDocument/2006/relationships/diagramLayout" Target="diagrams/layout2.xml"/><Relationship Id="rId83" Type="http://schemas.microsoft.com/office/2007/relationships/diagramDrawing" Target="diagrams/drawing3.xml"/><Relationship Id="rId88" Type="http://schemas.microsoft.com/office/2007/relationships/diagramDrawing" Target="diagrams/drawing4.xml"/><Relationship Id="rId91" Type="http://schemas.openxmlformats.org/officeDocument/2006/relationships/diagramQuickStyle" Target="diagrams/quickStyle5.xml"/><Relationship Id="rId96" Type="http://schemas.openxmlformats.org/officeDocument/2006/relationships/diagramQuickStyle" Target="diagrams/quickStyle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microsoft.com/office/2007/relationships/diagramDrawing" Target="diagrams/drawing1.xml"/><Relationship Id="rId78" Type="http://schemas.microsoft.com/office/2007/relationships/diagramDrawing" Target="diagrams/drawing2.xml"/><Relationship Id="rId81" Type="http://schemas.openxmlformats.org/officeDocument/2006/relationships/diagramQuickStyle" Target="diagrams/quickStyle3.xml"/><Relationship Id="rId86" Type="http://schemas.openxmlformats.org/officeDocument/2006/relationships/diagramQuickStyle" Target="diagrams/quickStyle4.xml"/><Relationship Id="rId94" Type="http://schemas.openxmlformats.org/officeDocument/2006/relationships/diagramData" Target="diagrams/data6.xml"/><Relationship Id="rId99" Type="http://schemas.openxmlformats.org/officeDocument/2006/relationships/hyperlink" Target="http://www.receita.fazenda.gov.br/pessoajuridica/cnpj/cnpjreva/%20cnpjreva_solicitacao.asp" TargetMode="External"/><Relationship Id="rId10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3.xm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diagramQuickStyle" Target="diagrams/quickStyle2.xml"/><Relationship Id="rId97" Type="http://schemas.openxmlformats.org/officeDocument/2006/relationships/diagramColors" Target="diagrams/colors6.xml"/><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data.worldbank.org/country/brazil" TargetMode="External"/><Relationship Id="rId3" Type="http://schemas.openxmlformats.org/officeDocument/2006/relationships/hyperlink" Target="http://www.musica.ufrj.br/" TargetMode="External"/><Relationship Id="rId7" Type="http://schemas.openxmlformats.org/officeDocument/2006/relationships/hyperlink" Target="http://www.agricultura.gov.br/vegetal/registros-autorizacoes/protecao-cultivares" TargetMode="External"/><Relationship Id="rId2" Type="http://schemas.openxmlformats.org/officeDocument/2006/relationships/hyperlink" Target="http://www.bn.br" TargetMode="External"/><Relationship Id="rId1" Type="http://schemas.openxmlformats.org/officeDocument/2006/relationships/hyperlink" Target="http://www.inpi.gov.br" TargetMode="External"/><Relationship Id="rId6" Type="http://schemas.openxmlformats.org/officeDocument/2006/relationships/hyperlink" Target="http://www.ancine.gov.br" TargetMode="External"/><Relationship Id="rId5" Type="http://schemas.openxmlformats.org/officeDocument/2006/relationships/hyperlink" Target="http://www.confea.org.br/" TargetMode="External"/><Relationship Id="rId4" Type="http://schemas.openxmlformats.org/officeDocument/2006/relationships/hyperlink" Target="http://www.eba.ufrj.br" TargetMode="External"/><Relationship Id="rId9" Type="http://schemas.openxmlformats.org/officeDocument/2006/relationships/hyperlink" Target="http://www.wipo.int/export/sites/www/ipstats/en/wipi/2013/pdf/wipo_pub_941_2013_annex.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7F46BF-DBE6-4C22-ADD5-121C795E1A9C}"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n-US"/>
        </a:p>
      </dgm:t>
    </dgm:pt>
    <dgm:pt modelId="{AD294E98-6B85-47BF-8C24-65A2A0ED6B7E}">
      <dgm:prSet phldrT="[Texto]" custT="1">
        <dgm:style>
          <a:lnRef idx="2">
            <a:schemeClr val="accent1"/>
          </a:lnRef>
          <a:fillRef idx="1">
            <a:schemeClr val="lt1"/>
          </a:fillRef>
          <a:effectRef idx="0">
            <a:schemeClr val="accent1"/>
          </a:effectRef>
          <a:fontRef idx="minor">
            <a:schemeClr val="dk1"/>
          </a:fontRef>
        </dgm:style>
      </dgm:prSet>
      <dgm:spPr>
        <a:xfrm>
          <a:off x="2111186" y="958850"/>
          <a:ext cx="1002496" cy="462193"/>
        </a:xfrm>
        <a:prstGeom prst="roundRect">
          <a:avLst/>
        </a:prstGeom>
        <a:solidFill>
          <a:sysClr val="window" lastClr="FFFFFF"/>
        </a:solidFill>
        <a:ln w="25400" cap="flat" cmpd="sng" algn="ctr">
          <a:solidFill>
            <a:srgbClr val="4F81BD"/>
          </a:solidFill>
          <a:prstDash val="solid"/>
        </a:ln>
        <a:effectLst/>
      </dgm:spPr>
      <dgm:t>
        <a:bodyPr/>
        <a:lstStyle/>
        <a:p>
          <a:r>
            <a:rPr lang="en-US" sz="900">
              <a:solidFill>
                <a:sysClr val="windowText" lastClr="000000"/>
              </a:solidFill>
              <a:latin typeface="Calibri"/>
              <a:ea typeface="+mn-ea"/>
              <a:cs typeface="+mn-cs"/>
            </a:rPr>
            <a:t>PEDIDO (Applications)</a:t>
          </a:r>
        </a:p>
      </dgm:t>
    </dgm:pt>
    <dgm:pt modelId="{EF7EDD28-09FF-4EC3-8E09-7529B00F79FC}" type="parTrans" cxnId="{352F73D1-557B-4F7E-BF66-2DA6F7EC6F9A}">
      <dgm:prSet/>
      <dgm:spPr/>
      <dgm:t>
        <a:bodyPr/>
        <a:lstStyle/>
        <a:p>
          <a:endParaRPr lang="en-US"/>
        </a:p>
      </dgm:t>
    </dgm:pt>
    <dgm:pt modelId="{62F418A4-C34A-4E32-AAED-0F5513511CEF}" type="sibTrans" cxnId="{352F73D1-557B-4F7E-BF66-2DA6F7EC6F9A}">
      <dgm:prSet/>
      <dgm:spPr/>
      <dgm:t>
        <a:bodyPr/>
        <a:lstStyle/>
        <a:p>
          <a:endParaRPr lang="en-US"/>
        </a:p>
      </dgm:t>
    </dgm:pt>
    <dgm:pt modelId="{A554B4A2-DDE8-4E97-B876-902BE27710D7}">
      <dgm:prSet phldrT="[Texto]" custT="1">
        <dgm:style>
          <a:lnRef idx="2">
            <a:schemeClr val="accent1"/>
          </a:lnRef>
          <a:fillRef idx="1">
            <a:schemeClr val="lt1"/>
          </a:fillRef>
          <a:effectRef idx="0">
            <a:schemeClr val="accent1"/>
          </a:effectRef>
          <a:fontRef idx="minor">
            <a:schemeClr val="dk1"/>
          </a:fontRef>
        </dgm:style>
      </dgm:prSet>
      <dgm:spPr>
        <a:xfrm>
          <a:off x="3715015" y="1874636"/>
          <a:ext cx="739619" cy="362477"/>
        </a:xfrm>
        <a:prstGeom prst="roundRect">
          <a:avLst/>
        </a:prstGeom>
        <a:solidFill>
          <a:sysClr val="window" lastClr="FFFFFF"/>
        </a:solidFill>
        <a:ln w="25400" cap="flat" cmpd="sng" algn="ctr">
          <a:solidFill>
            <a:srgbClr val="4F81BD"/>
          </a:solidFill>
          <a:prstDash val="solid"/>
        </a:ln>
        <a:effectLst/>
      </dgm:spPr>
      <dgm:t>
        <a:bodyPr/>
        <a:lstStyle/>
        <a:p>
          <a:r>
            <a:rPr lang="en-US" sz="800">
              <a:solidFill>
                <a:sysClr val="windowText" lastClr="000000"/>
              </a:solidFill>
              <a:latin typeface="Calibri"/>
              <a:ea typeface="+mn-ea"/>
              <a:cs typeface="+mn-cs"/>
            </a:rPr>
            <a:t>DESPACHO (Publications)</a:t>
          </a:r>
        </a:p>
      </dgm:t>
    </dgm:pt>
    <dgm:pt modelId="{A88A1646-5F5B-44BC-8945-344078B5C428}" type="parTrans" cxnId="{E05AFDDD-A78E-4833-B718-55F0EE2667D3}">
      <dgm:prSet/>
      <dgm:spPr>
        <a:xfrm rot="1827612">
          <a:off x="2943636" y="1647840"/>
          <a:ext cx="894764" cy="0"/>
        </a:xfrm>
        <a:custGeom>
          <a:avLst/>
          <a:gdLst/>
          <a:ahLst/>
          <a:cxnLst/>
          <a:rect l="0" t="0" r="0" b="0"/>
          <a:pathLst>
            <a:path>
              <a:moveTo>
                <a:pt x="0" y="0"/>
              </a:moveTo>
              <a:lnTo>
                <a:pt x="894764"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0506AC6C-9063-4F0D-8E98-D2DF92D84012}" type="sibTrans" cxnId="{E05AFDDD-A78E-4833-B718-55F0EE2667D3}">
      <dgm:prSet/>
      <dgm:spPr/>
      <dgm:t>
        <a:bodyPr/>
        <a:lstStyle/>
        <a:p>
          <a:endParaRPr lang="en-US"/>
        </a:p>
      </dgm:t>
    </dgm:pt>
    <dgm:pt modelId="{3AF0E833-7F62-4F0A-A84F-C97FB5F13C93}">
      <dgm:prSet phldrT="[Texto]" custT="1">
        <dgm:style>
          <a:lnRef idx="2">
            <a:schemeClr val="accent1"/>
          </a:lnRef>
          <a:fillRef idx="1">
            <a:schemeClr val="lt1"/>
          </a:fillRef>
          <a:effectRef idx="0">
            <a:schemeClr val="accent1"/>
          </a:effectRef>
          <a:fontRef idx="minor">
            <a:schemeClr val="dk1"/>
          </a:fontRef>
        </dgm:style>
      </dgm:prSet>
      <dgm:spPr>
        <a:xfrm>
          <a:off x="1001556" y="156988"/>
          <a:ext cx="1246015" cy="344499"/>
        </a:xfrm>
        <a:prstGeom prst="roundRect">
          <a:avLst/>
        </a:prstGeom>
        <a:solidFill>
          <a:sysClr val="window" lastClr="FFFFFF"/>
        </a:solidFill>
        <a:ln w="25400" cap="flat" cmpd="sng" algn="ctr">
          <a:solidFill>
            <a:srgbClr val="4F81BD"/>
          </a:solidFill>
          <a:prstDash val="solid"/>
        </a:ln>
        <a:effectLst/>
      </dgm:spPr>
      <dgm:t>
        <a:bodyPr/>
        <a:lstStyle/>
        <a:p>
          <a:r>
            <a:rPr lang="en-US" sz="800">
              <a:solidFill>
                <a:sysClr val="windowText" lastClr="000000"/>
              </a:solidFill>
              <a:latin typeface="Calibri"/>
              <a:ea typeface="+mn-ea"/>
              <a:cs typeface="+mn-cs"/>
            </a:rPr>
            <a:t>INVENTOR</a:t>
          </a:r>
        </a:p>
        <a:p>
          <a:r>
            <a:rPr lang="en-US" sz="800">
              <a:solidFill>
                <a:sysClr val="windowText" lastClr="000000"/>
              </a:solidFill>
              <a:latin typeface="Calibri"/>
              <a:ea typeface="+mn-ea"/>
              <a:cs typeface="+mn-cs"/>
            </a:rPr>
            <a:t>(Inventors)</a:t>
          </a:r>
        </a:p>
      </dgm:t>
    </dgm:pt>
    <dgm:pt modelId="{4446EF56-2AC0-41D6-9870-30539A519CC0}" type="parTrans" cxnId="{4F795688-6D37-4E8E-A47A-F4962EA666D2}">
      <dgm:prSet/>
      <dgm:spPr>
        <a:xfrm rot="13263894">
          <a:off x="1736614" y="730169"/>
          <a:ext cx="696229" cy="0"/>
        </a:xfrm>
        <a:custGeom>
          <a:avLst/>
          <a:gdLst/>
          <a:ahLst/>
          <a:cxnLst/>
          <a:rect l="0" t="0" r="0" b="0"/>
          <a:pathLst>
            <a:path>
              <a:moveTo>
                <a:pt x="0" y="0"/>
              </a:moveTo>
              <a:lnTo>
                <a:pt x="696229"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33694278-0C0A-48BA-B667-41F114C16162}" type="sibTrans" cxnId="{4F795688-6D37-4E8E-A47A-F4962EA666D2}">
      <dgm:prSet/>
      <dgm:spPr/>
      <dgm:t>
        <a:bodyPr/>
        <a:lstStyle/>
        <a:p>
          <a:endParaRPr lang="en-US"/>
        </a:p>
      </dgm:t>
    </dgm:pt>
    <dgm:pt modelId="{024B7CCE-7187-4ADD-85BC-6F847B3B2403}">
      <dgm:prSet phldrT="[Texto]" custT="1">
        <dgm:style>
          <a:lnRef idx="2">
            <a:schemeClr val="accent1"/>
          </a:lnRef>
          <a:fillRef idx="1">
            <a:schemeClr val="lt1"/>
          </a:fillRef>
          <a:effectRef idx="0">
            <a:schemeClr val="accent1"/>
          </a:effectRef>
          <a:fontRef idx="minor">
            <a:schemeClr val="dk1"/>
          </a:fontRef>
        </dgm:style>
      </dgm:prSet>
      <dgm:spPr>
        <a:xfrm>
          <a:off x="3301907" y="149635"/>
          <a:ext cx="724743" cy="359767"/>
        </a:xfrm>
        <a:prstGeom prst="roundRect">
          <a:avLst/>
        </a:prstGeom>
        <a:solidFill>
          <a:sysClr val="window" lastClr="FFFFFF"/>
        </a:solidFill>
        <a:ln w="25400" cap="flat" cmpd="sng" algn="ctr">
          <a:solidFill>
            <a:srgbClr val="4F81BD"/>
          </a:solidFill>
          <a:prstDash val="solid"/>
        </a:ln>
        <a:effectLst/>
      </dgm:spPr>
      <dgm:t>
        <a:bodyPr/>
        <a:lstStyle/>
        <a:p>
          <a:r>
            <a:rPr lang="en-US" sz="800">
              <a:solidFill>
                <a:sysClr val="windowText" lastClr="000000"/>
              </a:solidFill>
              <a:latin typeface="Calibri"/>
              <a:ea typeface="+mn-ea"/>
              <a:cs typeface="+mn-cs"/>
            </a:rPr>
            <a:t>DEPOSITANTE</a:t>
          </a:r>
        </a:p>
        <a:p>
          <a:r>
            <a:rPr lang="en-US" sz="800">
              <a:solidFill>
                <a:sysClr val="windowText" lastClr="000000"/>
              </a:solidFill>
              <a:latin typeface="Calibri"/>
              <a:ea typeface="+mn-ea"/>
              <a:cs typeface="+mn-cs"/>
            </a:rPr>
            <a:t>(Applicants)</a:t>
          </a:r>
        </a:p>
      </dgm:t>
    </dgm:pt>
    <dgm:pt modelId="{8866611C-FF5A-4A58-86DA-E14BD0B76BDF}" type="parTrans" cxnId="{6A9E02F7-EEF9-43CC-A04B-638010DC7C3F}">
      <dgm:prSet/>
      <dgm:spPr>
        <a:xfrm rot="19242972">
          <a:off x="2814737" y="734127"/>
          <a:ext cx="709845" cy="0"/>
        </a:xfrm>
        <a:custGeom>
          <a:avLst/>
          <a:gdLst/>
          <a:ahLst/>
          <a:cxnLst/>
          <a:rect l="0" t="0" r="0" b="0"/>
          <a:pathLst>
            <a:path>
              <a:moveTo>
                <a:pt x="0" y="0"/>
              </a:moveTo>
              <a:lnTo>
                <a:pt x="709845"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70168775-DEF4-4617-9310-723AF1538AEF}" type="sibTrans" cxnId="{6A9E02F7-EEF9-43CC-A04B-638010DC7C3F}">
      <dgm:prSet/>
      <dgm:spPr/>
      <dgm:t>
        <a:bodyPr/>
        <a:lstStyle/>
        <a:p>
          <a:endParaRPr lang="en-US"/>
        </a:p>
      </dgm:t>
    </dgm:pt>
    <dgm:pt modelId="{944232F7-ADDE-4A91-A0CA-28872153465A}">
      <dgm:prSet phldrT="[Texto]" custT="1">
        <dgm:style>
          <a:lnRef idx="2">
            <a:schemeClr val="accent1"/>
          </a:lnRef>
          <a:fillRef idx="1">
            <a:schemeClr val="lt1"/>
          </a:fillRef>
          <a:effectRef idx="0">
            <a:schemeClr val="accent1"/>
          </a:effectRef>
          <a:fontRef idx="minor">
            <a:schemeClr val="dk1"/>
          </a:fontRef>
        </dgm:style>
      </dgm:prSet>
      <dgm:spPr>
        <a:xfrm>
          <a:off x="683829" y="1853062"/>
          <a:ext cx="1246015" cy="373662"/>
        </a:xfrm>
        <a:prstGeom prst="roundRect">
          <a:avLst/>
        </a:prstGeom>
        <a:solidFill>
          <a:sysClr val="window" lastClr="FFFFFF"/>
        </a:solidFill>
        <a:ln w="25400" cap="flat" cmpd="sng" algn="ctr">
          <a:solidFill>
            <a:srgbClr val="4F81BD"/>
          </a:solidFill>
          <a:prstDash val="solid"/>
        </a:ln>
        <a:effectLst/>
      </dgm:spPr>
      <dgm:t>
        <a:bodyPr/>
        <a:lstStyle/>
        <a:p>
          <a:r>
            <a:rPr lang="en-US" sz="800">
              <a:solidFill>
                <a:sysClr val="windowText" lastClr="000000"/>
              </a:solidFill>
              <a:latin typeface="Calibri"/>
              <a:ea typeface="+mn-ea"/>
              <a:cs typeface="+mn-cs"/>
            </a:rPr>
            <a:t>CLASSIFICAÇÃO IPC</a:t>
          </a:r>
        </a:p>
        <a:p>
          <a:r>
            <a:rPr lang="en-US" sz="800">
              <a:solidFill>
                <a:sysClr val="windowText" lastClr="000000"/>
              </a:solidFill>
              <a:latin typeface="Calibri"/>
              <a:ea typeface="+mn-ea"/>
              <a:cs typeface="+mn-cs"/>
            </a:rPr>
            <a:t>(International Classification)</a:t>
          </a:r>
        </a:p>
      </dgm:t>
    </dgm:pt>
    <dgm:pt modelId="{1F6EA2C1-1D13-407D-BC16-DB7A9F41DDB7}" type="parTrans" cxnId="{BB8A9419-75B7-4735-BDB1-EE2D57A2590D}">
      <dgm:prSet/>
      <dgm:spPr>
        <a:xfrm rot="8816148">
          <a:off x="1529711" y="1637053"/>
          <a:ext cx="791853" cy="0"/>
        </a:xfrm>
        <a:custGeom>
          <a:avLst/>
          <a:gdLst/>
          <a:ahLst/>
          <a:cxnLst/>
          <a:rect l="0" t="0" r="0" b="0"/>
          <a:pathLst>
            <a:path>
              <a:moveTo>
                <a:pt x="0" y="0"/>
              </a:moveTo>
              <a:lnTo>
                <a:pt x="791853"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F1B79130-E7A1-4081-B4C4-857936A2AE56}" type="sibTrans" cxnId="{BB8A9419-75B7-4735-BDB1-EE2D57A2590D}">
      <dgm:prSet/>
      <dgm:spPr/>
      <dgm:t>
        <a:bodyPr/>
        <a:lstStyle/>
        <a:p>
          <a:endParaRPr lang="en-US"/>
        </a:p>
      </dgm:t>
    </dgm:pt>
    <dgm:pt modelId="{9D4B66EE-B2D8-4BB9-8AB2-A046B57CAE8A}">
      <dgm:prSet custT="1">
        <dgm:style>
          <a:lnRef idx="2">
            <a:schemeClr val="accent1"/>
          </a:lnRef>
          <a:fillRef idx="1">
            <a:schemeClr val="lt1"/>
          </a:fillRef>
          <a:effectRef idx="0">
            <a:schemeClr val="accent1"/>
          </a:effectRef>
          <a:fontRef idx="minor">
            <a:schemeClr val="dk1"/>
          </a:fontRef>
        </dgm:style>
      </dgm:prSet>
      <dgm:spPr>
        <a:xfrm>
          <a:off x="4344842" y="931067"/>
          <a:ext cx="478631" cy="478631"/>
        </a:xfrm>
        <a:prstGeom prst="roundRect">
          <a:avLst/>
        </a:prstGeom>
        <a:solidFill>
          <a:sysClr val="window" lastClr="FFFFFF"/>
        </a:solidFill>
        <a:ln w="25400" cap="flat" cmpd="sng" algn="ctr">
          <a:solidFill>
            <a:srgbClr val="4F81BD"/>
          </a:solidFill>
          <a:prstDash val="solid"/>
        </a:ln>
        <a:effectLst/>
      </dgm:spPr>
      <dgm:t>
        <a:bodyPr/>
        <a:lstStyle/>
        <a:p>
          <a:r>
            <a:rPr lang="en-US" sz="800">
              <a:solidFill>
                <a:sysClr val="windowText" lastClr="000000"/>
              </a:solidFill>
              <a:latin typeface="Calibri"/>
              <a:ea typeface="+mn-ea"/>
              <a:cs typeface="+mn-cs"/>
            </a:rPr>
            <a:t>PCT</a:t>
          </a:r>
        </a:p>
      </dgm:t>
    </dgm:pt>
    <dgm:pt modelId="{6E63BD75-7E2C-40C5-8AD5-E392B13CFCE7}" type="parTrans" cxnId="{27718DC9-8A76-423A-9471-64FE10288FD2}">
      <dgm:prSet/>
      <dgm:spPr>
        <a:xfrm rot="21565890">
          <a:off x="3113652" y="1178865"/>
          <a:ext cx="1231220" cy="0"/>
        </a:xfrm>
        <a:custGeom>
          <a:avLst/>
          <a:gdLst/>
          <a:ahLst/>
          <a:cxnLst/>
          <a:rect l="0" t="0" r="0" b="0"/>
          <a:pathLst>
            <a:path>
              <a:moveTo>
                <a:pt x="0" y="0"/>
              </a:moveTo>
              <a:lnTo>
                <a:pt x="1231220"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C2EA965A-5C92-43C5-AB60-D5FD031D8833}" type="sibTrans" cxnId="{27718DC9-8A76-423A-9471-64FE10288FD2}">
      <dgm:prSet/>
      <dgm:spPr/>
      <dgm:t>
        <a:bodyPr/>
        <a:lstStyle/>
        <a:p>
          <a:endParaRPr lang="en-US"/>
        </a:p>
      </dgm:t>
    </dgm:pt>
    <dgm:pt modelId="{210BC27B-3519-452F-BD64-169552C8F297}">
      <dgm:prSet custT="1">
        <dgm:style>
          <a:lnRef idx="2">
            <a:schemeClr val="accent2"/>
          </a:lnRef>
          <a:fillRef idx="1">
            <a:schemeClr val="lt1"/>
          </a:fillRef>
          <a:effectRef idx="0">
            <a:schemeClr val="accent2"/>
          </a:effectRef>
          <a:fontRef idx="minor">
            <a:schemeClr val="dk1"/>
          </a:fontRef>
        </dgm:style>
      </dgm:prSet>
      <dgm:spPr>
        <a:xfrm>
          <a:off x="107951" y="957675"/>
          <a:ext cx="1154755" cy="478631"/>
        </a:xfrm>
        <a:prstGeom prst="roundRect">
          <a:avLst/>
        </a:prstGeom>
        <a:solidFill>
          <a:sysClr val="window" lastClr="FFFFFF"/>
        </a:solidFill>
        <a:ln w="25400" cap="flat" cmpd="sng" algn="ctr">
          <a:solidFill>
            <a:srgbClr val="C0504D"/>
          </a:solidFill>
          <a:prstDash val="solid"/>
        </a:ln>
        <a:effectLst/>
      </dgm:spPr>
      <dgm:t>
        <a:bodyPr/>
        <a:lstStyle/>
        <a:p>
          <a:r>
            <a:rPr lang="en-US" sz="900">
              <a:solidFill>
                <a:sysClr val="windowText" lastClr="000000"/>
              </a:solidFill>
              <a:latin typeface="Calibri"/>
              <a:ea typeface="+mn-ea"/>
              <a:cs typeface="+mn-cs"/>
            </a:rPr>
            <a:t>FIRM DATA</a:t>
          </a:r>
        </a:p>
        <a:p>
          <a:r>
            <a:rPr lang="en-US" sz="900">
              <a:solidFill>
                <a:sysClr val="windowText" lastClr="000000"/>
              </a:solidFill>
              <a:latin typeface="Calibri"/>
              <a:ea typeface="+mn-ea"/>
              <a:cs typeface="+mn-cs"/>
            </a:rPr>
            <a:t>(IBGE's database)</a:t>
          </a:r>
        </a:p>
      </dgm:t>
    </dgm:pt>
    <dgm:pt modelId="{C48B76A3-A632-483A-A8D2-5438049AE5EE}" type="parTrans" cxnId="{9FE10084-F897-481D-A743-6A9F421E4649}">
      <dgm:prSet/>
      <dgm:spPr>
        <a:xfrm rot="10787436">
          <a:off x="1262703" y="1193330"/>
          <a:ext cx="848485" cy="0"/>
        </a:xfrm>
        <a:custGeom>
          <a:avLst/>
          <a:gdLst/>
          <a:ahLst/>
          <a:cxnLst/>
          <a:rect l="0" t="0" r="0" b="0"/>
          <a:pathLst>
            <a:path>
              <a:moveTo>
                <a:pt x="0" y="0"/>
              </a:moveTo>
              <a:lnTo>
                <a:pt x="848485" y="0"/>
              </a:lnTo>
            </a:path>
          </a:pathLst>
        </a:custGeom>
        <a:noFill/>
        <a:ln w="25400" cap="flat" cmpd="sng" algn="ctr">
          <a:solidFill>
            <a:srgbClr val="C0504D"/>
          </a:solidFill>
          <a:prstDash val="solid"/>
        </a:ln>
        <a:effectLst/>
      </dgm:spPr>
      <dgm:t>
        <a:bodyPr/>
        <a:lstStyle/>
        <a:p>
          <a:endParaRPr lang="en-US"/>
        </a:p>
      </dgm:t>
    </dgm:pt>
    <dgm:pt modelId="{7DAB9A14-6A86-45F6-8A36-8B28A1B62A78}" type="sibTrans" cxnId="{9FE10084-F897-481D-A743-6A9F421E4649}">
      <dgm:prSet/>
      <dgm:spPr/>
      <dgm:t>
        <a:bodyPr/>
        <a:lstStyle/>
        <a:p>
          <a:endParaRPr lang="en-US"/>
        </a:p>
      </dgm:t>
    </dgm:pt>
    <dgm:pt modelId="{95727A0D-52DB-4572-A1EC-0B603DCCEFA5}" type="pres">
      <dgm:prSet presAssocID="{927F46BF-DBE6-4C22-ADD5-121C795E1A9C}" presName="Name0" presStyleCnt="0">
        <dgm:presLayoutVars>
          <dgm:chMax val="1"/>
          <dgm:chPref val="1"/>
          <dgm:dir/>
          <dgm:animOne val="branch"/>
          <dgm:animLvl val="lvl"/>
        </dgm:presLayoutVars>
      </dgm:prSet>
      <dgm:spPr/>
      <dgm:t>
        <a:bodyPr/>
        <a:lstStyle/>
        <a:p>
          <a:endParaRPr lang="en-US"/>
        </a:p>
      </dgm:t>
    </dgm:pt>
    <dgm:pt modelId="{ADDF17D4-6AEC-441A-8846-1F833EE38A56}" type="pres">
      <dgm:prSet presAssocID="{AD294E98-6B85-47BF-8C24-65A2A0ED6B7E}" presName="singleCycle" presStyleCnt="0"/>
      <dgm:spPr/>
    </dgm:pt>
    <dgm:pt modelId="{9503E387-AC42-4593-B327-44A8CBD73809}" type="pres">
      <dgm:prSet presAssocID="{AD294E98-6B85-47BF-8C24-65A2A0ED6B7E}" presName="singleCenter" presStyleLbl="node1" presStyleIdx="0" presStyleCnt="7" custScaleX="140332" custScaleY="64699">
        <dgm:presLayoutVars>
          <dgm:chMax val="7"/>
          <dgm:chPref val="7"/>
        </dgm:presLayoutVars>
      </dgm:prSet>
      <dgm:spPr/>
      <dgm:t>
        <a:bodyPr/>
        <a:lstStyle/>
        <a:p>
          <a:endParaRPr lang="en-US"/>
        </a:p>
      </dgm:t>
    </dgm:pt>
    <dgm:pt modelId="{636D319B-255B-4718-BC39-C9EA36CDA09F}" type="pres">
      <dgm:prSet presAssocID="{8866611C-FF5A-4A58-86DA-E14BD0B76BDF}" presName="Name56" presStyleLbl="parChTrans1D2" presStyleIdx="0" presStyleCnt="6"/>
      <dgm:spPr/>
      <dgm:t>
        <a:bodyPr/>
        <a:lstStyle/>
        <a:p>
          <a:endParaRPr lang="en-US"/>
        </a:p>
      </dgm:t>
    </dgm:pt>
    <dgm:pt modelId="{AB251200-1885-4F51-9D0D-3923766ACFBF}" type="pres">
      <dgm:prSet presAssocID="{024B7CCE-7187-4ADD-85BC-6F847B3B2403}" presName="text0" presStyleLbl="node1" presStyleIdx="1" presStyleCnt="7" custScaleX="151420" custScaleY="75166" custRadScaleRad="142880" custRadScaleInc="169054">
        <dgm:presLayoutVars>
          <dgm:bulletEnabled val="1"/>
        </dgm:presLayoutVars>
      </dgm:prSet>
      <dgm:spPr/>
      <dgm:t>
        <a:bodyPr/>
        <a:lstStyle/>
        <a:p>
          <a:endParaRPr lang="en-US"/>
        </a:p>
      </dgm:t>
    </dgm:pt>
    <dgm:pt modelId="{DE44532B-2937-4A00-8558-F11E3B769910}" type="pres">
      <dgm:prSet presAssocID="{4446EF56-2AC0-41D6-9870-30539A519CC0}" presName="Name56" presStyleLbl="parChTrans1D2" presStyleIdx="1" presStyleCnt="6"/>
      <dgm:spPr/>
      <dgm:t>
        <a:bodyPr/>
        <a:lstStyle/>
        <a:p>
          <a:endParaRPr lang="en-US"/>
        </a:p>
      </dgm:t>
    </dgm:pt>
    <dgm:pt modelId="{D5D88E9E-4FF8-4C3F-BD33-16054361FE93}" type="pres">
      <dgm:prSet presAssocID="{3AF0E833-7F62-4F0A-A84F-C97FB5F13C93}" presName="text0" presStyleLbl="node1" presStyleIdx="2" presStyleCnt="7" custScaleX="260329" custScaleY="71976" custRadScaleRad="137759" custRadScaleInc="-363117">
        <dgm:presLayoutVars>
          <dgm:bulletEnabled val="1"/>
        </dgm:presLayoutVars>
      </dgm:prSet>
      <dgm:spPr/>
      <dgm:t>
        <a:bodyPr/>
        <a:lstStyle/>
        <a:p>
          <a:endParaRPr lang="en-US"/>
        </a:p>
      </dgm:t>
    </dgm:pt>
    <dgm:pt modelId="{2CC507F3-5552-46B2-AC30-FC0E48562F3D}" type="pres">
      <dgm:prSet presAssocID="{1F6EA2C1-1D13-407D-BC16-DB7A9F41DDB7}" presName="Name56" presStyleLbl="parChTrans1D2" presStyleIdx="2" presStyleCnt="6"/>
      <dgm:spPr/>
      <dgm:t>
        <a:bodyPr/>
        <a:lstStyle/>
        <a:p>
          <a:endParaRPr lang="en-US"/>
        </a:p>
      </dgm:t>
    </dgm:pt>
    <dgm:pt modelId="{3273B583-4232-4352-AFFD-0934AEF089C2}" type="pres">
      <dgm:prSet presAssocID="{944232F7-ADDE-4A91-A0CA-28872153465A}" presName="text0" presStyleLbl="node1" presStyleIdx="3" presStyleCnt="7" custScaleX="260329" custScaleY="78069" custRadScaleRad="163797" custRadScaleInc="389786">
        <dgm:presLayoutVars>
          <dgm:bulletEnabled val="1"/>
        </dgm:presLayoutVars>
      </dgm:prSet>
      <dgm:spPr/>
      <dgm:t>
        <a:bodyPr/>
        <a:lstStyle/>
        <a:p>
          <a:endParaRPr lang="en-US"/>
        </a:p>
      </dgm:t>
    </dgm:pt>
    <dgm:pt modelId="{F6B03033-96AB-44C5-960C-C5BF5A37217A}" type="pres">
      <dgm:prSet presAssocID="{A88A1646-5F5B-44BC-8945-344078B5C428}" presName="Name56" presStyleLbl="parChTrans1D2" presStyleIdx="3" presStyleCnt="6"/>
      <dgm:spPr/>
      <dgm:t>
        <a:bodyPr/>
        <a:lstStyle/>
        <a:p>
          <a:endParaRPr lang="en-US"/>
        </a:p>
      </dgm:t>
    </dgm:pt>
    <dgm:pt modelId="{0F9FF811-076F-4D72-9B5F-CC6488BFD860}" type="pres">
      <dgm:prSet presAssocID="{A554B4A2-DDE8-4E97-B876-902BE27710D7}" presName="text0" presStyleLbl="node1" presStyleIdx="4" presStyleCnt="7" custScaleX="154528" custScaleY="75732" custRadScaleRad="179596" custRadScaleInc="-198466">
        <dgm:presLayoutVars>
          <dgm:bulletEnabled val="1"/>
        </dgm:presLayoutVars>
      </dgm:prSet>
      <dgm:spPr/>
      <dgm:t>
        <a:bodyPr/>
        <a:lstStyle/>
        <a:p>
          <a:endParaRPr lang="en-US"/>
        </a:p>
      </dgm:t>
    </dgm:pt>
    <dgm:pt modelId="{9BF9D463-A3DE-4D45-BAAD-39F9106889C3}" type="pres">
      <dgm:prSet presAssocID="{6E63BD75-7E2C-40C5-8AD5-E392B13CFCE7}" presName="Name56" presStyleLbl="parChTrans1D2" presStyleIdx="4" presStyleCnt="6"/>
      <dgm:spPr/>
      <dgm:t>
        <a:bodyPr/>
        <a:lstStyle/>
        <a:p>
          <a:endParaRPr lang="en-US"/>
        </a:p>
      </dgm:t>
    </dgm:pt>
    <dgm:pt modelId="{737FFBD9-0C08-48FC-97CD-8FBC13E3A73B}" type="pres">
      <dgm:prSet presAssocID="{9D4B66EE-B2D8-4BB9-8AB2-A046B57CAE8A}" presName="text0" presStyleLbl="node1" presStyleIdx="5" presStyleCnt="7" custRadScaleRad="207319" custRadScaleInc="-501895">
        <dgm:presLayoutVars>
          <dgm:bulletEnabled val="1"/>
        </dgm:presLayoutVars>
      </dgm:prSet>
      <dgm:spPr/>
      <dgm:t>
        <a:bodyPr/>
        <a:lstStyle/>
        <a:p>
          <a:endParaRPr lang="en-US"/>
        </a:p>
      </dgm:t>
    </dgm:pt>
    <dgm:pt modelId="{E5A104B7-0D4D-46EF-BFBC-25FF19A7FB2B}" type="pres">
      <dgm:prSet presAssocID="{C48B76A3-A632-483A-A8D2-5438049AE5EE}" presName="Name56" presStyleLbl="parChTrans1D2" presStyleIdx="5" presStyleCnt="6"/>
      <dgm:spPr/>
      <dgm:t>
        <a:bodyPr/>
        <a:lstStyle/>
        <a:p>
          <a:endParaRPr lang="en-US"/>
        </a:p>
      </dgm:t>
    </dgm:pt>
    <dgm:pt modelId="{5728FCAE-54DA-4E62-A220-DC1092D8D00C}" type="pres">
      <dgm:prSet presAssocID="{210BC27B-3519-452F-BD64-169552C8F297}" presName="text0" presStyleLbl="node1" presStyleIdx="6" presStyleCnt="7" custScaleX="241262" custRadScaleRad="202619" custRadScaleInc="-100698">
        <dgm:presLayoutVars>
          <dgm:bulletEnabled val="1"/>
        </dgm:presLayoutVars>
      </dgm:prSet>
      <dgm:spPr/>
      <dgm:t>
        <a:bodyPr/>
        <a:lstStyle/>
        <a:p>
          <a:endParaRPr lang="en-US"/>
        </a:p>
      </dgm:t>
    </dgm:pt>
  </dgm:ptLst>
  <dgm:cxnLst>
    <dgm:cxn modelId="{352F73D1-557B-4F7E-BF66-2DA6F7EC6F9A}" srcId="{927F46BF-DBE6-4C22-ADD5-121C795E1A9C}" destId="{AD294E98-6B85-47BF-8C24-65A2A0ED6B7E}" srcOrd="0" destOrd="0" parTransId="{EF7EDD28-09FF-4EC3-8E09-7529B00F79FC}" sibTransId="{62F418A4-C34A-4E32-AAED-0F5513511CEF}"/>
    <dgm:cxn modelId="{E05AFDDD-A78E-4833-B718-55F0EE2667D3}" srcId="{AD294E98-6B85-47BF-8C24-65A2A0ED6B7E}" destId="{A554B4A2-DDE8-4E97-B876-902BE27710D7}" srcOrd="3" destOrd="0" parTransId="{A88A1646-5F5B-44BC-8945-344078B5C428}" sibTransId="{0506AC6C-9063-4F0D-8E98-D2DF92D84012}"/>
    <dgm:cxn modelId="{5C806076-96F7-47AE-8CC8-451BB1CD00D6}" type="presOf" srcId="{9D4B66EE-B2D8-4BB9-8AB2-A046B57CAE8A}" destId="{737FFBD9-0C08-48FC-97CD-8FBC13E3A73B}" srcOrd="0" destOrd="0" presId="urn:microsoft.com/office/officeart/2008/layout/RadialCluster"/>
    <dgm:cxn modelId="{6F6FD814-EE86-4534-933E-E35D54B1FC1C}" type="presOf" srcId="{C48B76A3-A632-483A-A8D2-5438049AE5EE}" destId="{E5A104B7-0D4D-46EF-BFBC-25FF19A7FB2B}" srcOrd="0" destOrd="0" presId="urn:microsoft.com/office/officeart/2008/layout/RadialCluster"/>
    <dgm:cxn modelId="{BA00FD40-97C0-41C0-BA36-C7EC8C76C1E8}" type="presOf" srcId="{210BC27B-3519-452F-BD64-169552C8F297}" destId="{5728FCAE-54DA-4E62-A220-DC1092D8D00C}" srcOrd="0" destOrd="0" presId="urn:microsoft.com/office/officeart/2008/layout/RadialCluster"/>
    <dgm:cxn modelId="{E0146720-C7AD-4D90-A00D-25BA552DD83B}" type="presOf" srcId="{944232F7-ADDE-4A91-A0CA-28872153465A}" destId="{3273B583-4232-4352-AFFD-0934AEF089C2}" srcOrd="0" destOrd="0" presId="urn:microsoft.com/office/officeart/2008/layout/RadialCluster"/>
    <dgm:cxn modelId="{60AA1EC6-C122-4522-99F3-EA1599804E33}" type="presOf" srcId="{A88A1646-5F5B-44BC-8945-344078B5C428}" destId="{F6B03033-96AB-44C5-960C-C5BF5A37217A}" srcOrd="0" destOrd="0" presId="urn:microsoft.com/office/officeart/2008/layout/RadialCluster"/>
    <dgm:cxn modelId="{CB96A096-98FF-4884-946C-5074CEE29A23}" type="presOf" srcId="{AD294E98-6B85-47BF-8C24-65A2A0ED6B7E}" destId="{9503E387-AC42-4593-B327-44A8CBD73809}" srcOrd="0" destOrd="0" presId="urn:microsoft.com/office/officeart/2008/layout/RadialCluster"/>
    <dgm:cxn modelId="{F6643BC3-7B6D-4963-B4F9-A808E18FCDF2}" type="presOf" srcId="{3AF0E833-7F62-4F0A-A84F-C97FB5F13C93}" destId="{D5D88E9E-4FF8-4C3F-BD33-16054361FE93}" srcOrd="0" destOrd="0" presId="urn:microsoft.com/office/officeart/2008/layout/RadialCluster"/>
    <dgm:cxn modelId="{27718DC9-8A76-423A-9471-64FE10288FD2}" srcId="{AD294E98-6B85-47BF-8C24-65A2A0ED6B7E}" destId="{9D4B66EE-B2D8-4BB9-8AB2-A046B57CAE8A}" srcOrd="4" destOrd="0" parTransId="{6E63BD75-7E2C-40C5-8AD5-E392B13CFCE7}" sibTransId="{C2EA965A-5C92-43C5-AB60-D5FD031D8833}"/>
    <dgm:cxn modelId="{9FE10084-F897-481D-A743-6A9F421E4649}" srcId="{AD294E98-6B85-47BF-8C24-65A2A0ED6B7E}" destId="{210BC27B-3519-452F-BD64-169552C8F297}" srcOrd="5" destOrd="0" parTransId="{C48B76A3-A632-483A-A8D2-5438049AE5EE}" sibTransId="{7DAB9A14-6A86-45F6-8A36-8B28A1B62A78}"/>
    <dgm:cxn modelId="{8FE8E98D-FBE3-4AAB-8C7A-6A8A55ED3E72}" type="presOf" srcId="{8866611C-FF5A-4A58-86DA-E14BD0B76BDF}" destId="{636D319B-255B-4718-BC39-C9EA36CDA09F}" srcOrd="0" destOrd="0" presId="urn:microsoft.com/office/officeart/2008/layout/RadialCluster"/>
    <dgm:cxn modelId="{6A9E02F7-EEF9-43CC-A04B-638010DC7C3F}" srcId="{AD294E98-6B85-47BF-8C24-65A2A0ED6B7E}" destId="{024B7CCE-7187-4ADD-85BC-6F847B3B2403}" srcOrd="0" destOrd="0" parTransId="{8866611C-FF5A-4A58-86DA-E14BD0B76BDF}" sibTransId="{70168775-DEF4-4617-9310-723AF1538AEF}"/>
    <dgm:cxn modelId="{D5506875-5647-40F9-A41E-4EE711DEAB95}" type="presOf" srcId="{4446EF56-2AC0-41D6-9870-30539A519CC0}" destId="{DE44532B-2937-4A00-8558-F11E3B769910}" srcOrd="0" destOrd="0" presId="urn:microsoft.com/office/officeart/2008/layout/RadialCluster"/>
    <dgm:cxn modelId="{944A481F-70A5-4E52-9732-CE9C35479307}" type="presOf" srcId="{A554B4A2-DDE8-4E97-B876-902BE27710D7}" destId="{0F9FF811-076F-4D72-9B5F-CC6488BFD860}" srcOrd="0" destOrd="0" presId="urn:microsoft.com/office/officeart/2008/layout/RadialCluster"/>
    <dgm:cxn modelId="{4F795688-6D37-4E8E-A47A-F4962EA666D2}" srcId="{AD294E98-6B85-47BF-8C24-65A2A0ED6B7E}" destId="{3AF0E833-7F62-4F0A-A84F-C97FB5F13C93}" srcOrd="1" destOrd="0" parTransId="{4446EF56-2AC0-41D6-9870-30539A519CC0}" sibTransId="{33694278-0C0A-48BA-B667-41F114C16162}"/>
    <dgm:cxn modelId="{AB024518-2149-4108-9104-13122FBEB5C1}" type="presOf" srcId="{024B7CCE-7187-4ADD-85BC-6F847B3B2403}" destId="{AB251200-1885-4F51-9D0D-3923766ACFBF}" srcOrd="0" destOrd="0" presId="urn:microsoft.com/office/officeart/2008/layout/RadialCluster"/>
    <dgm:cxn modelId="{BB8A9419-75B7-4735-BDB1-EE2D57A2590D}" srcId="{AD294E98-6B85-47BF-8C24-65A2A0ED6B7E}" destId="{944232F7-ADDE-4A91-A0CA-28872153465A}" srcOrd="2" destOrd="0" parTransId="{1F6EA2C1-1D13-407D-BC16-DB7A9F41DDB7}" sibTransId="{F1B79130-E7A1-4081-B4C4-857936A2AE56}"/>
    <dgm:cxn modelId="{6ED6FA5A-D811-45BD-82DB-0BFAFA10FA4F}" type="presOf" srcId="{6E63BD75-7E2C-40C5-8AD5-E392B13CFCE7}" destId="{9BF9D463-A3DE-4D45-BAAD-39F9106889C3}" srcOrd="0" destOrd="0" presId="urn:microsoft.com/office/officeart/2008/layout/RadialCluster"/>
    <dgm:cxn modelId="{AE9AACAB-0F17-460B-97EE-9B12ACB3BA8B}" type="presOf" srcId="{927F46BF-DBE6-4C22-ADD5-121C795E1A9C}" destId="{95727A0D-52DB-4572-A1EC-0B603DCCEFA5}" srcOrd="0" destOrd="0" presId="urn:microsoft.com/office/officeart/2008/layout/RadialCluster"/>
    <dgm:cxn modelId="{B8B37177-16E6-405F-874E-5198C86993E9}" type="presOf" srcId="{1F6EA2C1-1D13-407D-BC16-DB7A9F41DDB7}" destId="{2CC507F3-5552-46B2-AC30-FC0E48562F3D}" srcOrd="0" destOrd="0" presId="urn:microsoft.com/office/officeart/2008/layout/RadialCluster"/>
    <dgm:cxn modelId="{FBC6031C-EB83-4F3C-91D9-4A822A160E6E}" type="presParOf" srcId="{95727A0D-52DB-4572-A1EC-0B603DCCEFA5}" destId="{ADDF17D4-6AEC-441A-8846-1F833EE38A56}" srcOrd="0" destOrd="0" presId="urn:microsoft.com/office/officeart/2008/layout/RadialCluster"/>
    <dgm:cxn modelId="{820E441A-57F4-4D70-A6C1-0A8E4A5CA48D}" type="presParOf" srcId="{ADDF17D4-6AEC-441A-8846-1F833EE38A56}" destId="{9503E387-AC42-4593-B327-44A8CBD73809}" srcOrd="0" destOrd="0" presId="urn:microsoft.com/office/officeart/2008/layout/RadialCluster"/>
    <dgm:cxn modelId="{CC1BE6E5-02E7-4D1B-AC5C-4827E8770DD2}" type="presParOf" srcId="{ADDF17D4-6AEC-441A-8846-1F833EE38A56}" destId="{636D319B-255B-4718-BC39-C9EA36CDA09F}" srcOrd="1" destOrd="0" presId="urn:microsoft.com/office/officeart/2008/layout/RadialCluster"/>
    <dgm:cxn modelId="{34ABFC53-4E01-4B10-9E4E-82EC142D15D7}" type="presParOf" srcId="{ADDF17D4-6AEC-441A-8846-1F833EE38A56}" destId="{AB251200-1885-4F51-9D0D-3923766ACFBF}" srcOrd="2" destOrd="0" presId="urn:microsoft.com/office/officeart/2008/layout/RadialCluster"/>
    <dgm:cxn modelId="{6F8E6F45-C073-4BF5-9780-4E60F4778219}" type="presParOf" srcId="{ADDF17D4-6AEC-441A-8846-1F833EE38A56}" destId="{DE44532B-2937-4A00-8558-F11E3B769910}" srcOrd="3" destOrd="0" presId="urn:microsoft.com/office/officeart/2008/layout/RadialCluster"/>
    <dgm:cxn modelId="{14FD0502-EBBD-4440-AFBC-24EADB061090}" type="presParOf" srcId="{ADDF17D4-6AEC-441A-8846-1F833EE38A56}" destId="{D5D88E9E-4FF8-4C3F-BD33-16054361FE93}" srcOrd="4" destOrd="0" presId="urn:microsoft.com/office/officeart/2008/layout/RadialCluster"/>
    <dgm:cxn modelId="{F5C42EBD-56A9-456F-BC4B-AB76AFD78F64}" type="presParOf" srcId="{ADDF17D4-6AEC-441A-8846-1F833EE38A56}" destId="{2CC507F3-5552-46B2-AC30-FC0E48562F3D}" srcOrd="5" destOrd="0" presId="urn:microsoft.com/office/officeart/2008/layout/RadialCluster"/>
    <dgm:cxn modelId="{0F09A6F7-A863-4F83-8300-5BC15940AF22}" type="presParOf" srcId="{ADDF17D4-6AEC-441A-8846-1F833EE38A56}" destId="{3273B583-4232-4352-AFFD-0934AEF089C2}" srcOrd="6" destOrd="0" presId="urn:microsoft.com/office/officeart/2008/layout/RadialCluster"/>
    <dgm:cxn modelId="{5F4663D2-D11E-4A6D-A303-CB5C883AAB72}" type="presParOf" srcId="{ADDF17D4-6AEC-441A-8846-1F833EE38A56}" destId="{F6B03033-96AB-44C5-960C-C5BF5A37217A}" srcOrd="7" destOrd="0" presId="urn:microsoft.com/office/officeart/2008/layout/RadialCluster"/>
    <dgm:cxn modelId="{AC34EB79-6E82-4932-8256-5DB38BE12A07}" type="presParOf" srcId="{ADDF17D4-6AEC-441A-8846-1F833EE38A56}" destId="{0F9FF811-076F-4D72-9B5F-CC6488BFD860}" srcOrd="8" destOrd="0" presId="urn:microsoft.com/office/officeart/2008/layout/RadialCluster"/>
    <dgm:cxn modelId="{EE72EB64-E87C-4D8D-A028-4F60D39164B7}" type="presParOf" srcId="{ADDF17D4-6AEC-441A-8846-1F833EE38A56}" destId="{9BF9D463-A3DE-4D45-BAAD-39F9106889C3}" srcOrd="9" destOrd="0" presId="urn:microsoft.com/office/officeart/2008/layout/RadialCluster"/>
    <dgm:cxn modelId="{5848558E-41AE-47F5-B154-F81215FA8C2B}" type="presParOf" srcId="{ADDF17D4-6AEC-441A-8846-1F833EE38A56}" destId="{737FFBD9-0C08-48FC-97CD-8FBC13E3A73B}" srcOrd="10" destOrd="0" presId="urn:microsoft.com/office/officeart/2008/layout/RadialCluster"/>
    <dgm:cxn modelId="{8C12837E-CACC-4659-B4BF-A989AEC9F2DA}" type="presParOf" srcId="{ADDF17D4-6AEC-441A-8846-1F833EE38A56}" destId="{E5A104B7-0D4D-46EF-BFBC-25FF19A7FB2B}" srcOrd="11" destOrd="0" presId="urn:microsoft.com/office/officeart/2008/layout/RadialCluster"/>
    <dgm:cxn modelId="{ED50C4DE-D35F-46FF-8D18-68E2E38C735D}" type="presParOf" srcId="{ADDF17D4-6AEC-441A-8846-1F833EE38A56}" destId="{5728FCAE-54DA-4E62-A220-DC1092D8D00C}" srcOrd="12" destOrd="0" presId="urn:microsoft.com/office/officeart/2008/layout/RadialCluster"/>
  </dgm:cxnLst>
  <dgm:bg/>
  <dgm:whole>
    <a:ln>
      <a:solidFill>
        <a:schemeClr val="bg1">
          <a:lumMod val="50000"/>
        </a:schemeClr>
      </a:solidFill>
    </a:ln>
  </dgm:whole>
  <dgm:extLst>
    <a:ext uri="http://schemas.microsoft.com/office/drawing/2008/diagram">
      <dsp:dataModelExt xmlns:dsp="http://schemas.microsoft.com/office/drawing/2008/diagram" relId="rId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27F46BF-DBE6-4C22-ADD5-121C795E1A9C}"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n-US"/>
        </a:p>
      </dgm:t>
    </dgm:pt>
    <dgm:pt modelId="{AD294E98-6B85-47BF-8C24-65A2A0ED6B7E}">
      <dgm:prSet phldrT="[Texto]" custT="1">
        <dgm:style>
          <a:lnRef idx="2">
            <a:schemeClr val="accent1"/>
          </a:lnRef>
          <a:fillRef idx="1">
            <a:schemeClr val="lt1"/>
          </a:fillRef>
          <a:effectRef idx="0">
            <a:schemeClr val="accent1"/>
          </a:effectRef>
          <a:fontRef idx="minor">
            <a:schemeClr val="dk1"/>
          </a:fontRef>
        </dgm:style>
      </dgm:prSet>
      <dgm:spPr>
        <a:xfrm>
          <a:off x="2112242" y="965275"/>
          <a:ext cx="1100673" cy="431653"/>
        </a:xfrm>
        <a:prstGeom prst="roundRect">
          <a:avLst/>
        </a:prstGeom>
        <a:solidFill>
          <a:sysClr val="window" lastClr="FFFFFF"/>
        </a:solidFill>
        <a:ln w="25400" cap="flat" cmpd="sng" algn="ctr">
          <a:solidFill>
            <a:srgbClr val="4F81BD"/>
          </a:solidFill>
          <a:prstDash val="solid"/>
        </a:ln>
        <a:effectLst/>
      </dgm:spPr>
      <dgm:t>
        <a:bodyPr/>
        <a:lstStyle/>
        <a:p>
          <a:r>
            <a:rPr lang="en-US" sz="900">
              <a:solidFill>
                <a:sysClr val="windowText" lastClr="000000"/>
              </a:solidFill>
              <a:latin typeface="Calibri"/>
              <a:ea typeface="+mn-ea"/>
              <a:cs typeface="+mn-cs"/>
            </a:rPr>
            <a:t>PEDIDO (Applications)</a:t>
          </a:r>
        </a:p>
      </dgm:t>
    </dgm:pt>
    <dgm:pt modelId="{EF7EDD28-09FF-4EC3-8E09-7529B00F79FC}" type="parTrans" cxnId="{352F73D1-557B-4F7E-BF66-2DA6F7EC6F9A}">
      <dgm:prSet/>
      <dgm:spPr/>
      <dgm:t>
        <a:bodyPr/>
        <a:lstStyle/>
        <a:p>
          <a:endParaRPr lang="en-US"/>
        </a:p>
      </dgm:t>
    </dgm:pt>
    <dgm:pt modelId="{62F418A4-C34A-4E32-AAED-0F5513511CEF}" type="sibTrans" cxnId="{352F73D1-557B-4F7E-BF66-2DA6F7EC6F9A}">
      <dgm:prSet/>
      <dgm:spPr/>
      <dgm:t>
        <a:bodyPr/>
        <a:lstStyle/>
        <a:p>
          <a:endParaRPr lang="en-US"/>
        </a:p>
      </dgm:t>
    </dgm:pt>
    <dgm:pt modelId="{A554B4A2-DDE8-4E97-B876-902BE27710D7}">
      <dgm:prSet phldrT="[Texto]" custT="1">
        <dgm:style>
          <a:lnRef idx="2">
            <a:schemeClr val="accent1"/>
          </a:lnRef>
          <a:fillRef idx="1">
            <a:schemeClr val="lt1"/>
          </a:fillRef>
          <a:effectRef idx="0">
            <a:schemeClr val="accent1"/>
          </a:effectRef>
          <a:fontRef idx="minor">
            <a:schemeClr val="dk1"/>
          </a:fontRef>
        </dgm:style>
      </dgm:prSet>
      <dgm:spPr>
        <a:xfrm>
          <a:off x="1141631" y="278417"/>
          <a:ext cx="739619" cy="362477"/>
        </a:xfrm>
        <a:prstGeom prst="roundRect">
          <a:avLst/>
        </a:prstGeom>
        <a:solidFill>
          <a:sysClr val="window" lastClr="FFFFFF"/>
        </a:solidFill>
        <a:ln w="25400" cap="flat" cmpd="sng" algn="ctr">
          <a:solidFill>
            <a:srgbClr val="4F81BD"/>
          </a:solidFill>
          <a:prstDash val="solid"/>
        </a:ln>
        <a:effectLst/>
      </dgm:spPr>
      <dgm:t>
        <a:bodyPr/>
        <a:lstStyle/>
        <a:p>
          <a:r>
            <a:rPr lang="en-US" sz="800">
              <a:solidFill>
                <a:sysClr val="windowText" lastClr="000000"/>
              </a:solidFill>
              <a:latin typeface="Calibri"/>
              <a:ea typeface="+mn-ea"/>
              <a:cs typeface="+mn-cs"/>
            </a:rPr>
            <a:t>DESPACHO (Publications)</a:t>
          </a:r>
        </a:p>
      </dgm:t>
    </dgm:pt>
    <dgm:pt modelId="{A88A1646-5F5B-44BC-8945-344078B5C428}" type="parTrans" cxnId="{E05AFDDD-A78E-4833-B718-55F0EE2667D3}">
      <dgm:prSet/>
      <dgm:spPr>
        <a:xfrm rot="12724582">
          <a:off x="1754000" y="803084"/>
          <a:ext cx="610830" cy="0"/>
        </a:xfrm>
        <a:custGeom>
          <a:avLst/>
          <a:gdLst/>
          <a:ahLst/>
          <a:cxnLst/>
          <a:rect l="0" t="0" r="0" b="0"/>
          <a:pathLst>
            <a:path>
              <a:moveTo>
                <a:pt x="0" y="0"/>
              </a:moveTo>
              <a:lnTo>
                <a:pt x="610830"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0506AC6C-9063-4F0D-8E98-D2DF92D84012}" type="sibTrans" cxnId="{E05AFDDD-A78E-4833-B718-55F0EE2667D3}">
      <dgm:prSet/>
      <dgm:spPr/>
      <dgm:t>
        <a:bodyPr/>
        <a:lstStyle/>
        <a:p>
          <a:endParaRPr lang="en-US"/>
        </a:p>
      </dgm:t>
    </dgm:pt>
    <dgm:pt modelId="{024B7CCE-7187-4ADD-85BC-6F847B3B2403}">
      <dgm:prSet phldrT="[Texto]" custT="1">
        <dgm:style>
          <a:lnRef idx="2">
            <a:schemeClr val="accent1"/>
          </a:lnRef>
          <a:fillRef idx="1">
            <a:schemeClr val="lt1"/>
          </a:fillRef>
          <a:effectRef idx="0">
            <a:schemeClr val="accent1"/>
          </a:effectRef>
          <a:fontRef idx="minor">
            <a:schemeClr val="dk1"/>
          </a:fontRef>
        </dgm:style>
      </dgm:prSet>
      <dgm:spPr>
        <a:xfrm>
          <a:off x="3563647" y="289802"/>
          <a:ext cx="724743" cy="359767"/>
        </a:xfrm>
        <a:prstGeom prst="roundRect">
          <a:avLst/>
        </a:prstGeom>
        <a:solidFill>
          <a:sysClr val="window" lastClr="FFFFFF"/>
        </a:solidFill>
        <a:ln w="25400" cap="flat" cmpd="sng" algn="ctr">
          <a:solidFill>
            <a:srgbClr val="4F81BD"/>
          </a:solidFill>
          <a:prstDash val="solid"/>
        </a:ln>
        <a:effectLst/>
      </dgm:spPr>
      <dgm:t>
        <a:bodyPr/>
        <a:lstStyle/>
        <a:p>
          <a:r>
            <a:rPr lang="en-US" sz="800">
              <a:solidFill>
                <a:sysClr val="windowText" lastClr="000000"/>
              </a:solidFill>
              <a:latin typeface="Calibri"/>
              <a:ea typeface="+mn-ea"/>
              <a:cs typeface="+mn-cs"/>
            </a:rPr>
            <a:t>DEPOSITANTE</a:t>
          </a:r>
        </a:p>
        <a:p>
          <a:r>
            <a:rPr lang="en-US" sz="800">
              <a:solidFill>
                <a:sysClr val="windowText" lastClr="000000"/>
              </a:solidFill>
              <a:latin typeface="Calibri"/>
              <a:ea typeface="+mn-ea"/>
              <a:cs typeface="+mn-cs"/>
            </a:rPr>
            <a:t>(Applicants)</a:t>
          </a:r>
        </a:p>
      </dgm:t>
    </dgm:pt>
    <dgm:pt modelId="{8866611C-FF5A-4A58-86DA-E14BD0B76BDF}" type="parTrans" cxnId="{6A9E02F7-EEF9-43CC-A04B-638010DC7C3F}">
      <dgm:prSet/>
      <dgm:spPr>
        <a:xfrm rot="19837023">
          <a:off x="3004490" y="807422"/>
          <a:ext cx="643450" cy="0"/>
        </a:xfrm>
        <a:custGeom>
          <a:avLst/>
          <a:gdLst/>
          <a:ahLst/>
          <a:cxnLst/>
          <a:rect l="0" t="0" r="0" b="0"/>
          <a:pathLst>
            <a:path>
              <a:moveTo>
                <a:pt x="0" y="0"/>
              </a:moveTo>
              <a:lnTo>
                <a:pt x="643450"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70168775-DEF4-4617-9310-723AF1538AEF}" type="sibTrans" cxnId="{6A9E02F7-EEF9-43CC-A04B-638010DC7C3F}">
      <dgm:prSet/>
      <dgm:spPr/>
      <dgm:t>
        <a:bodyPr/>
        <a:lstStyle/>
        <a:p>
          <a:endParaRPr lang="en-US"/>
        </a:p>
      </dgm:t>
    </dgm:pt>
    <dgm:pt modelId="{944232F7-ADDE-4A91-A0CA-28872153465A}">
      <dgm:prSet phldrT="[Texto]" custT="1">
        <dgm:style>
          <a:lnRef idx="2">
            <a:schemeClr val="accent1"/>
          </a:lnRef>
          <a:fillRef idx="1">
            <a:schemeClr val="lt1"/>
          </a:fillRef>
          <a:effectRef idx="0">
            <a:schemeClr val="accent1"/>
          </a:effectRef>
          <a:fontRef idx="minor">
            <a:schemeClr val="dk1"/>
          </a:fontRef>
        </dgm:style>
      </dgm:prSet>
      <dgm:spPr>
        <a:xfrm>
          <a:off x="2751206" y="1938872"/>
          <a:ext cx="1246015" cy="373662"/>
        </a:xfrm>
        <a:prstGeom prst="roundRect">
          <a:avLst/>
        </a:prstGeom>
        <a:solidFill>
          <a:sysClr val="window" lastClr="FFFFFF"/>
        </a:solidFill>
        <a:ln w="25400" cap="flat" cmpd="sng" algn="ctr">
          <a:solidFill>
            <a:srgbClr val="4F81BD"/>
          </a:solidFill>
          <a:prstDash val="solid"/>
        </a:ln>
        <a:effectLst/>
      </dgm:spPr>
      <dgm:t>
        <a:bodyPr/>
        <a:lstStyle/>
        <a:p>
          <a:r>
            <a:rPr lang="en-US" sz="800">
              <a:solidFill>
                <a:sysClr val="windowText" lastClr="000000"/>
              </a:solidFill>
              <a:latin typeface="Calibri"/>
              <a:ea typeface="+mn-ea"/>
              <a:cs typeface="+mn-cs"/>
            </a:rPr>
            <a:t>CLASSIFICAÇÃO NICE</a:t>
          </a:r>
        </a:p>
        <a:p>
          <a:r>
            <a:rPr lang="en-US" sz="800">
              <a:solidFill>
                <a:sysClr val="windowText" lastClr="000000"/>
              </a:solidFill>
              <a:latin typeface="Calibri"/>
              <a:ea typeface="+mn-ea"/>
              <a:cs typeface="+mn-cs"/>
            </a:rPr>
            <a:t>(International Classification)</a:t>
          </a:r>
        </a:p>
      </dgm:t>
    </dgm:pt>
    <dgm:pt modelId="{1F6EA2C1-1D13-407D-BC16-DB7A9F41DDB7}" type="parTrans" cxnId="{BB8A9419-75B7-4735-BDB1-EE2D57A2590D}">
      <dgm:prSet/>
      <dgm:spPr>
        <a:xfrm rot="3180402">
          <a:off x="2690055" y="1667901"/>
          <a:ext cx="678527" cy="0"/>
        </a:xfrm>
        <a:custGeom>
          <a:avLst/>
          <a:gdLst/>
          <a:ahLst/>
          <a:cxnLst/>
          <a:rect l="0" t="0" r="0" b="0"/>
          <a:pathLst>
            <a:path>
              <a:moveTo>
                <a:pt x="0" y="0"/>
              </a:moveTo>
              <a:lnTo>
                <a:pt x="678527"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F1B79130-E7A1-4081-B4C4-857936A2AE56}" type="sibTrans" cxnId="{BB8A9419-75B7-4735-BDB1-EE2D57A2590D}">
      <dgm:prSet/>
      <dgm:spPr/>
      <dgm:t>
        <a:bodyPr/>
        <a:lstStyle/>
        <a:p>
          <a:endParaRPr lang="en-US"/>
        </a:p>
      </dgm:t>
    </dgm:pt>
    <dgm:pt modelId="{4363C25A-D1D1-49EA-90C7-6747C016904C}">
      <dgm:prSet custT="1">
        <dgm:style>
          <a:lnRef idx="2">
            <a:schemeClr val="accent2"/>
          </a:lnRef>
          <a:fillRef idx="1">
            <a:schemeClr val="lt1"/>
          </a:fillRef>
          <a:effectRef idx="0">
            <a:schemeClr val="accent2"/>
          </a:effectRef>
          <a:fontRef idx="minor">
            <a:schemeClr val="dk1"/>
          </a:fontRef>
        </dgm:style>
      </dgm:prSet>
      <dgm:spPr>
        <a:xfrm>
          <a:off x="135332" y="956643"/>
          <a:ext cx="1162954" cy="478631"/>
        </a:xfrm>
        <a:prstGeom prst="roundRect">
          <a:avLst/>
        </a:prstGeom>
        <a:solidFill>
          <a:sysClr val="window" lastClr="FFFFFF"/>
        </a:solidFill>
        <a:ln w="25400" cap="flat" cmpd="sng" algn="ctr">
          <a:solidFill>
            <a:srgbClr val="C0504D"/>
          </a:solidFill>
          <a:prstDash val="solid"/>
        </a:ln>
        <a:effectLst/>
      </dgm:spPr>
      <dgm:t>
        <a:bodyPr/>
        <a:lstStyle/>
        <a:p>
          <a:r>
            <a:rPr lang="en-US" sz="900">
              <a:solidFill>
                <a:sysClr val="windowText" lastClr="000000"/>
              </a:solidFill>
              <a:latin typeface="Calibri"/>
              <a:ea typeface="+mn-ea"/>
              <a:cs typeface="+mn-cs"/>
            </a:rPr>
            <a:t>FIRM DATA</a:t>
          </a:r>
        </a:p>
        <a:p>
          <a:r>
            <a:rPr lang="en-US" sz="900">
              <a:solidFill>
                <a:sysClr val="windowText" lastClr="000000"/>
              </a:solidFill>
              <a:latin typeface="Calibri"/>
              <a:ea typeface="+mn-ea"/>
              <a:cs typeface="+mn-cs"/>
            </a:rPr>
            <a:t>(IBGE's database)</a:t>
          </a:r>
        </a:p>
      </dgm:t>
    </dgm:pt>
    <dgm:pt modelId="{DCF21873-C550-4087-A7F3-ED9C417A9828}" type="parTrans" cxnId="{82D21A7F-FF4A-4596-AA7F-F9D1CFFBDAC8}">
      <dgm:prSet/>
      <dgm:spPr>
        <a:xfrm rot="10773752">
          <a:off x="1298274" y="1188411"/>
          <a:ext cx="813979" cy="0"/>
        </a:xfrm>
        <a:custGeom>
          <a:avLst/>
          <a:gdLst/>
          <a:ahLst/>
          <a:cxnLst/>
          <a:rect l="0" t="0" r="0" b="0"/>
          <a:pathLst>
            <a:path>
              <a:moveTo>
                <a:pt x="0" y="0"/>
              </a:moveTo>
              <a:lnTo>
                <a:pt x="813979" y="0"/>
              </a:lnTo>
            </a:path>
          </a:pathLst>
        </a:custGeom>
        <a:noFill/>
        <a:ln w="25400" cap="flat" cmpd="sng" algn="ctr">
          <a:solidFill>
            <a:srgbClr val="C0504D"/>
          </a:solidFill>
          <a:prstDash val="solid"/>
        </a:ln>
        <a:effectLst/>
      </dgm:spPr>
      <dgm:t>
        <a:bodyPr/>
        <a:lstStyle/>
        <a:p>
          <a:endParaRPr lang="en-US"/>
        </a:p>
      </dgm:t>
    </dgm:pt>
    <dgm:pt modelId="{8A992FFF-927C-4377-94CC-ADDBCFB0D680}" type="sibTrans" cxnId="{82D21A7F-FF4A-4596-AA7F-F9D1CFFBDAC8}">
      <dgm:prSet/>
      <dgm:spPr/>
      <dgm:t>
        <a:bodyPr/>
        <a:lstStyle/>
        <a:p>
          <a:endParaRPr lang="en-US"/>
        </a:p>
      </dgm:t>
    </dgm:pt>
    <dgm:pt modelId="{95727A0D-52DB-4572-A1EC-0B603DCCEFA5}" type="pres">
      <dgm:prSet presAssocID="{927F46BF-DBE6-4C22-ADD5-121C795E1A9C}" presName="Name0" presStyleCnt="0">
        <dgm:presLayoutVars>
          <dgm:chMax val="1"/>
          <dgm:chPref val="1"/>
          <dgm:dir/>
          <dgm:animOne val="branch"/>
          <dgm:animLvl val="lvl"/>
        </dgm:presLayoutVars>
      </dgm:prSet>
      <dgm:spPr/>
      <dgm:t>
        <a:bodyPr/>
        <a:lstStyle/>
        <a:p>
          <a:endParaRPr lang="en-US"/>
        </a:p>
      </dgm:t>
    </dgm:pt>
    <dgm:pt modelId="{ADDF17D4-6AEC-441A-8846-1F833EE38A56}" type="pres">
      <dgm:prSet presAssocID="{AD294E98-6B85-47BF-8C24-65A2A0ED6B7E}" presName="singleCycle" presStyleCnt="0"/>
      <dgm:spPr/>
    </dgm:pt>
    <dgm:pt modelId="{9503E387-AC42-4593-B327-44A8CBD73809}" type="pres">
      <dgm:prSet presAssocID="{AD294E98-6B85-47BF-8C24-65A2A0ED6B7E}" presName="singleCenter" presStyleLbl="node1" presStyleIdx="0" presStyleCnt="5" custScaleX="154075" custScaleY="60424" custLinFactNeighborX="-4127" custLinFactNeighborY="-318">
        <dgm:presLayoutVars>
          <dgm:chMax val="7"/>
          <dgm:chPref val="7"/>
        </dgm:presLayoutVars>
      </dgm:prSet>
      <dgm:spPr/>
      <dgm:t>
        <a:bodyPr/>
        <a:lstStyle/>
        <a:p>
          <a:endParaRPr lang="en-US"/>
        </a:p>
      </dgm:t>
    </dgm:pt>
    <dgm:pt modelId="{636D319B-255B-4718-BC39-C9EA36CDA09F}" type="pres">
      <dgm:prSet presAssocID="{8866611C-FF5A-4A58-86DA-E14BD0B76BDF}" presName="Name56" presStyleLbl="parChTrans1D2" presStyleIdx="0" presStyleCnt="4"/>
      <dgm:spPr/>
      <dgm:t>
        <a:bodyPr/>
        <a:lstStyle/>
        <a:p>
          <a:endParaRPr lang="en-US"/>
        </a:p>
      </dgm:t>
    </dgm:pt>
    <dgm:pt modelId="{AB251200-1885-4F51-9D0D-3923766ACFBF}" type="pres">
      <dgm:prSet presAssocID="{024B7CCE-7187-4ADD-85BC-6F847B3B2403}" presName="text0" presStyleLbl="node1" presStyleIdx="1" presStyleCnt="5" custScaleX="151420" custScaleY="75166" custRadScaleRad="145643" custRadScaleInc="130679">
        <dgm:presLayoutVars>
          <dgm:bulletEnabled val="1"/>
        </dgm:presLayoutVars>
      </dgm:prSet>
      <dgm:spPr/>
      <dgm:t>
        <a:bodyPr/>
        <a:lstStyle/>
        <a:p>
          <a:endParaRPr lang="en-US"/>
        </a:p>
      </dgm:t>
    </dgm:pt>
    <dgm:pt modelId="{F6B03033-96AB-44C5-960C-C5BF5A37217A}" type="pres">
      <dgm:prSet presAssocID="{A88A1646-5F5B-44BC-8945-344078B5C428}" presName="Name56" presStyleLbl="parChTrans1D2" presStyleIdx="1" presStyleCnt="4"/>
      <dgm:spPr/>
      <dgm:t>
        <a:bodyPr/>
        <a:lstStyle/>
        <a:p>
          <a:endParaRPr lang="en-US"/>
        </a:p>
      </dgm:t>
    </dgm:pt>
    <dgm:pt modelId="{0F9FF811-076F-4D72-9B5F-CC6488BFD860}" type="pres">
      <dgm:prSet presAssocID="{A554B4A2-DDE8-4E97-B876-902BE27710D7}" presName="text0" presStyleLbl="node1" presStyleIdx="2" presStyleCnt="5" custScaleX="154528" custScaleY="75732" custRadScaleRad="150218" custRadScaleInc="-331978">
        <dgm:presLayoutVars>
          <dgm:bulletEnabled val="1"/>
        </dgm:presLayoutVars>
      </dgm:prSet>
      <dgm:spPr/>
      <dgm:t>
        <a:bodyPr/>
        <a:lstStyle/>
        <a:p>
          <a:endParaRPr lang="en-US"/>
        </a:p>
      </dgm:t>
    </dgm:pt>
    <dgm:pt modelId="{2CC507F3-5552-46B2-AC30-FC0E48562F3D}" type="pres">
      <dgm:prSet presAssocID="{1F6EA2C1-1D13-407D-BC16-DB7A9F41DDB7}" presName="Name56" presStyleLbl="parChTrans1D2" presStyleIdx="2" presStyleCnt="4"/>
      <dgm:spPr/>
      <dgm:t>
        <a:bodyPr/>
        <a:lstStyle/>
        <a:p>
          <a:endParaRPr lang="en-US"/>
        </a:p>
      </dgm:t>
    </dgm:pt>
    <dgm:pt modelId="{3273B583-4232-4352-AFFD-0934AEF089C2}" type="pres">
      <dgm:prSet presAssocID="{944232F7-ADDE-4A91-A0CA-28872153465A}" presName="text0" presStyleLbl="node1" presStyleIdx="3" presStyleCnt="5" custScaleX="260329" custScaleY="78069" custRadScaleRad="119034" custRadScaleInc="-75562">
        <dgm:presLayoutVars>
          <dgm:bulletEnabled val="1"/>
        </dgm:presLayoutVars>
      </dgm:prSet>
      <dgm:spPr/>
      <dgm:t>
        <a:bodyPr/>
        <a:lstStyle/>
        <a:p>
          <a:endParaRPr lang="en-US"/>
        </a:p>
      </dgm:t>
    </dgm:pt>
    <dgm:pt modelId="{4262C4E0-8DC6-441A-96B2-AA11A9A53898}" type="pres">
      <dgm:prSet presAssocID="{DCF21873-C550-4087-A7F3-ED9C417A9828}" presName="Name56" presStyleLbl="parChTrans1D2" presStyleIdx="3" presStyleCnt="4"/>
      <dgm:spPr/>
      <dgm:t>
        <a:bodyPr/>
        <a:lstStyle/>
        <a:p>
          <a:endParaRPr lang="en-US"/>
        </a:p>
      </dgm:t>
    </dgm:pt>
    <dgm:pt modelId="{18409BC0-0EC2-485E-8F29-1B6807CA36E4}" type="pres">
      <dgm:prSet presAssocID="{4363C25A-D1D1-49EA-90C7-6747C016904C}" presName="text0" presStyleLbl="node1" presStyleIdx="4" presStyleCnt="5" custScaleX="242975" custRadScaleRad="212836" custRadScaleInc="-554">
        <dgm:presLayoutVars>
          <dgm:bulletEnabled val="1"/>
        </dgm:presLayoutVars>
      </dgm:prSet>
      <dgm:spPr/>
      <dgm:t>
        <a:bodyPr/>
        <a:lstStyle/>
        <a:p>
          <a:endParaRPr lang="en-US"/>
        </a:p>
      </dgm:t>
    </dgm:pt>
  </dgm:ptLst>
  <dgm:cxnLst>
    <dgm:cxn modelId="{352F73D1-557B-4F7E-BF66-2DA6F7EC6F9A}" srcId="{927F46BF-DBE6-4C22-ADD5-121C795E1A9C}" destId="{AD294E98-6B85-47BF-8C24-65A2A0ED6B7E}" srcOrd="0" destOrd="0" parTransId="{EF7EDD28-09FF-4EC3-8E09-7529B00F79FC}" sibTransId="{62F418A4-C34A-4E32-AAED-0F5513511CEF}"/>
    <dgm:cxn modelId="{EF349672-5965-4FC7-B2C1-556EC8B6FB06}" type="presOf" srcId="{944232F7-ADDE-4A91-A0CA-28872153465A}" destId="{3273B583-4232-4352-AFFD-0934AEF089C2}" srcOrd="0" destOrd="0" presId="urn:microsoft.com/office/officeart/2008/layout/RadialCluster"/>
    <dgm:cxn modelId="{E05AFDDD-A78E-4833-B718-55F0EE2667D3}" srcId="{AD294E98-6B85-47BF-8C24-65A2A0ED6B7E}" destId="{A554B4A2-DDE8-4E97-B876-902BE27710D7}" srcOrd="1" destOrd="0" parTransId="{A88A1646-5F5B-44BC-8945-344078B5C428}" sibTransId="{0506AC6C-9063-4F0D-8E98-D2DF92D84012}"/>
    <dgm:cxn modelId="{E006EF8E-A532-4F3A-B78F-2072B6A755DA}" type="presOf" srcId="{AD294E98-6B85-47BF-8C24-65A2A0ED6B7E}" destId="{9503E387-AC42-4593-B327-44A8CBD73809}" srcOrd="0" destOrd="0" presId="urn:microsoft.com/office/officeart/2008/layout/RadialCluster"/>
    <dgm:cxn modelId="{82D21A7F-FF4A-4596-AA7F-F9D1CFFBDAC8}" srcId="{AD294E98-6B85-47BF-8C24-65A2A0ED6B7E}" destId="{4363C25A-D1D1-49EA-90C7-6747C016904C}" srcOrd="3" destOrd="0" parTransId="{DCF21873-C550-4087-A7F3-ED9C417A9828}" sibTransId="{8A992FFF-927C-4377-94CC-ADDBCFB0D680}"/>
    <dgm:cxn modelId="{9A396E9C-0B7A-4D76-BF04-61BFEF5A8C2A}" type="presOf" srcId="{8866611C-FF5A-4A58-86DA-E14BD0B76BDF}" destId="{636D319B-255B-4718-BC39-C9EA36CDA09F}" srcOrd="0" destOrd="0" presId="urn:microsoft.com/office/officeart/2008/layout/RadialCluster"/>
    <dgm:cxn modelId="{6F21FB94-B4B6-482F-B038-D84A7EC54322}" type="presOf" srcId="{4363C25A-D1D1-49EA-90C7-6747C016904C}" destId="{18409BC0-0EC2-485E-8F29-1B6807CA36E4}" srcOrd="0" destOrd="0" presId="urn:microsoft.com/office/officeart/2008/layout/RadialCluster"/>
    <dgm:cxn modelId="{B50E3A98-F9F7-4282-A922-11D8139DF675}" type="presOf" srcId="{1F6EA2C1-1D13-407D-BC16-DB7A9F41DDB7}" destId="{2CC507F3-5552-46B2-AC30-FC0E48562F3D}" srcOrd="0" destOrd="0" presId="urn:microsoft.com/office/officeart/2008/layout/RadialCluster"/>
    <dgm:cxn modelId="{93EDBEC8-5557-4435-AA9A-40F981E701F7}" type="presOf" srcId="{A88A1646-5F5B-44BC-8945-344078B5C428}" destId="{F6B03033-96AB-44C5-960C-C5BF5A37217A}" srcOrd="0" destOrd="0" presId="urn:microsoft.com/office/officeart/2008/layout/RadialCluster"/>
    <dgm:cxn modelId="{4EAE1B5F-8E78-45D1-A65E-E898931EECFA}" type="presOf" srcId="{927F46BF-DBE6-4C22-ADD5-121C795E1A9C}" destId="{95727A0D-52DB-4572-A1EC-0B603DCCEFA5}" srcOrd="0" destOrd="0" presId="urn:microsoft.com/office/officeart/2008/layout/RadialCluster"/>
    <dgm:cxn modelId="{6A9E02F7-EEF9-43CC-A04B-638010DC7C3F}" srcId="{AD294E98-6B85-47BF-8C24-65A2A0ED6B7E}" destId="{024B7CCE-7187-4ADD-85BC-6F847B3B2403}" srcOrd="0" destOrd="0" parTransId="{8866611C-FF5A-4A58-86DA-E14BD0B76BDF}" sibTransId="{70168775-DEF4-4617-9310-723AF1538AEF}"/>
    <dgm:cxn modelId="{BB8A9419-75B7-4735-BDB1-EE2D57A2590D}" srcId="{AD294E98-6B85-47BF-8C24-65A2A0ED6B7E}" destId="{944232F7-ADDE-4A91-A0CA-28872153465A}" srcOrd="2" destOrd="0" parTransId="{1F6EA2C1-1D13-407D-BC16-DB7A9F41DDB7}" sibTransId="{F1B79130-E7A1-4081-B4C4-857936A2AE56}"/>
    <dgm:cxn modelId="{239B3AC4-F246-46F7-A363-E4CA4C3A6BB0}" type="presOf" srcId="{024B7CCE-7187-4ADD-85BC-6F847B3B2403}" destId="{AB251200-1885-4F51-9D0D-3923766ACFBF}" srcOrd="0" destOrd="0" presId="urn:microsoft.com/office/officeart/2008/layout/RadialCluster"/>
    <dgm:cxn modelId="{F4EA6281-AEA3-459B-9425-C6D35DDAAF5C}" type="presOf" srcId="{A554B4A2-DDE8-4E97-B876-902BE27710D7}" destId="{0F9FF811-076F-4D72-9B5F-CC6488BFD860}" srcOrd="0" destOrd="0" presId="urn:microsoft.com/office/officeart/2008/layout/RadialCluster"/>
    <dgm:cxn modelId="{B10221E0-BBB4-43B7-96C8-0DD50796579E}" type="presOf" srcId="{DCF21873-C550-4087-A7F3-ED9C417A9828}" destId="{4262C4E0-8DC6-441A-96B2-AA11A9A53898}" srcOrd="0" destOrd="0" presId="urn:microsoft.com/office/officeart/2008/layout/RadialCluster"/>
    <dgm:cxn modelId="{01875F78-FD2C-4AEA-A95E-AF18A6C42474}" type="presParOf" srcId="{95727A0D-52DB-4572-A1EC-0B603DCCEFA5}" destId="{ADDF17D4-6AEC-441A-8846-1F833EE38A56}" srcOrd="0" destOrd="0" presId="urn:microsoft.com/office/officeart/2008/layout/RadialCluster"/>
    <dgm:cxn modelId="{396E6085-F5FB-4002-BB96-821B97F90AEA}" type="presParOf" srcId="{ADDF17D4-6AEC-441A-8846-1F833EE38A56}" destId="{9503E387-AC42-4593-B327-44A8CBD73809}" srcOrd="0" destOrd="0" presId="urn:microsoft.com/office/officeart/2008/layout/RadialCluster"/>
    <dgm:cxn modelId="{560EDBF3-CAA2-4FB9-AC4C-9162296FFB2A}" type="presParOf" srcId="{ADDF17D4-6AEC-441A-8846-1F833EE38A56}" destId="{636D319B-255B-4718-BC39-C9EA36CDA09F}" srcOrd="1" destOrd="0" presId="urn:microsoft.com/office/officeart/2008/layout/RadialCluster"/>
    <dgm:cxn modelId="{AEE3A08C-C6B4-4469-BA22-B2DFC5BAA9AE}" type="presParOf" srcId="{ADDF17D4-6AEC-441A-8846-1F833EE38A56}" destId="{AB251200-1885-4F51-9D0D-3923766ACFBF}" srcOrd="2" destOrd="0" presId="urn:microsoft.com/office/officeart/2008/layout/RadialCluster"/>
    <dgm:cxn modelId="{49BF43B8-6B40-4B24-AE92-0358CFA74B9C}" type="presParOf" srcId="{ADDF17D4-6AEC-441A-8846-1F833EE38A56}" destId="{F6B03033-96AB-44C5-960C-C5BF5A37217A}" srcOrd="3" destOrd="0" presId="urn:microsoft.com/office/officeart/2008/layout/RadialCluster"/>
    <dgm:cxn modelId="{F50EAB40-E435-4F89-9966-56ACAEA3B818}" type="presParOf" srcId="{ADDF17D4-6AEC-441A-8846-1F833EE38A56}" destId="{0F9FF811-076F-4D72-9B5F-CC6488BFD860}" srcOrd="4" destOrd="0" presId="urn:microsoft.com/office/officeart/2008/layout/RadialCluster"/>
    <dgm:cxn modelId="{EBBE33FA-A893-4E92-AA2C-D6661B3E650F}" type="presParOf" srcId="{ADDF17D4-6AEC-441A-8846-1F833EE38A56}" destId="{2CC507F3-5552-46B2-AC30-FC0E48562F3D}" srcOrd="5" destOrd="0" presId="urn:microsoft.com/office/officeart/2008/layout/RadialCluster"/>
    <dgm:cxn modelId="{AE0AA86E-3389-43C0-AF71-82B41336518F}" type="presParOf" srcId="{ADDF17D4-6AEC-441A-8846-1F833EE38A56}" destId="{3273B583-4232-4352-AFFD-0934AEF089C2}" srcOrd="6" destOrd="0" presId="urn:microsoft.com/office/officeart/2008/layout/RadialCluster"/>
    <dgm:cxn modelId="{40867A5D-C313-49DB-9B41-67976770FD10}" type="presParOf" srcId="{ADDF17D4-6AEC-441A-8846-1F833EE38A56}" destId="{4262C4E0-8DC6-441A-96B2-AA11A9A53898}" srcOrd="7" destOrd="0" presId="urn:microsoft.com/office/officeart/2008/layout/RadialCluster"/>
    <dgm:cxn modelId="{E294AACD-CE44-4A3F-A05C-73FEEE5C123E}" type="presParOf" srcId="{ADDF17D4-6AEC-441A-8846-1F833EE38A56}" destId="{18409BC0-0EC2-485E-8F29-1B6807CA36E4}" srcOrd="8" destOrd="0" presId="urn:microsoft.com/office/officeart/2008/layout/RadialCluster"/>
  </dgm:cxnLst>
  <dgm:bg/>
  <dgm:whole>
    <a:ln>
      <a:solidFill>
        <a:schemeClr val="bg1">
          <a:lumMod val="50000"/>
        </a:schemeClr>
      </a:solidFill>
    </a:ln>
  </dgm:whole>
  <dgm:extLst>
    <a:ext uri="http://schemas.microsoft.com/office/drawing/2008/diagram">
      <dsp:dataModelExt xmlns:dsp="http://schemas.microsoft.com/office/drawing/2008/diagram" relId="rId7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27F46BF-DBE6-4C22-ADD5-121C795E1A9C}"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n-US"/>
        </a:p>
      </dgm:t>
    </dgm:pt>
    <dgm:pt modelId="{AD294E98-6B85-47BF-8C24-65A2A0ED6B7E}">
      <dgm:prSet phldrT="[Texto]" custT="1">
        <dgm:style>
          <a:lnRef idx="2">
            <a:schemeClr val="accent1"/>
          </a:lnRef>
          <a:fillRef idx="1">
            <a:schemeClr val="lt1"/>
          </a:fillRef>
          <a:effectRef idx="0">
            <a:schemeClr val="accent1"/>
          </a:effectRef>
          <a:fontRef idx="minor">
            <a:schemeClr val="dk1"/>
          </a:fontRef>
        </dgm:style>
      </dgm:prSet>
      <dgm:spPr>
        <a:xfrm>
          <a:off x="2095624" y="1016000"/>
          <a:ext cx="1002496" cy="523243"/>
        </a:xfrm>
        <a:prstGeom prst="roundRect">
          <a:avLst/>
        </a:prstGeom>
        <a:solidFill>
          <a:sysClr val="window" lastClr="FFFFFF"/>
        </a:solidFill>
        <a:ln w="25400" cap="flat" cmpd="sng" algn="ctr">
          <a:solidFill>
            <a:srgbClr val="4F81BD"/>
          </a:solidFill>
          <a:prstDash val="solid"/>
        </a:ln>
        <a:effectLst/>
      </dgm:spPr>
      <dgm:t>
        <a:bodyPr/>
        <a:lstStyle/>
        <a:p>
          <a:r>
            <a:rPr lang="en-US" sz="900">
              <a:solidFill>
                <a:sysClr val="windowText" lastClr="000000"/>
              </a:solidFill>
              <a:latin typeface="Calibri"/>
              <a:ea typeface="+mn-ea"/>
              <a:cs typeface="+mn-cs"/>
            </a:rPr>
            <a:t>PEDIDO (Applications)</a:t>
          </a:r>
        </a:p>
      </dgm:t>
    </dgm:pt>
    <dgm:pt modelId="{EF7EDD28-09FF-4EC3-8E09-7529B00F79FC}" type="parTrans" cxnId="{352F73D1-557B-4F7E-BF66-2DA6F7EC6F9A}">
      <dgm:prSet/>
      <dgm:spPr/>
      <dgm:t>
        <a:bodyPr/>
        <a:lstStyle/>
        <a:p>
          <a:endParaRPr lang="en-US"/>
        </a:p>
      </dgm:t>
    </dgm:pt>
    <dgm:pt modelId="{62F418A4-C34A-4E32-AAED-0F5513511CEF}" type="sibTrans" cxnId="{352F73D1-557B-4F7E-BF66-2DA6F7EC6F9A}">
      <dgm:prSet/>
      <dgm:spPr/>
      <dgm:t>
        <a:bodyPr/>
        <a:lstStyle/>
        <a:p>
          <a:endParaRPr lang="en-US"/>
        </a:p>
      </dgm:t>
    </dgm:pt>
    <dgm:pt modelId="{A554B4A2-DDE8-4E97-B876-902BE27710D7}">
      <dgm:prSet phldrT="[Texto]" custT="1">
        <dgm:style>
          <a:lnRef idx="2">
            <a:schemeClr val="accent1"/>
          </a:lnRef>
          <a:fillRef idx="1">
            <a:schemeClr val="lt1"/>
          </a:fillRef>
          <a:effectRef idx="0">
            <a:schemeClr val="accent1"/>
          </a:effectRef>
          <a:fontRef idx="minor">
            <a:schemeClr val="dk1"/>
          </a:fontRef>
        </dgm:style>
      </dgm:prSet>
      <dgm:spPr>
        <a:xfrm>
          <a:off x="3460752" y="1802020"/>
          <a:ext cx="800395" cy="393722"/>
        </a:xfrm>
        <a:prstGeom prst="roundRect">
          <a:avLst/>
        </a:prstGeom>
        <a:solidFill>
          <a:sysClr val="window" lastClr="FFFFFF"/>
        </a:solidFill>
        <a:ln w="25400" cap="flat" cmpd="sng" algn="ctr">
          <a:solidFill>
            <a:srgbClr val="4F81BD"/>
          </a:solidFill>
          <a:prstDash val="solid"/>
        </a:ln>
        <a:effectLst/>
      </dgm:spPr>
      <dgm:t>
        <a:bodyPr/>
        <a:lstStyle/>
        <a:p>
          <a:r>
            <a:rPr lang="en-US" sz="800">
              <a:solidFill>
                <a:sysClr val="windowText" lastClr="000000"/>
              </a:solidFill>
              <a:latin typeface="Calibri"/>
              <a:ea typeface="+mn-ea"/>
              <a:cs typeface="+mn-cs"/>
            </a:rPr>
            <a:t>DESPACHO (Publications)</a:t>
          </a:r>
        </a:p>
      </dgm:t>
    </dgm:pt>
    <dgm:pt modelId="{A88A1646-5F5B-44BC-8945-344078B5C428}" type="parTrans" cxnId="{E05AFDDD-A78E-4833-B718-55F0EE2667D3}">
      <dgm:prSet/>
      <dgm:spPr>
        <a:xfrm rot="1782497">
          <a:off x="3020544" y="1670632"/>
          <a:ext cx="530234" cy="0"/>
        </a:xfrm>
        <a:custGeom>
          <a:avLst/>
          <a:gdLst/>
          <a:ahLst/>
          <a:cxnLst/>
          <a:rect l="0" t="0" r="0" b="0"/>
          <a:pathLst>
            <a:path>
              <a:moveTo>
                <a:pt x="0" y="0"/>
              </a:moveTo>
              <a:lnTo>
                <a:pt x="530234"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0506AC6C-9063-4F0D-8E98-D2DF92D84012}" type="sibTrans" cxnId="{E05AFDDD-A78E-4833-B718-55F0EE2667D3}">
      <dgm:prSet/>
      <dgm:spPr/>
      <dgm:t>
        <a:bodyPr/>
        <a:lstStyle/>
        <a:p>
          <a:endParaRPr lang="en-US"/>
        </a:p>
      </dgm:t>
    </dgm:pt>
    <dgm:pt modelId="{3AF0E833-7F62-4F0A-A84F-C97FB5F13C93}">
      <dgm:prSet phldrT="[Texto]" custT="1">
        <dgm:style>
          <a:lnRef idx="2">
            <a:schemeClr val="accent1"/>
          </a:lnRef>
          <a:fillRef idx="1">
            <a:schemeClr val="lt1"/>
          </a:fillRef>
          <a:effectRef idx="0">
            <a:schemeClr val="accent1"/>
          </a:effectRef>
          <a:fontRef idx="minor">
            <a:schemeClr val="dk1"/>
          </a:fontRef>
        </dgm:style>
      </dgm:prSet>
      <dgm:spPr>
        <a:xfrm>
          <a:off x="799431" y="231266"/>
          <a:ext cx="1246015" cy="344499"/>
        </a:xfrm>
        <a:prstGeom prst="roundRect">
          <a:avLst/>
        </a:prstGeom>
        <a:solidFill>
          <a:sysClr val="window" lastClr="FFFFFF"/>
        </a:solidFill>
        <a:ln w="25400" cap="flat" cmpd="sng" algn="ctr">
          <a:solidFill>
            <a:srgbClr val="4F81BD"/>
          </a:solidFill>
          <a:prstDash val="solid"/>
        </a:ln>
        <a:effectLst/>
      </dgm:spPr>
      <dgm:t>
        <a:bodyPr/>
        <a:lstStyle/>
        <a:p>
          <a:r>
            <a:rPr lang="en-US" sz="800">
              <a:solidFill>
                <a:sysClr val="windowText" lastClr="000000"/>
              </a:solidFill>
              <a:latin typeface="Calibri"/>
              <a:ea typeface="+mn-ea"/>
              <a:cs typeface="+mn-cs"/>
            </a:rPr>
            <a:t>AUTOR</a:t>
          </a:r>
        </a:p>
        <a:p>
          <a:r>
            <a:rPr lang="en-US" sz="800">
              <a:solidFill>
                <a:sysClr val="windowText" lastClr="000000"/>
              </a:solidFill>
              <a:latin typeface="Calibri"/>
              <a:ea typeface="+mn-ea"/>
              <a:cs typeface="+mn-cs"/>
            </a:rPr>
            <a:t>(Authors)</a:t>
          </a:r>
        </a:p>
      </dgm:t>
    </dgm:pt>
    <dgm:pt modelId="{4446EF56-2AC0-41D6-9870-30539A519CC0}" type="parTrans" cxnId="{4F795688-6D37-4E8E-A47A-F4962EA666D2}">
      <dgm:prSet/>
      <dgm:spPr>
        <a:xfrm rot="12999571">
          <a:off x="1580947" y="795883"/>
          <a:ext cx="737338" cy="0"/>
        </a:xfrm>
        <a:custGeom>
          <a:avLst/>
          <a:gdLst/>
          <a:ahLst/>
          <a:cxnLst/>
          <a:rect l="0" t="0" r="0" b="0"/>
          <a:pathLst>
            <a:path>
              <a:moveTo>
                <a:pt x="0" y="0"/>
              </a:moveTo>
              <a:lnTo>
                <a:pt x="737338"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33694278-0C0A-48BA-B667-41F114C16162}" type="sibTrans" cxnId="{4F795688-6D37-4E8E-A47A-F4962EA666D2}">
      <dgm:prSet/>
      <dgm:spPr/>
      <dgm:t>
        <a:bodyPr/>
        <a:lstStyle/>
        <a:p>
          <a:endParaRPr lang="en-US"/>
        </a:p>
      </dgm:t>
    </dgm:pt>
    <dgm:pt modelId="{024B7CCE-7187-4ADD-85BC-6F847B3B2403}">
      <dgm:prSet phldrT="[Texto]" custT="1">
        <dgm:style>
          <a:lnRef idx="2">
            <a:schemeClr val="accent1"/>
          </a:lnRef>
          <a:fillRef idx="1">
            <a:schemeClr val="lt1"/>
          </a:fillRef>
          <a:effectRef idx="0">
            <a:schemeClr val="accent1"/>
          </a:effectRef>
          <a:fontRef idx="minor">
            <a:schemeClr val="dk1"/>
          </a:fontRef>
        </dgm:style>
      </dgm:prSet>
      <dgm:spPr>
        <a:xfrm>
          <a:off x="3148710" y="253551"/>
          <a:ext cx="959741" cy="359767"/>
        </a:xfrm>
        <a:prstGeom prst="roundRect">
          <a:avLst/>
        </a:prstGeom>
        <a:solidFill>
          <a:sysClr val="window" lastClr="FFFFFF"/>
        </a:solidFill>
        <a:ln w="25400" cap="flat" cmpd="sng" algn="ctr">
          <a:solidFill>
            <a:srgbClr val="4F81BD"/>
          </a:solidFill>
          <a:prstDash val="solid"/>
        </a:ln>
        <a:effectLst/>
      </dgm:spPr>
      <dgm:t>
        <a:bodyPr/>
        <a:lstStyle/>
        <a:p>
          <a:r>
            <a:rPr lang="en-US" sz="800">
              <a:solidFill>
                <a:sysClr val="windowText" lastClr="000000"/>
              </a:solidFill>
              <a:latin typeface="Calibri"/>
              <a:ea typeface="+mn-ea"/>
              <a:cs typeface="+mn-cs"/>
            </a:rPr>
            <a:t>DEPOSITANTE</a:t>
          </a:r>
        </a:p>
        <a:p>
          <a:r>
            <a:rPr lang="en-US" sz="800">
              <a:solidFill>
                <a:sysClr val="windowText" lastClr="000000"/>
              </a:solidFill>
              <a:latin typeface="Calibri"/>
              <a:ea typeface="+mn-ea"/>
              <a:cs typeface="+mn-cs"/>
            </a:rPr>
            <a:t>(Applicants)</a:t>
          </a:r>
        </a:p>
      </dgm:t>
    </dgm:pt>
    <dgm:pt modelId="{8866611C-FF5A-4A58-86DA-E14BD0B76BDF}" type="parTrans" cxnId="{6A9E02F7-EEF9-43CC-A04B-638010DC7C3F}">
      <dgm:prSet/>
      <dgm:spPr>
        <a:xfrm rot="19242511">
          <a:off x="2844734" y="814659"/>
          <a:ext cx="635879" cy="0"/>
        </a:xfrm>
        <a:custGeom>
          <a:avLst/>
          <a:gdLst/>
          <a:ahLst/>
          <a:cxnLst/>
          <a:rect l="0" t="0" r="0" b="0"/>
          <a:pathLst>
            <a:path>
              <a:moveTo>
                <a:pt x="0" y="0"/>
              </a:moveTo>
              <a:lnTo>
                <a:pt x="635879"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70168775-DEF4-4617-9310-723AF1538AEF}" type="sibTrans" cxnId="{6A9E02F7-EEF9-43CC-A04B-638010DC7C3F}">
      <dgm:prSet/>
      <dgm:spPr/>
      <dgm:t>
        <a:bodyPr/>
        <a:lstStyle/>
        <a:p>
          <a:endParaRPr lang="en-US"/>
        </a:p>
      </dgm:t>
    </dgm:pt>
    <dgm:pt modelId="{944232F7-ADDE-4A91-A0CA-28872153465A}">
      <dgm:prSet phldrT="[Texto]" custT="1">
        <dgm:style>
          <a:lnRef idx="2">
            <a:schemeClr val="accent1"/>
          </a:lnRef>
          <a:fillRef idx="1">
            <a:schemeClr val="lt1"/>
          </a:fillRef>
          <a:effectRef idx="0">
            <a:schemeClr val="accent1"/>
          </a:effectRef>
          <a:fontRef idx="minor">
            <a:schemeClr val="dk1"/>
          </a:fontRef>
        </dgm:style>
      </dgm:prSet>
      <dgm:spPr>
        <a:xfrm>
          <a:off x="891031" y="1793017"/>
          <a:ext cx="1246015" cy="373662"/>
        </a:xfrm>
        <a:prstGeom prst="roundRect">
          <a:avLst/>
        </a:prstGeom>
        <a:solidFill>
          <a:sysClr val="window" lastClr="FFFFFF"/>
        </a:solidFill>
        <a:ln w="25400" cap="flat" cmpd="sng" algn="ctr">
          <a:solidFill>
            <a:srgbClr val="4F81BD"/>
          </a:solidFill>
          <a:prstDash val="solid"/>
        </a:ln>
        <a:effectLst/>
      </dgm:spPr>
      <dgm:t>
        <a:bodyPr/>
        <a:lstStyle/>
        <a:p>
          <a:r>
            <a:rPr lang="en-US" sz="800">
              <a:solidFill>
                <a:sysClr val="windowText" lastClr="000000"/>
              </a:solidFill>
              <a:latin typeface="Calibri"/>
              <a:ea typeface="+mn-ea"/>
              <a:cs typeface="+mn-cs"/>
            </a:rPr>
            <a:t>CLASSIFICAÇÃO</a:t>
          </a:r>
        </a:p>
        <a:p>
          <a:r>
            <a:rPr lang="en-US" sz="800">
              <a:solidFill>
                <a:sysClr val="windowText" lastClr="000000"/>
              </a:solidFill>
              <a:latin typeface="Calibri"/>
              <a:ea typeface="+mn-ea"/>
              <a:cs typeface="+mn-cs"/>
            </a:rPr>
            <a:t>(Locarno Classification)</a:t>
          </a:r>
        </a:p>
      </dgm:t>
    </dgm:pt>
    <dgm:pt modelId="{1F6EA2C1-1D13-407D-BC16-DB7A9F41DDB7}" type="parTrans" cxnId="{BB8A9419-75B7-4735-BDB1-EE2D57A2590D}">
      <dgm:prSet/>
      <dgm:spPr>
        <a:xfrm rot="8822174">
          <a:off x="1764591" y="1666131"/>
          <a:ext cx="466402" cy="0"/>
        </a:xfrm>
        <a:custGeom>
          <a:avLst/>
          <a:gdLst/>
          <a:ahLst/>
          <a:cxnLst/>
          <a:rect l="0" t="0" r="0" b="0"/>
          <a:pathLst>
            <a:path>
              <a:moveTo>
                <a:pt x="0" y="0"/>
              </a:moveTo>
              <a:lnTo>
                <a:pt x="466402"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F1B79130-E7A1-4081-B4C4-857936A2AE56}" type="sibTrans" cxnId="{BB8A9419-75B7-4735-BDB1-EE2D57A2590D}">
      <dgm:prSet/>
      <dgm:spPr/>
      <dgm:t>
        <a:bodyPr/>
        <a:lstStyle/>
        <a:p>
          <a:endParaRPr lang="en-US"/>
        </a:p>
      </dgm:t>
    </dgm:pt>
    <dgm:pt modelId="{69A806FC-99AC-4B30-8639-9EF2519BE417}">
      <dgm:prSet custT="1">
        <dgm:style>
          <a:lnRef idx="2">
            <a:schemeClr val="accent2"/>
          </a:lnRef>
          <a:fillRef idx="1">
            <a:schemeClr val="lt1"/>
          </a:fillRef>
          <a:effectRef idx="0">
            <a:schemeClr val="accent2"/>
          </a:effectRef>
          <a:fontRef idx="minor">
            <a:schemeClr val="dk1"/>
          </a:fontRef>
        </dgm:style>
      </dgm:prSet>
      <dgm:spPr>
        <a:xfrm>
          <a:off x="82394" y="976960"/>
          <a:ext cx="1092509" cy="478631"/>
        </a:xfrm>
        <a:prstGeom prst="roundRect">
          <a:avLst/>
        </a:prstGeom>
        <a:solidFill>
          <a:sysClr val="window" lastClr="FFFFFF"/>
        </a:solidFill>
        <a:ln w="25400" cap="flat" cmpd="sng" algn="ctr">
          <a:solidFill>
            <a:srgbClr val="C0504D"/>
          </a:solidFill>
          <a:prstDash val="solid"/>
        </a:ln>
        <a:effectLst/>
      </dgm:spPr>
      <dgm:t>
        <a:bodyPr/>
        <a:lstStyle/>
        <a:p>
          <a:r>
            <a:rPr lang="en-US" sz="900">
              <a:solidFill>
                <a:sysClr val="windowText" lastClr="000000"/>
              </a:solidFill>
              <a:latin typeface="Calibri"/>
              <a:ea typeface="+mn-ea"/>
              <a:cs typeface="+mn-cs"/>
            </a:rPr>
            <a:t>FIRM DATA</a:t>
          </a:r>
        </a:p>
        <a:p>
          <a:r>
            <a:rPr lang="en-US" sz="900">
              <a:solidFill>
                <a:sysClr val="windowText" lastClr="000000"/>
              </a:solidFill>
              <a:latin typeface="Calibri"/>
              <a:ea typeface="+mn-ea"/>
              <a:cs typeface="+mn-cs"/>
            </a:rPr>
            <a:t>(IBGE's database)</a:t>
          </a:r>
        </a:p>
      </dgm:t>
    </dgm:pt>
    <dgm:pt modelId="{9A16E767-9BC3-453D-8BE9-068392F5FB31}" type="parTrans" cxnId="{57EB656C-055D-4293-801A-969A6866B2E9}">
      <dgm:prSet/>
      <dgm:spPr>
        <a:xfrm rot="10907114">
          <a:off x="1174680" y="1247650"/>
          <a:ext cx="921168" cy="0"/>
        </a:xfrm>
        <a:custGeom>
          <a:avLst/>
          <a:gdLst/>
          <a:ahLst/>
          <a:cxnLst/>
          <a:rect l="0" t="0" r="0" b="0"/>
          <a:pathLst>
            <a:path>
              <a:moveTo>
                <a:pt x="0" y="0"/>
              </a:moveTo>
              <a:lnTo>
                <a:pt x="921168" y="0"/>
              </a:lnTo>
            </a:path>
          </a:pathLst>
        </a:custGeom>
        <a:noFill/>
        <a:ln w="25400" cap="flat" cmpd="sng" algn="ctr">
          <a:solidFill>
            <a:srgbClr val="C0504D"/>
          </a:solidFill>
          <a:prstDash val="solid"/>
        </a:ln>
        <a:effectLst/>
      </dgm:spPr>
      <dgm:t>
        <a:bodyPr/>
        <a:lstStyle/>
        <a:p>
          <a:endParaRPr lang="en-US"/>
        </a:p>
      </dgm:t>
    </dgm:pt>
    <dgm:pt modelId="{2297A7D2-C8C8-42D2-8C33-91A4F74CE15F}" type="sibTrans" cxnId="{57EB656C-055D-4293-801A-969A6866B2E9}">
      <dgm:prSet/>
      <dgm:spPr/>
      <dgm:t>
        <a:bodyPr/>
        <a:lstStyle/>
        <a:p>
          <a:endParaRPr lang="en-US"/>
        </a:p>
      </dgm:t>
    </dgm:pt>
    <dgm:pt modelId="{95727A0D-52DB-4572-A1EC-0B603DCCEFA5}" type="pres">
      <dgm:prSet presAssocID="{927F46BF-DBE6-4C22-ADD5-121C795E1A9C}" presName="Name0" presStyleCnt="0">
        <dgm:presLayoutVars>
          <dgm:chMax val="1"/>
          <dgm:chPref val="1"/>
          <dgm:dir/>
          <dgm:animOne val="branch"/>
          <dgm:animLvl val="lvl"/>
        </dgm:presLayoutVars>
      </dgm:prSet>
      <dgm:spPr/>
      <dgm:t>
        <a:bodyPr/>
        <a:lstStyle/>
        <a:p>
          <a:endParaRPr lang="en-US"/>
        </a:p>
      </dgm:t>
    </dgm:pt>
    <dgm:pt modelId="{ADDF17D4-6AEC-441A-8846-1F833EE38A56}" type="pres">
      <dgm:prSet presAssocID="{AD294E98-6B85-47BF-8C24-65A2A0ED6B7E}" presName="singleCycle" presStyleCnt="0"/>
      <dgm:spPr/>
    </dgm:pt>
    <dgm:pt modelId="{9503E387-AC42-4593-B327-44A8CBD73809}" type="pres">
      <dgm:prSet presAssocID="{AD294E98-6B85-47BF-8C24-65A2A0ED6B7E}" presName="singleCenter" presStyleLbl="node1" presStyleIdx="0" presStyleCnt="6" custScaleX="140332" custScaleY="73245">
        <dgm:presLayoutVars>
          <dgm:chMax val="7"/>
          <dgm:chPref val="7"/>
        </dgm:presLayoutVars>
      </dgm:prSet>
      <dgm:spPr/>
      <dgm:t>
        <a:bodyPr/>
        <a:lstStyle/>
        <a:p>
          <a:endParaRPr lang="en-US"/>
        </a:p>
      </dgm:t>
    </dgm:pt>
    <dgm:pt modelId="{636D319B-255B-4718-BC39-C9EA36CDA09F}" type="pres">
      <dgm:prSet presAssocID="{8866611C-FF5A-4A58-86DA-E14BD0B76BDF}" presName="Name56" presStyleLbl="parChTrans1D2" presStyleIdx="0" presStyleCnt="5"/>
      <dgm:spPr/>
      <dgm:t>
        <a:bodyPr/>
        <a:lstStyle/>
        <a:p>
          <a:endParaRPr lang="en-US"/>
        </a:p>
      </dgm:t>
    </dgm:pt>
    <dgm:pt modelId="{AB251200-1885-4F51-9D0D-3923766ACFBF}" type="pres">
      <dgm:prSet presAssocID="{024B7CCE-7187-4ADD-85BC-6F847B3B2403}" presName="text0" presStyleLbl="node1" presStyleIdx="1" presStyleCnt="6" custScaleX="200518" custScaleY="75166" custRadScaleRad="133315" custRadScaleInc="140857">
        <dgm:presLayoutVars>
          <dgm:bulletEnabled val="1"/>
        </dgm:presLayoutVars>
      </dgm:prSet>
      <dgm:spPr/>
      <dgm:t>
        <a:bodyPr/>
        <a:lstStyle/>
        <a:p>
          <a:endParaRPr lang="en-US"/>
        </a:p>
      </dgm:t>
    </dgm:pt>
    <dgm:pt modelId="{DE44532B-2937-4A00-8558-F11E3B769910}" type="pres">
      <dgm:prSet presAssocID="{4446EF56-2AC0-41D6-9870-30539A519CC0}" presName="Name56" presStyleLbl="parChTrans1D2" presStyleIdx="1" presStyleCnt="5"/>
      <dgm:spPr/>
      <dgm:t>
        <a:bodyPr/>
        <a:lstStyle/>
        <a:p>
          <a:endParaRPr lang="en-US"/>
        </a:p>
      </dgm:t>
    </dgm:pt>
    <dgm:pt modelId="{D5D88E9E-4FF8-4C3F-BD33-16054361FE93}" type="pres">
      <dgm:prSet presAssocID="{3AF0E833-7F62-4F0A-A84F-C97FB5F13C93}" presName="text0" presStyleLbl="node1" presStyleIdx="2" presStyleCnt="6" custScaleX="260329" custScaleY="71976" custRadScaleRad="146411" custRadScaleInc="-348168">
        <dgm:presLayoutVars>
          <dgm:bulletEnabled val="1"/>
        </dgm:presLayoutVars>
      </dgm:prSet>
      <dgm:spPr/>
      <dgm:t>
        <a:bodyPr/>
        <a:lstStyle/>
        <a:p>
          <a:endParaRPr lang="en-US"/>
        </a:p>
      </dgm:t>
    </dgm:pt>
    <dgm:pt modelId="{2CC507F3-5552-46B2-AC30-FC0E48562F3D}" type="pres">
      <dgm:prSet presAssocID="{1F6EA2C1-1D13-407D-BC16-DB7A9F41DDB7}" presName="Name56" presStyleLbl="parChTrans1D2" presStyleIdx="2" presStyleCnt="5"/>
      <dgm:spPr/>
      <dgm:t>
        <a:bodyPr/>
        <a:lstStyle/>
        <a:p>
          <a:endParaRPr lang="en-US"/>
        </a:p>
      </dgm:t>
    </dgm:pt>
    <dgm:pt modelId="{3273B583-4232-4352-AFFD-0934AEF089C2}" type="pres">
      <dgm:prSet presAssocID="{944232F7-ADDE-4A91-A0CA-28872153465A}" presName="text0" presStyleLbl="node1" presStyleIdx="3" presStyleCnt="6" custScaleX="260329" custScaleY="78069" custRadScaleRad="129068" custRadScaleInc="258434">
        <dgm:presLayoutVars>
          <dgm:bulletEnabled val="1"/>
        </dgm:presLayoutVars>
      </dgm:prSet>
      <dgm:spPr/>
      <dgm:t>
        <a:bodyPr/>
        <a:lstStyle/>
        <a:p>
          <a:endParaRPr lang="en-US"/>
        </a:p>
      </dgm:t>
    </dgm:pt>
    <dgm:pt modelId="{F6B03033-96AB-44C5-960C-C5BF5A37217A}" type="pres">
      <dgm:prSet presAssocID="{A88A1646-5F5B-44BC-8945-344078B5C428}" presName="Name56" presStyleLbl="parChTrans1D2" presStyleIdx="3" presStyleCnt="5"/>
      <dgm:spPr/>
      <dgm:t>
        <a:bodyPr/>
        <a:lstStyle/>
        <a:p>
          <a:endParaRPr lang="en-US"/>
        </a:p>
      </dgm:t>
    </dgm:pt>
    <dgm:pt modelId="{0F9FF811-076F-4D72-9B5F-CC6488BFD860}" type="pres">
      <dgm:prSet presAssocID="{A554B4A2-DDE8-4E97-B876-902BE27710D7}" presName="text0" presStyleLbl="node1" presStyleIdx="4" presStyleCnt="6" custScaleX="167226" custScaleY="82260" custRadScaleRad="145546" custRadScaleInc="-267477">
        <dgm:presLayoutVars>
          <dgm:bulletEnabled val="1"/>
        </dgm:presLayoutVars>
      </dgm:prSet>
      <dgm:spPr/>
      <dgm:t>
        <a:bodyPr/>
        <a:lstStyle/>
        <a:p>
          <a:endParaRPr lang="en-US"/>
        </a:p>
      </dgm:t>
    </dgm:pt>
    <dgm:pt modelId="{4E537C7B-AA7D-4C99-8DD7-A0F0583E734C}" type="pres">
      <dgm:prSet presAssocID="{9A16E767-9BC3-453D-8BE9-068392F5FB31}" presName="Name56" presStyleLbl="parChTrans1D2" presStyleIdx="4" presStyleCnt="5"/>
      <dgm:spPr/>
      <dgm:t>
        <a:bodyPr/>
        <a:lstStyle/>
        <a:p>
          <a:endParaRPr lang="en-US"/>
        </a:p>
      </dgm:t>
    </dgm:pt>
    <dgm:pt modelId="{3C42247D-8A3C-4CBD-89AB-989DFD55FE16}" type="pres">
      <dgm:prSet presAssocID="{69A806FC-99AC-4B30-8639-9EF2519BE417}" presName="text0" presStyleLbl="node1" presStyleIdx="5" presStyleCnt="6" custScaleX="228257" custRadScaleRad="196930" custRadScaleInc="-45041">
        <dgm:presLayoutVars>
          <dgm:bulletEnabled val="1"/>
        </dgm:presLayoutVars>
      </dgm:prSet>
      <dgm:spPr/>
      <dgm:t>
        <a:bodyPr/>
        <a:lstStyle/>
        <a:p>
          <a:endParaRPr lang="en-US"/>
        </a:p>
      </dgm:t>
    </dgm:pt>
  </dgm:ptLst>
  <dgm:cxnLst>
    <dgm:cxn modelId="{352F73D1-557B-4F7E-BF66-2DA6F7EC6F9A}" srcId="{927F46BF-DBE6-4C22-ADD5-121C795E1A9C}" destId="{AD294E98-6B85-47BF-8C24-65A2A0ED6B7E}" srcOrd="0" destOrd="0" parTransId="{EF7EDD28-09FF-4EC3-8E09-7529B00F79FC}" sibTransId="{62F418A4-C34A-4E32-AAED-0F5513511CEF}"/>
    <dgm:cxn modelId="{E05AFDDD-A78E-4833-B718-55F0EE2667D3}" srcId="{AD294E98-6B85-47BF-8C24-65A2A0ED6B7E}" destId="{A554B4A2-DDE8-4E97-B876-902BE27710D7}" srcOrd="3" destOrd="0" parTransId="{A88A1646-5F5B-44BC-8945-344078B5C428}" sibTransId="{0506AC6C-9063-4F0D-8E98-D2DF92D84012}"/>
    <dgm:cxn modelId="{D29AA540-20A0-4CF6-8074-BC426E448A81}" type="presOf" srcId="{AD294E98-6B85-47BF-8C24-65A2A0ED6B7E}" destId="{9503E387-AC42-4593-B327-44A8CBD73809}" srcOrd="0" destOrd="0" presId="urn:microsoft.com/office/officeart/2008/layout/RadialCluster"/>
    <dgm:cxn modelId="{414767E6-87C8-4A18-A5A3-B2CBD680E1EB}" type="presOf" srcId="{024B7CCE-7187-4ADD-85BC-6F847B3B2403}" destId="{AB251200-1885-4F51-9D0D-3923766ACFBF}" srcOrd="0" destOrd="0" presId="urn:microsoft.com/office/officeart/2008/layout/RadialCluster"/>
    <dgm:cxn modelId="{DF106FE3-27B7-4A27-A6C9-F6B93932E0A9}" type="presOf" srcId="{A554B4A2-DDE8-4E97-B876-902BE27710D7}" destId="{0F9FF811-076F-4D72-9B5F-CC6488BFD860}" srcOrd="0" destOrd="0" presId="urn:microsoft.com/office/officeart/2008/layout/RadialCluster"/>
    <dgm:cxn modelId="{4CBD5242-8ECC-42B2-B6E2-ACA003683DC6}" type="presOf" srcId="{8866611C-FF5A-4A58-86DA-E14BD0B76BDF}" destId="{636D319B-255B-4718-BC39-C9EA36CDA09F}" srcOrd="0" destOrd="0" presId="urn:microsoft.com/office/officeart/2008/layout/RadialCluster"/>
    <dgm:cxn modelId="{DB0412F5-9159-488A-B8D5-60A65D084480}" type="presOf" srcId="{A88A1646-5F5B-44BC-8945-344078B5C428}" destId="{F6B03033-96AB-44C5-960C-C5BF5A37217A}" srcOrd="0" destOrd="0" presId="urn:microsoft.com/office/officeart/2008/layout/RadialCluster"/>
    <dgm:cxn modelId="{57EB656C-055D-4293-801A-969A6866B2E9}" srcId="{AD294E98-6B85-47BF-8C24-65A2A0ED6B7E}" destId="{69A806FC-99AC-4B30-8639-9EF2519BE417}" srcOrd="4" destOrd="0" parTransId="{9A16E767-9BC3-453D-8BE9-068392F5FB31}" sibTransId="{2297A7D2-C8C8-42D2-8C33-91A4F74CE15F}"/>
    <dgm:cxn modelId="{691F79A3-8DFD-4B9C-9205-6AC33C08FB27}" type="presOf" srcId="{4446EF56-2AC0-41D6-9870-30539A519CC0}" destId="{DE44532B-2937-4A00-8558-F11E3B769910}" srcOrd="0" destOrd="0" presId="urn:microsoft.com/office/officeart/2008/layout/RadialCluster"/>
    <dgm:cxn modelId="{2E478095-EADB-4517-B08D-29C38B5451AC}" type="presOf" srcId="{1F6EA2C1-1D13-407D-BC16-DB7A9F41DDB7}" destId="{2CC507F3-5552-46B2-AC30-FC0E48562F3D}" srcOrd="0" destOrd="0" presId="urn:microsoft.com/office/officeart/2008/layout/RadialCluster"/>
    <dgm:cxn modelId="{527A976D-916B-4C82-B451-79E9D58E8F93}" type="presOf" srcId="{9A16E767-9BC3-453D-8BE9-068392F5FB31}" destId="{4E537C7B-AA7D-4C99-8DD7-A0F0583E734C}" srcOrd="0" destOrd="0" presId="urn:microsoft.com/office/officeart/2008/layout/RadialCluster"/>
    <dgm:cxn modelId="{6A9E02F7-EEF9-43CC-A04B-638010DC7C3F}" srcId="{AD294E98-6B85-47BF-8C24-65A2A0ED6B7E}" destId="{024B7CCE-7187-4ADD-85BC-6F847B3B2403}" srcOrd="0" destOrd="0" parTransId="{8866611C-FF5A-4A58-86DA-E14BD0B76BDF}" sibTransId="{70168775-DEF4-4617-9310-723AF1538AEF}"/>
    <dgm:cxn modelId="{169259E4-80FD-45A3-80ED-A6F93110CB29}" type="presOf" srcId="{927F46BF-DBE6-4C22-ADD5-121C795E1A9C}" destId="{95727A0D-52DB-4572-A1EC-0B603DCCEFA5}" srcOrd="0" destOrd="0" presId="urn:microsoft.com/office/officeart/2008/layout/RadialCluster"/>
    <dgm:cxn modelId="{4F795688-6D37-4E8E-A47A-F4962EA666D2}" srcId="{AD294E98-6B85-47BF-8C24-65A2A0ED6B7E}" destId="{3AF0E833-7F62-4F0A-A84F-C97FB5F13C93}" srcOrd="1" destOrd="0" parTransId="{4446EF56-2AC0-41D6-9870-30539A519CC0}" sibTransId="{33694278-0C0A-48BA-B667-41F114C16162}"/>
    <dgm:cxn modelId="{B40A2454-636E-45A2-B521-CAC346FC2D68}" type="presOf" srcId="{944232F7-ADDE-4A91-A0CA-28872153465A}" destId="{3273B583-4232-4352-AFFD-0934AEF089C2}" srcOrd="0" destOrd="0" presId="urn:microsoft.com/office/officeart/2008/layout/RadialCluster"/>
    <dgm:cxn modelId="{BB8A9419-75B7-4735-BDB1-EE2D57A2590D}" srcId="{AD294E98-6B85-47BF-8C24-65A2A0ED6B7E}" destId="{944232F7-ADDE-4A91-A0CA-28872153465A}" srcOrd="2" destOrd="0" parTransId="{1F6EA2C1-1D13-407D-BC16-DB7A9F41DDB7}" sibTransId="{F1B79130-E7A1-4081-B4C4-857936A2AE56}"/>
    <dgm:cxn modelId="{B929CD7E-E41D-49EB-86EC-CFC7AEF0277C}" type="presOf" srcId="{69A806FC-99AC-4B30-8639-9EF2519BE417}" destId="{3C42247D-8A3C-4CBD-89AB-989DFD55FE16}" srcOrd="0" destOrd="0" presId="urn:microsoft.com/office/officeart/2008/layout/RadialCluster"/>
    <dgm:cxn modelId="{C2398173-6338-4FA8-897B-4094A1B477D6}" type="presOf" srcId="{3AF0E833-7F62-4F0A-A84F-C97FB5F13C93}" destId="{D5D88E9E-4FF8-4C3F-BD33-16054361FE93}" srcOrd="0" destOrd="0" presId="urn:microsoft.com/office/officeart/2008/layout/RadialCluster"/>
    <dgm:cxn modelId="{6D03BB0C-5AD8-4CF8-AF5A-BEE6EA61986D}" type="presParOf" srcId="{95727A0D-52DB-4572-A1EC-0B603DCCEFA5}" destId="{ADDF17D4-6AEC-441A-8846-1F833EE38A56}" srcOrd="0" destOrd="0" presId="urn:microsoft.com/office/officeart/2008/layout/RadialCluster"/>
    <dgm:cxn modelId="{B8F621A8-9925-44A6-BD6D-F77559C43042}" type="presParOf" srcId="{ADDF17D4-6AEC-441A-8846-1F833EE38A56}" destId="{9503E387-AC42-4593-B327-44A8CBD73809}" srcOrd="0" destOrd="0" presId="urn:microsoft.com/office/officeart/2008/layout/RadialCluster"/>
    <dgm:cxn modelId="{C9381BB2-575B-4C83-BCC7-9756FCCEB1F1}" type="presParOf" srcId="{ADDF17D4-6AEC-441A-8846-1F833EE38A56}" destId="{636D319B-255B-4718-BC39-C9EA36CDA09F}" srcOrd="1" destOrd="0" presId="urn:microsoft.com/office/officeart/2008/layout/RadialCluster"/>
    <dgm:cxn modelId="{6321D683-E4D7-4E94-885F-317DD4BCCF9E}" type="presParOf" srcId="{ADDF17D4-6AEC-441A-8846-1F833EE38A56}" destId="{AB251200-1885-4F51-9D0D-3923766ACFBF}" srcOrd="2" destOrd="0" presId="urn:microsoft.com/office/officeart/2008/layout/RadialCluster"/>
    <dgm:cxn modelId="{12AEF788-83CB-440C-9764-87EDD902594B}" type="presParOf" srcId="{ADDF17D4-6AEC-441A-8846-1F833EE38A56}" destId="{DE44532B-2937-4A00-8558-F11E3B769910}" srcOrd="3" destOrd="0" presId="urn:microsoft.com/office/officeart/2008/layout/RadialCluster"/>
    <dgm:cxn modelId="{DC10A8B9-7234-400C-9856-E5DF1AD8711B}" type="presParOf" srcId="{ADDF17D4-6AEC-441A-8846-1F833EE38A56}" destId="{D5D88E9E-4FF8-4C3F-BD33-16054361FE93}" srcOrd="4" destOrd="0" presId="urn:microsoft.com/office/officeart/2008/layout/RadialCluster"/>
    <dgm:cxn modelId="{ED204FB6-795A-4FB8-9362-A13277B96788}" type="presParOf" srcId="{ADDF17D4-6AEC-441A-8846-1F833EE38A56}" destId="{2CC507F3-5552-46B2-AC30-FC0E48562F3D}" srcOrd="5" destOrd="0" presId="urn:microsoft.com/office/officeart/2008/layout/RadialCluster"/>
    <dgm:cxn modelId="{16F8DACB-AF20-4AC6-8791-7638BC29504B}" type="presParOf" srcId="{ADDF17D4-6AEC-441A-8846-1F833EE38A56}" destId="{3273B583-4232-4352-AFFD-0934AEF089C2}" srcOrd="6" destOrd="0" presId="urn:microsoft.com/office/officeart/2008/layout/RadialCluster"/>
    <dgm:cxn modelId="{BA077B67-024F-429B-AB34-2A920FA62DD2}" type="presParOf" srcId="{ADDF17D4-6AEC-441A-8846-1F833EE38A56}" destId="{F6B03033-96AB-44C5-960C-C5BF5A37217A}" srcOrd="7" destOrd="0" presId="urn:microsoft.com/office/officeart/2008/layout/RadialCluster"/>
    <dgm:cxn modelId="{15E4AB34-B61B-4F83-A74D-A94FFC334C4E}" type="presParOf" srcId="{ADDF17D4-6AEC-441A-8846-1F833EE38A56}" destId="{0F9FF811-076F-4D72-9B5F-CC6488BFD860}" srcOrd="8" destOrd="0" presId="urn:microsoft.com/office/officeart/2008/layout/RadialCluster"/>
    <dgm:cxn modelId="{14FFA490-5DF9-41F4-9841-989707BCBFA9}" type="presParOf" srcId="{ADDF17D4-6AEC-441A-8846-1F833EE38A56}" destId="{4E537C7B-AA7D-4C99-8DD7-A0F0583E734C}" srcOrd="9" destOrd="0" presId="urn:microsoft.com/office/officeart/2008/layout/RadialCluster"/>
    <dgm:cxn modelId="{51A56EEF-283A-4DDE-AC99-81BB69D2C25E}" type="presParOf" srcId="{ADDF17D4-6AEC-441A-8846-1F833EE38A56}" destId="{3C42247D-8A3C-4CBD-89AB-989DFD55FE16}" srcOrd="10" destOrd="0" presId="urn:microsoft.com/office/officeart/2008/layout/RadialCluster"/>
  </dgm:cxnLst>
  <dgm:bg/>
  <dgm:whole>
    <a:ln>
      <a:solidFill>
        <a:schemeClr val="bg1">
          <a:lumMod val="50000"/>
        </a:schemeClr>
      </a:solidFill>
    </a:ln>
  </dgm:whole>
  <dgm:extLst>
    <a:ext uri="http://schemas.microsoft.com/office/drawing/2008/diagram">
      <dsp:dataModelExt xmlns:dsp="http://schemas.microsoft.com/office/drawing/2008/diagram" relId="rId8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27F46BF-DBE6-4C22-ADD5-121C795E1A9C}"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n-US"/>
        </a:p>
      </dgm:t>
    </dgm:pt>
    <dgm:pt modelId="{AD294E98-6B85-47BF-8C24-65A2A0ED6B7E}">
      <dgm:prSet phldrT="[Texto]" custT="1">
        <dgm:style>
          <a:lnRef idx="2">
            <a:schemeClr val="accent1"/>
          </a:lnRef>
          <a:fillRef idx="1">
            <a:schemeClr val="lt1"/>
          </a:fillRef>
          <a:effectRef idx="0">
            <a:schemeClr val="accent1"/>
          </a:effectRef>
          <a:fontRef idx="minor">
            <a:schemeClr val="dk1"/>
          </a:fontRef>
        </dgm:style>
      </dgm:prSet>
      <dgm:spPr>
        <a:xfrm>
          <a:off x="2115692" y="929900"/>
          <a:ext cx="1002496" cy="356465"/>
        </a:xfrm>
        <a:prstGeom prst="roundRect">
          <a:avLst/>
        </a:prstGeom>
        <a:solidFill>
          <a:sysClr val="window" lastClr="FFFFFF"/>
        </a:solidFill>
        <a:ln w="25400" cap="flat" cmpd="sng" algn="ctr">
          <a:solidFill>
            <a:srgbClr val="4F81BD"/>
          </a:solidFill>
          <a:prstDash val="solid"/>
        </a:ln>
        <a:effectLst/>
      </dgm:spPr>
      <dgm:t>
        <a:bodyPr/>
        <a:lstStyle/>
        <a:p>
          <a:r>
            <a:rPr lang="en-US" sz="900">
              <a:solidFill>
                <a:sysClr val="windowText" lastClr="000000"/>
              </a:solidFill>
              <a:latin typeface="Calibri"/>
              <a:ea typeface="+mn-ea"/>
              <a:cs typeface="+mn-cs"/>
            </a:rPr>
            <a:t>PEDIDO (Applications)</a:t>
          </a:r>
        </a:p>
      </dgm:t>
    </dgm:pt>
    <dgm:pt modelId="{EF7EDD28-09FF-4EC3-8E09-7529B00F79FC}" type="parTrans" cxnId="{352F73D1-557B-4F7E-BF66-2DA6F7EC6F9A}">
      <dgm:prSet/>
      <dgm:spPr/>
      <dgm:t>
        <a:bodyPr/>
        <a:lstStyle/>
        <a:p>
          <a:endParaRPr lang="en-US"/>
        </a:p>
      </dgm:t>
    </dgm:pt>
    <dgm:pt modelId="{62F418A4-C34A-4E32-AAED-0F5513511CEF}" type="sibTrans" cxnId="{352F73D1-557B-4F7E-BF66-2DA6F7EC6F9A}">
      <dgm:prSet/>
      <dgm:spPr/>
      <dgm:t>
        <a:bodyPr/>
        <a:lstStyle/>
        <a:p>
          <a:endParaRPr lang="en-US"/>
        </a:p>
      </dgm:t>
    </dgm:pt>
    <dgm:pt modelId="{A554B4A2-DDE8-4E97-B876-902BE27710D7}">
      <dgm:prSet phldrT="[Texto]" custT="1">
        <dgm:style>
          <a:lnRef idx="2">
            <a:schemeClr val="accent1"/>
          </a:lnRef>
          <a:fillRef idx="1">
            <a:schemeClr val="lt1"/>
          </a:fillRef>
          <a:effectRef idx="0">
            <a:schemeClr val="accent1"/>
          </a:effectRef>
          <a:fontRef idx="minor">
            <a:schemeClr val="dk1"/>
          </a:fontRef>
        </dgm:style>
      </dgm:prSet>
      <dgm:spPr>
        <a:xfrm>
          <a:off x="3354739" y="1665034"/>
          <a:ext cx="739619" cy="362477"/>
        </a:xfrm>
        <a:prstGeom prst="roundRect">
          <a:avLst/>
        </a:prstGeom>
        <a:solidFill>
          <a:sysClr val="window" lastClr="FFFFFF"/>
        </a:solidFill>
        <a:ln w="25400" cap="flat" cmpd="sng" algn="ctr">
          <a:solidFill>
            <a:srgbClr val="4F81BD"/>
          </a:solidFill>
          <a:prstDash val="solid"/>
        </a:ln>
        <a:effectLst/>
      </dgm:spPr>
      <dgm:t>
        <a:bodyPr/>
        <a:lstStyle/>
        <a:p>
          <a:r>
            <a:rPr lang="en-US" sz="800">
              <a:solidFill>
                <a:sysClr val="windowText" lastClr="000000"/>
              </a:solidFill>
              <a:latin typeface="Calibri"/>
              <a:ea typeface="+mn-ea"/>
              <a:cs typeface="+mn-cs"/>
            </a:rPr>
            <a:t>DESPACHO (Publications)</a:t>
          </a:r>
        </a:p>
      </dgm:t>
    </dgm:pt>
    <dgm:pt modelId="{A88A1646-5F5B-44BC-8945-344078B5C428}" type="parTrans" cxnId="{E05AFDDD-A78E-4833-B718-55F0EE2667D3}">
      <dgm:prSet/>
      <dgm:spPr>
        <a:xfrm rot="2020833">
          <a:off x="2827078" y="1475700"/>
          <a:ext cx="682823" cy="0"/>
        </a:xfrm>
        <a:custGeom>
          <a:avLst/>
          <a:gdLst/>
          <a:ahLst/>
          <a:cxnLst/>
          <a:rect l="0" t="0" r="0" b="0"/>
          <a:pathLst>
            <a:path>
              <a:moveTo>
                <a:pt x="0" y="0"/>
              </a:moveTo>
              <a:lnTo>
                <a:pt x="682823"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0506AC6C-9063-4F0D-8E98-D2DF92D84012}" type="sibTrans" cxnId="{E05AFDDD-A78E-4833-B718-55F0EE2667D3}">
      <dgm:prSet/>
      <dgm:spPr/>
      <dgm:t>
        <a:bodyPr/>
        <a:lstStyle/>
        <a:p>
          <a:endParaRPr lang="en-US"/>
        </a:p>
      </dgm:t>
    </dgm:pt>
    <dgm:pt modelId="{3AF0E833-7F62-4F0A-A84F-C97FB5F13C93}">
      <dgm:prSet phldrT="[Texto]" custT="1">
        <dgm:style>
          <a:lnRef idx="2">
            <a:schemeClr val="accent1"/>
          </a:lnRef>
          <a:fillRef idx="1">
            <a:schemeClr val="lt1"/>
          </a:fillRef>
          <a:effectRef idx="0">
            <a:schemeClr val="accent1"/>
          </a:effectRef>
          <a:fontRef idx="minor">
            <a:schemeClr val="dk1"/>
          </a:fontRef>
        </dgm:style>
      </dgm:prSet>
      <dgm:spPr>
        <a:xfrm>
          <a:off x="839055" y="195564"/>
          <a:ext cx="1246015" cy="344499"/>
        </a:xfrm>
        <a:prstGeom prst="roundRect">
          <a:avLst/>
        </a:prstGeom>
        <a:solidFill>
          <a:sysClr val="window" lastClr="FFFFFF"/>
        </a:solidFill>
        <a:ln w="25400" cap="flat" cmpd="sng" algn="ctr">
          <a:solidFill>
            <a:srgbClr val="4F81BD"/>
          </a:solidFill>
          <a:prstDash val="solid"/>
        </a:ln>
        <a:effectLst/>
      </dgm:spPr>
      <dgm:t>
        <a:bodyPr/>
        <a:lstStyle/>
        <a:p>
          <a:r>
            <a:rPr lang="en-US" sz="800">
              <a:solidFill>
                <a:sysClr val="windowText" lastClr="000000"/>
              </a:solidFill>
              <a:latin typeface="Calibri"/>
              <a:ea typeface="+mn-ea"/>
              <a:cs typeface="+mn-cs"/>
            </a:rPr>
            <a:t>AUTOR</a:t>
          </a:r>
        </a:p>
        <a:p>
          <a:r>
            <a:rPr lang="en-US" sz="800">
              <a:solidFill>
                <a:sysClr val="windowText" lastClr="000000"/>
              </a:solidFill>
              <a:latin typeface="Calibri"/>
              <a:ea typeface="+mn-ea"/>
              <a:cs typeface="+mn-cs"/>
            </a:rPr>
            <a:t>(Authors)</a:t>
          </a:r>
        </a:p>
      </dgm:t>
    </dgm:pt>
    <dgm:pt modelId="{4446EF56-2AC0-41D6-9870-30539A519CC0}" type="parTrans" cxnId="{4F795688-6D37-4E8E-A47A-F4962EA666D2}">
      <dgm:prSet/>
      <dgm:spPr>
        <a:xfrm rot="12759682">
          <a:off x="1673656" y="734982"/>
          <a:ext cx="722357" cy="0"/>
        </a:xfrm>
        <a:custGeom>
          <a:avLst/>
          <a:gdLst/>
          <a:ahLst/>
          <a:cxnLst/>
          <a:rect l="0" t="0" r="0" b="0"/>
          <a:pathLst>
            <a:path>
              <a:moveTo>
                <a:pt x="0" y="0"/>
              </a:moveTo>
              <a:lnTo>
                <a:pt x="722357"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33694278-0C0A-48BA-B667-41F114C16162}" type="sibTrans" cxnId="{4F795688-6D37-4E8E-A47A-F4962EA666D2}">
      <dgm:prSet/>
      <dgm:spPr/>
      <dgm:t>
        <a:bodyPr/>
        <a:lstStyle/>
        <a:p>
          <a:endParaRPr lang="en-US"/>
        </a:p>
      </dgm:t>
    </dgm:pt>
    <dgm:pt modelId="{024B7CCE-7187-4ADD-85BC-6F847B3B2403}">
      <dgm:prSet phldrT="[Texto]" custT="1">
        <dgm:style>
          <a:lnRef idx="2">
            <a:schemeClr val="accent1"/>
          </a:lnRef>
          <a:fillRef idx="1">
            <a:schemeClr val="lt1"/>
          </a:fillRef>
          <a:effectRef idx="0">
            <a:schemeClr val="accent1"/>
          </a:effectRef>
          <a:fontRef idx="minor">
            <a:schemeClr val="dk1"/>
          </a:fontRef>
        </dgm:style>
      </dgm:prSet>
      <dgm:spPr>
        <a:xfrm>
          <a:off x="3327906" y="179707"/>
          <a:ext cx="724743" cy="359767"/>
        </a:xfrm>
        <a:prstGeom prst="roundRect">
          <a:avLst/>
        </a:prstGeom>
        <a:solidFill>
          <a:sysClr val="window" lastClr="FFFFFF"/>
        </a:solidFill>
        <a:ln w="25400" cap="flat" cmpd="sng" algn="ctr">
          <a:solidFill>
            <a:srgbClr val="4F81BD"/>
          </a:solidFill>
          <a:prstDash val="solid"/>
        </a:ln>
        <a:effectLst/>
      </dgm:spPr>
      <dgm:t>
        <a:bodyPr/>
        <a:lstStyle/>
        <a:p>
          <a:r>
            <a:rPr lang="en-US" sz="800">
              <a:solidFill>
                <a:sysClr val="windowText" lastClr="000000"/>
              </a:solidFill>
              <a:latin typeface="Calibri"/>
              <a:ea typeface="+mn-ea"/>
              <a:cs typeface="+mn-cs"/>
            </a:rPr>
            <a:t>DEPOSITANTE</a:t>
          </a:r>
        </a:p>
        <a:p>
          <a:r>
            <a:rPr lang="en-US" sz="800">
              <a:solidFill>
                <a:sysClr val="windowText" lastClr="000000"/>
              </a:solidFill>
              <a:latin typeface="Calibri"/>
              <a:ea typeface="+mn-ea"/>
              <a:cs typeface="+mn-cs"/>
            </a:rPr>
            <a:t>(Applicants)</a:t>
          </a:r>
        </a:p>
      </dgm:t>
    </dgm:pt>
    <dgm:pt modelId="{8866611C-FF5A-4A58-86DA-E14BD0B76BDF}" type="parTrans" cxnId="{6A9E02F7-EEF9-43CC-A04B-638010DC7C3F}">
      <dgm:prSet/>
      <dgm:spPr>
        <a:xfrm rot="19506492">
          <a:off x="2811162" y="734688"/>
          <a:ext cx="682526" cy="0"/>
        </a:xfrm>
        <a:custGeom>
          <a:avLst/>
          <a:gdLst/>
          <a:ahLst/>
          <a:cxnLst/>
          <a:rect l="0" t="0" r="0" b="0"/>
          <a:pathLst>
            <a:path>
              <a:moveTo>
                <a:pt x="0" y="0"/>
              </a:moveTo>
              <a:lnTo>
                <a:pt x="682526"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70168775-DEF4-4617-9310-723AF1538AEF}" type="sibTrans" cxnId="{6A9E02F7-EEF9-43CC-A04B-638010DC7C3F}">
      <dgm:prSet/>
      <dgm:spPr/>
      <dgm:t>
        <a:bodyPr/>
        <a:lstStyle/>
        <a:p>
          <a:endParaRPr lang="en-US"/>
        </a:p>
      </dgm:t>
    </dgm:pt>
    <dgm:pt modelId="{0B08B184-FB59-4FBD-A27B-813FBB86DA95}">
      <dgm:prSet custT="1">
        <dgm:style>
          <a:lnRef idx="2">
            <a:schemeClr val="accent2"/>
          </a:lnRef>
          <a:fillRef idx="1">
            <a:schemeClr val="lt1"/>
          </a:fillRef>
          <a:effectRef idx="0">
            <a:schemeClr val="accent2"/>
          </a:effectRef>
          <a:fontRef idx="minor">
            <a:schemeClr val="dk1"/>
          </a:fontRef>
        </dgm:style>
      </dgm:prSet>
      <dgm:spPr>
        <a:xfrm>
          <a:off x="187270" y="882576"/>
          <a:ext cx="1168444" cy="424464"/>
        </a:xfrm>
        <a:prstGeom prst="roundRect">
          <a:avLst/>
        </a:prstGeom>
        <a:solidFill>
          <a:sysClr val="window" lastClr="FFFFFF"/>
        </a:solidFill>
        <a:ln w="25400" cap="flat" cmpd="sng" algn="ctr">
          <a:solidFill>
            <a:srgbClr val="C0504D"/>
          </a:solidFill>
          <a:prstDash val="solid"/>
        </a:ln>
        <a:effectLst/>
      </dgm:spPr>
      <dgm:t>
        <a:bodyPr/>
        <a:lstStyle/>
        <a:p>
          <a:r>
            <a:rPr lang="en-US" sz="900">
              <a:solidFill>
                <a:sysClr val="windowText" lastClr="000000"/>
              </a:solidFill>
              <a:latin typeface="Calibri"/>
              <a:ea typeface="+mn-ea"/>
              <a:cs typeface="+mn-cs"/>
            </a:rPr>
            <a:t>FIRM DATA </a:t>
          </a:r>
        </a:p>
        <a:p>
          <a:r>
            <a:rPr lang="en-US" sz="900">
              <a:solidFill>
                <a:sysClr val="windowText" lastClr="000000"/>
              </a:solidFill>
              <a:latin typeface="Calibri"/>
              <a:ea typeface="+mn-ea"/>
              <a:cs typeface="+mn-cs"/>
            </a:rPr>
            <a:t>(IBGE's database)</a:t>
          </a:r>
        </a:p>
      </dgm:t>
    </dgm:pt>
    <dgm:pt modelId="{6C398D4B-7139-4E48-AED2-36E9819ECCCC}" type="parTrans" cxnId="{4D48F83B-7318-4569-8EEA-1681CBD67467}">
      <dgm:prSet/>
      <dgm:spPr>
        <a:xfrm rot="10824821">
          <a:off x="1355704" y="1101770"/>
          <a:ext cx="759998" cy="0"/>
        </a:xfrm>
        <a:custGeom>
          <a:avLst/>
          <a:gdLst/>
          <a:ahLst/>
          <a:cxnLst/>
          <a:rect l="0" t="0" r="0" b="0"/>
          <a:pathLst>
            <a:path>
              <a:moveTo>
                <a:pt x="0" y="0"/>
              </a:moveTo>
              <a:lnTo>
                <a:pt x="759998" y="0"/>
              </a:lnTo>
            </a:path>
          </a:pathLst>
        </a:custGeom>
        <a:noFill/>
        <a:ln w="25400" cap="flat" cmpd="sng" algn="ctr">
          <a:solidFill>
            <a:srgbClr val="C0504D"/>
          </a:solidFill>
          <a:prstDash val="solid"/>
        </a:ln>
        <a:effectLst/>
      </dgm:spPr>
      <dgm:t>
        <a:bodyPr/>
        <a:lstStyle/>
        <a:p>
          <a:endParaRPr lang="en-US"/>
        </a:p>
      </dgm:t>
    </dgm:pt>
    <dgm:pt modelId="{A3A3ADAD-9312-4661-A929-95809FA68F59}" type="sibTrans" cxnId="{4D48F83B-7318-4569-8EEA-1681CBD67467}">
      <dgm:prSet/>
      <dgm:spPr/>
      <dgm:t>
        <a:bodyPr/>
        <a:lstStyle/>
        <a:p>
          <a:endParaRPr lang="en-US"/>
        </a:p>
      </dgm:t>
    </dgm:pt>
    <dgm:pt modelId="{95727A0D-52DB-4572-A1EC-0B603DCCEFA5}" type="pres">
      <dgm:prSet presAssocID="{927F46BF-DBE6-4C22-ADD5-121C795E1A9C}" presName="Name0" presStyleCnt="0">
        <dgm:presLayoutVars>
          <dgm:chMax val="1"/>
          <dgm:chPref val="1"/>
          <dgm:dir/>
          <dgm:animOne val="branch"/>
          <dgm:animLvl val="lvl"/>
        </dgm:presLayoutVars>
      </dgm:prSet>
      <dgm:spPr/>
      <dgm:t>
        <a:bodyPr/>
        <a:lstStyle/>
        <a:p>
          <a:endParaRPr lang="en-US"/>
        </a:p>
      </dgm:t>
    </dgm:pt>
    <dgm:pt modelId="{ADDF17D4-6AEC-441A-8846-1F833EE38A56}" type="pres">
      <dgm:prSet presAssocID="{AD294E98-6B85-47BF-8C24-65A2A0ED6B7E}" presName="singleCycle" presStyleCnt="0"/>
      <dgm:spPr/>
    </dgm:pt>
    <dgm:pt modelId="{9503E387-AC42-4593-B327-44A8CBD73809}" type="pres">
      <dgm:prSet presAssocID="{AD294E98-6B85-47BF-8C24-65A2A0ED6B7E}" presName="singleCenter" presStyleLbl="node1" presStyleIdx="0" presStyleCnt="5" custScaleX="140332" custScaleY="49899" custLinFactNeighborX="57" custLinFactNeighborY="-4301">
        <dgm:presLayoutVars>
          <dgm:chMax val="7"/>
          <dgm:chPref val="7"/>
        </dgm:presLayoutVars>
      </dgm:prSet>
      <dgm:spPr/>
      <dgm:t>
        <a:bodyPr/>
        <a:lstStyle/>
        <a:p>
          <a:endParaRPr lang="en-US"/>
        </a:p>
      </dgm:t>
    </dgm:pt>
    <dgm:pt modelId="{636D319B-255B-4718-BC39-C9EA36CDA09F}" type="pres">
      <dgm:prSet presAssocID="{8866611C-FF5A-4A58-86DA-E14BD0B76BDF}" presName="Name56" presStyleLbl="parChTrans1D2" presStyleIdx="0" presStyleCnt="4"/>
      <dgm:spPr/>
      <dgm:t>
        <a:bodyPr/>
        <a:lstStyle/>
        <a:p>
          <a:endParaRPr lang="en-US"/>
        </a:p>
      </dgm:t>
    </dgm:pt>
    <dgm:pt modelId="{AB251200-1885-4F51-9D0D-3923766ACFBF}" type="pres">
      <dgm:prSet presAssocID="{024B7CCE-7187-4ADD-85BC-6F847B3B2403}" presName="text0" presStyleLbl="node1" presStyleIdx="1" presStyleCnt="5" custScaleX="151420" custScaleY="75166" custRadScaleRad="142770" custRadScaleInc="116226">
        <dgm:presLayoutVars>
          <dgm:bulletEnabled val="1"/>
        </dgm:presLayoutVars>
      </dgm:prSet>
      <dgm:spPr/>
      <dgm:t>
        <a:bodyPr/>
        <a:lstStyle/>
        <a:p>
          <a:endParaRPr lang="en-US"/>
        </a:p>
      </dgm:t>
    </dgm:pt>
    <dgm:pt modelId="{DE44532B-2937-4A00-8558-F11E3B769910}" type="pres">
      <dgm:prSet presAssocID="{4446EF56-2AC0-41D6-9870-30539A519CC0}" presName="Name56" presStyleLbl="parChTrans1D2" presStyleIdx="1" presStyleCnt="4"/>
      <dgm:spPr/>
      <dgm:t>
        <a:bodyPr/>
        <a:lstStyle/>
        <a:p>
          <a:endParaRPr lang="en-US"/>
        </a:p>
      </dgm:t>
    </dgm:pt>
    <dgm:pt modelId="{D5D88E9E-4FF8-4C3F-BD33-16054361FE93}" type="pres">
      <dgm:prSet presAssocID="{3AF0E833-7F62-4F0A-A84F-C97FB5F13C93}" presName="text0" presStyleLbl="node1" presStyleIdx="2" presStyleCnt="5" custScaleX="260329" custScaleY="71976" custRadScaleRad="148957" custRadScaleInc="-321174">
        <dgm:presLayoutVars>
          <dgm:bulletEnabled val="1"/>
        </dgm:presLayoutVars>
      </dgm:prSet>
      <dgm:spPr/>
      <dgm:t>
        <a:bodyPr/>
        <a:lstStyle/>
        <a:p>
          <a:endParaRPr lang="en-US"/>
        </a:p>
      </dgm:t>
    </dgm:pt>
    <dgm:pt modelId="{F6B03033-96AB-44C5-960C-C5BF5A37217A}" type="pres">
      <dgm:prSet presAssocID="{A88A1646-5F5B-44BC-8945-344078B5C428}" presName="Name56" presStyleLbl="parChTrans1D2" presStyleIdx="2" presStyleCnt="4"/>
      <dgm:spPr/>
      <dgm:t>
        <a:bodyPr/>
        <a:lstStyle/>
        <a:p>
          <a:endParaRPr lang="en-US"/>
        </a:p>
      </dgm:t>
    </dgm:pt>
    <dgm:pt modelId="{0F9FF811-076F-4D72-9B5F-CC6488BFD860}" type="pres">
      <dgm:prSet presAssocID="{A554B4A2-DDE8-4E97-B876-902BE27710D7}" presName="text0" presStyleLbl="node1" presStyleIdx="3" presStyleCnt="5" custScaleX="154528" custScaleY="75732" custRadScaleRad="135463" custRadScaleInc="-131945">
        <dgm:presLayoutVars>
          <dgm:bulletEnabled val="1"/>
        </dgm:presLayoutVars>
      </dgm:prSet>
      <dgm:spPr/>
      <dgm:t>
        <a:bodyPr/>
        <a:lstStyle/>
        <a:p>
          <a:endParaRPr lang="en-US"/>
        </a:p>
      </dgm:t>
    </dgm:pt>
    <dgm:pt modelId="{37CD7012-B45C-4EAD-8826-635A11A9B081}" type="pres">
      <dgm:prSet presAssocID="{6C398D4B-7139-4E48-AED2-36E9819ECCCC}" presName="Name56" presStyleLbl="parChTrans1D2" presStyleIdx="3" presStyleCnt="4"/>
      <dgm:spPr/>
      <dgm:t>
        <a:bodyPr/>
        <a:lstStyle/>
        <a:p>
          <a:endParaRPr lang="en-US"/>
        </a:p>
      </dgm:t>
    </dgm:pt>
    <dgm:pt modelId="{F6BF5366-1705-4EA5-9470-09D72AB6B174}" type="pres">
      <dgm:prSet presAssocID="{0B08B184-FB59-4FBD-A27B-813FBB86DA95}" presName="text0" presStyleLbl="node1" presStyleIdx="4" presStyleCnt="5" custScaleX="244122" custScaleY="88683" custRadScaleRad="194176" custRadScaleInc="6562">
        <dgm:presLayoutVars>
          <dgm:bulletEnabled val="1"/>
        </dgm:presLayoutVars>
      </dgm:prSet>
      <dgm:spPr/>
      <dgm:t>
        <a:bodyPr/>
        <a:lstStyle/>
        <a:p>
          <a:endParaRPr lang="en-US"/>
        </a:p>
      </dgm:t>
    </dgm:pt>
  </dgm:ptLst>
  <dgm:cxnLst>
    <dgm:cxn modelId="{352F73D1-557B-4F7E-BF66-2DA6F7EC6F9A}" srcId="{927F46BF-DBE6-4C22-ADD5-121C795E1A9C}" destId="{AD294E98-6B85-47BF-8C24-65A2A0ED6B7E}" srcOrd="0" destOrd="0" parTransId="{EF7EDD28-09FF-4EC3-8E09-7529B00F79FC}" sibTransId="{62F418A4-C34A-4E32-AAED-0F5513511CEF}"/>
    <dgm:cxn modelId="{E05AFDDD-A78E-4833-B718-55F0EE2667D3}" srcId="{AD294E98-6B85-47BF-8C24-65A2A0ED6B7E}" destId="{A554B4A2-DDE8-4E97-B876-902BE27710D7}" srcOrd="2" destOrd="0" parTransId="{A88A1646-5F5B-44BC-8945-344078B5C428}" sibTransId="{0506AC6C-9063-4F0D-8E98-D2DF92D84012}"/>
    <dgm:cxn modelId="{1EBC6E39-07D4-4A2A-997F-779208F3CDF2}" type="presOf" srcId="{AD294E98-6B85-47BF-8C24-65A2A0ED6B7E}" destId="{9503E387-AC42-4593-B327-44A8CBD73809}" srcOrd="0" destOrd="0" presId="urn:microsoft.com/office/officeart/2008/layout/RadialCluster"/>
    <dgm:cxn modelId="{4D48F83B-7318-4569-8EEA-1681CBD67467}" srcId="{AD294E98-6B85-47BF-8C24-65A2A0ED6B7E}" destId="{0B08B184-FB59-4FBD-A27B-813FBB86DA95}" srcOrd="3" destOrd="0" parTransId="{6C398D4B-7139-4E48-AED2-36E9819ECCCC}" sibTransId="{A3A3ADAD-9312-4661-A929-95809FA68F59}"/>
    <dgm:cxn modelId="{2977027F-9C70-4F04-9129-7D75907AE3A2}" type="presOf" srcId="{6C398D4B-7139-4E48-AED2-36E9819ECCCC}" destId="{37CD7012-B45C-4EAD-8826-635A11A9B081}" srcOrd="0" destOrd="0" presId="urn:microsoft.com/office/officeart/2008/layout/RadialCluster"/>
    <dgm:cxn modelId="{E67BE6E7-291E-48A8-B0D0-42DD6619FC03}" type="presOf" srcId="{A88A1646-5F5B-44BC-8945-344078B5C428}" destId="{F6B03033-96AB-44C5-960C-C5BF5A37217A}" srcOrd="0" destOrd="0" presId="urn:microsoft.com/office/officeart/2008/layout/RadialCluster"/>
    <dgm:cxn modelId="{69D6318D-0DC0-44CB-930B-40CC5ED16804}" type="presOf" srcId="{0B08B184-FB59-4FBD-A27B-813FBB86DA95}" destId="{F6BF5366-1705-4EA5-9470-09D72AB6B174}" srcOrd="0" destOrd="0" presId="urn:microsoft.com/office/officeart/2008/layout/RadialCluster"/>
    <dgm:cxn modelId="{C39AD691-0DAB-477D-BB3C-F38D937B16C4}" type="presOf" srcId="{4446EF56-2AC0-41D6-9870-30539A519CC0}" destId="{DE44532B-2937-4A00-8558-F11E3B769910}" srcOrd="0" destOrd="0" presId="urn:microsoft.com/office/officeart/2008/layout/RadialCluster"/>
    <dgm:cxn modelId="{B0C48FA2-EA18-4B19-AFF4-0F7A2441E5F3}" type="presOf" srcId="{A554B4A2-DDE8-4E97-B876-902BE27710D7}" destId="{0F9FF811-076F-4D72-9B5F-CC6488BFD860}" srcOrd="0" destOrd="0" presId="urn:microsoft.com/office/officeart/2008/layout/RadialCluster"/>
    <dgm:cxn modelId="{6A9E02F7-EEF9-43CC-A04B-638010DC7C3F}" srcId="{AD294E98-6B85-47BF-8C24-65A2A0ED6B7E}" destId="{024B7CCE-7187-4ADD-85BC-6F847B3B2403}" srcOrd="0" destOrd="0" parTransId="{8866611C-FF5A-4A58-86DA-E14BD0B76BDF}" sibTransId="{70168775-DEF4-4617-9310-723AF1538AEF}"/>
    <dgm:cxn modelId="{5729CFCA-E37B-4F60-8AE2-8C853F59A66C}" type="presOf" srcId="{024B7CCE-7187-4ADD-85BC-6F847B3B2403}" destId="{AB251200-1885-4F51-9D0D-3923766ACFBF}" srcOrd="0" destOrd="0" presId="urn:microsoft.com/office/officeart/2008/layout/RadialCluster"/>
    <dgm:cxn modelId="{4F795688-6D37-4E8E-A47A-F4962EA666D2}" srcId="{AD294E98-6B85-47BF-8C24-65A2A0ED6B7E}" destId="{3AF0E833-7F62-4F0A-A84F-C97FB5F13C93}" srcOrd="1" destOrd="0" parTransId="{4446EF56-2AC0-41D6-9870-30539A519CC0}" sibTransId="{33694278-0C0A-48BA-B667-41F114C16162}"/>
    <dgm:cxn modelId="{72416113-8121-4CF0-A42C-91700494662E}" type="presOf" srcId="{8866611C-FF5A-4A58-86DA-E14BD0B76BDF}" destId="{636D319B-255B-4718-BC39-C9EA36CDA09F}" srcOrd="0" destOrd="0" presId="urn:microsoft.com/office/officeart/2008/layout/RadialCluster"/>
    <dgm:cxn modelId="{52C586D4-6FF1-4E98-84C7-58A5E0C9D11A}" type="presOf" srcId="{3AF0E833-7F62-4F0A-A84F-C97FB5F13C93}" destId="{D5D88E9E-4FF8-4C3F-BD33-16054361FE93}" srcOrd="0" destOrd="0" presId="urn:microsoft.com/office/officeart/2008/layout/RadialCluster"/>
    <dgm:cxn modelId="{008D393F-E1DA-470C-9BD1-F2B486FCB57F}" type="presOf" srcId="{927F46BF-DBE6-4C22-ADD5-121C795E1A9C}" destId="{95727A0D-52DB-4572-A1EC-0B603DCCEFA5}" srcOrd="0" destOrd="0" presId="urn:microsoft.com/office/officeart/2008/layout/RadialCluster"/>
    <dgm:cxn modelId="{127813FA-BE68-4219-9941-081C89A7B3CB}" type="presParOf" srcId="{95727A0D-52DB-4572-A1EC-0B603DCCEFA5}" destId="{ADDF17D4-6AEC-441A-8846-1F833EE38A56}" srcOrd="0" destOrd="0" presId="urn:microsoft.com/office/officeart/2008/layout/RadialCluster"/>
    <dgm:cxn modelId="{4E4BE5DA-4955-404B-B2A1-E6BFF45D3FB5}" type="presParOf" srcId="{ADDF17D4-6AEC-441A-8846-1F833EE38A56}" destId="{9503E387-AC42-4593-B327-44A8CBD73809}" srcOrd="0" destOrd="0" presId="urn:microsoft.com/office/officeart/2008/layout/RadialCluster"/>
    <dgm:cxn modelId="{E9736186-427D-4577-B18E-9B3250CDA524}" type="presParOf" srcId="{ADDF17D4-6AEC-441A-8846-1F833EE38A56}" destId="{636D319B-255B-4718-BC39-C9EA36CDA09F}" srcOrd="1" destOrd="0" presId="urn:microsoft.com/office/officeart/2008/layout/RadialCluster"/>
    <dgm:cxn modelId="{DAD2167C-14BE-4645-9E56-D4C54F2F2DCF}" type="presParOf" srcId="{ADDF17D4-6AEC-441A-8846-1F833EE38A56}" destId="{AB251200-1885-4F51-9D0D-3923766ACFBF}" srcOrd="2" destOrd="0" presId="urn:microsoft.com/office/officeart/2008/layout/RadialCluster"/>
    <dgm:cxn modelId="{D5DB06E8-E0FB-4139-AFB5-2D31FFE00438}" type="presParOf" srcId="{ADDF17D4-6AEC-441A-8846-1F833EE38A56}" destId="{DE44532B-2937-4A00-8558-F11E3B769910}" srcOrd="3" destOrd="0" presId="urn:microsoft.com/office/officeart/2008/layout/RadialCluster"/>
    <dgm:cxn modelId="{A0A35296-1023-42A2-9C05-2D256BFF35DE}" type="presParOf" srcId="{ADDF17D4-6AEC-441A-8846-1F833EE38A56}" destId="{D5D88E9E-4FF8-4C3F-BD33-16054361FE93}" srcOrd="4" destOrd="0" presId="urn:microsoft.com/office/officeart/2008/layout/RadialCluster"/>
    <dgm:cxn modelId="{67B8BC3F-4B46-4937-8AD0-003B9637E055}" type="presParOf" srcId="{ADDF17D4-6AEC-441A-8846-1F833EE38A56}" destId="{F6B03033-96AB-44C5-960C-C5BF5A37217A}" srcOrd="5" destOrd="0" presId="urn:microsoft.com/office/officeart/2008/layout/RadialCluster"/>
    <dgm:cxn modelId="{30F5E80D-FDAC-4D4F-AD63-2565C376525D}" type="presParOf" srcId="{ADDF17D4-6AEC-441A-8846-1F833EE38A56}" destId="{0F9FF811-076F-4D72-9B5F-CC6488BFD860}" srcOrd="6" destOrd="0" presId="urn:microsoft.com/office/officeart/2008/layout/RadialCluster"/>
    <dgm:cxn modelId="{938BA395-126D-4880-AEC1-1BF6727D9466}" type="presParOf" srcId="{ADDF17D4-6AEC-441A-8846-1F833EE38A56}" destId="{37CD7012-B45C-4EAD-8826-635A11A9B081}" srcOrd="7" destOrd="0" presId="urn:microsoft.com/office/officeart/2008/layout/RadialCluster"/>
    <dgm:cxn modelId="{48E80F43-4253-4D0B-8ED4-8AEBF5BD4EE5}" type="presParOf" srcId="{ADDF17D4-6AEC-441A-8846-1F833EE38A56}" destId="{F6BF5366-1705-4EA5-9470-09D72AB6B174}" srcOrd="8" destOrd="0" presId="urn:microsoft.com/office/officeart/2008/layout/RadialCluster"/>
  </dgm:cxnLst>
  <dgm:bg/>
  <dgm:whole>
    <a:ln>
      <a:solidFill>
        <a:schemeClr val="bg1">
          <a:lumMod val="50000"/>
        </a:schemeClr>
      </a:solidFill>
    </a:ln>
  </dgm:whole>
  <dgm:extLst>
    <a:ext uri="http://schemas.microsoft.com/office/drawing/2008/diagram">
      <dsp:dataModelExt xmlns:dsp="http://schemas.microsoft.com/office/drawing/2008/diagram" relId="rId8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27F46BF-DBE6-4C22-ADD5-121C795E1A9C}"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n-US"/>
        </a:p>
      </dgm:t>
    </dgm:pt>
    <dgm:pt modelId="{AD294E98-6B85-47BF-8C24-65A2A0ED6B7E}">
      <dgm:prSet phldrT="[Texto]" custT="1">
        <dgm:style>
          <a:lnRef idx="2">
            <a:schemeClr val="accent1"/>
          </a:lnRef>
          <a:fillRef idx="1">
            <a:schemeClr val="lt1"/>
          </a:fillRef>
          <a:effectRef idx="0">
            <a:schemeClr val="accent1"/>
          </a:effectRef>
          <a:fontRef idx="minor">
            <a:schemeClr val="dk1"/>
          </a:fontRef>
        </dgm:style>
      </dgm:prSet>
      <dgm:spPr>
        <a:xfrm>
          <a:off x="2208708" y="781053"/>
          <a:ext cx="925425" cy="521660"/>
        </a:xfrm>
        <a:prstGeom prst="roundRect">
          <a:avLst/>
        </a:prstGeom>
        <a:solidFill>
          <a:sysClr val="window" lastClr="FFFFFF"/>
        </a:solidFill>
        <a:ln w="25400" cap="flat" cmpd="sng" algn="ctr">
          <a:solidFill>
            <a:srgbClr val="4F81BD"/>
          </a:solidFill>
          <a:prstDash val="solid"/>
        </a:ln>
        <a:effectLst/>
      </dgm:spPr>
      <dgm:t>
        <a:bodyPr/>
        <a:lstStyle/>
        <a:p>
          <a:r>
            <a:rPr lang="en-US" sz="900">
              <a:solidFill>
                <a:sysClr val="windowText" lastClr="000000"/>
              </a:solidFill>
              <a:latin typeface="Calibri"/>
              <a:ea typeface="+mn-ea"/>
              <a:cs typeface="+mn-cs"/>
            </a:rPr>
            <a:t>CONTRATO (Applications)</a:t>
          </a:r>
        </a:p>
      </dgm:t>
    </dgm:pt>
    <dgm:pt modelId="{EF7EDD28-09FF-4EC3-8E09-7529B00F79FC}" type="parTrans" cxnId="{352F73D1-557B-4F7E-BF66-2DA6F7EC6F9A}">
      <dgm:prSet/>
      <dgm:spPr/>
      <dgm:t>
        <a:bodyPr/>
        <a:lstStyle/>
        <a:p>
          <a:endParaRPr lang="en-US"/>
        </a:p>
      </dgm:t>
    </dgm:pt>
    <dgm:pt modelId="{62F418A4-C34A-4E32-AAED-0F5513511CEF}" type="sibTrans" cxnId="{352F73D1-557B-4F7E-BF66-2DA6F7EC6F9A}">
      <dgm:prSet/>
      <dgm:spPr/>
      <dgm:t>
        <a:bodyPr/>
        <a:lstStyle/>
        <a:p>
          <a:endParaRPr lang="en-US"/>
        </a:p>
      </dgm:t>
    </dgm:pt>
    <dgm:pt modelId="{C651CB56-AB31-418A-A862-8F2437324605}">
      <dgm:prSet phldrT="[Texto]" custScaleX="68975" custScaleY="22100" custLinFactNeighborX="1246" custLinFactNeighborY="-463">
        <dgm:style>
          <a:lnRef idx="2">
            <a:schemeClr val="accent1"/>
          </a:lnRef>
          <a:fillRef idx="1">
            <a:schemeClr val="lt1"/>
          </a:fillRef>
          <a:effectRef idx="0">
            <a:schemeClr val="accent1"/>
          </a:effectRef>
          <a:fontRef idx="minor">
            <a:schemeClr val="dk1"/>
          </a:fontRef>
        </dgm:style>
      </dgm:prSet>
      <dgm:spPr/>
      <dgm:t>
        <a:bodyPr/>
        <a:lstStyle/>
        <a:p>
          <a:endParaRPr lang="en-US"/>
        </a:p>
      </dgm:t>
    </dgm:pt>
    <dgm:pt modelId="{98494F86-C374-489D-A7CC-A0633DFD89F9}" type="parTrans" cxnId="{A85E27B2-2FFD-44A8-BB4B-E40106C74474}">
      <dgm:prSet/>
      <dgm:spPr/>
      <dgm:t>
        <a:bodyPr/>
        <a:lstStyle/>
        <a:p>
          <a:endParaRPr lang="en-US"/>
        </a:p>
      </dgm:t>
    </dgm:pt>
    <dgm:pt modelId="{614F91D3-0D76-4FAF-A48C-A7683B02570A}" type="sibTrans" cxnId="{A85E27B2-2FFD-44A8-BB4B-E40106C74474}">
      <dgm:prSet/>
      <dgm:spPr/>
      <dgm:t>
        <a:bodyPr/>
        <a:lstStyle/>
        <a:p>
          <a:endParaRPr lang="en-US"/>
        </a:p>
      </dgm:t>
    </dgm:pt>
    <dgm:pt modelId="{D40FFE91-EA73-4B07-ABB8-420522746009}">
      <dgm:prSet custT="1">
        <dgm:style>
          <a:lnRef idx="2">
            <a:schemeClr val="accent2"/>
          </a:lnRef>
          <a:fillRef idx="1">
            <a:schemeClr val="lt1"/>
          </a:fillRef>
          <a:effectRef idx="0">
            <a:schemeClr val="accent2"/>
          </a:effectRef>
          <a:fontRef idx="minor">
            <a:schemeClr val="dk1"/>
          </a:fontRef>
        </dgm:style>
      </dgm:prSet>
      <dgm:spPr>
        <a:xfrm>
          <a:off x="3553144" y="1663721"/>
          <a:ext cx="1320934" cy="476206"/>
        </a:xfrm>
        <a:prstGeom prst="roundRect">
          <a:avLst/>
        </a:prstGeom>
        <a:solidFill>
          <a:sysClr val="window" lastClr="FFFFFF"/>
        </a:solidFill>
        <a:ln w="25400" cap="flat" cmpd="sng" algn="ctr">
          <a:solidFill>
            <a:srgbClr val="C0504D"/>
          </a:solidFill>
          <a:prstDash val="solid"/>
        </a:ln>
        <a:effectLst/>
      </dgm:spPr>
      <dgm:t>
        <a:bodyPr/>
        <a:lstStyle/>
        <a:p>
          <a:r>
            <a:rPr lang="en-US" sz="900">
              <a:solidFill>
                <a:sysClr val="windowText" lastClr="000000"/>
              </a:solidFill>
              <a:latin typeface="Calibri"/>
              <a:ea typeface="+mn-ea"/>
              <a:cs typeface="+mn-cs"/>
            </a:rPr>
            <a:t>ROYALTIES</a:t>
          </a:r>
        </a:p>
        <a:p>
          <a:r>
            <a:rPr lang="en-US" sz="900">
              <a:solidFill>
                <a:sysClr val="windowText" lastClr="000000"/>
              </a:solidFill>
              <a:latin typeface="Calibri"/>
              <a:ea typeface="+mn-ea"/>
              <a:cs typeface="+mn-cs"/>
            </a:rPr>
            <a:t>(Central Bank Data)</a:t>
          </a:r>
        </a:p>
      </dgm:t>
    </dgm:pt>
    <dgm:pt modelId="{B2CE4B6A-2793-4CCF-9B7C-D06A727E16E2}" type="parTrans" cxnId="{9FC91035-92B8-441A-855A-C38C49D02626}">
      <dgm:prSet/>
      <dgm:spPr>
        <a:xfrm rot="1748668">
          <a:off x="3086842" y="1481808"/>
          <a:ext cx="747053" cy="0"/>
        </a:xfrm>
        <a:custGeom>
          <a:avLst/>
          <a:gdLst/>
          <a:ahLst/>
          <a:cxnLst/>
          <a:rect l="0" t="0" r="0" b="0"/>
          <a:pathLst>
            <a:path>
              <a:moveTo>
                <a:pt x="0" y="0"/>
              </a:moveTo>
              <a:lnTo>
                <a:pt x="747053" y="0"/>
              </a:lnTo>
            </a:path>
          </a:pathLst>
        </a:custGeom>
        <a:noFill/>
        <a:ln w="25400" cap="flat" cmpd="sng" algn="ctr">
          <a:solidFill>
            <a:srgbClr val="C0504D"/>
          </a:solidFill>
          <a:prstDash val="solid"/>
        </a:ln>
        <a:effectLst/>
      </dgm:spPr>
      <dgm:t>
        <a:bodyPr/>
        <a:lstStyle/>
        <a:p>
          <a:endParaRPr lang="en-US"/>
        </a:p>
      </dgm:t>
    </dgm:pt>
    <dgm:pt modelId="{01A68844-7E89-4706-9D2E-E4BD365DA903}" type="sibTrans" cxnId="{9FC91035-92B8-441A-855A-C38C49D02626}">
      <dgm:prSet/>
      <dgm:spPr/>
      <dgm:t>
        <a:bodyPr/>
        <a:lstStyle/>
        <a:p>
          <a:endParaRPr lang="en-US"/>
        </a:p>
      </dgm:t>
    </dgm:pt>
    <dgm:pt modelId="{95727A0D-52DB-4572-A1EC-0B603DCCEFA5}" type="pres">
      <dgm:prSet presAssocID="{927F46BF-DBE6-4C22-ADD5-121C795E1A9C}" presName="Name0" presStyleCnt="0">
        <dgm:presLayoutVars>
          <dgm:chMax val="1"/>
          <dgm:chPref val="1"/>
          <dgm:dir/>
          <dgm:animOne val="branch"/>
          <dgm:animLvl val="lvl"/>
        </dgm:presLayoutVars>
      </dgm:prSet>
      <dgm:spPr/>
      <dgm:t>
        <a:bodyPr/>
        <a:lstStyle/>
        <a:p>
          <a:endParaRPr lang="en-US"/>
        </a:p>
      </dgm:t>
    </dgm:pt>
    <dgm:pt modelId="{ADDF17D4-6AEC-441A-8846-1F833EE38A56}" type="pres">
      <dgm:prSet presAssocID="{AD294E98-6B85-47BF-8C24-65A2A0ED6B7E}" presName="singleCycle" presStyleCnt="0"/>
      <dgm:spPr/>
    </dgm:pt>
    <dgm:pt modelId="{9503E387-AC42-4593-B327-44A8CBD73809}" type="pres">
      <dgm:prSet presAssocID="{AD294E98-6B85-47BF-8C24-65A2A0ED6B7E}" presName="singleCenter" presStyleLbl="node1" presStyleIdx="0" presStyleCnt="2" custScaleX="77726" custScaleY="43814" custLinFactNeighborX="29872" custLinFactNeighborY="-5366">
        <dgm:presLayoutVars>
          <dgm:chMax val="7"/>
          <dgm:chPref val="7"/>
        </dgm:presLayoutVars>
      </dgm:prSet>
      <dgm:spPr/>
      <dgm:t>
        <a:bodyPr/>
        <a:lstStyle/>
        <a:p>
          <a:endParaRPr lang="en-US"/>
        </a:p>
      </dgm:t>
    </dgm:pt>
    <dgm:pt modelId="{18AC58CD-86EE-4852-9AA8-079BAB26B8F8}" type="pres">
      <dgm:prSet presAssocID="{B2CE4B6A-2793-4CCF-9B7C-D06A727E16E2}" presName="Name56" presStyleLbl="parChTrans1D2" presStyleIdx="0" presStyleCnt="1"/>
      <dgm:spPr/>
      <dgm:t>
        <a:bodyPr/>
        <a:lstStyle/>
        <a:p>
          <a:endParaRPr lang="en-US"/>
        </a:p>
      </dgm:t>
    </dgm:pt>
    <dgm:pt modelId="{2B8EE473-ABF2-413E-946F-DF5DB9C0C327}" type="pres">
      <dgm:prSet presAssocID="{D40FFE91-EA73-4B07-ABB8-420522746009}" presName="text0" presStyleLbl="node1" presStyleIdx="1" presStyleCnt="2" custScaleX="165589" custScaleY="59696" custRadScaleRad="178549" custRadScaleInc="9279">
        <dgm:presLayoutVars>
          <dgm:bulletEnabled val="1"/>
        </dgm:presLayoutVars>
      </dgm:prSet>
      <dgm:spPr/>
      <dgm:t>
        <a:bodyPr/>
        <a:lstStyle/>
        <a:p>
          <a:endParaRPr lang="en-US"/>
        </a:p>
      </dgm:t>
    </dgm:pt>
  </dgm:ptLst>
  <dgm:cxnLst>
    <dgm:cxn modelId="{8CE96712-CC42-44DC-8C63-F54CB9082F81}" type="presOf" srcId="{927F46BF-DBE6-4C22-ADD5-121C795E1A9C}" destId="{95727A0D-52DB-4572-A1EC-0B603DCCEFA5}" srcOrd="0" destOrd="0" presId="urn:microsoft.com/office/officeart/2008/layout/RadialCluster"/>
    <dgm:cxn modelId="{276C804A-93D5-4987-9D24-CBE567B4F900}" type="presOf" srcId="{D40FFE91-EA73-4B07-ABB8-420522746009}" destId="{2B8EE473-ABF2-413E-946F-DF5DB9C0C327}" srcOrd="0" destOrd="0" presId="urn:microsoft.com/office/officeart/2008/layout/RadialCluster"/>
    <dgm:cxn modelId="{DE2A2D30-E1F5-49D4-9E45-936A8ABDCF75}" type="presOf" srcId="{B2CE4B6A-2793-4CCF-9B7C-D06A727E16E2}" destId="{18AC58CD-86EE-4852-9AA8-079BAB26B8F8}" srcOrd="0" destOrd="0" presId="urn:microsoft.com/office/officeart/2008/layout/RadialCluster"/>
    <dgm:cxn modelId="{A85E27B2-2FFD-44A8-BB4B-E40106C74474}" srcId="{927F46BF-DBE6-4C22-ADD5-121C795E1A9C}" destId="{C651CB56-AB31-418A-A862-8F2437324605}" srcOrd="1" destOrd="0" parTransId="{98494F86-C374-489D-A7CC-A0633DFD89F9}" sibTransId="{614F91D3-0D76-4FAF-A48C-A7683B02570A}"/>
    <dgm:cxn modelId="{352F73D1-557B-4F7E-BF66-2DA6F7EC6F9A}" srcId="{927F46BF-DBE6-4C22-ADD5-121C795E1A9C}" destId="{AD294E98-6B85-47BF-8C24-65A2A0ED6B7E}" srcOrd="0" destOrd="0" parTransId="{EF7EDD28-09FF-4EC3-8E09-7529B00F79FC}" sibTransId="{62F418A4-C34A-4E32-AAED-0F5513511CEF}"/>
    <dgm:cxn modelId="{39945B2C-911B-481E-82B6-FC3DBB7337E4}" type="presOf" srcId="{AD294E98-6B85-47BF-8C24-65A2A0ED6B7E}" destId="{9503E387-AC42-4593-B327-44A8CBD73809}" srcOrd="0" destOrd="0" presId="urn:microsoft.com/office/officeart/2008/layout/RadialCluster"/>
    <dgm:cxn modelId="{9FC91035-92B8-441A-855A-C38C49D02626}" srcId="{AD294E98-6B85-47BF-8C24-65A2A0ED6B7E}" destId="{D40FFE91-EA73-4B07-ABB8-420522746009}" srcOrd="0" destOrd="0" parTransId="{B2CE4B6A-2793-4CCF-9B7C-D06A727E16E2}" sibTransId="{01A68844-7E89-4706-9D2E-E4BD365DA903}"/>
    <dgm:cxn modelId="{258F1374-2804-4E8B-8D2B-9F41DAFE4227}" type="presParOf" srcId="{95727A0D-52DB-4572-A1EC-0B603DCCEFA5}" destId="{ADDF17D4-6AEC-441A-8846-1F833EE38A56}" srcOrd="0" destOrd="0" presId="urn:microsoft.com/office/officeart/2008/layout/RadialCluster"/>
    <dgm:cxn modelId="{EAF2A9FE-C765-477E-ACE1-12132E3E6F60}" type="presParOf" srcId="{ADDF17D4-6AEC-441A-8846-1F833EE38A56}" destId="{9503E387-AC42-4593-B327-44A8CBD73809}" srcOrd="0" destOrd="0" presId="urn:microsoft.com/office/officeart/2008/layout/RadialCluster"/>
    <dgm:cxn modelId="{EA13D9D9-7291-45CF-8A78-06B0BC8D7308}" type="presParOf" srcId="{ADDF17D4-6AEC-441A-8846-1F833EE38A56}" destId="{18AC58CD-86EE-4852-9AA8-079BAB26B8F8}" srcOrd="1" destOrd="0" presId="urn:microsoft.com/office/officeart/2008/layout/RadialCluster"/>
    <dgm:cxn modelId="{DA46C7D9-77CA-4C85-B1CA-96EF181F3B22}" type="presParOf" srcId="{ADDF17D4-6AEC-441A-8846-1F833EE38A56}" destId="{2B8EE473-ABF2-413E-946F-DF5DB9C0C327}" srcOrd="2" destOrd="0" presId="urn:microsoft.com/office/officeart/2008/layout/RadialCluster"/>
  </dgm:cxnLst>
  <dgm:bg/>
  <dgm:whole>
    <a:ln>
      <a:solidFill>
        <a:schemeClr val="bg1">
          <a:lumMod val="50000"/>
        </a:schemeClr>
      </a:solidFill>
    </a:ln>
  </dgm:whole>
  <dgm:extLst>
    <a:ext uri="http://schemas.microsoft.com/office/drawing/2008/diagram">
      <dsp:dataModelExt xmlns:dsp="http://schemas.microsoft.com/office/drawing/2008/diagram" relId="rId9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27F46BF-DBE6-4C22-ADD5-121C795E1A9C}"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n-US"/>
        </a:p>
      </dgm:t>
    </dgm:pt>
    <dgm:pt modelId="{AD294E98-6B85-47BF-8C24-65A2A0ED6B7E}">
      <dgm:prSet phldrT="[Texto]" custT="1">
        <dgm:style>
          <a:lnRef idx="2">
            <a:schemeClr val="accent1"/>
          </a:lnRef>
          <a:fillRef idx="1">
            <a:schemeClr val="lt1"/>
          </a:fillRef>
          <a:effectRef idx="0">
            <a:schemeClr val="accent1"/>
          </a:effectRef>
          <a:fontRef idx="minor">
            <a:schemeClr val="dk1"/>
          </a:fontRef>
        </dgm:style>
      </dgm:prSet>
      <dgm:spPr>
        <a:xfrm>
          <a:off x="2161507" y="813618"/>
          <a:ext cx="1002496" cy="356465"/>
        </a:xfrm>
        <a:prstGeom prst="roundRect">
          <a:avLst/>
        </a:prstGeom>
        <a:solidFill>
          <a:sysClr val="window" lastClr="FFFFFF"/>
        </a:solidFill>
        <a:ln w="25400" cap="flat" cmpd="sng" algn="ctr">
          <a:solidFill>
            <a:srgbClr val="4F81BD"/>
          </a:solidFill>
          <a:prstDash val="solid"/>
        </a:ln>
        <a:effectLst/>
      </dgm:spPr>
      <dgm:t>
        <a:bodyPr/>
        <a:lstStyle/>
        <a:p>
          <a:r>
            <a:rPr lang="en-US" sz="900">
              <a:solidFill>
                <a:sysClr val="windowText" lastClr="000000"/>
              </a:solidFill>
              <a:latin typeface="Calibri"/>
              <a:ea typeface="+mn-ea"/>
              <a:cs typeface="+mn-cs"/>
            </a:rPr>
            <a:t>PEDIDO (Applications)</a:t>
          </a:r>
        </a:p>
      </dgm:t>
    </dgm:pt>
    <dgm:pt modelId="{EF7EDD28-09FF-4EC3-8E09-7529B00F79FC}" type="parTrans" cxnId="{352F73D1-557B-4F7E-BF66-2DA6F7EC6F9A}">
      <dgm:prSet/>
      <dgm:spPr/>
      <dgm:t>
        <a:bodyPr/>
        <a:lstStyle/>
        <a:p>
          <a:endParaRPr lang="en-US"/>
        </a:p>
      </dgm:t>
    </dgm:pt>
    <dgm:pt modelId="{62F418A4-C34A-4E32-AAED-0F5513511CEF}" type="sibTrans" cxnId="{352F73D1-557B-4F7E-BF66-2DA6F7EC6F9A}">
      <dgm:prSet/>
      <dgm:spPr/>
      <dgm:t>
        <a:bodyPr/>
        <a:lstStyle/>
        <a:p>
          <a:endParaRPr lang="en-US"/>
        </a:p>
      </dgm:t>
    </dgm:pt>
    <dgm:pt modelId="{A554B4A2-DDE8-4E97-B876-902BE27710D7}">
      <dgm:prSet phldrT="[Texto]" custT="1">
        <dgm:style>
          <a:lnRef idx="2">
            <a:schemeClr val="accent1"/>
          </a:lnRef>
          <a:fillRef idx="1">
            <a:schemeClr val="lt1"/>
          </a:fillRef>
          <a:effectRef idx="0">
            <a:schemeClr val="accent1"/>
          </a:effectRef>
          <a:fontRef idx="minor">
            <a:schemeClr val="dk1"/>
          </a:fontRef>
        </dgm:style>
      </dgm:prSet>
      <dgm:spPr>
        <a:xfrm>
          <a:off x="860598" y="1581148"/>
          <a:ext cx="739619" cy="362477"/>
        </a:xfrm>
        <a:prstGeom prst="roundRect">
          <a:avLst/>
        </a:prstGeom>
        <a:solidFill>
          <a:sysClr val="window" lastClr="FFFFFF"/>
        </a:solidFill>
        <a:ln w="25400" cap="flat" cmpd="sng" algn="ctr">
          <a:solidFill>
            <a:srgbClr val="4F81BD"/>
          </a:solidFill>
          <a:prstDash val="solid"/>
        </a:ln>
        <a:effectLst/>
      </dgm:spPr>
      <dgm:t>
        <a:bodyPr/>
        <a:lstStyle/>
        <a:p>
          <a:r>
            <a:rPr lang="en-US" sz="800">
              <a:solidFill>
                <a:sysClr val="windowText" lastClr="000000"/>
              </a:solidFill>
              <a:latin typeface="Calibri"/>
              <a:ea typeface="+mn-ea"/>
              <a:cs typeface="+mn-cs"/>
            </a:rPr>
            <a:t>DESPACHO (Publications)</a:t>
          </a:r>
        </a:p>
      </dgm:t>
    </dgm:pt>
    <dgm:pt modelId="{A88A1646-5F5B-44BC-8945-344078B5C428}" type="parTrans" cxnId="{E05AFDDD-A78E-4833-B718-55F0EE2667D3}">
      <dgm:prSet/>
      <dgm:spPr>
        <a:xfrm rot="9103312">
          <a:off x="1515537" y="1375616"/>
          <a:ext cx="867676" cy="0"/>
        </a:xfrm>
        <a:custGeom>
          <a:avLst/>
          <a:gdLst/>
          <a:ahLst/>
          <a:cxnLst/>
          <a:rect l="0" t="0" r="0" b="0"/>
          <a:pathLst>
            <a:path>
              <a:moveTo>
                <a:pt x="0" y="0"/>
              </a:moveTo>
              <a:lnTo>
                <a:pt x="867676"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0506AC6C-9063-4F0D-8E98-D2DF92D84012}" type="sibTrans" cxnId="{E05AFDDD-A78E-4833-B718-55F0EE2667D3}">
      <dgm:prSet/>
      <dgm:spPr/>
      <dgm:t>
        <a:bodyPr/>
        <a:lstStyle/>
        <a:p>
          <a:endParaRPr lang="en-US"/>
        </a:p>
      </dgm:t>
    </dgm:pt>
    <dgm:pt modelId="{024B7CCE-7187-4ADD-85BC-6F847B3B2403}">
      <dgm:prSet phldrT="[Texto]" custT="1">
        <dgm:style>
          <a:lnRef idx="2">
            <a:schemeClr val="accent1"/>
          </a:lnRef>
          <a:fillRef idx="1">
            <a:schemeClr val="lt1"/>
          </a:fillRef>
          <a:effectRef idx="0">
            <a:schemeClr val="accent1"/>
          </a:effectRef>
          <a:fontRef idx="minor">
            <a:schemeClr val="dk1"/>
          </a:fontRef>
        </dgm:style>
      </dgm:prSet>
      <dgm:spPr>
        <a:xfrm>
          <a:off x="3796254" y="207303"/>
          <a:ext cx="724743" cy="359767"/>
        </a:xfrm>
        <a:prstGeom prst="roundRect">
          <a:avLst/>
        </a:prstGeom>
        <a:solidFill>
          <a:sysClr val="window" lastClr="FFFFFF"/>
        </a:solidFill>
        <a:ln w="25400" cap="flat" cmpd="sng" algn="ctr">
          <a:solidFill>
            <a:srgbClr val="4F81BD"/>
          </a:solidFill>
          <a:prstDash val="solid"/>
        </a:ln>
        <a:effectLst/>
      </dgm:spPr>
      <dgm:t>
        <a:bodyPr/>
        <a:lstStyle/>
        <a:p>
          <a:r>
            <a:rPr lang="en-US" sz="800">
              <a:solidFill>
                <a:sysClr val="windowText" lastClr="000000"/>
              </a:solidFill>
              <a:latin typeface="Calibri"/>
              <a:ea typeface="+mn-ea"/>
              <a:cs typeface="+mn-cs"/>
            </a:rPr>
            <a:t>DEPOSITANTE</a:t>
          </a:r>
        </a:p>
        <a:p>
          <a:r>
            <a:rPr lang="en-US" sz="800">
              <a:solidFill>
                <a:sysClr val="windowText" lastClr="000000"/>
              </a:solidFill>
              <a:latin typeface="Calibri"/>
              <a:ea typeface="+mn-ea"/>
              <a:cs typeface="+mn-cs"/>
            </a:rPr>
            <a:t>(Applicants)</a:t>
          </a:r>
        </a:p>
      </dgm:t>
    </dgm:pt>
    <dgm:pt modelId="{8866611C-FF5A-4A58-86DA-E14BD0B76BDF}" type="parTrans" cxnId="{6A9E02F7-EEF9-43CC-A04B-638010DC7C3F}">
      <dgm:prSet/>
      <dgm:spPr>
        <a:xfrm rot="20279420">
          <a:off x="3076462" y="673642"/>
          <a:ext cx="747012" cy="0"/>
        </a:xfrm>
        <a:custGeom>
          <a:avLst/>
          <a:gdLst/>
          <a:ahLst/>
          <a:cxnLst/>
          <a:rect l="0" t="0" r="0" b="0"/>
          <a:pathLst>
            <a:path>
              <a:moveTo>
                <a:pt x="0" y="0"/>
              </a:moveTo>
              <a:lnTo>
                <a:pt x="747012"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70168775-DEF4-4617-9310-723AF1538AEF}" type="sibTrans" cxnId="{6A9E02F7-EEF9-43CC-A04B-638010DC7C3F}">
      <dgm:prSet/>
      <dgm:spPr/>
      <dgm:t>
        <a:bodyPr/>
        <a:lstStyle/>
        <a:p>
          <a:endParaRPr lang="en-US"/>
        </a:p>
      </dgm:t>
    </dgm:pt>
    <dgm:pt modelId="{95727A0D-52DB-4572-A1EC-0B603DCCEFA5}" type="pres">
      <dgm:prSet presAssocID="{927F46BF-DBE6-4C22-ADD5-121C795E1A9C}" presName="Name0" presStyleCnt="0">
        <dgm:presLayoutVars>
          <dgm:chMax val="1"/>
          <dgm:chPref val="1"/>
          <dgm:dir/>
          <dgm:animOne val="branch"/>
          <dgm:animLvl val="lvl"/>
        </dgm:presLayoutVars>
      </dgm:prSet>
      <dgm:spPr/>
      <dgm:t>
        <a:bodyPr/>
        <a:lstStyle/>
        <a:p>
          <a:endParaRPr lang="en-US"/>
        </a:p>
      </dgm:t>
    </dgm:pt>
    <dgm:pt modelId="{ADDF17D4-6AEC-441A-8846-1F833EE38A56}" type="pres">
      <dgm:prSet presAssocID="{AD294E98-6B85-47BF-8C24-65A2A0ED6B7E}" presName="singleCycle" presStyleCnt="0"/>
      <dgm:spPr/>
    </dgm:pt>
    <dgm:pt modelId="{9503E387-AC42-4593-B327-44A8CBD73809}" type="pres">
      <dgm:prSet presAssocID="{AD294E98-6B85-47BF-8C24-65A2A0ED6B7E}" presName="singleCenter" presStyleLbl="node1" presStyleIdx="0" presStyleCnt="3" custScaleX="140332" custScaleY="49899" custLinFactNeighborX="1446" custLinFactNeighborY="-10414">
        <dgm:presLayoutVars>
          <dgm:chMax val="7"/>
          <dgm:chPref val="7"/>
        </dgm:presLayoutVars>
      </dgm:prSet>
      <dgm:spPr/>
      <dgm:t>
        <a:bodyPr/>
        <a:lstStyle/>
        <a:p>
          <a:endParaRPr lang="en-US"/>
        </a:p>
      </dgm:t>
    </dgm:pt>
    <dgm:pt modelId="{636D319B-255B-4718-BC39-C9EA36CDA09F}" type="pres">
      <dgm:prSet presAssocID="{8866611C-FF5A-4A58-86DA-E14BD0B76BDF}" presName="Name56" presStyleLbl="parChTrans1D2" presStyleIdx="0" presStyleCnt="2"/>
      <dgm:spPr/>
      <dgm:t>
        <a:bodyPr/>
        <a:lstStyle/>
        <a:p>
          <a:endParaRPr lang="en-US"/>
        </a:p>
      </dgm:t>
    </dgm:pt>
    <dgm:pt modelId="{AB251200-1885-4F51-9D0D-3923766ACFBF}" type="pres">
      <dgm:prSet presAssocID="{024B7CCE-7187-4ADD-85BC-6F847B3B2403}" presName="text0" presStyleLbl="node1" presStyleIdx="1" presStyleCnt="3" custScaleX="151420" custScaleY="75166" custRadScaleRad="181047" custRadScaleInc="69125">
        <dgm:presLayoutVars>
          <dgm:bulletEnabled val="1"/>
        </dgm:presLayoutVars>
      </dgm:prSet>
      <dgm:spPr/>
      <dgm:t>
        <a:bodyPr/>
        <a:lstStyle/>
        <a:p>
          <a:endParaRPr lang="en-US"/>
        </a:p>
      </dgm:t>
    </dgm:pt>
    <dgm:pt modelId="{F6B03033-96AB-44C5-960C-C5BF5A37217A}" type="pres">
      <dgm:prSet presAssocID="{A88A1646-5F5B-44BC-8945-344078B5C428}" presName="Name56" presStyleLbl="parChTrans1D2" presStyleIdx="1" presStyleCnt="2"/>
      <dgm:spPr/>
      <dgm:t>
        <a:bodyPr/>
        <a:lstStyle/>
        <a:p>
          <a:endParaRPr lang="en-US"/>
        </a:p>
      </dgm:t>
    </dgm:pt>
    <dgm:pt modelId="{0F9FF811-076F-4D72-9B5F-CC6488BFD860}" type="pres">
      <dgm:prSet presAssocID="{A554B4A2-DDE8-4E97-B876-902BE27710D7}" presName="text0" presStyleLbl="node1" presStyleIdx="2" presStyleCnt="3" custScaleX="154528" custScaleY="75732" custRadScaleRad="159498" custRadScaleInc="75367">
        <dgm:presLayoutVars>
          <dgm:bulletEnabled val="1"/>
        </dgm:presLayoutVars>
      </dgm:prSet>
      <dgm:spPr/>
      <dgm:t>
        <a:bodyPr/>
        <a:lstStyle/>
        <a:p>
          <a:endParaRPr lang="en-US"/>
        </a:p>
      </dgm:t>
    </dgm:pt>
  </dgm:ptLst>
  <dgm:cxnLst>
    <dgm:cxn modelId="{ACB2BA00-6EDB-4C6F-99AA-0B2666312A07}" type="presOf" srcId="{A88A1646-5F5B-44BC-8945-344078B5C428}" destId="{F6B03033-96AB-44C5-960C-C5BF5A37217A}" srcOrd="0" destOrd="0" presId="urn:microsoft.com/office/officeart/2008/layout/RadialCluster"/>
    <dgm:cxn modelId="{35C8990C-8F24-40E3-BB89-5553EEF1336D}" type="presOf" srcId="{AD294E98-6B85-47BF-8C24-65A2A0ED6B7E}" destId="{9503E387-AC42-4593-B327-44A8CBD73809}" srcOrd="0" destOrd="0" presId="urn:microsoft.com/office/officeart/2008/layout/RadialCluster"/>
    <dgm:cxn modelId="{E05AFDDD-A78E-4833-B718-55F0EE2667D3}" srcId="{AD294E98-6B85-47BF-8C24-65A2A0ED6B7E}" destId="{A554B4A2-DDE8-4E97-B876-902BE27710D7}" srcOrd="1" destOrd="0" parTransId="{A88A1646-5F5B-44BC-8945-344078B5C428}" sibTransId="{0506AC6C-9063-4F0D-8E98-D2DF92D84012}"/>
    <dgm:cxn modelId="{844BB481-13FC-43BF-9E60-11DAC3D1C42E}" type="presOf" srcId="{927F46BF-DBE6-4C22-ADD5-121C795E1A9C}" destId="{95727A0D-52DB-4572-A1EC-0B603DCCEFA5}" srcOrd="0" destOrd="0" presId="urn:microsoft.com/office/officeart/2008/layout/RadialCluster"/>
    <dgm:cxn modelId="{7256FB71-81CE-4C2B-AE43-C8017F25BF1E}" type="presOf" srcId="{A554B4A2-DDE8-4E97-B876-902BE27710D7}" destId="{0F9FF811-076F-4D72-9B5F-CC6488BFD860}" srcOrd="0" destOrd="0" presId="urn:microsoft.com/office/officeart/2008/layout/RadialCluster"/>
    <dgm:cxn modelId="{352F73D1-557B-4F7E-BF66-2DA6F7EC6F9A}" srcId="{927F46BF-DBE6-4C22-ADD5-121C795E1A9C}" destId="{AD294E98-6B85-47BF-8C24-65A2A0ED6B7E}" srcOrd="0" destOrd="0" parTransId="{EF7EDD28-09FF-4EC3-8E09-7529B00F79FC}" sibTransId="{62F418A4-C34A-4E32-AAED-0F5513511CEF}"/>
    <dgm:cxn modelId="{6A9E02F7-EEF9-43CC-A04B-638010DC7C3F}" srcId="{AD294E98-6B85-47BF-8C24-65A2A0ED6B7E}" destId="{024B7CCE-7187-4ADD-85BC-6F847B3B2403}" srcOrd="0" destOrd="0" parTransId="{8866611C-FF5A-4A58-86DA-E14BD0B76BDF}" sibTransId="{70168775-DEF4-4617-9310-723AF1538AEF}"/>
    <dgm:cxn modelId="{1DA9CED6-F84F-46A4-88D8-BAA90FA1F3FD}" type="presOf" srcId="{024B7CCE-7187-4ADD-85BC-6F847B3B2403}" destId="{AB251200-1885-4F51-9D0D-3923766ACFBF}" srcOrd="0" destOrd="0" presId="urn:microsoft.com/office/officeart/2008/layout/RadialCluster"/>
    <dgm:cxn modelId="{0921F2E6-E27A-4D91-B551-630CD8D53DD6}" type="presOf" srcId="{8866611C-FF5A-4A58-86DA-E14BD0B76BDF}" destId="{636D319B-255B-4718-BC39-C9EA36CDA09F}" srcOrd="0" destOrd="0" presId="urn:microsoft.com/office/officeart/2008/layout/RadialCluster"/>
    <dgm:cxn modelId="{CB79A0EF-D458-4856-8891-FABCD2E2EB71}" type="presParOf" srcId="{95727A0D-52DB-4572-A1EC-0B603DCCEFA5}" destId="{ADDF17D4-6AEC-441A-8846-1F833EE38A56}" srcOrd="0" destOrd="0" presId="urn:microsoft.com/office/officeart/2008/layout/RadialCluster"/>
    <dgm:cxn modelId="{293F7D83-11D4-4CA5-82ED-18F7983019C2}" type="presParOf" srcId="{ADDF17D4-6AEC-441A-8846-1F833EE38A56}" destId="{9503E387-AC42-4593-B327-44A8CBD73809}" srcOrd="0" destOrd="0" presId="urn:microsoft.com/office/officeart/2008/layout/RadialCluster"/>
    <dgm:cxn modelId="{7244436F-3A6B-4815-B2AE-0F07A5175206}" type="presParOf" srcId="{ADDF17D4-6AEC-441A-8846-1F833EE38A56}" destId="{636D319B-255B-4718-BC39-C9EA36CDA09F}" srcOrd="1" destOrd="0" presId="urn:microsoft.com/office/officeart/2008/layout/RadialCluster"/>
    <dgm:cxn modelId="{BD65C82C-8155-40B5-B2C2-8049FE4093E9}" type="presParOf" srcId="{ADDF17D4-6AEC-441A-8846-1F833EE38A56}" destId="{AB251200-1885-4F51-9D0D-3923766ACFBF}" srcOrd="2" destOrd="0" presId="urn:microsoft.com/office/officeart/2008/layout/RadialCluster"/>
    <dgm:cxn modelId="{3FC73F06-7867-433B-84CC-EBCA277A36D7}" type="presParOf" srcId="{ADDF17D4-6AEC-441A-8846-1F833EE38A56}" destId="{F6B03033-96AB-44C5-960C-C5BF5A37217A}" srcOrd="3" destOrd="0" presId="urn:microsoft.com/office/officeart/2008/layout/RadialCluster"/>
    <dgm:cxn modelId="{90BDE600-3F98-4CCD-95AE-25A787895C7E}" type="presParOf" srcId="{ADDF17D4-6AEC-441A-8846-1F833EE38A56}" destId="{0F9FF811-076F-4D72-9B5F-CC6488BFD860}" srcOrd="4" destOrd="0" presId="urn:microsoft.com/office/officeart/2008/layout/RadialCluster"/>
  </dgm:cxnLst>
  <dgm:bg/>
  <dgm:whole>
    <a:ln>
      <a:solidFill>
        <a:schemeClr val="bg1">
          <a:lumMod val="50000"/>
        </a:schemeClr>
      </a:solidFill>
    </a:ln>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03E387-AC42-4593-B327-44A8CBD73809}">
      <dsp:nvSpPr>
        <dsp:cNvPr id="0" name=""/>
        <dsp:cNvSpPr/>
      </dsp:nvSpPr>
      <dsp:spPr>
        <a:xfrm>
          <a:off x="2112697" y="957828"/>
          <a:ext cx="1001427" cy="461700"/>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PEDIDO (Applications)</a:t>
          </a:r>
        </a:p>
      </dsp:txBody>
      <dsp:txXfrm>
        <a:off x="2135235" y="980366"/>
        <a:ext cx="956351" cy="416624"/>
      </dsp:txXfrm>
    </dsp:sp>
    <dsp:sp modelId="{636D319B-255B-4718-BC39-C9EA36CDA09F}">
      <dsp:nvSpPr>
        <dsp:cNvPr id="0" name=""/>
        <dsp:cNvSpPr/>
      </dsp:nvSpPr>
      <dsp:spPr>
        <a:xfrm rot="19242972">
          <a:off x="2815498" y="733344"/>
          <a:ext cx="709088" cy="0"/>
        </a:xfrm>
        <a:custGeom>
          <a:avLst/>
          <a:gdLst/>
          <a:ahLst/>
          <a:cxnLst/>
          <a:rect l="0" t="0" r="0" b="0"/>
          <a:pathLst>
            <a:path>
              <a:moveTo>
                <a:pt x="0" y="0"/>
              </a:moveTo>
              <a:lnTo>
                <a:pt x="709845"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251200-1885-4F51-9D0D-3923766ACFBF}">
      <dsp:nvSpPr>
        <dsp:cNvPr id="0" name=""/>
        <dsp:cNvSpPr/>
      </dsp:nvSpPr>
      <dsp:spPr>
        <a:xfrm>
          <a:off x="3302149" y="149475"/>
          <a:ext cx="723970" cy="359384"/>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DEPOSITANTE</a:t>
          </a:r>
        </a:p>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(Applicants)</a:t>
          </a:r>
        </a:p>
      </dsp:txBody>
      <dsp:txXfrm>
        <a:off x="3319693" y="167019"/>
        <a:ext cx="688882" cy="324296"/>
      </dsp:txXfrm>
    </dsp:sp>
    <dsp:sp modelId="{DE44532B-2937-4A00-8558-F11E3B769910}">
      <dsp:nvSpPr>
        <dsp:cNvPr id="0" name=""/>
        <dsp:cNvSpPr/>
      </dsp:nvSpPr>
      <dsp:spPr>
        <a:xfrm rot="13263894">
          <a:off x="1738525" y="729390"/>
          <a:ext cx="695487" cy="0"/>
        </a:xfrm>
        <a:custGeom>
          <a:avLst/>
          <a:gdLst/>
          <a:ahLst/>
          <a:cxnLst/>
          <a:rect l="0" t="0" r="0" b="0"/>
          <a:pathLst>
            <a:path>
              <a:moveTo>
                <a:pt x="0" y="0"/>
              </a:moveTo>
              <a:lnTo>
                <a:pt x="696229"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5D88E9E-4FF8-4C3F-BD33-16054361FE93}">
      <dsp:nvSpPr>
        <dsp:cNvPr id="0" name=""/>
        <dsp:cNvSpPr/>
      </dsp:nvSpPr>
      <dsp:spPr>
        <a:xfrm>
          <a:off x="1004251" y="156821"/>
          <a:ext cx="1244686" cy="344132"/>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INVENTOR</a:t>
          </a:r>
        </a:p>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(Inventors)</a:t>
          </a:r>
        </a:p>
      </dsp:txBody>
      <dsp:txXfrm>
        <a:off x="1021050" y="173620"/>
        <a:ext cx="1211088" cy="310534"/>
      </dsp:txXfrm>
    </dsp:sp>
    <dsp:sp modelId="{2CC507F3-5552-46B2-AC30-FC0E48562F3D}">
      <dsp:nvSpPr>
        <dsp:cNvPr id="0" name=""/>
        <dsp:cNvSpPr/>
      </dsp:nvSpPr>
      <dsp:spPr>
        <a:xfrm rot="8816148">
          <a:off x="1531843" y="1635307"/>
          <a:ext cx="791008" cy="0"/>
        </a:xfrm>
        <a:custGeom>
          <a:avLst/>
          <a:gdLst/>
          <a:ahLst/>
          <a:cxnLst/>
          <a:rect l="0" t="0" r="0" b="0"/>
          <a:pathLst>
            <a:path>
              <a:moveTo>
                <a:pt x="0" y="0"/>
              </a:moveTo>
              <a:lnTo>
                <a:pt x="79185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273B583-4232-4352-AFFD-0934AEF089C2}">
      <dsp:nvSpPr>
        <dsp:cNvPr id="0" name=""/>
        <dsp:cNvSpPr/>
      </dsp:nvSpPr>
      <dsp:spPr>
        <a:xfrm>
          <a:off x="686863" y="1851086"/>
          <a:ext cx="1244686" cy="373264"/>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CLASSIFICAÇÃO IPC</a:t>
          </a:r>
        </a:p>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(International Classification)</a:t>
          </a:r>
        </a:p>
      </dsp:txBody>
      <dsp:txXfrm>
        <a:off x="705084" y="1869307"/>
        <a:ext cx="1208244" cy="336822"/>
      </dsp:txXfrm>
    </dsp:sp>
    <dsp:sp modelId="{F6B03033-96AB-44C5-960C-C5BF5A37217A}">
      <dsp:nvSpPr>
        <dsp:cNvPr id="0" name=""/>
        <dsp:cNvSpPr/>
      </dsp:nvSpPr>
      <dsp:spPr>
        <a:xfrm rot="1827612">
          <a:off x="2944259" y="1646082"/>
          <a:ext cx="893810" cy="0"/>
        </a:xfrm>
        <a:custGeom>
          <a:avLst/>
          <a:gdLst/>
          <a:ahLst/>
          <a:cxnLst/>
          <a:rect l="0" t="0" r="0" b="0"/>
          <a:pathLst>
            <a:path>
              <a:moveTo>
                <a:pt x="0" y="0"/>
              </a:moveTo>
              <a:lnTo>
                <a:pt x="894764"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F9FF811-076F-4D72-9B5F-CC6488BFD860}">
      <dsp:nvSpPr>
        <dsp:cNvPr id="0" name=""/>
        <dsp:cNvSpPr/>
      </dsp:nvSpPr>
      <dsp:spPr>
        <a:xfrm>
          <a:off x="3714816" y="1872636"/>
          <a:ext cx="738830" cy="362090"/>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DESPACHO (Publications)</a:t>
          </a:r>
        </a:p>
      </dsp:txBody>
      <dsp:txXfrm>
        <a:off x="3732492" y="1890312"/>
        <a:ext cx="703478" cy="326738"/>
      </dsp:txXfrm>
    </dsp:sp>
    <dsp:sp modelId="{9BF9D463-A3DE-4D45-BAAD-39F9106889C3}">
      <dsp:nvSpPr>
        <dsp:cNvPr id="0" name=""/>
        <dsp:cNvSpPr/>
      </dsp:nvSpPr>
      <dsp:spPr>
        <a:xfrm rot="21565890">
          <a:off x="3114095" y="1177608"/>
          <a:ext cx="1229907" cy="0"/>
        </a:xfrm>
        <a:custGeom>
          <a:avLst/>
          <a:gdLst/>
          <a:ahLst/>
          <a:cxnLst/>
          <a:rect l="0" t="0" r="0" b="0"/>
          <a:pathLst>
            <a:path>
              <a:moveTo>
                <a:pt x="0" y="0"/>
              </a:moveTo>
              <a:lnTo>
                <a:pt x="123122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37FFBD9-0C08-48FC-97CD-8FBC13E3A73B}">
      <dsp:nvSpPr>
        <dsp:cNvPr id="0" name=""/>
        <dsp:cNvSpPr/>
      </dsp:nvSpPr>
      <dsp:spPr>
        <a:xfrm>
          <a:off x="4343971" y="930074"/>
          <a:ext cx="478120" cy="478120"/>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PCT</a:t>
          </a:r>
        </a:p>
      </dsp:txBody>
      <dsp:txXfrm>
        <a:off x="4367311" y="953414"/>
        <a:ext cx="431440" cy="431440"/>
      </dsp:txXfrm>
    </dsp:sp>
    <dsp:sp modelId="{E5A104B7-0D4D-46EF-BFBC-25FF19A7FB2B}">
      <dsp:nvSpPr>
        <dsp:cNvPr id="0" name=""/>
        <dsp:cNvSpPr/>
      </dsp:nvSpPr>
      <dsp:spPr>
        <a:xfrm rot="10787436">
          <a:off x="1265120" y="1192057"/>
          <a:ext cx="847580" cy="0"/>
        </a:xfrm>
        <a:custGeom>
          <a:avLst/>
          <a:gdLst/>
          <a:ahLst/>
          <a:cxnLst/>
          <a:rect l="0" t="0" r="0" b="0"/>
          <a:pathLst>
            <a:path>
              <a:moveTo>
                <a:pt x="0" y="0"/>
              </a:moveTo>
              <a:lnTo>
                <a:pt x="848485" y="0"/>
              </a:lnTo>
            </a:path>
          </a:pathLst>
        </a:custGeom>
        <a:noFill/>
        <a:ln w="25400" cap="flat" cmpd="sng" algn="ctr">
          <a:solidFill>
            <a:srgbClr val="C0504D"/>
          </a:solidFill>
          <a:prstDash val="solid"/>
        </a:ln>
        <a:effectLst/>
      </dsp:spPr>
      <dsp:style>
        <a:lnRef idx="2">
          <a:scrgbClr r="0" g="0" b="0"/>
        </a:lnRef>
        <a:fillRef idx="0">
          <a:scrgbClr r="0" g="0" b="0"/>
        </a:fillRef>
        <a:effectRef idx="0">
          <a:scrgbClr r="0" g="0" b="0"/>
        </a:effectRef>
        <a:fontRef idx="minor"/>
      </dsp:style>
    </dsp:sp>
    <dsp:sp modelId="{5728FCAE-54DA-4E62-A220-DC1092D8D00C}">
      <dsp:nvSpPr>
        <dsp:cNvPr id="0" name=""/>
        <dsp:cNvSpPr/>
      </dsp:nvSpPr>
      <dsp:spPr>
        <a:xfrm>
          <a:off x="111599" y="956653"/>
          <a:ext cx="1153523" cy="478120"/>
        </a:xfrm>
        <a:prstGeom prst="roundRect">
          <a:avLst/>
        </a:prstGeom>
        <a:solidFill>
          <a:sysClr val="window" lastClr="FFFFFF"/>
        </a:solidFill>
        <a:ln w="25400" cap="flat" cmpd="sng" algn="ctr">
          <a:solidFill>
            <a:srgbClr val="C0504D"/>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FIRM DATA</a:t>
          </a:r>
        </a:p>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(IBGE's database)</a:t>
          </a:r>
        </a:p>
      </dsp:txBody>
      <dsp:txXfrm>
        <a:off x="134939" y="979993"/>
        <a:ext cx="1106843" cy="4314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03E387-AC42-4593-B327-44A8CBD73809}">
      <dsp:nvSpPr>
        <dsp:cNvPr id="0" name=""/>
        <dsp:cNvSpPr/>
      </dsp:nvSpPr>
      <dsp:spPr>
        <a:xfrm>
          <a:off x="2113753" y="964245"/>
          <a:ext cx="1099499" cy="431193"/>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PEDIDO (Applications)</a:t>
          </a:r>
        </a:p>
      </dsp:txBody>
      <dsp:txXfrm>
        <a:off x="2134802" y="985294"/>
        <a:ext cx="1057401" cy="389095"/>
      </dsp:txXfrm>
    </dsp:sp>
    <dsp:sp modelId="{636D319B-255B-4718-BC39-C9EA36CDA09F}">
      <dsp:nvSpPr>
        <dsp:cNvPr id="0" name=""/>
        <dsp:cNvSpPr/>
      </dsp:nvSpPr>
      <dsp:spPr>
        <a:xfrm rot="19837023">
          <a:off x="3005049" y="806561"/>
          <a:ext cx="642763" cy="0"/>
        </a:xfrm>
        <a:custGeom>
          <a:avLst/>
          <a:gdLst/>
          <a:ahLst/>
          <a:cxnLst/>
          <a:rect l="0" t="0" r="0" b="0"/>
          <a:pathLst>
            <a:path>
              <a:moveTo>
                <a:pt x="0" y="0"/>
              </a:moveTo>
              <a:lnTo>
                <a:pt x="64345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251200-1885-4F51-9D0D-3923766ACFBF}">
      <dsp:nvSpPr>
        <dsp:cNvPr id="0" name=""/>
        <dsp:cNvSpPr/>
      </dsp:nvSpPr>
      <dsp:spPr>
        <a:xfrm>
          <a:off x="3563609" y="289492"/>
          <a:ext cx="723970" cy="359384"/>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DEPOSITANTE</a:t>
          </a:r>
        </a:p>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(Applicants)</a:t>
          </a:r>
        </a:p>
      </dsp:txBody>
      <dsp:txXfrm>
        <a:off x="3581153" y="307036"/>
        <a:ext cx="688882" cy="324296"/>
      </dsp:txXfrm>
    </dsp:sp>
    <dsp:sp modelId="{F6B03033-96AB-44C5-960C-C5BF5A37217A}">
      <dsp:nvSpPr>
        <dsp:cNvPr id="0" name=""/>
        <dsp:cNvSpPr/>
      </dsp:nvSpPr>
      <dsp:spPr>
        <a:xfrm rot="12724582">
          <a:off x="1755892" y="802228"/>
          <a:ext cx="610178" cy="0"/>
        </a:xfrm>
        <a:custGeom>
          <a:avLst/>
          <a:gdLst/>
          <a:ahLst/>
          <a:cxnLst/>
          <a:rect l="0" t="0" r="0" b="0"/>
          <a:pathLst>
            <a:path>
              <a:moveTo>
                <a:pt x="0" y="0"/>
              </a:moveTo>
              <a:lnTo>
                <a:pt x="61083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F9FF811-076F-4D72-9B5F-CC6488BFD860}">
      <dsp:nvSpPr>
        <dsp:cNvPr id="0" name=""/>
        <dsp:cNvSpPr/>
      </dsp:nvSpPr>
      <dsp:spPr>
        <a:xfrm>
          <a:off x="1144177" y="278120"/>
          <a:ext cx="738830" cy="362090"/>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DESPACHO (Publications)</a:t>
          </a:r>
        </a:p>
      </dsp:txBody>
      <dsp:txXfrm>
        <a:off x="1161853" y="295796"/>
        <a:ext cx="703478" cy="326738"/>
      </dsp:txXfrm>
    </dsp:sp>
    <dsp:sp modelId="{2CC507F3-5552-46B2-AC30-FC0E48562F3D}">
      <dsp:nvSpPr>
        <dsp:cNvPr id="0" name=""/>
        <dsp:cNvSpPr/>
      </dsp:nvSpPr>
      <dsp:spPr>
        <a:xfrm rot="3180402">
          <a:off x="2690949" y="1666122"/>
          <a:ext cx="677803" cy="0"/>
        </a:xfrm>
        <a:custGeom>
          <a:avLst/>
          <a:gdLst/>
          <a:ahLst/>
          <a:cxnLst/>
          <a:rect l="0" t="0" r="0" b="0"/>
          <a:pathLst>
            <a:path>
              <a:moveTo>
                <a:pt x="0" y="0"/>
              </a:moveTo>
              <a:lnTo>
                <a:pt x="678527"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273B583-4232-4352-AFFD-0934AEF089C2}">
      <dsp:nvSpPr>
        <dsp:cNvPr id="0" name=""/>
        <dsp:cNvSpPr/>
      </dsp:nvSpPr>
      <dsp:spPr>
        <a:xfrm>
          <a:off x="2752035" y="1936804"/>
          <a:ext cx="1244686" cy="373264"/>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CLASSIFICAÇÃO NICE</a:t>
          </a:r>
        </a:p>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(International Classification)</a:t>
          </a:r>
        </a:p>
      </dsp:txBody>
      <dsp:txXfrm>
        <a:off x="2770256" y="1955025"/>
        <a:ext cx="1208244" cy="336822"/>
      </dsp:txXfrm>
    </dsp:sp>
    <dsp:sp modelId="{4262C4E0-8DC6-441A-96B2-AA11A9A53898}">
      <dsp:nvSpPr>
        <dsp:cNvPr id="0" name=""/>
        <dsp:cNvSpPr/>
      </dsp:nvSpPr>
      <dsp:spPr>
        <a:xfrm rot="10773752">
          <a:off x="1300653" y="1187144"/>
          <a:ext cx="813111" cy="0"/>
        </a:xfrm>
        <a:custGeom>
          <a:avLst/>
          <a:gdLst/>
          <a:ahLst/>
          <a:cxnLst/>
          <a:rect l="0" t="0" r="0" b="0"/>
          <a:pathLst>
            <a:path>
              <a:moveTo>
                <a:pt x="0" y="0"/>
              </a:moveTo>
              <a:lnTo>
                <a:pt x="813979" y="0"/>
              </a:lnTo>
            </a:path>
          </a:pathLst>
        </a:custGeom>
        <a:noFill/>
        <a:ln w="25400" cap="flat" cmpd="sng" algn="ctr">
          <a:solidFill>
            <a:srgbClr val="C0504D"/>
          </a:solidFill>
          <a:prstDash val="solid"/>
        </a:ln>
        <a:effectLst/>
      </dsp:spPr>
      <dsp:style>
        <a:lnRef idx="2">
          <a:scrgbClr r="0" g="0" b="0"/>
        </a:lnRef>
        <a:fillRef idx="0">
          <a:scrgbClr r="0" g="0" b="0"/>
        </a:fillRef>
        <a:effectRef idx="0">
          <a:scrgbClr r="0" g="0" b="0"/>
        </a:effectRef>
        <a:fontRef idx="minor"/>
      </dsp:style>
    </dsp:sp>
    <dsp:sp modelId="{18409BC0-0EC2-485E-8F29-1B6807CA36E4}">
      <dsp:nvSpPr>
        <dsp:cNvPr id="0" name=""/>
        <dsp:cNvSpPr/>
      </dsp:nvSpPr>
      <dsp:spPr>
        <a:xfrm>
          <a:off x="138951" y="955623"/>
          <a:ext cx="1161713" cy="478120"/>
        </a:xfrm>
        <a:prstGeom prst="roundRect">
          <a:avLst/>
        </a:prstGeom>
        <a:solidFill>
          <a:sysClr val="window" lastClr="FFFFFF"/>
        </a:solidFill>
        <a:ln w="25400" cap="flat" cmpd="sng" algn="ctr">
          <a:solidFill>
            <a:srgbClr val="C0504D"/>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FIRM DATA</a:t>
          </a:r>
        </a:p>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(IBGE's database)</a:t>
          </a:r>
        </a:p>
      </dsp:txBody>
      <dsp:txXfrm>
        <a:off x="162291" y="978963"/>
        <a:ext cx="1115033" cy="4314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03E387-AC42-4593-B327-44A8CBD73809}">
      <dsp:nvSpPr>
        <dsp:cNvPr id="0" name=""/>
        <dsp:cNvSpPr/>
      </dsp:nvSpPr>
      <dsp:spPr>
        <a:xfrm>
          <a:off x="2097153" y="1014916"/>
          <a:ext cx="1001427" cy="522685"/>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PEDIDO (Applications)</a:t>
          </a:r>
        </a:p>
      </dsp:txBody>
      <dsp:txXfrm>
        <a:off x="2122668" y="1040431"/>
        <a:ext cx="950397" cy="471655"/>
      </dsp:txXfrm>
    </dsp:sp>
    <dsp:sp modelId="{636D319B-255B-4718-BC39-C9EA36CDA09F}">
      <dsp:nvSpPr>
        <dsp:cNvPr id="0" name=""/>
        <dsp:cNvSpPr/>
      </dsp:nvSpPr>
      <dsp:spPr>
        <a:xfrm rot="19242511">
          <a:off x="2845463" y="813790"/>
          <a:ext cx="635201" cy="0"/>
        </a:xfrm>
        <a:custGeom>
          <a:avLst/>
          <a:gdLst/>
          <a:ahLst/>
          <a:cxnLst/>
          <a:rect l="0" t="0" r="0" b="0"/>
          <a:pathLst>
            <a:path>
              <a:moveTo>
                <a:pt x="0" y="0"/>
              </a:moveTo>
              <a:lnTo>
                <a:pt x="635879"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251200-1885-4F51-9D0D-3923766ACFBF}">
      <dsp:nvSpPr>
        <dsp:cNvPr id="0" name=""/>
        <dsp:cNvSpPr/>
      </dsp:nvSpPr>
      <dsp:spPr>
        <a:xfrm>
          <a:off x="3149114" y="253280"/>
          <a:ext cx="958718" cy="359384"/>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DEPOSITANTE</a:t>
          </a:r>
        </a:p>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(Applicants)</a:t>
          </a:r>
        </a:p>
      </dsp:txBody>
      <dsp:txXfrm>
        <a:off x="3166658" y="270824"/>
        <a:ext cx="923630" cy="324296"/>
      </dsp:txXfrm>
    </dsp:sp>
    <dsp:sp modelId="{DE44532B-2937-4A00-8558-F11E3B769910}">
      <dsp:nvSpPr>
        <dsp:cNvPr id="0" name=""/>
        <dsp:cNvSpPr/>
      </dsp:nvSpPr>
      <dsp:spPr>
        <a:xfrm rot="12999571">
          <a:off x="1583024" y="795034"/>
          <a:ext cx="736551" cy="0"/>
        </a:xfrm>
        <a:custGeom>
          <a:avLst/>
          <a:gdLst/>
          <a:ahLst/>
          <a:cxnLst/>
          <a:rect l="0" t="0" r="0" b="0"/>
          <a:pathLst>
            <a:path>
              <a:moveTo>
                <a:pt x="0" y="0"/>
              </a:moveTo>
              <a:lnTo>
                <a:pt x="737338"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5D88E9E-4FF8-4C3F-BD33-16054361FE93}">
      <dsp:nvSpPr>
        <dsp:cNvPr id="0" name=""/>
        <dsp:cNvSpPr/>
      </dsp:nvSpPr>
      <dsp:spPr>
        <a:xfrm>
          <a:off x="802342" y="231019"/>
          <a:ext cx="1244686" cy="344132"/>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AUTOR</a:t>
          </a:r>
        </a:p>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(Authors)</a:t>
          </a:r>
        </a:p>
      </dsp:txBody>
      <dsp:txXfrm>
        <a:off x="819141" y="247818"/>
        <a:ext cx="1211088" cy="310534"/>
      </dsp:txXfrm>
    </dsp:sp>
    <dsp:sp modelId="{2CC507F3-5552-46B2-AC30-FC0E48562F3D}">
      <dsp:nvSpPr>
        <dsp:cNvPr id="0" name=""/>
        <dsp:cNvSpPr/>
      </dsp:nvSpPr>
      <dsp:spPr>
        <a:xfrm rot="8822174">
          <a:off x="1766472" y="1664353"/>
          <a:ext cx="465905" cy="0"/>
        </a:xfrm>
        <a:custGeom>
          <a:avLst/>
          <a:gdLst/>
          <a:ahLst/>
          <a:cxnLst/>
          <a:rect l="0" t="0" r="0" b="0"/>
          <a:pathLst>
            <a:path>
              <a:moveTo>
                <a:pt x="0" y="0"/>
              </a:moveTo>
              <a:lnTo>
                <a:pt x="466402"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273B583-4232-4352-AFFD-0934AEF089C2}">
      <dsp:nvSpPr>
        <dsp:cNvPr id="0" name=""/>
        <dsp:cNvSpPr/>
      </dsp:nvSpPr>
      <dsp:spPr>
        <a:xfrm>
          <a:off x="893844" y="1791105"/>
          <a:ext cx="1244686" cy="373264"/>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CLASSIFICAÇÃO</a:t>
          </a:r>
        </a:p>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(Locarno Classification)</a:t>
          </a:r>
        </a:p>
      </dsp:txBody>
      <dsp:txXfrm>
        <a:off x="912065" y="1809326"/>
        <a:ext cx="1208244" cy="336822"/>
      </dsp:txXfrm>
    </dsp:sp>
    <dsp:sp modelId="{F6B03033-96AB-44C5-960C-C5BF5A37217A}">
      <dsp:nvSpPr>
        <dsp:cNvPr id="0" name=""/>
        <dsp:cNvSpPr/>
      </dsp:nvSpPr>
      <dsp:spPr>
        <a:xfrm rot="1782497">
          <a:off x="3021086" y="1668850"/>
          <a:ext cx="529669" cy="0"/>
        </a:xfrm>
        <a:custGeom>
          <a:avLst/>
          <a:gdLst/>
          <a:ahLst/>
          <a:cxnLst/>
          <a:rect l="0" t="0" r="0" b="0"/>
          <a:pathLst>
            <a:path>
              <a:moveTo>
                <a:pt x="0" y="0"/>
              </a:moveTo>
              <a:lnTo>
                <a:pt x="530234"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F9FF811-076F-4D72-9B5F-CC6488BFD860}">
      <dsp:nvSpPr>
        <dsp:cNvPr id="0" name=""/>
        <dsp:cNvSpPr/>
      </dsp:nvSpPr>
      <dsp:spPr>
        <a:xfrm>
          <a:off x="3460824" y="1800097"/>
          <a:ext cx="799542" cy="393302"/>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DESPACHO (Publications)</a:t>
          </a:r>
        </a:p>
      </dsp:txBody>
      <dsp:txXfrm>
        <a:off x="3480023" y="1819296"/>
        <a:ext cx="761144" cy="354904"/>
      </dsp:txXfrm>
    </dsp:sp>
    <dsp:sp modelId="{4E537C7B-AA7D-4C99-8DD7-A0F0583E734C}">
      <dsp:nvSpPr>
        <dsp:cNvPr id="0" name=""/>
        <dsp:cNvSpPr/>
      </dsp:nvSpPr>
      <dsp:spPr>
        <a:xfrm rot="10907114">
          <a:off x="1177190" y="1246319"/>
          <a:ext cx="920185" cy="0"/>
        </a:xfrm>
        <a:custGeom>
          <a:avLst/>
          <a:gdLst/>
          <a:ahLst/>
          <a:cxnLst/>
          <a:rect l="0" t="0" r="0" b="0"/>
          <a:pathLst>
            <a:path>
              <a:moveTo>
                <a:pt x="0" y="0"/>
              </a:moveTo>
              <a:lnTo>
                <a:pt x="921168" y="0"/>
              </a:lnTo>
            </a:path>
          </a:pathLst>
        </a:custGeom>
        <a:noFill/>
        <a:ln w="25400" cap="flat" cmpd="sng" algn="ctr">
          <a:solidFill>
            <a:srgbClr val="C0504D"/>
          </a:solidFill>
          <a:prstDash val="solid"/>
        </a:ln>
        <a:effectLst/>
      </dsp:spPr>
      <dsp:style>
        <a:lnRef idx="2">
          <a:scrgbClr r="0" g="0" b="0"/>
        </a:lnRef>
        <a:fillRef idx="0">
          <a:scrgbClr r="0" g="0" b="0"/>
        </a:fillRef>
        <a:effectRef idx="0">
          <a:scrgbClr r="0" g="0" b="0"/>
        </a:effectRef>
        <a:fontRef idx="minor"/>
      </dsp:style>
    </dsp:sp>
    <dsp:sp modelId="{3C42247D-8A3C-4CBD-89AB-989DFD55FE16}">
      <dsp:nvSpPr>
        <dsp:cNvPr id="0" name=""/>
        <dsp:cNvSpPr/>
      </dsp:nvSpPr>
      <dsp:spPr>
        <a:xfrm>
          <a:off x="86070" y="975918"/>
          <a:ext cx="1091343" cy="478120"/>
        </a:xfrm>
        <a:prstGeom prst="roundRect">
          <a:avLst/>
        </a:prstGeom>
        <a:solidFill>
          <a:sysClr val="window" lastClr="FFFFFF"/>
        </a:solidFill>
        <a:ln w="25400" cap="flat" cmpd="sng" algn="ctr">
          <a:solidFill>
            <a:srgbClr val="C0504D"/>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FIRM DATA</a:t>
          </a:r>
        </a:p>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(IBGE's database)</a:t>
          </a:r>
        </a:p>
      </dsp:txBody>
      <dsp:txXfrm>
        <a:off x="109410" y="999258"/>
        <a:ext cx="1044663" cy="43144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03E387-AC42-4593-B327-44A8CBD73809}">
      <dsp:nvSpPr>
        <dsp:cNvPr id="0" name=""/>
        <dsp:cNvSpPr/>
      </dsp:nvSpPr>
      <dsp:spPr>
        <a:xfrm>
          <a:off x="2117199" y="928908"/>
          <a:ext cx="1001427" cy="356085"/>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PEDIDO (Applications)</a:t>
          </a:r>
        </a:p>
      </dsp:txBody>
      <dsp:txXfrm>
        <a:off x="2134582" y="946291"/>
        <a:ext cx="966661" cy="321319"/>
      </dsp:txXfrm>
    </dsp:sp>
    <dsp:sp modelId="{636D319B-255B-4718-BC39-C9EA36CDA09F}">
      <dsp:nvSpPr>
        <dsp:cNvPr id="0" name=""/>
        <dsp:cNvSpPr/>
      </dsp:nvSpPr>
      <dsp:spPr>
        <a:xfrm rot="19506492">
          <a:off x="2811927" y="733904"/>
          <a:ext cx="681798" cy="0"/>
        </a:xfrm>
        <a:custGeom>
          <a:avLst/>
          <a:gdLst/>
          <a:ahLst/>
          <a:cxnLst/>
          <a:rect l="0" t="0" r="0" b="0"/>
          <a:pathLst>
            <a:path>
              <a:moveTo>
                <a:pt x="0" y="0"/>
              </a:moveTo>
              <a:lnTo>
                <a:pt x="682526"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251200-1885-4F51-9D0D-3923766ACFBF}">
      <dsp:nvSpPr>
        <dsp:cNvPr id="0" name=""/>
        <dsp:cNvSpPr/>
      </dsp:nvSpPr>
      <dsp:spPr>
        <a:xfrm>
          <a:off x="3328119" y="179516"/>
          <a:ext cx="723970" cy="359384"/>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DEPOSITANTE</a:t>
          </a:r>
        </a:p>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(Applicants)</a:t>
          </a:r>
        </a:p>
      </dsp:txBody>
      <dsp:txXfrm>
        <a:off x="3345663" y="197060"/>
        <a:ext cx="688882" cy="324296"/>
      </dsp:txXfrm>
    </dsp:sp>
    <dsp:sp modelId="{DE44532B-2937-4A00-8558-F11E3B769910}">
      <dsp:nvSpPr>
        <dsp:cNvPr id="0" name=""/>
        <dsp:cNvSpPr/>
      </dsp:nvSpPr>
      <dsp:spPr>
        <a:xfrm rot="12759682">
          <a:off x="1675634" y="734198"/>
          <a:ext cx="721587" cy="0"/>
        </a:xfrm>
        <a:custGeom>
          <a:avLst/>
          <a:gdLst/>
          <a:ahLst/>
          <a:cxnLst/>
          <a:rect l="0" t="0" r="0" b="0"/>
          <a:pathLst>
            <a:path>
              <a:moveTo>
                <a:pt x="0" y="0"/>
              </a:moveTo>
              <a:lnTo>
                <a:pt x="722357"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5D88E9E-4FF8-4C3F-BD33-16054361FE93}">
      <dsp:nvSpPr>
        <dsp:cNvPr id="0" name=""/>
        <dsp:cNvSpPr/>
      </dsp:nvSpPr>
      <dsp:spPr>
        <a:xfrm>
          <a:off x="841923" y="195355"/>
          <a:ext cx="1244686" cy="344132"/>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AUTOR</a:t>
          </a:r>
        </a:p>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(Authors)</a:t>
          </a:r>
        </a:p>
      </dsp:txBody>
      <dsp:txXfrm>
        <a:off x="858722" y="212154"/>
        <a:ext cx="1211088" cy="310534"/>
      </dsp:txXfrm>
    </dsp:sp>
    <dsp:sp modelId="{F6B03033-96AB-44C5-960C-C5BF5A37217A}">
      <dsp:nvSpPr>
        <dsp:cNvPr id="0" name=""/>
        <dsp:cNvSpPr/>
      </dsp:nvSpPr>
      <dsp:spPr>
        <a:xfrm rot="2020833">
          <a:off x="2827826" y="1474126"/>
          <a:ext cx="682095" cy="0"/>
        </a:xfrm>
        <a:custGeom>
          <a:avLst/>
          <a:gdLst/>
          <a:ahLst/>
          <a:cxnLst/>
          <a:rect l="0" t="0" r="0" b="0"/>
          <a:pathLst>
            <a:path>
              <a:moveTo>
                <a:pt x="0" y="0"/>
              </a:moveTo>
              <a:lnTo>
                <a:pt x="68282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F9FF811-076F-4D72-9B5F-CC6488BFD860}">
      <dsp:nvSpPr>
        <dsp:cNvPr id="0" name=""/>
        <dsp:cNvSpPr/>
      </dsp:nvSpPr>
      <dsp:spPr>
        <a:xfrm>
          <a:off x="3354924" y="1663258"/>
          <a:ext cx="738830" cy="362090"/>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DESPACHO (Publications)</a:t>
          </a:r>
        </a:p>
      </dsp:txBody>
      <dsp:txXfrm>
        <a:off x="3372600" y="1680934"/>
        <a:ext cx="703478" cy="326738"/>
      </dsp:txXfrm>
    </dsp:sp>
    <dsp:sp modelId="{37CD7012-B45C-4EAD-8826-635A11A9B081}">
      <dsp:nvSpPr>
        <dsp:cNvPr id="0" name=""/>
        <dsp:cNvSpPr/>
      </dsp:nvSpPr>
      <dsp:spPr>
        <a:xfrm rot="10824821">
          <a:off x="1358021" y="1100595"/>
          <a:ext cx="759187" cy="0"/>
        </a:xfrm>
        <a:custGeom>
          <a:avLst/>
          <a:gdLst/>
          <a:ahLst/>
          <a:cxnLst/>
          <a:rect l="0" t="0" r="0" b="0"/>
          <a:pathLst>
            <a:path>
              <a:moveTo>
                <a:pt x="0" y="0"/>
              </a:moveTo>
              <a:lnTo>
                <a:pt x="759998" y="0"/>
              </a:lnTo>
            </a:path>
          </a:pathLst>
        </a:custGeom>
        <a:noFill/>
        <a:ln w="25400" cap="flat" cmpd="sng" algn="ctr">
          <a:solidFill>
            <a:srgbClr val="C0504D"/>
          </a:solidFill>
          <a:prstDash val="solid"/>
        </a:ln>
        <a:effectLst/>
      </dsp:spPr>
      <dsp:style>
        <a:lnRef idx="2">
          <a:scrgbClr r="0" g="0" b="0"/>
        </a:lnRef>
        <a:fillRef idx="0">
          <a:scrgbClr r="0" g="0" b="0"/>
        </a:fillRef>
        <a:effectRef idx="0">
          <a:scrgbClr r="0" g="0" b="0"/>
        </a:effectRef>
        <a:fontRef idx="minor"/>
      </dsp:style>
    </dsp:sp>
    <dsp:sp modelId="{F6BF5366-1705-4EA5-9470-09D72AB6B174}">
      <dsp:nvSpPr>
        <dsp:cNvPr id="0" name=""/>
        <dsp:cNvSpPr/>
      </dsp:nvSpPr>
      <dsp:spPr>
        <a:xfrm>
          <a:off x="190833" y="881635"/>
          <a:ext cx="1167197" cy="424011"/>
        </a:xfrm>
        <a:prstGeom prst="roundRect">
          <a:avLst/>
        </a:prstGeom>
        <a:solidFill>
          <a:sysClr val="window" lastClr="FFFFFF"/>
        </a:solidFill>
        <a:ln w="25400" cap="flat" cmpd="sng" algn="ctr">
          <a:solidFill>
            <a:srgbClr val="C0504D"/>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FIRM DATA </a:t>
          </a:r>
        </a:p>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(IBGE's database)</a:t>
          </a:r>
        </a:p>
      </dsp:txBody>
      <dsp:txXfrm>
        <a:off x="211532" y="902334"/>
        <a:ext cx="1125799" cy="38261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03E387-AC42-4593-B327-44A8CBD73809}">
      <dsp:nvSpPr>
        <dsp:cNvPr id="0" name=""/>
        <dsp:cNvSpPr/>
      </dsp:nvSpPr>
      <dsp:spPr>
        <a:xfrm>
          <a:off x="2210115" y="780220"/>
          <a:ext cx="924438" cy="521103"/>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CONTRATO (Applications)</a:t>
          </a:r>
        </a:p>
      </dsp:txBody>
      <dsp:txXfrm>
        <a:off x="2235553" y="805658"/>
        <a:ext cx="873562" cy="470227"/>
      </dsp:txXfrm>
    </dsp:sp>
    <dsp:sp modelId="{18AC58CD-86EE-4852-9AA8-079BAB26B8F8}">
      <dsp:nvSpPr>
        <dsp:cNvPr id="0" name=""/>
        <dsp:cNvSpPr/>
      </dsp:nvSpPr>
      <dsp:spPr>
        <a:xfrm rot="1748668">
          <a:off x="3087313" y="1480228"/>
          <a:ext cx="746256" cy="0"/>
        </a:xfrm>
        <a:custGeom>
          <a:avLst/>
          <a:gdLst/>
          <a:ahLst/>
          <a:cxnLst/>
          <a:rect l="0" t="0" r="0" b="0"/>
          <a:pathLst>
            <a:path>
              <a:moveTo>
                <a:pt x="0" y="0"/>
              </a:moveTo>
              <a:lnTo>
                <a:pt x="747053" y="0"/>
              </a:lnTo>
            </a:path>
          </a:pathLst>
        </a:custGeom>
        <a:noFill/>
        <a:ln w="25400" cap="flat" cmpd="sng" algn="ctr">
          <a:solidFill>
            <a:srgbClr val="C0504D"/>
          </a:solidFill>
          <a:prstDash val="solid"/>
        </a:ln>
        <a:effectLst/>
      </dsp:spPr>
      <dsp:style>
        <a:lnRef idx="2">
          <a:scrgbClr r="0" g="0" b="0"/>
        </a:lnRef>
        <a:fillRef idx="0">
          <a:scrgbClr r="0" g="0" b="0"/>
        </a:fillRef>
        <a:effectRef idx="0">
          <a:scrgbClr r="0" g="0" b="0"/>
        </a:effectRef>
        <a:fontRef idx="minor"/>
      </dsp:style>
    </dsp:sp>
    <dsp:sp modelId="{2B8EE473-ABF2-413E-946F-DF5DB9C0C327}">
      <dsp:nvSpPr>
        <dsp:cNvPr id="0" name=""/>
        <dsp:cNvSpPr/>
      </dsp:nvSpPr>
      <dsp:spPr>
        <a:xfrm>
          <a:off x="3553118" y="1661946"/>
          <a:ext cx="1319525" cy="475698"/>
        </a:xfrm>
        <a:prstGeom prst="roundRect">
          <a:avLst/>
        </a:prstGeom>
        <a:solidFill>
          <a:sysClr val="window" lastClr="FFFFFF"/>
        </a:solidFill>
        <a:ln w="25400" cap="flat" cmpd="sng" algn="ctr">
          <a:solidFill>
            <a:srgbClr val="C0504D"/>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ROYALTIES</a:t>
          </a:r>
        </a:p>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(Central Bank Data)</a:t>
          </a:r>
        </a:p>
      </dsp:txBody>
      <dsp:txXfrm>
        <a:off x="3576340" y="1685168"/>
        <a:ext cx="1273081" cy="42925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03E387-AC42-4593-B327-44A8CBD73809}">
      <dsp:nvSpPr>
        <dsp:cNvPr id="0" name=""/>
        <dsp:cNvSpPr/>
      </dsp:nvSpPr>
      <dsp:spPr>
        <a:xfrm>
          <a:off x="2162965" y="812750"/>
          <a:ext cx="1001427" cy="356085"/>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PEDIDO (Applications)</a:t>
          </a:r>
        </a:p>
      </dsp:txBody>
      <dsp:txXfrm>
        <a:off x="2180348" y="830133"/>
        <a:ext cx="966661" cy="321319"/>
      </dsp:txXfrm>
    </dsp:sp>
    <dsp:sp modelId="{636D319B-255B-4718-BC39-C9EA36CDA09F}">
      <dsp:nvSpPr>
        <dsp:cNvPr id="0" name=""/>
        <dsp:cNvSpPr/>
      </dsp:nvSpPr>
      <dsp:spPr>
        <a:xfrm rot="20279420">
          <a:off x="3076944" y="672923"/>
          <a:ext cx="746215" cy="0"/>
        </a:xfrm>
        <a:custGeom>
          <a:avLst/>
          <a:gdLst/>
          <a:ahLst/>
          <a:cxnLst/>
          <a:rect l="0" t="0" r="0" b="0"/>
          <a:pathLst>
            <a:path>
              <a:moveTo>
                <a:pt x="0" y="0"/>
              </a:moveTo>
              <a:lnTo>
                <a:pt x="747012"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251200-1885-4F51-9D0D-3923766ACFBF}">
      <dsp:nvSpPr>
        <dsp:cNvPr id="0" name=""/>
        <dsp:cNvSpPr/>
      </dsp:nvSpPr>
      <dsp:spPr>
        <a:xfrm>
          <a:off x="3795968" y="207082"/>
          <a:ext cx="723970" cy="359384"/>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DEPOSITANTE</a:t>
          </a:r>
        </a:p>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(Applicants)</a:t>
          </a:r>
        </a:p>
      </dsp:txBody>
      <dsp:txXfrm>
        <a:off x="3813512" y="224626"/>
        <a:ext cx="688882" cy="324296"/>
      </dsp:txXfrm>
    </dsp:sp>
    <dsp:sp modelId="{F6B03033-96AB-44C5-960C-C5BF5A37217A}">
      <dsp:nvSpPr>
        <dsp:cNvPr id="0" name=""/>
        <dsp:cNvSpPr/>
      </dsp:nvSpPr>
      <dsp:spPr>
        <a:xfrm rot="9103312">
          <a:off x="1517684" y="1374149"/>
          <a:ext cx="866750" cy="0"/>
        </a:xfrm>
        <a:custGeom>
          <a:avLst/>
          <a:gdLst/>
          <a:ahLst/>
          <a:cxnLst/>
          <a:rect l="0" t="0" r="0" b="0"/>
          <a:pathLst>
            <a:path>
              <a:moveTo>
                <a:pt x="0" y="0"/>
              </a:moveTo>
              <a:lnTo>
                <a:pt x="867676"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F9FF811-076F-4D72-9B5F-CC6488BFD860}">
      <dsp:nvSpPr>
        <dsp:cNvPr id="0" name=""/>
        <dsp:cNvSpPr/>
      </dsp:nvSpPr>
      <dsp:spPr>
        <a:xfrm>
          <a:off x="863443" y="1579461"/>
          <a:ext cx="738830" cy="362090"/>
        </a:xfrm>
        <a:prstGeom prst="roundRect">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DESPACHO (Publications)</a:t>
          </a:r>
        </a:p>
      </dsp:txBody>
      <dsp:txXfrm>
        <a:off x="881119" y="1597137"/>
        <a:ext cx="703478" cy="326738"/>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C6424-CD11-41B8-9522-A46BCF3DD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99</Pages>
  <Words>28852</Words>
  <Characters>164458</Characters>
  <Application>Microsoft Office Word</Application>
  <DocSecurity>0</DocSecurity>
  <Lines>1370</Lines>
  <Paragraphs>385</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192925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VALLES GALMES Caterina</dc:creator>
  <cp:lastModifiedBy>IBRAHIM Ammar</cp:lastModifiedBy>
  <cp:revision>16</cp:revision>
  <cp:lastPrinted>2014-10-16T15:22:00Z</cp:lastPrinted>
  <dcterms:created xsi:type="dcterms:W3CDTF">2014-09-19T08:19:00Z</dcterms:created>
  <dcterms:modified xsi:type="dcterms:W3CDTF">2014-10-16T15:22:00Z</dcterms:modified>
</cp:coreProperties>
</file>