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C112C0"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2A4EF3" w:rsidP="002D5DB8">
            <w:pPr>
              <w:jc w:val="right"/>
              <w:rPr>
                <w:rFonts w:ascii="Arial Black" w:hAnsi="Arial Black"/>
                <w:caps/>
                <w:sz w:val="15"/>
              </w:rPr>
            </w:pPr>
            <w:bookmarkStart w:id="1" w:name="Code"/>
            <w:bookmarkEnd w:id="1"/>
            <w:r>
              <w:rPr>
                <w:rFonts w:ascii="Arial Black" w:hAnsi="Arial Black"/>
                <w:caps/>
                <w:sz w:val="15"/>
              </w:rPr>
              <w:t>CDIP/15/</w:t>
            </w:r>
            <w:r w:rsidR="000042CF">
              <w:rPr>
                <w:rFonts w:ascii="Arial Black" w:hAnsi="Arial Black"/>
                <w:caps/>
                <w:sz w:val="15"/>
              </w:rPr>
              <w:t>6</w:t>
            </w:r>
            <w:r w:rsidR="00A16A3C">
              <w:rPr>
                <w:rFonts w:ascii="Arial Black" w:hAnsi="Arial Black"/>
                <w:caps/>
                <w:sz w:val="15"/>
              </w:rPr>
              <w:t xml:space="preserve"> </w:t>
            </w:r>
            <w:r w:rsidR="002D5DB8">
              <w:rPr>
                <w:rFonts w:ascii="Arial Black" w:hAnsi="Arial Black"/>
                <w:caps/>
                <w:sz w:val="15"/>
              </w:rPr>
              <w:t>corr</w:t>
            </w:r>
            <w:r w:rsidR="009F5A4D">
              <w:rPr>
                <w:rFonts w:ascii="Arial Black" w:hAnsi="Arial Black"/>
                <w:caps/>
                <w:sz w:val="15"/>
              </w:rPr>
              <w:t>.</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2A4EF3">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0042CF">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0042CF">
              <w:rPr>
                <w:rFonts w:ascii="Arial Black" w:hAnsi="Arial Black"/>
                <w:caps/>
                <w:sz w:val="15"/>
              </w:rPr>
              <w:t>march 9</w:t>
            </w:r>
            <w:r w:rsidR="002A4EF3" w:rsidRPr="00C800BE">
              <w:rPr>
                <w:rFonts w:ascii="Arial Black" w:hAnsi="Arial Black"/>
                <w:caps/>
                <w:sz w:val="15"/>
              </w:rPr>
              <w:t>, 201</w:t>
            </w:r>
            <w:r w:rsidR="000042CF">
              <w:rPr>
                <w:rFonts w:ascii="Arial Black" w:hAnsi="Arial Black"/>
                <w:caps/>
                <w:sz w:val="15"/>
              </w:rPr>
              <w:t>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2A4EF3" w:rsidP="008B2CC1">
      <w:pPr>
        <w:rPr>
          <w:b/>
          <w:sz w:val="28"/>
          <w:szCs w:val="28"/>
        </w:rPr>
      </w:pPr>
      <w:r>
        <w:rPr>
          <w:b/>
          <w:sz w:val="28"/>
          <w:szCs w:val="28"/>
        </w:rPr>
        <w:t>Committee on Development and Intellectual Property</w:t>
      </w:r>
      <w:r w:rsidR="00C61740">
        <w:rPr>
          <w:b/>
          <w:sz w:val="28"/>
          <w:szCs w:val="28"/>
        </w:rPr>
        <w:t xml:space="preserve"> (CDIP)</w:t>
      </w:r>
    </w:p>
    <w:p w:rsidR="003845C1" w:rsidRDefault="003845C1" w:rsidP="003845C1"/>
    <w:p w:rsidR="003845C1" w:rsidRDefault="003845C1" w:rsidP="003845C1"/>
    <w:p w:rsidR="008B2CC1" w:rsidRPr="003845C1" w:rsidRDefault="002A4EF3" w:rsidP="008B2CC1">
      <w:pPr>
        <w:rPr>
          <w:b/>
          <w:sz w:val="24"/>
          <w:szCs w:val="24"/>
        </w:rPr>
      </w:pPr>
      <w:r>
        <w:rPr>
          <w:b/>
          <w:sz w:val="24"/>
          <w:szCs w:val="24"/>
        </w:rPr>
        <w:t xml:space="preserve">Fifteenth </w:t>
      </w:r>
      <w:r w:rsidR="003845C1" w:rsidRPr="003845C1">
        <w:rPr>
          <w:b/>
          <w:sz w:val="24"/>
          <w:szCs w:val="24"/>
        </w:rPr>
        <w:t>Session</w:t>
      </w:r>
    </w:p>
    <w:p w:rsidR="008B2CC1" w:rsidRPr="003845C1" w:rsidRDefault="002A4EF3" w:rsidP="008B2CC1">
      <w:pPr>
        <w:rPr>
          <w:b/>
          <w:sz w:val="24"/>
          <w:szCs w:val="24"/>
        </w:rPr>
      </w:pPr>
      <w:r>
        <w:rPr>
          <w:b/>
          <w:sz w:val="24"/>
          <w:szCs w:val="24"/>
        </w:rPr>
        <w:t>Geneva,</w:t>
      </w:r>
      <w:r w:rsidR="008B2CC1" w:rsidRPr="003845C1">
        <w:rPr>
          <w:b/>
          <w:sz w:val="24"/>
          <w:szCs w:val="24"/>
        </w:rPr>
        <w:t xml:space="preserve"> </w:t>
      </w:r>
      <w:r w:rsidR="008C0589">
        <w:rPr>
          <w:b/>
          <w:sz w:val="24"/>
          <w:szCs w:val="24"/>
        </w:rPr>
        <w:t>April 20 to 24, 2015</w:t>
      </w:r>
    </w:p>
    <w:p w:rsidR="008B2CC1" w:rsidRPr="008B2CC1" w:rsidRDefault="008B2CC1" w:rsidP="008B2CC1"/>
    <w:p w:rsidR="008B2CC1" w:rsidRPr="008B2CC1" w:rsidRDefault="008B2CC1" w:rsidP="008B2CC1"/>
    <w:p w:rsidR="008B2CC1" w:rsidRPr="008B2CC1" w:rsidRDefault="008B2CC1" w:rsidP="008B2CC1"/>
    <w:p w:rsidR="008B2CC1" w:rsidRPr="003845C1" w:rsidRDefault="002A4EF3" w:rsidP="008B2CC1">
      <w:pPr>
        <w:rPr>
          <w:caps/>
          <w:sz w:val="24"/>
        </w:rPr>
      </w:pPr>
      <w:bookmarkStart w:id="4" w:name="TitleOfDoc"/>
      <w:bookmarkEnd w:id="4"/>
      <w:r>
        <w:rPr>
          <w:caps/>
          <w:sz w:val="24"/>
        </w:rPr>
        <w:t xml:space="preserve">Patent-related flexibilities in the multilateral legal framework and their </w:t>
      </w:r>
      <w:r w:rsidR="001E151A">
        <w:rPr>
          <w:caps/>
          <w:sz w:val="24"/>
        </w:rPr>
        <w:t xml:space="preserve">legislative </w:t>
      </w:r>
      <w:r w:rsidR="001E151A" w:rsidRPr="001E151A">
        <w:rPr>
          <w:caps/>
          <w:sz w:val="24"/>
        </w:rPr>
        <w:t xml:space="preserve">IMPLEMENTATION </w:t>
      </w:r>
      <w:r w:rsidR="001E151A">
        <w:rPr>
          <w:caps/>
          <w:sz w:val="24"/>
        </w:rPr>
        <w:t xml:space="preserve">at the </w:t>
      </w:r>
      <w:r>
        <w:rPr>
          <w:caps/>
          <w:sz w:val="24"/>
        </w:rPr>
        <w:t xml:space="preserve">national </w:t>
      </w:r>
      <w:r w:rsidR="00C61740">
        <w:rPr>
          <w:caps/>
          <w:sz w:val="24"/>
        </w:rPr>
        <w:br/>
      </w:r>
      <w:r>
        <w:rPr>
          <w:caps/>
          <w:sz w:val="24"/>
        </w:rPr>
        <w:t xml:space="preserve">and regional </w:t>
      </w:r>
      <w:r w:rsidR="001E151A">
        <w:rPr>
          <w:caps/>
          <w:sz w:val="24"/>
        </w:rPr>
        <w:t>levels</w:t>
      </w:r>
      <w:r w:rsidR="00D41780">
        <w:rPr>
          <w:caps/>
          <w:sz w:val="24"/>
        </w:rPr>
        <w:t xml:space="preserve"> </w:t>
      </w:r>
      <w:r w:rsidR="00D04AC0">
        <w:rPr>
          <w:caps/>
          <w:sz w:val="24"/>
        </w:rPr>
        <w:t>–</w:t>
      </w:r>
      <w:r w:rsidR="00D41780">
        <w:rPr>
          <w:caps/>
          <w:sz w:val="24"/>
        </w:rPr>
        <w:t xml:space="preserve"> </w:t>
      </w:r>
      <w:r w:rsidR="00D04AC0">
        <w:rPr>
          <w:caps/>
          <w:sz w:val="24"/>
        </w:rPr>
        <w:t>part iv</w:t>
      </w:r>
    </w:p>
    <w:p w:rsidR="008B2CC1" w:rsidRPr="008B2CC1" w:rsidRDefault="008B2CC1" w:rsidP="008B2CC1"/>
    <w:p w:rsidR="008B2CC1" w:rsidRPr="008B2CC1" w:rsidRDefault="001E151A" w:rsidP="008B2CC1">
      <w:pPr>
        <w:rPr>
          <w:i/>
        </w:rPr>
      </w:pPr>
      <w:bookmarkStart w:id="5" w:name="Prepared"/>
      <w:bookmarkEnd w:id="5"/>
      <w:proofErr w:type="gramStart"/>
      <w:r>
        <w:rPr>
          <w:i/>
        </w:rPr>
        <w:t>prepared</w:t>
      </w:r>
      <w:proofErr w:type="gramEnd"/>
      <w:r>
        <w:rPr>
          <w:i/>
        </w:rPr>
        <w:t xml:space="preserve"> by the </w:t>
      </w:r>
      <w:r w:rsidR="002A4EF3">
        <w:rPr>
          <w:i/>
        </w:rPr>
        <w:t>Secretariat</w:t>
      </w:r>
    </w:p>
    <w:p w:rsidR="00AC205C" w:rsidRDefault="00AC205C"/>
    <w:p w:rsidR="00222C25" w:rsidRDefault="00222C25"/>
    <w:p w:rsidR="00222C25" w:rsidRDefault="00222C25"/>
    <w:p w:rsidR="00222C25" w:rsidRDefault="00222C25"/>
    <w:p w:rsidR="002928D3" w:rsidRDefault="002928D3"/>
    <w:p w:rsidR="001E151A" w:rsidRDefault="007773D0" w:rsidP="009D7DEF">
      <w:pPr>
        <w:rPr>
          <w:szCs w:val="22"/>
        </w:rPr>
      </w:pPr>
      <w:r>
        <w:rPr>
          <w:szCs w:val="22"/>
        </w:rPr>
        <w:fldChar w:fldCharType="begin"/>
      </w:r>
      <w:r>
        <w:rPr>
          <w:szCs w:val="22"/>
        </w:rPr>
        <w:instrText xml:space="preserve"> AUTONUM  </w:instrText>
      </w:r>
      <w:r>
        <w:rPr>
          <w:szCs w:val="22"/>
        </w:rPr>
        <w:fldChar w:fldCharType="end"/>
      </w:r>
      <w:r>
        <w:rPr>
          <w:szCs w:val="22"/>
        </w:rPr>
        <w:tab/>
      </w:r>
      <w:r w:rsidR="001E151A" w:rsidRPr="00A83989">
        <w:rPr>
          <w:szCs w:val="22"/>
        </w:rPr>
        <w:t>In the context of the dis</w:t>
      </w:r>
      <w:r w:rsidR="001E151A">
        <w:rPr>
          <w:szCs w:val="22"/>
        </w:rPr>
        <w:t>cussions on Development Agenda R</w:t>
      </w:r>
      <w:r w:rsidR="001E151A" w:rsidRPr="00A83989">
        <w:rPr>
          <w:szCs w:val="22"/>
        </w:rPr>
        <w:t>ecommendation 14</w:t>
      </w:r>
      <w:r w:rsidR="006B7B13" w:rsidRPr="00A83989">
        <w:rPr>
          <w:szCs w:val="22"/>
        </w:rPr>
        <w:t>,</w:t>
      </w:r>
      <w:r w:rsidR="009D7DEF">
        <w:rPr>
          <w:szCs w:val="22"/>
        </w:rPr>
        <w:t xml:space="preserve"> </w:t>
      </w:r>
      <w:r w:rsidR="00443F6E">
        <w:rPr>
          <w:szCs w:val="22"/>
        </w:rPr>
        <w:br/>
      </w:r>
      <w:r w:rsidR="009D7DEF">
        <w:rPr>
          <w:szCs w:val="22"/>
        </w:rPr>
        <w:t xml:space="preserve">the </w:t>
      </w:r>
      <w:r w:rsidR="001E151A" w:rsidRPr="00A83989">
        <w:rPr>
          <w:szCs w:val="22"/>
        </w:rPr>
        <w:t xml:space="preserve">Committee on Development and Intellectual </w:t>
      </w:r>
      <w:r w:rsidR="001E151A">
        <w:rPr>
          <w:szCs w:val="22"/>
        </w:rPr>
        <w:t>Property (CDIP)</w:t>
      </w:r>
      <w:r w:rsidR="00F154B7">
        <w:rPr>
          <w:szCs w:val="22"/>
        </w:rPr>
        <w:t>,</w:t>
      </w:r>
      <w:r w:rsidR="001E151A">
        <w:rPr>
          <w:szCs w:val="22"/>
        </w:rPr>
        <w:t xml:space="preserve"> </w:t>
      </w:r>
      <w:r w:rsidR="00F154B7">
        <w:rPr>
          <w:szCs w:val="22"/>
        </w:rPr>
        <w:t xml:space="preserve">at its thirteenth session, </w:t>
      </w:r>
      <w:r w:rsidR="001E151A" w:rsidRPr="00A83989">
        <w:rPr>
          <w:szCs w:val="22"/>
        </w:rPr>
        <w:t xml:space="preserve">requested the </w:t>
      </w:r>
      <w:r w:rsidR="00F154B7">
        <w:rPr>
          <w:szCs w:val="22"/>
        </w:rPr>
        <w:t>Secretariat</w:t>
      </w:r>
      <w:r w:rsidR="001E151A" w:rsidRPr="00A83989">
        <w:rPr>
          <w:szCs w:val="22"/>
        </w:rPr>
        <w:t xml:space="preserve"> to prepare a document that cover</w:t>
      </w:r>
      <w:r w:rsidR="00F154B7">
        <w:rPr>
          <w:szCs w:val="22"/>
        </w:rPr>
        <w:t>ed</w:t>
      </w:r>
      <w:r w:rsidR="001E151A" w:rsidRPr="00A83989">
        <w:rPr>
          <w:szCs w:val="22"/>
        </w:rPr>
        <w:t xml:space="preserve"> </w:t>
      </w:r>
      <w:r w:rsidR="00443F6E">
        <w:rPr>
          <w:szCs w:val="22"/>
        </w:rPr>
        <w:t xml:space="preserve">the following </w:t>
      </w:r>
      <w:r w:rsidR="001E151A" w:rsidRPr="00A83989">
        <w:rPr>
          <w:szCs w:val="22"/>
        </w:rPr>
        <w:t xml:space="preserve">two new </w:t>
      </w:r>
      <w:r w:rsidR="00443F6E">
        <w:rPr>
          <w:szCs w:val="22"/>
        </w:rPr>
        <w:br/>
      </w:r>
      <w:r w:rsidR="001E151A">
        <w:rPr>
          <w:szCs w:val="22"/>
        </w:rPr>
        <w:t xml:space="preserve">patent-related </w:t>
      </w:r>
      <w:r w:rsidR="00443F6E">
        <w:rPr>
          <w:szCs w:val="22"/>
        </w:rPr>
        <w:t>flexibilities:</w:t>
      </w:r>
    </w:p>
    <w:p w:rsidR="00443F6E" w:rsidRDefault="00443F6E" w:rsidP="009D7DEF">
      <w:pPr>
        <w:rPr>
          <w:szCs w:val="22"/>
        </w:rPr>
      </w:pPr>
    </w:p>
    <w:p w:rsidR="00443F6E" w:rsidRPr="00D33B67" w:rsidRDefault="00443F6E" w:rsidP="00443F6E">
      <w:pPr>
        <w:tabs>
          <w:tab w:val="left" w:pos="567"/>
        </w:tabs>
        <w:ind w:left="567"/>
        <w:rPr>
          <w:szCs w:val="22"/>
        </w:rPr>
      </w:pPr>
      <w:r>
        <w:rPr>
          <w:rFonts w:asciiTheme="minorBidi" w:hAnsiTheme="minorBidi" w:cstheme="minorBidi"/>
          <w:szCs w:val="22"/>
        </w:rPr>
        <w:t>(a)</w:t>
      </w:r>
      <w:r>
        <w:rPr>
          <w:rFonts w:asciiTheme="minorBidi" w:hAnsiTheme="minorBidi" w:cstheme="minorBidi"/>
          <w:szCs w:val="22"/>
        </w:rPr>
        <w:tab/>
      </w:r>
      <w:proofErr w:type="gramStart"/>
      <w:r w:rsidRPr="00A01A5A">
        <w:rPr>
          <w:rFonts w:asciiTheme="minorBidi" w:hAnsiTheme="minorBidi" w:cstheme="minorBidi"/>
          <w:szCs w:val="22"/>
        </w:rPr>
        <w:t>the</w:t>
      </w:r>
      <w:proofErr w:type="gramEnd"/>
      <w:r w:rsidRPr="00A01A5A">
        <w:rPr>
          <w:rFonts w:asciiTheme="minorBidi" w:hAnsiTheme="minorBidi" w:cstheme="minorBidi"/>
          <w:szCs w:val="22"/>
        </w:rPr>
        <w:t xml:space="preserve"> flexibility to apply or not, criminal sanctions in patent enforcement (TRIPS Art.</w:t>
      </w:r>
      <w:r>
        <w:rPr>
          <w:rFonts w:asciiTheme="minorBidi" w:hAnsiTheme="minorBidi" w:cstheme="minorBidi"/>
          <w:szCs w:val="22"/>
        </w:rPr>
        <w:t> </w:t>
      </w:r>
      <w:r w:rsidRPr="00A01A5A">
        <w:rPr>
          <w:rFonts w:asciiTheme="minorBidi" w:hAnsiTheme="minorBidi" w:cstheme="minorBidi"/>
          <w:szCs w:val="22"/>
        </w:rPr>
        <w:t>61)</w:t>
      </w:r>
      <w:r w:rsidRPr="00D33B67">
        <w:rPr>
          <w:szCs w:val="22"/>
        </w:rPr>
        <w:t>;  and</w:t>
      </w:r>
    </w:p>
    <w:p w:rsidR="00443F6E" w:rsidRPr="00D33B67" w:rsidRDefault="00443F6E" w:rsidP="00443F6E">
      <w:pPr>
        <w:tabs>
          <w:tab w:val="left" w:pos="567"/>
        </w:tabs>
        <w:ind w:left="567"/>
        <w:rPr>
          <w:szCs w:val="22"/>
        </w:rPr>
      </w:pPr>
    </w:p>
    <w:p w:rsidR="00443F6E" w:rsidRPr="00A83989" w:rsidRDefault="00443F6E" w:rsidP="00443F6E">
      <w:pPr>
        <w:ind w:left="567"/>
        <w:rPr>
          <w:szCs w:val="22"/>
        </w:rPr>
      </w:pPr>
      <w:r>
        <w:rPr>
          <w:rFonts w:asciiTheme="minorBidi" w:hAnsiTheme="minorBidi" w:cstheme="minorBidi"/>
          <w:szCs w:val="22"/>
        </w:rPr>
        <w:t>(b)</w:t>
      </w:r>
      <w:r>
        <w:rPr>
          <w:rFonts w:asciiTheme="minorBidi" w:hAnsiTheme="minorBidi" w:cstheme="minorBidi"/>
          <w:szCs w:val="22"/>
        </w:rPr>
        <w:tab/>
      </w:r>
      <w:proofErr w:type="gramStart"/>
      <w:r w:rsidRPr="00A01A5A">
        <w:rPr>
          <w:rFonts w:asciiTheme="minorBidi" w:hAnsiTheme="minorBidi" w:cstheme="minorBidi"/>
          <w:szCs w:val="22"/>
        </w:rPr>
        <w:t>measures</w:t>
      </w:r>
      <w:proofErr w:type="gramEnd"/>
      <w:r w:rsidRPr="00A01A5A">
        <w:rPr>
          <w:rFonts w:asciiTheme="minorBidi" w:hAnsiTheme="minorBidi" w:cstheme="minorBidi"/>
          <w:szCs w:val="22"/>
        </w:rPr>
        <w:t xml:space="preserve"> related to security which might result in a limitation of patent rights </w:t>
      </w:r>
      <w:r>
        <w:rPr>
          <w:rFonts w:asciiTheme="minorBidi" w:hAnsiTheme="minorBidi" w:cstheme="minorBidi"/>
          <w:szCs w:val="22"/>
        </w:rPr>
        <w:br/>
      </w:r>
      <w:r w:rsidRPr="00A01A5A">
        <w:rPr>
          <w:rFonts w:asciiTheme="minorBidi" w:hAnsiTheme="minorBidi" w:cstheme="minorBidi"/>
          <w:szCs w:val="22"/>
        </w:rPr>
        <w:t>(so-called “security exception”) (TRIPS Art. 73)</w:t>
      </w:r>
      <w:r w:rsidRPr="00901DC8">
        <w:rPr>
          <w:szCs w:val="22"/>
        </w:rPr>
        <w:t>.</w:t>
      </w:r>
    </w:p>
    <w:p w:rsidR="001E151A" w:rsidRPr="00A83989" w:rsidRDefault="001E151A" w:rsidP="001E151A">
      <w:pPr>
        <w:rPr>
          <w:szCs w:val="22"/>
        </w:rPr>
      </w:pPr>
    </w:p>
    <w:p w:rsidR="001E151A" w:rsidRPr="00A83989" w:rsidRDefault="007773D0" w:rsidP="00F154B7">
      <w:pPr>
        <w:rPr>
          <w:szCs w:val="22"/>
        </w:rPr>
      </w:pPr>
      <w:r>
        <w:rPr>
          <w:szCs w:val="22"/>
        </w:rPr>
        <w:fldChar w:fldCharType="begin"/>
      </w:r>
      <w:r>
        <w:rPr>
          <w:szCs w:val="22"/>
        </w:rPr>
        <w:instrText xml:space="preserve"> AUTONUM  </w:instrText>
      </w:r>
      <w:r>
        <w:rPr>
          <w:szCs w:val="22"/>
        </w:rPr>
        <w:fldChar w:fldCharType="end"/>
      </w:r>
      <w:r>
        <w:rPr>
          <w:szCs w:val="22"/>
        </w:rPr>
        <w:tab/>
      </w:r>
      <w:r w:rsidR="001E151A" w:rsidRPr="00A83989">
        <w:rPr>
          <w:szCs w:val="22"/>
        </w:rPr>
        <w:t xml:space="preserve">The present document addresses the </w:t>
      </w:r>
      <w:r w:rsidR="00F154B7">
        <w:rPr>
          <w:szCs w:val="22"/>
        </w:rPr>
        <w:t xml:space="preserve">above-mentioned </w:t>
      </w:r>
      <w:r w:rsidR="001E151A" w:rsidRPr="00A83989">
        <w:rPr>
          <w:szCs w:val="22"/>
        </w:rPr>
        <w:t>request</w:t>
      </w:r>
      <w:r w:rsidR="00F154B7">
        <w:rPr>
          <w:szCs w:val="22"/>
        </w:rPr>
        <w:t>.</w:t>
      </w:r>
    </w:p>
    <w:p w:rsidR="001E151A" w:rsidRPr="00A83989" w:rsidRDefault="001E151A" w:rsidP="001E151A">
      <w:pPr>
        <w:rPr>
          <w:szCs w:val="22"/>
        </w:rPr>
      </w:pPr>
    </w:p>
    <w:p w:rsidR="001E151A" w:rsidRDefault="001E151A" w:rsidP="00515512">
      <w:pPr>
        <w:tabs>
          <w:tab w:val="left" w:pos="5529"/>
        </w:tabs>
        <w:ind w:left="4962"/>
        <w:rPr>
          <w:i/>
          <w:szCs w:val="22"/>
        </w:rPr>
      </w:pPr>
      <w:r>
        <w:rPr>
          <w:szCs w:val="22"/>
        </w:rPr>
        <w:fldChar w:fldCharType="begin"/>
      </w:r>
      <w:r>
        <w:rPr>
          <w:szCs w:val="22"/>
        </w:rPr>
        <w:instrText xml:space="preserve"> AUTONUM  </w:instrText>
      </w:r>
      <w:r>
        <w:rPr>
          <w:szCs w:val="22"/>
        </w:rPr>
        <w:fldChar w:fldCharType="end"/>
      </w:r>
      <w:r>
        <w:rPr>
          <w:szCs w:val="22"/>
        </w:rPr>
        <w:tab/>
      </w:r>
      <w:r w:rsidRPr="00A83989">
        <w:rPr>
          <w:i/>
          <w:szCs w:val="22"/>
        </w:rPr>
        <w:t>The CDIP is invited to take note of the contents of this document and its Annexes.</w:t>
      </w:r>
    </w:p>
    <w:p w:rsidR="00C61740" w:rsidRDefault="00C61740" w:rsidP="00C61740">
      <w:pPr>
        <w:tabs>
          <w:tab w:val="left" w:pos="6096"/>
        </w:tabs>
        <w:ind w:left="5529"/>
        <w:rPr>
          <w:i/>
          <w:szCs w:val="22"/>
        </w:rPr>
      </w:pPr>
    </w:p>
    <w:p w:rsidR="00222C25" w:rsidRDefault="00222C25" w:rsidP="00C61740">
      <w:pPr>
        <w:tabs>
          <w:tab w:val="left" w:pos="6096"/>
        </w:tabs>
        <w:ind w:left="5529"/>
        <w:rPr>
          <w:i/>
          <w:szCs w:val="22"/>
        </w:rPr>
      </w:pPr>
    </w:p>
    <w:p w:rsidR="00C61740" w:rsidRDefault="00C61740" w:rsidP="00C61740">
      <w:pPr>
        <w:tabs>
          <w:tab w:val="left" w:pos="6096"/>
        </w:tabs>
        <w:ind w:left="5529"/>
        <w:rPr>
          <w:i/>
          <w:szCs w:val="22"/>
        </w:rPr>
      </w:pPr>
    </w:p>
    <w:p w:rsidR="00C61740" w:rsidRPr="00A83989" w:rsidRDefault="00C61740" w:rsidP="00C61740">
      <w:pPr>
        <w:tabs>
          <w:tab w:val="left" w:pos="6096"/>
        </w:tabs>
        <w:ind w:left="5529"/>
        <w:rPr>
          <w:i/>
          <w:szCs w:val="22"/>
        </w:rPr>
      </w:pPr>
    </w:p>
    <w:p w:rsidR="008642C8" w:rsidRDefault="001E151A" w:rsidP="00BF106D">
      <w:pPr>
        <w:jc w:val="center"/>
        <w:rPr>
          <w:b/>
          <w:bCs/>
          <w:caps/>
          <w:kern w:val="32"/>
          <w:szCs w:val="32"/>
        </w:rPr>
      </w:pPr>
      <w:r w:rsidRPr="00A83989">
        <w:rPr>
          <w:i/>
          <w:szCs w:val="22"/>
        </w:rPr>
        <w:br w:type="page"/>
      </w:r>
    </w:p>
    <w:sdt>
      <w:sdtPr>
        <w:rPr>
          <w:rFonts w:ascii="Arial" w:eastAsia="SimSun" w:hAnsi="Arial" w:cs="Arial"/>
          <w:b w:val="0"/>
          <w:bCs w:val="0"/>
          <w:color w:val="auto"/>
          <w:sz w:val="22"/>
          <w:szCs w:val="20"/>
          <w:lang w:eastAsia="zh-CN"/>
        </w:rPr>
        <w:id w:val="-167870491"/>
        <w:docPartObj>
          <w:docPartGallery w:val="Table of Contents"/>
          <w:docPartUnique/>
        </w:docPartObj>
      </w:sdtPr>
      <w:sdtEndPr>
        <w:rPr>
          <w:noProof/>
        </w:rPr>
      </w:sdtEndPr>
      <w:sdtContent>
        <w:p w:rsidR="00A51DAB" w:rsidRPr="005246CC" w:rsidRDefault="0037004D" w:rsidP="005246CC">
          <w:pPr>
            <w:pStyle w:val="TOCHeading"/>
            <w:spacing w:line="240" w:lineRule="auto"/>
            <w:rPr>
              <w:rFonts w:ascii="Arial" w:hAnsi="Arial" w:cs="Arial"/>
              <w:color w:val="auto"/>
              <w:sz w:val="22"/>
              <w:szCs w:val="22"/>
            </w:rPr>
          </w:pPr>
          <w:r w:rsidRPr="005246CC">
            <w:rPr>
              <w:rFonts w:ascii="Arial" w:hAnsi="Arial" w:cs="Arial"/>
              <w:color w:val="auto"/>
              <w:sz w:val="22"/>
              <w:szCs w:val="22"/>
            </w:rPr>
            <w:t>TABLE OF CONTENTS</w:t>
          </w:r>
        </w:p>
        <w:p w:rsidR="001021F6" w:rsidRDefault="001021F6" w:rsidP="00BF106D">
          <w:pPr>
            <w:rPr>
              <w:szCs w:val="22"/>
            </w:rPr>
          </w:pPr>
        </w:p>
        <w:p w:rsidR="005246CC" w:rsidRPr="009E105C" w:rsidRDefault="005246CC" w:rsidP="00BF106D">
          <w:pPr>
            <w:rPr>
              <w:szCs w:val="22"/>
            </w:rPr>
          </w:pPr>
        </w:p>
        <w:p w:rsidR="00651667" w:rsidRPr="00651667" w:rsidRDefault="00A51DAB" w:rsidP="00651667">
          <w:pPr>
            <w:pStyle w:val="TOC1"/>
            <w:rPr>
              <w:rFonts w:asciiTheme="minorHAnsi" w:eastAsiaTheme="minorEastAsia" w:hAnsiTheme="minorHAnsi" w:cstheme="minorBidi"/>
              <w:szCs w:val="22"/>
              <w:lang w:eastAsia="en-US"/>
            </w:rPr>
          </w:pPr>
          <w:r w:rsidRPr="00BF106D">
            <w:rPr>
              <w:noProof w:val="0"/>
              <w:szCs w:val="22"/>
            </w:rPr>
            <w:fldChar w:fldCharType="begin"/>
          </w:r>
          <w:r w:rsidRPr="00BF106D">
            <w:rPr>
              <w:szCs w:val="22"/>
            </w:rPr>
            <w:instrText xml:space="preserve"> TOC \o "1-3" \h \z \u </w:instrText>
          </w:r>
          <w:r w:rsidRPr="00BF106D">
            <w:rPr>
              <w:noProof w:val="0"/>
              <w:szCs w:val="22"/>
            </w:rPr>
            <w:fldChar w:fldCharType="separate"/>
          </w:r>
          <w:hyperlink w:anchor="_Toc413401186" w:history="1">
            <w:r w:rsidR="00651667" w:rsidRPr="00651667">
              <w:rPr>
                <w:rStyle w:val="Hyperlink"/>
              </w:rPr>
              <w:t xml:space="preserve">I. </w:t>
            </w:r>
            <w:r w:rsidR="00651667" w:rsidRPr="00651667">
              <w:rPr>
                <w:rFonts w:asciiTheme="minorHAnsi" w:eastAsiaTheme="minorEastAsia" w:hAnsiTheme="minorHAnsi" w:cstheme="minorBidi"/>
                <w:szCs w:val="22"/>
                <w:lang w:eastAsia="en-US"/>
              </w:rPr>
              <w:tab/>
            </w:r>
            <w:r w:rsidR="00651667" w:rsidRPr="00651667">
              <w:rPr>
                <w:rStyle w:val="Hyperlink"/>
              </w:rPr>
              <w:t>EXECUTIVE SUMMARY</w:t>
            </w:r>
            <w:r w:rsidR="00651667" w:rsidRPr="00651667">
              <w:rPr>
                <w:webHidden/>
              </w:rPr>
              <w:tab/>
            </w:r>
            <w:r w:rsidR="00651667" w:rsidRPr="00651667">
              <w:rPr>
                <w:webHidden/>
              </w:rPr>
              <w:fldChar w:fldCharType="begin"/>
            </w:r>
            <w:r w:rsidR="00651667" w:rsidRPr="00651667">
              <w:rPr>
                <w:webHidden/>
              </w:rPr>
              <w:instrText xml:space="preserve"> PAGEREF _Toc413401186 \h </w:instrText>
            </w:r>
            <w:r w:rsidR="00651667" w:rsidRPr="00651667">
              <w:rPr>
                <w:webHidden/>
              </w:rPr>
            </w:r>
            <w:r w:rsidR="00651667" w:rsidRPr="00651667">
              <w:rPr>
                <w:webHidden/>
              </w:rPr>
              <w:fldChar w:fldCharType="separate"/>
            </w:r>
            <w:r w:rsidR="002C1F33">
              <w:rPr>
                <w:webHidden/>
              </w:rPr>
              <w:t>3</w:t>
            </w:r>
            <w:r w:rsidR="00651667" w:rsidRPr="00651667">
              <w:rPr>
                <w:webHidden/>
              </w:rPr>
              <w:fldChar w:fldCharType="end"/>
            </w:r>
          </w:hyperlink>
        </w:p>
        <w:p w:rsidR="00651667" w:rsidRDefault="002C1F33" w:rsidP="00651667">
          <w:pPr>
            <w:pStyle w:val="TOC1"/>
            <w:rPr>
              <w:rFonts w:asciiTheme="minorHAnsi" w:eastAsiaTheme="minorEastAsia" w:hAnsiTheme="minorHAnsi" w:cstheme="minorBidi"/>
              <w:szCs w:val="22"/>
              <w:lang w:eastAsia="en-US"/>
            </w:rPr>
          </w:pPr>
          <w:hyperlink w:anchor="_Toc413401187" w:history="1">
            <w:r w:rsidR="00651667" w:rsidRPr="00742C76">
              <w:rPr>
                <w:rStyle w:val="Hyperlink"/>
              </w:rPr>
              <w:t xml:space="preserve">II. </w:t>
            </w:r>
            <w:r w:rsidR="00651667">
              <w:rPr>
                <w:rFonts w:asciiTheme="minorHAnsi" w:eastAsiaTheme="minorEastAsia" w:hAnsiTheme="minorHAnsi" w:cstheme="minorBidi"/>
                <w:szCs w:val="22"/>
                <w:lang w:eastAsia="en-US"/>
              </w:rPr>
              <w:tab/>
            </w:r>
            <w:r w:rsidR="00651667" w:rsidRPr="00742C76">
              <w:rPr>
                <w:rStyle w:val="Hyperlink"/>
              </w:rPr>
              <w:t>THE FLEXIBILITY TO APPLY OR NOT CRIMINAL SANCTIONS IN PATENT ENFORCEMENT</w:t>
            </w:r>
            <w:r w:rsidR="00651667">
              <w:rPr>
                <w:webHidden/>
              </w:rPr>
              <w:tab/>
            </w:r>
            <w:r w:rsidR="00651667">
              <w:rPr>
                <w:webHidden/>
              </w:rPr>
              <w:fldChar w:fldCharType="begin"/>
            </w:r>
            <w:r w:rsidR="00651667">
              <w:rPr>
                <w:webHidden/>
              </w:rPr>
              <w:instrText xml:space="preserve"> PAGEREF _Toc413401187 \h </w:instrText>
            </w:r>
            <w:r w:rsidR="00651667">
              <w:rPr>
                <w:webHidden/>
              </w:rPr>
            </w:r>
            <w:r w:rsidR="00651667">
              <w:rPr>
                <w:webHidden/>
              </w:rPr>
              <w:fldChar w:fldCharType="separate"/>
            </w:r>
            <w:r>
              <w:rPr>
                <w:webHidden/>
              </w:rPr>
              <w:t>4</w:t>
            </w:r>
            <w:r w:rsidR="00651667">
              <w:rPr>
                <w:webHidden/>
              </w:rPr>
              <w:fldChar w:fldCharType="end"/>
            </w:r>
          </w:hyperlink>
        </w:p>
        <w:p w:rsidR="00651667" w:rsidRDefault="002C1F33">
          <w:pPr>
            <w:pStyle w:val="TOC2"/>
            <w:rPr>
              <w:rFonts w:asciiTheme="minorHAnsi" w:eastAsiaTheme="minorEastAsia" w:hAnsiTheme="minorHAnsi" w:cstheme="minorBidi"/>
              <w:noProof/>
              <w:szCs w:val="22"/>
              <w:lang w:eastAsia="en-US"/>
            </w:rPr>
          </w:pPr>
          <w:hyperlink w:anchor="_Toc413401188" w:history="1">
            <w:r w:rsidR="00651667" w:rsidRPr="00742C76">
              <w:rPr>
                <w:rStyle w:val="Hyperlink"/>
                <w:noProof/>
              </w:rPr>
              <w:t>A.</w:t>
            </w:r>
            <w:r w:rsidR="00651667">
              <w:rPr>
                <w:rFonts w:asciiTheme="minorHAnsi" w:eastAsiaTheme="minorEastAsia" w:hAnsiTheme="minorHAnsi" w:cstheme="minorBidi"/>
                <w:noProof/>
                <w:szCs w:val="22"/>
                <w:lang w:eastAsia="en-US"/>
              </w:rPr>
              <w:tab/>
            </w:r>
            <w:r w:rsidR="00651667" w:rsidRPr="00742C76">
              <w:rPr>
                <w:rStyle w:val="Hyperlink"/>
                <w:noProof/>
              </w:rPr>
              <w:t>INTRODUCTION</w:t>
            </w:r>
            <w:r w:rsidR="00651667">
              <w:rPr>
                <w:noProof/>
                <w:webHidden/>
              </w:rPr>
              <w:tab/>
            </w:r>
            <w:r w:rsidR="00651667">
              <w:rPr>
                <w:noProof/>
                <w:webHidden/>
              </w:rPr>
              <w:fldChar w:fldCharType="begin"/>
            </w:r>
            <w:r w:rsidR="00651667">
              <w:rPr>
                <w:noProof/>
                <w:webHidden/>
              </w:rPr>
              <w:instrText xml:space="preserve"> PAGEREF _Toc413401188 \h </w:instrText>
            </w:r>
            <w:r w:rsidR="00651667">
              <w:rPr>
                <w:noProof/>
                <w:webHidden/>
              </w:rPr>
            </w:r>
            <w:r w:rsidR="00651667">
              <w:rPr>
                <w:noProof/>
                <w:webHidden/>
              </w:rPr>
              <w:fldChar w:fldCharType="separate"/>
            </w:r>
            <w:r>
              <w:rPr>
                <w:noProof/>
                <w:webHidden/>
              </w:rPr>
              <w:t>4</w:t>
            </w:r>
            <w:r w:rsidR="00651667">
              <w:rPr>
                <w:noProof/>
                <w:webHidden/>
              </w:rPr>
              <w:fldChar w:fldCharType="end"/>
            </w:r>
          </w:hyperlink>
        </w:p>
        <w:p w:rsidR="00651667" w:rsidRDefault="002C1F33">
          <w:pPr>
            <w:pStyle w:val="TOC2"/>
            <w:rPr>
              <w:rFonts w:asciiTheme="minorHAnsi" w:eastAsiaTheme="minorEastAsia" w:hAnsiTheme="minorHAnsi" w:cstheme="minorBidi"/>
              <w:noProof/>
              <w:szCs w:val="22"/>
              <w:lang w:eastAsia="en-US"/>
            </w:rPr>
          </w:pPr>
          <w:hyperlink w:anchor="_Toc413401189" w:history="1">
            <w:r w:rsidR="00651667" w:rsidRPr="00742C76">
              <w:rPr>
                <w:rStyle w:val="Hyperlink"/>
                <w:noProof/>
              </w:rPr>
              <w:t>B.</w:t>
            </w:r>
            <w:r w:rsidR="00651667">
              <w:rPr>
                <w:rFonts w:asciiTheme="minorHAnsi" w:eastAsiaTheme="minorEastAsia" w:hAnsiTheme="minorHAnsi" w:cstheme="minorBidi"/>
                <w:noProof/>
                <w:szCs w:val="22"/>
                <w:lang w:eastAsia="en-US"/>
              </w:rPr>
              <w:tab/>
            </w:r>
            <w:r w:rsidR="00651667" w:rsidRPr="00742C76">
              <w:rPr>
                <w:rStyle w:val="Hyperlink"/>
                <w:noProof/>
              </w:rPr>
              <w:t>THE INTERNATIONAL LEGAL FRAMEWORK</w:t>
            </w:r>
            <w:r w:rsidR="00651667">
              <w:rPr>
                <w:noProof/>
                <w:webHidden/>
              </w:rPr>
              <w:tab/>
            </w:r>
            <w:r w:rsidR="00651667">
              <w:rPr>
                <w:noProof/>
                <w:webHidden/>
              </w:rPr>
              <w:fldChar w:fldCharType="begin"/>
            </w:r>
            <w:r w:rsidR="00651667">
              <w:rPr>
                <w:noProof/>
                <w:webHidden/>
              </w:rPr>
              <w:instrText xml:space="preserve"> PAGEREF _Toc413401189 \h </w:instrText>
            </w:r>
            <w:r w:rsidR="00651667">
              <w:rPr>
                <w:noProof/>
                <w:webHidden/>
              </w:rPr>
            </w:r>
            <w:r w:rsidR="00651667">
              <w:rPr>
                <w:noProof/>
                <w:webHidden/>
              </w:rPr>
              <w:fldChar w:fldCharType="separate"/>
            </w:r>
            <w:r>
              <w:rPr>
                <w:noProof/>
                <w:webHidden/>
              </w:rPr>
              <w:t>4</w:t>
            </w:r>
            <w:r w:rsidR="00651667">
              <w:rPr>
                <w:noProof/>
                <w:webHidden/>
              </w:rPr>
              <w:fldChar w:fldCharType="end"/>
            </w:r>
          </w:hyperlink>
        </w:p>
        <w:p w:rsidR="00651667" w:rsidRDefault="002C1F33">
          <w:pPr>
            <w:pStyle w:val="TOC2"/>
            <w:rPr>
              <w:rFonts w:asciiTheme="minorHAnsi" w:eastAsiaTheme="minorEastAsia" w:hAnsiTheme="minorHAnsi" w:cstheme="minorBidi"/>
              <w:noProof/>
              <w:szCs w:val="22"/>
              <w:lang w:eastAsia="en-US"/>
            </w:rPr>
          </w:pPr>
          <w:hyperlink w:anchor="_Toc413401190" w:history="1">
            <w:r w:rsidR="00651667" w:rsidRPr="00742C76">
              <w:rPr>
                <w:rStyle w:val="Hyperlink"/>
                <w:noProof/>
              </w:rPr>
              <w:t>C.</w:t>
            </w:r>
            <w:r w:rsidR="00651667">
              <w:rPr>
                <w:rFonts w:asciiTheme="minorHAnsi" w:eastAsiaTheme="minorEastAsia" w:hAnsiTheme="minorHAnsi" w:cstheme="minorBidi"/>
                <w:noProof/>
                <w:szCs w:val="22"/>
                <w:lang w:eastAsia="en-US"/>
              </w:rPr>
              <w:tab/>
            </w:r>
            <w:r w:rsidR="00651667" w:rsidRPr="00742C76">
              <w:rPr>
                <w:rStyle w:val="Hyperlink"/>
                <w:noProof/>
              </w:rPr>
              <w:t>NATIONAL IMPLEMENTATION</w:t>
            </w:r>
            <w:r w:rsidR="00651667">
              <w:rPr>
                <w:noProof/>
                <w:webHidden/>
              </w:rPr>
              <w:tab/>
            </w:r>
            <w:r w:rsidR="00651667">
              <w:rPr>
                <w:noProof/>
                <w:webHidden/>
              </w:rPr>
              <w:fldChar w:fldCharType="begin"/>
            </w:r>
            <w:r w:rsidR="00651667">
              <w:rPr>
                <w:noProof/>
                <w:webHidden/>
              </w:rPr>
              <w:instrText xml:space="preserve"> PAGEREF _Toc413401190 \h </w:instrText>
            </w:r>
            <w:r w:rsidR="00651667">
              <w:rPr>
                <w:noProof/>
                <w:webHidden/>
              </w:rPr>
            </w:r>
            <w:r w:rsidR="00651667">
              <w:rPr>
                <w:noProof/>
                <w:webHidden/>
              </w:rPr>
              <w:fldChar w:fldCharType="separate"/>
            </w:r>
            <w:r>
              <w:rPr>
                <w:noProof/>
                <w:webHidden/>
              </w:rPr>
              <w:t>7</w:t>
            </w:r>
            <w:r w:rsidR="00651667">
              <w:rPr>
                <w:noProof/>
                <w:webHidden/>
              </w:rPr>
              <w:fldChar w:fldCharType="end"/>
            </w:r>
          </w:hyperlink>
        </w:p>
        <w:p w:rsidR="00651667" w:rsidRDefault="002C1F33">
          <w:pPr>
            <w:pStyle w:val="TOC3"/>
            <w:rPr>
              <w:rFonts w:asciiTheme="minorHAnsi" w:eastAsiaTheme="minorEastAsia" w:hAnsiTheme="minorHAnsi" w:cstheme="minorBidi"/>
              <w:noProof/>
              <w:szCs w:val="22"/>
              <w:lang w:eastAsia="en-US"/>
            </w:rPr>
          </w:pPr>
          <w:hyperlink w:anchor="_Toc413401191" w:history="1">
            <w:r w:rsidR="00651667" w:rsidRPr="00742C76">
              <w:rPr>
                <w:rStyle w:val="Hyperlink"/>
                <w:noProof/>
              </w:rPr>
              <w:t>(a)</w:t>
            </w:r>
            <w:r w:rsidR="00651667">
              <w:rPr>
                <w:rFonts w:asciiTheme="minorHAnsi" w:eastAsiaTheme="minorEastAsia" w:hAnsiTheme="minorHAnsi" w:cstheme="minorBidi"/>
                <w:noProof/>
                <w:szCs w:val="22"/>
                <w:lang w:eastAsia="en-US"/>
              </w:rPr>
              <w:tab/>
            </w:r>
            <w:r w:rsidR="00651667" w:rsidRPr="00742C76">
              <w:rPr>
                <w:rStyle w:val="Hyperlink"/>
                <w:noProof/>
              </w:rPr>
              <w:t>The conduct</w:t>
            </w:r>
            <w:r w:rsidR="00651667">
              <w:rPr>
                <w:noProof/>
                <w:webHidden/>
              </w:rPr>
              <w:tab/>
            </w:r>
            <w:r w:rsidR="00651667">
              <w:rPr>
                <w:noProof/>
                <w:webHidden/>
              </w:rPr>
              <w:fldChar w:fldCharType="begin"/>
            </w:r>
            <w:r w:rsidR="00651667">
              <w:rPr>
                <w:noProof/>
                <w:webHidden/>
              </w:rPr>
              <w:instrText xml:space="preserve"> PAGEREF _Toc413401191 \h </w:instrText>
            </w:r>
            <w:r w:rsidR="00651667">
              <w:rPr>
                <w:noProof/>
                <w:webHidden/>
              </w:rPr>
            </w:r>
            <w:r w:rsidR="00651667">
              <w:rPr>
                <w:noProof/>
                <w:webHidden/>
              </w:rPr>
              <w:fldChar w:fldCharType="separate"/>
            </w:r>
            <w:r>
              <w:rPr>
                <w:noProof/>
                <w:webHidden/>
              </w:rPr>
              <w:t>7</w:t>
            </w:r>
            <w:r w:rsidR="00651667">
              <w:rPr>
                <w:noProof/>
                <w:webHidden/>
              </w:rPr>
              <w:fldChar w:fldCharType="end"/>
            </w:r>
          </w:hyperlink>
        </w:p>
        <w:p w:rsidR="00651667" w:rsidRDefault="002C1F33">
          <w:pPr>
            <w:pStyle w:val="TOC3"/>
            <w:rPr>
              <w:rFonts w:asciiTheme="minorHAnsi" w:eastAsiaTheme="minorEastAsia" w:hAnsiTheme="minorHAnsi" w:cstheme="minorBidi"/>
              <w:noProof/>
              <w:szCs w:val="22"/>
              <w:lang w:eastAsia="en-US"/>
            </w:rPr>
          </w:pPr>
          <w:hyperlink w:anchor="_Toc413401192" w:history="1">
            <w:r w:rsidR="00651667" w:rsidRPr="00742C76">
              <w:rPr>
                <w:rStyle w:val="Hyperlink"/>
                <w:noProof/>
              </w:rPr>
              <w:t>(b)</w:t>
            </w:r>
            <w:r w:rsidR="00651667">
              <w:rPr>
                <w:rFonts w:asciiTheme="minorHAnsi" w:eastAsiaTheme="minorEastAsia" w:hAnsiTheme="minorHAnsi" w:cstheme="minorBidi"/>
                <w:noProof/>
                <w:szCs w:val="22"/>
                <w:lang w:eastAsia="en-US"/>
              </w:rPr>
              <w:tab/>
            </w:r>
            <w:r w:rsidR="00651667" w:rsidRPr="00742C76">
              <w:rPr>
                <w:rStyle w:val="Hyperlink"/>
                <w:noProof/>
              </w:rPr>
              <w:t>Sanctions</w:t>
            </w:r>
            <w:r w:rsidR="00651667">
              <w:rPr>
                <w:noProof/>
                <w:webHidden/>
              </w:rPr>
              <w:tab/>
            </w:r>
            <w:r w:rsidR="00651667">
              <w:rPr>
                <w:noProof/>
                <w:webHidden/>
              </w:rPr>
              <w:fldChar w:fldCharType="begin"/>
            </w:r>
            <w:r w:rsidR="00651667">
              <w:rPr>
                <w:noProof/>
                <w:webHidden/>
              </w:rPr>
              <w:instrText xml:space="preserve"> PAGEREF _Toc413401192 \h </w:instrText>
            </w:r>
            <w:r w:rsidR="00651667">
              <w:rPr>
                <w:noProof/>
                <w:webHidden/>
              </w:rPr>
            </w:r>
            <w:r w:rsidR="00651667">
              <w:rPr>
                <w:noProof/>
                <w:webHidden/>
              </w:rPr>
              <w:fldChar w:fldCharType="separate"/>
            </w:r>
            <w:r>
              <w:rPr>
                <w:noProof/>
                <w:webHidden/>
              </w:rPr>
              <w:t>9</w:t>
            </w:r>
            <w:r w:rsidR="00651667">
              <w:rPr>
                <w:noProof/>
                <w:webHidden/>
              </w:rPr>
              <w:fldChar w:fldCharType="end"/>
            </w:r>
          </w:hyperlink>
        </w:p>
        <w:p w:rsidR="00651667" w:rsidRDefault="002C1F33">
          <w:pPr>
            <w:pStyle w:val="TOC3"/>
            <w:rPr>
              <w:rFonts w:asciiTheme="minorHAnsi" w:eastAsiaTheme="minorEastAsia" w:hAnsiTheme="minorHAnsi" w:cstheme="minorBidi"/>
              <w:noProof/>
              <w:szCs w:val="22"/>
              <w:lang w:eastAsia="en-US"/>
            </w:rPr>
          </w:pPr>
          <w:hyperlink w:anchor="_Toc413401193" w:history="1">
            <w:r w:rsidR="00651667" w:rsidRPr="00742C76">
              <w:rPr>
                <w:rStyle w:val="Hyperlink"/>
                <w:noProof/>
              </w:rPr>
              <w:t>(c)</w:t>
            </w:r>
            <w:r w:rsidR="00651667">
              <w:rPr>
                <w:rFonts w:asciiTheme="minorHAnsi" w:eastAsiaTheme="minorEastAsia" w:hAnsiTheme="minorHAnsi" w:cstheme="minorBidi"/>
                <w:noProof/>
                <w:szCs w:val="22"/>
                <w:lang w:eastAsia="en-US"/>
              </w:rPr>
              <w:tab/>
            </w:r>
            <w:r w:rsidR="00651667" w:rsidRPr="00742C76">
              <w:rPr>
                <w:rStyle w:val="Hyperlink"/>
                <w:noProof/>
              </w:rPr>
              <w:t>Aggravating circumstances</w:t>
            </w:r>
            <w:r w:rsidR="00651667">
              <w:rPr>
                <w:noProof/>
                <w:webHidden/>
              </w:rPr>
              <w:tab/>
            </w:r>
            <w:r w:rsidR="00651667">
              <w:rPr>
                <w:noProof/>
                <w:webHidden/>
              </w:rPr>
              <w:fldChar w:fldCharType="begin"/>
            </w:r>
            <w:r w:rsidR="00651667">
              <w:rPr>
                <w:noProof/>
                <w:webHidden/>
              </w:rPr>
              <w:instrText xml:space="preserve"> PAGEREF _Toc413401193 \h </w:instrText>
            </w:r>
            <w:r w:rsidR="00651667">
              <w:rPr>
                <w:noProof/>
                <w:webHidden/>
              </w:rPr>
            </w:r>
            <w:r w:rsidR="00651667">
              <w:rPr>
                <w:noProof/>
                <w:webHidden/>
              </w:rPr>
              <w:fldChar w:fldCharType="separate"/>
            </w:r>
            <w:r>
              <w:rPr>
                <w:noProof/>
                <w:webHidden/>
              </w:rPr>
              <w:t>9</w:t>
            </w:r>
            <w:r w:rsidR="00651667">
              <w:rPr>
                <w:noProof/>
                <w:webHidden/>
              </w:rPr>
              <w:fldChar w:fldCharType="end"/>
            </w:r>
          </w:hyperlink>
        </w:p>
        <w:p w:rsidR="00651667" w:rsidRDefault="002C1F33" w:rsidP="00651667">
          <w:pPr>
            <w:pStyle w:val="TOC1"/>
            <w:rPr>
              <w:rFonts w:asciiTheme="minorHAnsi" w:eastAsiaTheme="minorEastAsia" w:hAnsiTheme="minorHAnsi" w:cstheme="minorBidi"/>
              <w:szCs w:val="22"/>
              <w:lang w:eastAsia="en-US"/>
            </w:rPr>
          </w:pPr>
          <w:hyperlink w:anchor="_Toc413401194" w:history="1">
            <w:r w:rsidR="00651667" w:rsidRPr="00742C76">
              <w:rPr>
                <w:rStyle w:val="Hyperlink"/>
              </w:rPr>
              <w:t>III.</w:t>
            </w:r>
            <w:r w:rsidR="00651667">
              <w:rPr>
                <w:rFonts w:asciiTheme="minorHAnsi" w:eastAsiaTheme="minorEastAsia" w:hAnsiTheme="minorHAnsi" w:cstheme="minorBidi"/>
                <w:szCs w:val="22"/>
                <w:lang w:eastAsia="en-US"/>
              </w:rPr>
              <w:tab/>
            </w:r>
            <w:r w:rsidR="00651667" w:rsidRPr="00742C76">
              <w:rPr>
                <w:rStyle w:val="Hyperlink"/>
              </w:rPr>
              <w:t>MEASURES RELATED TO SECURITY WHICH MIGHT RESULT IN A LIMITATION OF PATENT RIGHTS (SO-CALLED “SECURITY EXCEPTIONS”)</w:t>
            </w:r>
            <w:r w:rsidR="00651667">
              <w:rPr>
                <w:webHidden/>
              </w:rPr>
              <w:tab/>
            </w:r>
            <w:r w:rsidR="00651667">
              <w:rPr>
                <w:webHidden/>
              </w:rPr>
              <w:fldChar w:fldCharType="begin"/>
            </w:r>
            <w:r w:rsidR="00651667">
              <w:rPr>
                <w:webHidden/>
              </w:rPr>
              <w:instrText xml:space="preserve"> PAGEREF _Toc413401194 \h </w:instrText>
            </w:r>
            <w:r w:rsidR="00651667">
              <w:rPr>
                <w:webHidden/>
              </w:rPr>
            </w:r>
            <w:r w:rsidR="00651667">
              <w:rPr>
                <w:webHidden/>
              </w:rPr>
              <w:fldChar w:fldCharType="separate"/>
            </w:r>
            <w:r>
              <w:rPr>
                <w:webHidden/>
              </w:rPr>
              <w:t>11</w:t>
            </w:r>
            <w:r w:rsidR="00651667">
              <w:rPr>
                <w:webHidden/>
              </w:rPr>
              <w:fldChar w:fldCharType="end"/>
            </w:r>
          </w:hyperlink>
        </w:p>
        <w:p w:rsidR="00651667" w:rsidRDefault="002C1F33">
          <w:pPr>
            <w:pStyle w:val="TOC2"/>
            <w:rPr>
              <w:rFonts w:asciiTheme="minorHAnsi" w:eastAsiaTheme="minorEastAsia" w:hAnsiTheme="minorHAnsi" w:cstheme="minorBidi"/>
              <w:noProof/>
              <w:szCs w:val="22"/>
              <w:lang w:eastAsia="en-US"/>
            </w:rPr>
          </w:pPr>
          <w:hyperlink w:anchor="_Toc413401195" w:history="1">
            <w:r w:rsidR="00651667" w:rsidRPr="00742C76">
              <w:rPr>
                <w:rStyle w:val="Hyperlink"/>
                <w:noProof/>
              </w:rPr>
              <w:t>A.</w:t>
            </w:r>
            <w:r w:rsidR="00651667">
              <w:rPr>
                <w:rFonts w:asciiTheme="minorHAnsi" w:eastAsiaTheme="minorEastAsia" w:hAnsiTheme="minorHAnsi" w:cstheme="minorBidi"/>
                <w:noProof/>
                <w:szCs w:val="22"/>
                <w:lang w:eastAsia="en-US"/>
              </w:rPr>
              <w:tab/>
            </w:r>
            <w:r w:rsidR="00651667" w:rsidRPr="00742C76">
              <w:rPr>
                <w:rStyle w:val="Hyperlink"/>
                <w:noProof/>
              </w:rPr>
              <w:t>INTRODUCTION</w:t>
            </w:r>
            <w:r w:rsidR="00651667">
              <w:rPr>
                <w:noProof/>
                <w:webHidden/>
              </w:rPr>
              <w:tab/>
            </w:r>
            <w:r w:rsidR="00651667">
              <w:rPr>
                <w:noProof/>
                <w:webHidden/>
              </w:rPr>
              <w:fldChar w:fldCharType="begin"/>
            </w:r>
            <w:r w:rsidR="00651667">
              <w:rPr>
                <w:noProof/>
                <w:webHidden/>
              </w:rPr>
              <w:instrText xml:space="preserve"> PAGEREF _Toc413401195 \h </w:instrText>
            </w:r>
            <w:r w:rsidR="00651667">
              <w:rPr>
                <w:noProof/>
                <w:webHidden/>
              </w:rPr>
            </w:r>
            <w:r w:rsidR="00651667">
              <w:rPr>
                <w:noProof/>
                <w:webHidden/>
              </w:rPr>
              <w:fldChar w:fldCharType="separate"/>
            </w:r>
            <w:r>
              <w:rPr>
                <w:noProof/>
                <w:webHidden/>
              </w:rPr>
              <w:t>11</w:t>
            </w:r>
            <w:r w:rsidR="00651667">
              <w:rPr>
                <w:noProof/>
                <w:webHidden/>
              </w:rPr>
              <w:fldChar w:fldCharType="end"/>
            </w:r>
          </w:hyperlink>
        </w:p>
        <w:p w:rsidR="00651667" w:rsidRDefault="002C1F33">
          <w:pPr>
            <w:pStyle w:val="TOC2"/>
            <w:rPr>
              <w:rFonts w:asciiTheme="minorHAnsi" w:eastAsiaTheme="minorEastAsia" w:hAnsiTheme="minorHAnsi" w:cstheme="minorBidi"/>
              <w:noProof/>
              <w:szCs w:val="22"/>
              <w:lang w:eastAsia="en-US"/>
            </w:rPr>
          </w:pPr>
          <w:hyperlink w:anchor="_Toc413401196" w:history="1">
            <w:r w:rsidR="00651667" w:rsidRPr="00742C76">
              <w:rPr>
                <w:rStyle w:val="Hyperlink"/>
                <w:noProof/>
              </w:rPr>
              <w:t>B.</w:t>
            </w:r>
            <w:r w:rsidR="00651667">
              <w:rPr>
                <w:rFonts w:asciiTheme="minorHAnsi" w:eastAsiaTheme="minorEastAsia" w:hAnsiTheme="minorHAnsi" w:cstheme="minorBidi"/>
                <w:noProof/>
                <w:szCs w:val="22"/>
                <w:lang w:eastAsia="en-US"/>
              </w:rPr>
              <w:tab/>
            </w:r>
            <w:r w:rsidR="00651667" w:rsidRPr="00742C76">
              <w:rPr>
                <w:rStyle w:val="Hyperlink"/>
                <w:noProof/>
              </w:rPr>
              <w:t>THE INTERNATIONAL LEGAL FRAMEWORK</w:t>
            </w:r>
            <w:r w:rsidR="00651667">
              <w:rPr>
                <w:noProof/>
                <w:webHidden/>
              </w:rPr>
              <w:tab/>
            </w:r>
            <w:r w:rsidR="00651667">
              <w:rPr>
                <w:noProof/>
                <w:webHidden/>
              </w:rPr>
              <w:fldChar w:fldCharType="begin"/>
            </w:r>
            <w:r w:rsidR="00651667">
              <w:rPr>
                <w:noProof/>
                <w:webHidden/>
              </w:rPr>
              <w:instrText xml:space="preserve"> PAGEREF _Toc413401196 \h </w:instrText>
            </w:r>
            <w:r w:rsidR="00651667">
              <w:rPr>
                <w:noProof/>
                <w:webHidden/>
              </w:rPr>
            </w:r>
            <w:r w:rsidR="00651667">
              <w:rPr>
                <w:noProof/>
                <w:webHidden/>
              </w:rPr>
              <w:fldChar w:fldCharType="separate"/>
            </w:r>
            <w:r>
              <w:rPr>
                <w:noProof/>
                <w:webHidden/>
              </w:rPr>
              <w:t>11</w:t>
            </w:r>
            <w:r w:rsidR="00651667">
              <w:rPr>
                <w:noProof/>
                <w:webHidden/>
              </w:rPr>
              <w:fldChar w:fldCharType="end"/>
            </w:r>
          </w:hyperlink>
        </w:p>
        <w:p w:rsidR="00651667" w:rsidRDefault="002C1F33">
          <w:pPr>
            <w:pStyle w:val="TOC2"/>
            <w:rPr>
              <w:rFonts w:asciiTheme="minorHAnsi" w:eastAsiaTheme="minorEastAsia" w:hAnsiTheme="minorHAnsi" w:cstheme="minorBidi"/>
              <w:noProof/>
              <w:szCs w:val="22"/>
              <w:lang w:eastAsia="en-US"/>
            </w:rPr>
          </w:pPr>
          <w:hyperlink w:anchor="_Toc413401197" w:history="1">
            <w:r w:rsidR="00651667" w:rsidRPr="00742C76">
              <w:rPr>
                <w:rStyle w:val="Hyperlink"/>
                <w:noProof/>
              </w:rPr>
              <w:t>C.</w:t>
            </w:r>
            <w:r w:rsidR="00651667">
              <w:rPr>
                <w:rFonts w:asciiTheme="minorHAnsi" w:eastAsiaTheme="minorEastAsia" w:hAnsiTheme="minorHAnsi" w:cstheme="minorBidi"/>
                <w:noProof/>
                <w:szCs w:val="22"/>
                <w:lang w:eastAsia="en-US"/>
              </w:rPr>
              <w:tab/>
            </w:r>
            <w:r w:rsidR="00651667" w:rsidRPr="00742C76">
              <w:rPr>
                <w:rStyle w:val="Hyperlink"/>
                <w:noProof/>
              </w:rPr>
              <w:t>NATIONAL IMPLEMENTATION</w:t>
            </w:r>
            <w:r w:rsidR="00651667">
              <w:rPr>
                <w:noProof/>
                <w:webHidden/>
              </w:rPr>
              <w:tab/>
            </w:r>
            <w:r w:rsidR="00651667">
              <w:rPr>
                <w:noProof/>
                <w:webHidden/>
              </w:rPr>
              <w:fldChar w:fldCharType="begin"/>
            </w:r>
            <w:r w:rsidR="00651667">
              <w:rPr>
                <w:noProof/>
                <w:webHidden/>
              </w:rPr>
              <w:instrText xml:space="preserve"> PAGEREF _Toc413401197 \h </w:instrText>
            </w:r>
            <w:r w:rsidR="00651667">
              <w:rPr>
                <w:noProof/>
                <w:webHidden/>
              </w:rPr>
            </w:r>
            <w:r w:rsidR="00651667">
              <w:rPr>
                <w:noProof/>
                <w:webHidden/>
              </w:rPr>
              <w:fldChar w:fldCharType="separate"/>
            </w:r>
            <w:r>
              <w:rPr>
                <w:noProof/>
                <w:webHidden/>
              </w:rPr>
              <w:t>12</w:t>
            </w:r>
            <w:r w:rsidR="00651667">
              <w:rPr>
                <w:noProof/>
                <w:webHidden/>
              </w:rPr>
              <w:fldChar w:fldCharType="end"/>
            </w:r>
          </w:hyperlink>
        </w:p>
        <w:p w:rsidR="00651667" w:rsidRDefault="002C1F33">
          <w:pPr>
            <w:pStyle w:val="TOC3"/>
            <w:rPr>
              <w:rFonts w:asciiTheme="minorHAnsi" w:eastAsiaTheme="minorEastAsia" w:hAnsiTheme="minorHAnsi" w:cstheme="minorBidi"/>
              <w:noProof/>
              <w:szCs w:val="22"/>
              <w:lang w:eastAsia="en-US"/>
            </w:rPr>
          </w:pPr>
          <w:hyperlink w:anchor="_Toc413401198" w:history="1">
            <w:r w:rsidR="00651667" w:rsidRPr="00742C76">
              <w:rPr>
                <w:rStyle w:val="Hyperlink"/>
                <w:noProof/>
              </w:rPr>
              <w:t>(a)</w:t>
            </w:r>
            <w:r w:rsidR="00651667">
              <w:rPr>
                <w:rFonts w:asciiTheme="minorHAnsi" w:eastAsiaTheme="minorEastAsia" w:hAnsiTheme="minorHAnsi" w:cstheme="minorBidi"/>
                <w:noProof/>
                <w:szCs w:val="22"/>
                <w:lang w:eastAsia="en-US"/>
              </w:rPr>
              <w:tab/>
            </w:r>
            <w:r w:rsidR="00651667" w:rsidRPr="00742C76">
              <w:rPr>
                <w:rStyle w:val="Hyperlink"/>
                <w:noProof/>
              </w:rPr>
              <w:t>Security measures related to patent prosecution</w:t>
            </w:r>
            <w:r w:rsidR="00651667">
              <w:rPr>
                <w:noProof/>
                <w:webHidden/>
              </w:rPr>
              <w:tab/>
            </w:r>
            <w:r w:rsidR="00651667">
              <w:rPr>
                <w:noProof/>
                <w:webHidden/>
              </w:rPr>
              <w:fldChar w:fldCharType="begin"/>
            </w:r>
            <w:r w:rsidR="00651667">
              <w:rPr>
                <w:noProof/>
                <w:webHidden/>
              </w:rPr>
              <w:instrText xml:space="preserve"> PAGEREF _Toc413401198 \h </w:instrText>
            </w:r>
            <w:r w:rsidR="00651667">
              <w:rPr>
                <w:noProof/>
                <w:webHidden/>
              </w:rPr>
            </w:r>
            <w:r w:rsidR="00651667">
              <w:rPr>
                <w:noProof/>
                <w:webHidden/>
              </w:rPr>
              <w:fldChar w:fldCharType="separate"/>
            </w:r>
            <w:r>
              <w:rPr>
                <w:noProof/>
                <w:webHidden/>
              </w:rPr>
              <w:t>12</w:t>
            </w:r>
            <w:r w:rsidR="00651667">
              <w:rPr>
                <w:noProof/>
                <w:webHidden/>
              </w:rPr>
              <w:fldChar w:fldCharType="end"/>
            </w:r>
          </w:hyperlink>
        </w:p>
        <w:p w:rsidR="00A51DAB" w:rsidRDefault="00A51DAB">
          <w:r w:rsidRPr="00BF106D">
            <w:rPr>
              <w:b/>
              <w:bCs/>
              <w:noProof/>
              <w:szCs w:val="22"/>
            </w:rPr>
            <w:fldChar w:fldCharType="end"/>
          </w:r>
        </w:p>
      </w:sdtContent>
    </w:sdt>
    <w:p w:rsidR="00B57AA8" w:rsidRPr="0037004D" w:rsidRDefault="00B57AA8" w:rsidP="00515512">
      <w:pPr>
        <w:pStyle w:val="Heading1"/>
      </w:pPr>
      <w:r>
        <w:br w:type="page"/>
      </w:r>
      <w:bookmarkStart w:id="6" w:name="_Toc413333020"/>
      <w:bookmarkStart w:id="7" w:name="_Toc413401186"/>
      <w:r w:rsidRPr="0037004D">
        <w:lastRenderedPageBreak/>
        <w:t xml:space="preserve">I. </w:t>
      </w:r>
      <w:r w:rsidRPr="0037004D">
        <w:tab/>
        <w:t>EXECUTIVE SUMMARY</w:t>
      </w:r>
      <w:bookmarkEnd w:id="6"/>
      <w:bookmarkEnd w:id="7"/>
    </w:p>
    <w:p w:rsidR="002D231B" w:rsidRDefault="002D231B" w:rsidP="008C0589">
      <w:pPr>
        <w:contextualSpacing/>
      </w:pPr>
    </w:p>
    <w:p w:rsidR="00B40558" w:rsidRPr="00B40558" w:rsidRDefault="00192C69" w:rsidP="001844AB">
      <w:pPr>
        <w:pStyle w:val="ListParagraph"/>
        <w:ind w:left="0"/>
      </w:pPr>
      <w:r>
        <w:fldChar w:fldCharType="begin"/>
      </w:r>
      <w:r>
        <w:instrText xml:space="preserve"> AUTONUM  </w:instrText>
      </w:r>
      <w:r>
        <w:fldChar w:fldCharType="end"/>
      </w:r>
      <w:r>
        <w:tab/>
      </w:r>
      <w:r w:rsidR="00B40558" w:rsidRPr="00B40558">
        <w:t>A</w:t>
      </w:r>
      <w:r w:rsidR="00C1134A">
        <w:t>t</w:t>
      </w:r>
      <w:r w:rsidR="00B40558" w:rsidRPr="00B40558">
        <w:t xml:space="preserve"> the thirteenth session of the CDIP held from May 19 to 23, 2014,</w:t>
      </w:r>
      <w:r w:rsidR="00B40558" w:rsidRPr="00B40558">
        <w:rPr>
          <w:color w:val="000000"/>
        </w:rPr>
        <w:t xml:space="preserve"> t</w:t>
      </w:r>
      <w:r w:rsidR="00B40558">
        <w:t xml:space="preserve">he Committee discussed </w:t>
      </w:r>
      <w:r w:rsidR="00B40558" w:rsidRPr="00B40558">
        <w:t>document</w:t>
      </w:r>
      <w:r w:rsidR="00B40558">
        <w:t xml:space="preserve"> </w:t>
      </w:r>
      <w:r w:rsidR="00B40558" w:rsidRPr="00B40558">
        <w:t xml:space="preserve">CDIP/10/11 on Future Work on Patent-Related Flexibilities in the Multilateral Legal Framework and agreed that a document, based upon factual compilation with no recommendations whatsoever, on two new patent-related flexibilities be prepared for discussion at a future session of the CDIP, namely, </w:t>
      </w:r>
      <w:r w:rsidR="00BC1DCE">
        <w:t>the flexibility to apply or not</w:t>
      </w:r>
      <w:r w:rsidR="00B40558" w:rsidRPr="00B40558">
        <w:t xml:space="preserve"> criminal sanctions in patent enforcement (TRIPS </w:t>
      </w:r>
      <w:r w:rsidR="006B07C5">
        <w:t xml:space="preserve">Agreement </w:t>
      </w:r>
      <w:r w:rsidR="00B40558" w:rsidRPr="00B40558">
        <w:t xml:space="preserve">Art. 61) and measures related to security which might result in a limitation of patent rights (so-called “security exception”) (TRIPS </w:t>
      </w:r>
      <w:r w:rsidR="006B07C5">
        <w:t xml:space="preserve">Agreement </w:t>
      </w:r>
      <w:r w:rsidR="00B40558" w:rsidRPr="00B40558">
        <w:t>Art. 73)</w:t>
      </w:r>
      <w:r w:rsidR="000A3F33">
        <w:t>.</w:t>
      </w:r>
    </w:p>
    <w:p w:rsidR="002D231B" w:rsidRDefault="002D231B" w:rsidP="002D231B"/>
    <w:p w:rsidR="002D231B" w:rsidRDefault="00FA68A7" w:rsidP="002D231B">
      <w:r>
        <w:fldChar w:fldCharType="begin"/>
      </w:r>
      <w:r>
        <w:instrText xml:space="preserve"> AUTONUM  </w:instrText>
      </w:r>
      <w:r>
        <w:fldChar w:fldCharType="end"/>
      </w:r>
      <w:r>
        <w:tab/>
      </w:r>
      <w:r w:rsidR="002D231B">
        <w:t>The methodology followed in the preparation of this document is the same as that adopted by the CDIP concerning previous work on patent</w:t>
      </w:r>
      <w:r w:rsidR="00625543">
        <w:t>-</w:t>
      </w:r>
      <w:r w:rsidR="002D231B">
        <w:t>related flexibilities, namely CDIP/5/4</w:t>
      </w:r>
      <w:r w:rsidR="004B0678">
        <w:t xml:space="preserve"> </w:t>
      </w:r>
      <w:r w:rsidR="00B40558">
        <w:t>Rev., CDIP/7/3</w:t>
      </w:r>
      <w:r w:rsidR="004B0678">
        <w:t xml:space="preserve"> </w:t>
      </w:r>
      <w:r w:rsidR="00B40558">
        <w:t>Rev. and CDIP/1</w:t>
      </w:r>
      <w:r w:rsidR="002D231B">
        <w:t>3/10</w:t>
      </w:r>
      <w:r w:rsidR="004B0678">
        <w:t xml:space="preserve"> </w:t>
      </w:r>
      <w:r w:rsidR="00B40558">
        <w:t xml:space="preserve">Rev. </w:t>
      </w:r>
      <w:r w:rsidR="004B0678">
        <w:t xml:space="preserve"> </w:t>
      </w:r>
      <w:r w:rsidR="00B40558">
        <w:t>This</w:t>
      </w:r>
      <w:r w:rsidR="002D231B">
        <w:t xml:space="preserve"> document addresses a non-exhaustive number of flexibilities in the patent area</w:t>
      </w:r>
      <w:r w:rsidR="004B0678">
        <w:t>,</w:t>
      </w:r>
      <w:r w:rsidR="002D231B">
        <w:t xml:space="preserve"> describing the conceptual development for each</w:t>
      </w:r>
      <w:r w:rsidR="004B0678">
        <w:t xml:space="preserve">. </w:t>
      </w:r>
      <w:r w:rsidR="002D231B">
        <w:t xml:space="preserve"> </w:t>
      </w:r>
      <w:r w:rsidR="004B0678">
        <w:t xml:space="preserve">This document </w:t>
      </w:r>
      <w:r w:rsidR="002D231B">
        <w:t>includes two annexes</w:t>
      </w:r>
      <w:proofErr w:type="gramStart"/>
      <w:r w:rsidR="004B0678">
        <w:t xml:space="preserve">;  </w:t>
      </w:r>
      <w:r w:rsidR="002D231B">
        <w:t>namely</w:t>
      </w:r>
      <w:proofErr w:type="gramEnd"/>
      <w:r w:rsidR="004B0678">
        <w:t>,</w:t>
      </w:r>
      <w:r w:rsidR="002D231B">
        <w:t xml:space="preserve"> tables that categorize diverse aspects of the flexibilities studied and related legal provisions in a number of jurisdictions.</w:t>
      </w:r>
    </w:p>
    <w:p w:rsidR="002D231B" w:rsidRDefault="002D231B" w:rsidP="002D231B"/>
    <w:p w:rsidR="002D231B" w:rsidRDefault="00FA68A7" w:rsidP="002D231B">
      <w:r>
        <w:fldChar w:fldCharType="begin"/>
      </w:r>
      <w:r>
        <w:instrText xml:space="preserve"> AUTONUM  </w:instrText>
      </w:r>
      <w:r>
        <w:fldChar w:fldCharType="end"/>
      </w:r>
      <w:r>
        <w:tab/>
      </w:r>
      <w:r w:rsidR="002D231B">
        <w:t>This document is divided into two parts:</w:t>
      </w:r>
    </w:p>
    <w:p w:rsidR="002D231B" w:rsidRDefault="002D231B" w:rsidP="002D231B"/>
    <w:p w:rsidR="002D231B" w:rsidRDefault="0074565A" w:rsidP="00246C1E">
      <w:pPr>
        <w:ind w:left="567"/>
      </w:pPr>
      <w:r>
        <w:t>(</w:t>
      </w:r>
      <w:r w:rsidR="002D231B">
        <w:t>a)</w:t>
      </w:r>
      <w:r w:rsidR="002D231B">
        <w:tab/>
        <w:t>Part I focuse</w:t>
      </w:r>
      <w:r w:rsidR="005D6879">
        <w:t>s</w:t>
      </w:r>
      <w:r w:rsidR="002D231B">
        <w:t xml:space="preserve"> on the flexibility to apply or not</w:t>
      </w:r>
      <w:r w:rsidR="00B40558">
        <w:t>,</w:t>
      </w:r>
      <w:r w:rsidR="002D231B">
        <w:t xml:space="preserve"> criminal sanctions in patent enforcement</w:t>
      </w:r>
      <w:r w:rsidR="00B40558">
        <w:t xml:space="preserve">.  After a short introduction, a reference </w:t>
      </w:r>
      <w:r w:rsidR="005D6879">
        <w:t xml:space="preserve">is made </w:t>
      </w:r>
      <w:r w:rsidR="00B40558">
        <w:t>to the international legal framework</w:t>
      </w:r>
      <w:r w:rsidR="005D6879">
        <w:t>.</w:t>
      </w:r>
      <w:r w:rsidR="00B40558">
        <w:t xml:space="preserve"> </w:t>
      </w:r>
      <w:r w:rsidR="005D6879">
        <w:t xml:space="preserve"> Following the reference to the international legal framework, the document identifies </w:t>
      </w:r>
      <w:r w:rsidR="00C51786">
        <w:t xml:space="preserve">whether </w:t>
      </w:r>
      <w:r w:rsidR="00B40558">
        <w:t>normative provisions on criminal sanction</w:t>
      </w:r>
      <w:r w:rsidR="00BD204B">
        <w:t>s</w:t>
      </w:r>
      <w:r w:rsidR="00B40558">
        <w:t xml:space="preserve"> exist at the national level</w:t>
      </w:r>
      <w:r w:rsidR="005D6879">
        <w:t>.  Lastly</w:t>
      </w:r>
      <w:r w:rsidR="00B40558">
        <w:t xml:space="preserve">, </w:t>
      </w:r>
      <w:r w:rsidR="005D6879">
        <w:t xml:space="preserve">Part I </w:t>
      </w:r>
      <w:r w:rsidR="00B40558">
        <w:t>categorize</w:t>
      </w:r>
      <w:r w:rsidR="005D6879">
        <w:t>s</w:t>
      </w:r>
      <w:r w:rsidR="00B40558">
        <w:t xml:space="preserve"> the main features of </w:t>
      </w:r>
      <w:r w:rsidR="005D6879">
        <w:t xml:space="preserve">existing </w:t>
      </w:r>
      <w:r w:rsidR="00B40558">
        <w:t>legal texts</w:t>
      </w:r>
      <w:r w:rsidR="005D6879">
        <w:t xml:space="preserve"> on such criminal sanctions.</w:t>
      </w:r>
    </w:p>
    <w:p w:rsidR="002D231B" w:rsidRDefault="002D231B" w:rsidP="002D231B"/>
    <w:p w:rsidR="002D231B" w:rsidRDefault="0074565A" w:rsidP="00246C1E">
      <w:pPr>
        <w:ind w:left="567"/>
      </w:pPr>
      <w:r>
        <w:t>(</w:t>
      </w:r>
      <w:r w:rsidR="002D231B" w:rsidRPr="00726F33">
        <w:t>b)</w:t>
      </w:r>
      <w:r w:rsidR="002D231B" w:rsidRPr="00726F33">
        <w:tab/>
        <w:t xml:space="preserve">Part II provides an illustration of the different </w:t>
      </w:r>
      <w:r w:rsidR="00726F33" w:rsidRPr="00726F33">
        <w:t>measure</w:t>
      </w:r>
      <w:r w:rsidR="00A04DFD">
        <w:t>s</w:t>
      </w:r>
      <w:r w:rsidR="00726F33" w:rsidRPr="00726F33">
        <w:t xml:space="preserve"> implemented at the national level concerning </w:t>
      </w:r>
      <w:r w:rsidR="002D231B" w:rsidRPr="00726F33">
        <w:t>security</w:t>
      </w:r>
      <w:r w:rsidR="00726F33" w:rsidRPr="00726F33">
        <w:t xml:space="preserve"> under the so</w:t>
      </w:r>
      <w:r w:rsidR="002865F5">
        <w:t>-</w:t>
      </w:r>
      <w:r w:rsidR="00726F33" w:rsidRPr="00726F33">
        <w:t>called “security</w:t>
      </w:r>
      <w:r w:rsidR="002D231B" w:rsidRPr="00726F33">
        <w:t xml:space="preserve"> exception</w:t>
      </w:r>
      <w:r w:rsidR="00726F33" w:rsidRPr="00726F33">
        <w:t>”</w:t>
      </w:r>
      <w:r w:rsidR="002D231B" w:rsidRPr="00726F33">
        <w:t>.</w:t>
      </w:r>
    </w:p>
    <w:p w:rsidR="002D231B" w:rsidRDefault="002D231B" w:rsidP="002D231B"/>
    <w:p w:rsidR="002D231B" w:rsidRDefault="002D231B" w:rsidP="002D231B"/>
    <w:p w:rsidR="000F01F3" w:rsidRPr="00E71425" w:rsidRDefault="002D231B" w:rsidP="008C0589">
      <w:pPr>
        <w:pStyle w:val="Heading1"/>
        <w:spacing w:before="0" w:after="0"/>
        <w:contextualSpacing/>
      </w:pPr>
      <w:r>
        <w:br w:type="page"/>
      </w:r>
      <w:bookmarkStart w:id="8" w:name="_Toc413401187"/>
      <w:r w:rsidR="000042CF">
        <w:lastRenderedPageBreak/>
        <w:t>II.</w:t>
      </w:r>
      <w:r w:rsidR="001373D6">
        <w:tab/>
      </w:r>
      <w:r w:rsidR="000F01F3" w:rsidRPr="00E71425">
        <w:t>THE FLEXIBILITY TO APPLY OR NOT CRIMINAL SANCTIONS IN PATENT ENFORCEMENT</w:t>
      </w:r>
      <w:bookmarkEnd w:id="8"/>
    </w:p>
    <w:p w:rsidR="00072AA5" w:rsidRDefault="00072AA5" w:rsidP="008C0589">
      <w:pPr>
        <w:contextualSpacing/>
      </w:pPr>
    </w:p>
    <w:p w:rsidR="00D0724A" w:rsidRPr="000D2AF6" w:rsidRDefault="000D2AF6" w:rsidP="008C0589">
      <w:pPr>
        <w:pStyle w:val="Heading2"/>
        <w:spacing w:before="0" w:after="0"/>
        <w:contextualSpacing/>
      </w:pPr>
      <w:bookmarkStart w:id="9" w:name="_Toc413401188"/>
      <w:r w:rsidRPr="000D2AF6">
        <w:rPr>
          <w:caps w:val="0"/>
        </w:rPr>
        <w:t>A.</w:t>
      </w:r>
      <w:r w:rsidRPr="000D2AF6">
        <w:rPr>
          <w:caps w:val="0"/>
        </w:rPr>
        <w:tab/>
        <w:t>INTRODUCTION</w:t>
      </w:r>
      <w:bookmarkEnd w:id="9"/>
    </w:p>
    <w:p w:rsidR="00D0724A" w:rsidRDefault="00D0724A" w:rsidP="008F3127"/>
    <w:p w:rsidR="007524B7" w:rsidRDefault="007773D0" w:rsidP="008F3127">
      <w:r>
        <w:fldChar w:fldCharType="begin"/>
      </w:r>
      <w:r>
        <w:instrText xml:space="preserve"> AUTONUM  </w:instrText>
      </w:r>
      <w:r>
        <w:fldChar w:fldCharType="end"/>
      </w:r>
      <w:r>
        <w:tab/>
      </w:r>
      <w:r w:rsidR="007524B7">
        <w:t>In order to be effective</w:t>
      </w:r>
      <w:r w:rsidR="00FD0860">
        <w:t>,</w:t>
      </w:r>
      <w:r w:rsidR="007524B7">
        <w:t xml:space="preserve"> intellectual property </w:t>
      </w:r>
      <w:r w:rsidR="001771C7">
        <w:t>systems worldwide</w:t>
      </w:r>
      <w:r w:rsidR="007524B7">
        <w:t xml:space="preserve"> establish </w:t>
      </w:r>
      <w:r w:rsidR="00AD3949">
        <w:t xml:space="preserve">remedies and </w:t>
      </w:r>
      <w:r w:rsidR="001771C7">
        <w:t xml:space="preserve">sanctions </w:t>
      </w:r>
      <w:r w:rsidR="00FD0860">
        <w:t xml:space="preserve">for the infringement of </w:t>
      </w:r>
      <w:r w:rsidR="00BC1DCE">
        <w:t xml:space="preserve">title holders’ </w:t>
      </w:r>
      <w:r w:rsidR="001771C7">
        <w:t>rights</w:t>
      </w:r>
      <w:r w:rsidR="007524B7">
        <w:t>.</w:t>
      </w:r>
      <w:r w:rsidR="001771C7">
        <w:t xml:space="preserve">  </w:t>
      </w:r>
      <w:r w:rsidR="00AD3949">
        <w:t xml:space="preserve">They </w:t>
      </w:r>
      <w:r w:rsidR="00442BDF">
        <w:t xml:space="preserve">can be </w:t>
      </w:r>
      <w:r w:rsidR="001771C7">
        <w:t xml:space="preserve">broadly </w:t>
      </w:r>
      <w:r w:rsidR="00B11746">
        <w:t>categorized</w:t>
      </w:r>
      <w:r w:rsidR="001771C7">
        <w:t xml:space="preserve"> in three</w:t>
      </w:r>
      <w:r w:rsidR="00D0724A">
        <w:t xml:space="preserve"> </w:t>
      </w:r>
      <w:r w:rsidR="007524B7">
        <w:t xml:space="preserve">groups: </w:t>
      </w:r>
      <w:r w:rsidR="00CF1419">
        <w:t xml:space="preserve"> </w:t>
      </w:r>
      <w:r w:rsidR="007524B7">
        <w:t>civil</w:t>
      </w:r>
      <w:r w:rsidR="00AD3949">
        <w:t xml:space="preserve"> remedies</w:t>
      </w:r>
      <w:r w:rsidR="001771C7">
        <w:t xml:space="preserve">, administrative </w:t>
      </w:r>
      <w:r w:rsidR="00AD3949">
        <w:t xml:space="preserve">remedies </w:t>
      </w:r>
      <w:r w:rsidR="001771C7">
        <w:t>and criminal</w:t>
      </w:r>
      <w:r w:rsidR="007524B7">
        <w:t xml:space="preserve"> sanctions.  The </w:t>
      </w:r>
      <w:r w:rsidR="001771C7">
        <w:t>la</w:t>
      </w:r>
      <w:r w:rsidR="00CF1419">
        <w:t>tt</w:t>
      </w:r>
      <w:r w:rsidR="001771C7">
        <w:t>er</w:t>
      </w:r>
      <w:r w:rsidR="00CF1419">
        <w:t xml:space="preserve">, </w:t>
      </w:r>
      <w:r w:rsidR="001771C7">
        <w:t>which are the subject of this document,</w:t>
      </w:r>
      <w:r w:rsidR="007524B7">
        <w:t xml:space="preserve"> are the consequence of the </w:t>
      </w:r>
      <w:r w:rsidR="001B0BFD">
        <w:t xml:space="preserve">violation </w:t>
      </w:r>
      <w:r w:rsidR="007524B7">
        <w:t xml:space="preserve">of criminal law, </w:t>
      </w:r>
      <w:r w:rsidR="001771C7">
        <w:t>which define</w:t>
      </w:r>
      <w:r w:rsidR="001B0BFD">
        <w:t>s</w:t>
      </w:r>
      <w:r w:rsidR="001771C7">
        <w:t xml:space="preserve"> certain acts as</w:t>
      </w:r>
      <w:r w:rsidR="007524B7">
        <w:t xml:space="preserve"> a crime.</w:t>
      </w:r>
    </w:p>
    <w:p w:rsidR="00B11746" w:rsidRDefault="00B11746" w:rsidP="002D231B"/>
    <w:p w:rsidR="00B11746" w:rsidRDefault="009D0A5A" w:rsidP="002D231B">
      <w:r>
        <w:fldChar w:fldCharType="begin"/>
      </w:r>
      <w:r>
        <w:instrText xml:space="preserve"> AUTONUM  </w:instrText>
      </w:r>
      <w:r>
        <w:fldChar w:fldCharType="end"/>
      </w:r>
      <w:r>
        <w:tab/>
      </w:r>
      <w:r w:rsidR="00B11746">
        <w:t xml:space="preserve">There is a long tradition </w:t>
      </w:r>
      <w:r w:rsidR="00F01FB6">
        <w:t xml:space="preserve">of </w:t>
      </w:r>
      <w:r w:rsidR="00B11746">
        <w:t xml:space="preserve">the protection of </w:t>
      </w:r>
      <w:r w:rsidR="00F01FB6">
        <w:t xml:space="preserve">certain </w:t>
      </w:r>
      <w:r w:rsidR="00B11746">
        <w:t xml:space="preserve">categories of intellectual property </w:t>
      </w:r>
      <w:r w:rsidR="00707823">
        <w:t xml:space="preserve">rights by </w:t>
      </w:r>
      <w:r w:rsidR="00B11746">
        <w:t>criminal sanctions, e.g., the U</w:t>
      </w:r>
      <w:r w:rsidR="000322AE">
        <w:t xml:space="preserve">nited </w:t>
      </w:r>
      <w:r w:rsidR="00B11746">
        <w:t>S</w:t>
      </w:r>
      <w:r w:rsidR="000322AE">
        <w:t>tates of America</w:t>
      </w:r>
      <w:r w:rsidR="00B11746">
        <w:t xml:space="preserve"> in 1897 added criminal sanctions to the </w:t>
      </w:r>
      <w:r w:rsidR="002B3CF0">
        <w:t>C</w:t>
      </w:r>
      <w:r w:rsidR="00B11746">
        <w:t xml:space="preserve">opyright Act of 1790, </w:t>
      </w:r>
      <w:r w:rsidR="00516FAD">
        <w:t>which</w:t>
      </w:r>
      <w:r w:rsidR="00B11746">
        <w:t xml:space="preserve"> only </w:t>
      </w:r>
      <w:r w:rsidR="00516FAD">
        <w:t xml:space="preserve">applied </w:t>
      </w:r>
      <w:r w:rsidR="00B11746">
        <w:t xml:space="preserve">to a limited number of infringing acts </w:t>
      </w:r>
      <w:r w:rsidR="00516FAD">
        <w:t>carried out</w:t>
      </w:r>
      <w:r w:rsidR="00B11746">
        <w:t xml:space="preserve"> “</w:t>
      </w:r>
      <w:proofErr w:type="spellStart"/>
      <w:r w:rsidR="00B11746">
        <w:t>wilfully</w:t>
      </w:r>
      <w:proofErr w:type="spellEnd"/>
      <w:r w:rsidR="00B11746">
        <w:t xml:space="preserve">” and “for profit”. </w:t>
      </w:r>
      <w:r w:rsidR="00516FAD">
        <w:t xml:space="preserve"> I</w:t>
      </w:r>
      <w:r w:rsidR="00B11746">
        <w:t>n the patent field, an</w:t>
      </w:r>
      <w:r w:rsidR="00313171">
        <w:t xml:space="preserve"> interest </w:t>
      </w:r>
      <w:r w:rsidR="00BF1A3C">
        <w:t xml:space="preserve">in criminal sanctions </w:t>
      </w:r>
      <w:r w:rsidR="00313171">
        <w:t>has been</w:t>
      </w:r>
      <w:r w:rsidR="00B11746">
        <w:t xml:space="preserve"> observe</w:t>
      </w:r>
      <w:r w:rsidR="00BF1A3C">
        <w:t>d</w:t>
      </w:r>
      <w:r w:rsidR="00B11746">
        <w:t xml:space="preserve"> in certain jurisdictions</w:t>
      </w:r>
      <w:r w:rsidR="00B11746">
        <w:rPr>
          <w:rStyle w:val="FootnoteReference"/>
        </w:rPr>
        <w:footnoteReference w:id="2"/>
      </w:r>
      <w:r w:rsidR="00807E56">
        <w:t>,</w:t>
      </w:r>
      <w:r w:rsidR="00313171">
        <w:t xml:space="preserve"> and implementation of criminal sanctions </w:t>
      </w:r>
      <w:r w:rsidR="00BF1A3C">
        <w:t xml:space="preserve">has </w:t>
      </w:r>
      <w:r w:rsidR="00313171">
        <w:t>taken</w:t>
      </w:r>
      <w:r w:rsidR="00AB5ABB">
        <w:t xml:space="preserve"> place in a number of countries</w:t>
      </w:r>
      <w:r w:rsidR="00BF1A3C">
        <w:t>.</w:t>
      </w:r>
      <w:r w:rsidR="00AB5ABB">
        <w:rPr>
          <w:rStyle w:val="FootnoteReference"/>
        </w:rPr>
        <w:footnoteReference w:id="3"/>
      </w:r>
      <w:r w:rsidR="006620BA">
        <w:t xml:space="preserve"> </w:t>
      </w:r>
      <w:r w:rsidR="00BF1A3C">
        <w:t xml:space="preserve"> However, </w:t>
      </w:r>
      <w:r w:rsidR="006620BA">
        <w:t>scholars</w:t>
      </w:r>
      <w:r w:rsidR="006620BA">
        <w:rPr>
          <w:rStyle w:val="FootnoteReference"/>
        </w:rPr>
        <w:footnoteReference w:id="4"/>
      </w:r>
      <w:r w:rsidR="00A11EEF">
        <w:t xml:space="preserve"> and </w:t>
      </w:r>
      <w:r w:rsidR="006620BA">
        <w:t>industry</w:t>
      </w:r>
      <w:r w:rsidR="00DB5349">
        <w:rPr>
          <w:rStyle w:val="FootnoteReference"/>
        </w:rPr>
        <w:footnoteReference w:id="5"/>
      </w:r>
      <w:r w:rsidR="006620BA">
        <w:t xml:space="preserve"> </w:t>
      </w:r>
      <w:r w:rsidR="00BF1A3C">
        <w:t xml:space="preserve">have </w:t>
      </w:r>
      <w:r w:rsidR="00313171">
        <w:t xml:space="preserve">drawn attention </w:t>
      </w:r>
      <w:r w:rsidR="006620BA">
        <w:t xml:space="preserve">to </w:t>
      </w:r>
      <w:r w:rsidR="00313171">
        <w:t xml:space="preserve">the problems that may </w:t>
      </w:r>
      <w:r w:rsidR="00BF1A3C">
        <w:t xml:space="preserve">arise from the </w:t>
      </w:r>
      <w:r w:rsidR="00313171">
        <w:t xml:space="preserve">enforcement of patent </w:t>
      </w:r>
      <w:r w:rsidR="006620BA">
        <w:t>rights</w:t>
      </w:r>
      <w:r w:rsidR="00BF1A3C">
        <w:t xml:space="preserve"> through criminal sanctions</w:t>
      </w:r>
      <w:r w:rsidR="00313171">
        <w:t>.</w:t>
      </w:r>
    </w:p>
    <w:p w:rsidR="00397183" w:rsidRDefault="00397183" w:rsidP="004C703A">
      <w:pPr>
        <w:contextualSpacing/>
      </w:pPr>
    </w:p>
    <w:p w:rsidR="00397183" w:rsidRPr="000D2AF6" w:rsidRDefault="000D2AF6" w:rsidP="004C703A">
      <w:pPr>
        <w:pStyle w:val="Heading2"/>
        <w:spacing w:before="0" w:after="0"/>
        <w:contextualSpacing/>
      </w:pPr>
      <w:bookmarkStart w:id="10" w:name="_Toc413401189"/>
      <w:r w:rsidRPr="000D2AF6">
        <w:rPr>
          <w:caps w:val="0"/>
        </w:rPr>
        <w:t>B.</w:t>
      </w:r>
      <w:r w:rsidRPr="000D2AF6">
        <w:rPr>
          <w:caps w:val="0"/>
        </w:rPr>
        <w:tab/>
        <w:t>THE INTERNATIONAL LEGAL FRAMEWORK</w:t>
      </w:r>
      <w:bookmarkEnd w:id="10"/>
    </w:p>
    <w:p w:rsidR="00397183" w:rsidRDefault="00397183" w:rsidP="002D231B"/>
    <w:p w:rsidR="000A5320" w:rsidRPr="000B6D50" w:rsidRDefault="009D0A5A" w:rsidP="00FB4746">
      <w:pPr>
        <w:rPr>
          <w:i/>
        </w:rPr>
      </w:pPr>
      <w:r>
        <w:fldChar w:fldCharType="begin"/>
      </w:r>
      <w:r>
        <w:instrText xml:space="preserve"> AUTONUM  </w:instrText>
      </w:r>
      <w:r>
        <w:fldChar w:fldCharType="end"/>
      </w:r>
      <w:r>
        <w:tab/>
      </w:r>
      <w:r w:rsidR="00AD1F14">
        <w:t>Regarding</w:t>
      </w:r>
      <w:r w:rsidR="00D0724A">
        <w:t xml:space="preserve"> the international legal framework</w:t>
      </w:r>
      <w:r w:rsidR="006834B7">
        <w:t>,</w:t>
      </w:r>
      <w:r w:rsidR="00D0724A">
        <w:t xml:space="preserve"> Article </w:t>
      </w:r>
      <w:r w:rsidR="00397183" w:rsidRPr="00397183">
        <w:t xml:space="preserve">61 </w:t>
      </w:r>
      <w:r w:rsidR="00397183">
        <w:t xml:space="preserve">of the TRIPS Agreement </w:t>
      </w:r>
      <w:r w:rsidR="003E5EDB">
        <w:t>establishe</w:t>
      </w:r>
      <w:r w:rsidR="00397183" w:rsidRPr="00397183">
        <w:t xml:space="preserve">s that “Members shall provide for criminal procedures and penalties to be applied at least in cases of </w:t>
      </w:r>
      <w:proofErr w:type="spellStart"/>
      <w:r w:rsidR="00397183" w:rsidRPr="00397183">
        <w:t>wilful</w:t>
      </w:r>
      <w:proofErr w:type="spellEnd"/>
      <w:r w:rsidR="00397183" w:rsidRPr="00397183">
        <w:t xml:space="preserve"> trademark counterfeiting or copyright piracy on a co</w:t>
      </w:r>
      <w:r w:rsidR="006834B7">
        <w:t>mmercial scale”.</w:t>
      </w:r>
      <w:r w:rsidR="00AD1F14">
        <w:t xml:space="preserve">  Concerning this provision</w:t>
      </w:r>
      <w:r w:rsidR="002728FB">
        <w:t>,</w:t>
      </w:r>
      <w:r w:rsidR="00AD1F14">
        <w:t xml:space="preserve"> </w:t>
      </w:r>
      <w:r w:rsidR="002728FB">
        <w:t xml:space="preserve">the World Trade Organization (WTO) </w:t>
      </w:r>
      <w:r w:rsidR="00AD1F14">
        <w:t xml:space="preserve">Panel Report in the case </w:t>
      </w:r>
      <w:r w:rsidR="00AD1F14">
        <w:rPr>
          <w:i/>
        </w:rPr>
        <w:t>China</w:t>
      </w:r>
      <w:r w:rsidR="002728FB">
        <w:rPr>
          <w:i/>
        </w:rPr>
        <w:t xml:space="preserve"> – </w:t>
      </w:r>
      <w:r w:rsidR="00AD1F14">
        <w:rPr>
          <w:i/>
        </w:rPr>
        <w:t>Measures Affecting the Protection and Enforcement of Intellectual Property Rights</w:t>
      </w:r>
      <w:r w:rsidR="002728FB">
        <w:rPr>
          <w:i/>
        </w:rPr>
        <w:t xml:space="preserve"> </w:t>
      </w:r>
      <w:r w:rsidR="002728FB">
        <w:t>(</w:t>
      </w:r>
      <w:r w:rsidR="002728FB" w:rsidRPr="002728FB">
        <w:t>WT/DS362/R</w:t>
      </w:r>
      <w:r w:rsidR="002728FB">
        <w:t>) (</w:t>
      </w:r>
      <w:r w:rsidR="00105524">
        <w:t>“</w:t>
      </w:r>
      <w:r w:rsidR="002728FB">
        <w:rPr>
          <w:i/>
        </w:rPr>
        <w:t>China –</w:t>
      </w:r>
      <w:r w:rsidR="00435BE5">
        <w:rPr>
          <w:i/>
        </w:rPr>
        <w:t xml:space="preserve"> Intellectual Property Rights</w:t>
      </w:r>
      <w:r w:rsidR="00105524">
        <w:t>”)</w:t>
      </w:r>
      <w:r w:rsidR="00AD1F14" w:rsidRPr="004C703A">
        <w:rPr>
          <w:rStyle w:val="FootnoteReference"/>
          <w:i/>
        </w:rPr>
        <w:footnoteReference w:id="6"/>
      </w:r>
      <w:r w:rsidR="00AD1F14">
        <w:t xml:space="preserve"> stated that the use of the word “shall” </w:t>
      </w:r>
      <w:r w:rsidR="000C770A">
        <w:t xml:space="preserve">indicated </w:t>
      </w:r>
      <w:r w:rsidR="00AD1F14">
        <w:t xml:space="preserve">that </w:t>
      </w:r>
      <w:r w:rsidR="000C770A">
        <w:t xml:space="preserve">Art. 61 </w:t>
      </w:r>
      <w:r w:rsidR="00AD1F14">
        <w:t xml:space="preserve">imposes </w:t>
      </w:r>
      <w:r w:rsidR="0096029E">
        <w:t xml:space="preserve">an obligation </w:t>
      </w:r>
      <w:r w:rsidR="00604121">
        <w:t xml:space="preserve">on WTO </w:t>
      </w:r>
      <w:r w:rsidR="0096029E">
        <w:t xml:space="preserve">Members, </w:t>
      </w:r>
      <w:r w:rsidR="004C703A">
        <w:t>but also stated that it</w:t>
      </w:r>
      <w:r w:rsidR="0096029E">
        <w:t xml:space="preserve"> identified </w:t>
      </w:r>
      <w:r w:rsidR="00C950CC">
        <w:t>“</w:t>
      </w:r>
      <w:r w:rsidR="0096029E">
        <w:t xml:space="preserve">no fewer than four limitations on the obligation that </w:t>
      </w:r>
      <w:r w:rsidR="00C950CC">
        <w:t xml:space="preserve">it </w:t>
      </w:r>
      <w:r w:rsidR="0096029E">
        <w:t>sets forth</w:t>
      </w:r>
      <w:r w:rsidR="00C950CC">
        <w:t>.</w:t>
      </w:r>
      <w:r w:rsidR="0096029E">
        <w:t>”</w:t>
      </w:r>
      <w:r w:rsidR="00C950CC">
        <w:t xml:space="preserve"> </w:t>
      </w:r>
      <w:r w:rsidR="0096029E">
        <w:t xml:space="preserve"> </w:t>
      </w:r>
      <w:r w:rsidR="00C950CC">
        <w:t>N</w:t>
      </w:r>
      <w:r w:rsidR="0096029E">
        <w:t xml:space="preserve">amely, </w:t>
      </w:r>
      <w:r w:rsidR="00924F63">
        <w:t xml:space="preserve">that </w:t>
      </w:r>
      <w:r w:rsidR="0096029E">
        <w:t xml:space="preserve">the obligation </w:t>
      </w:r>
      <w:r w:rsidR="000B6D50">
        <w:t xml:space="preserve">of criminal sanctions </w:t>
      </w:r>
      <w:r w:rsidR="0096029E">
        <w:t>applies to trademarks and copyrights</w:t>
      </w:r>
      <w:r w:rsidR="00547F46">
        <w:t xml:space="preserve"> rather than to all</w:t>
      </w:r>
      <w:r w:rsidR="0096029E">
        <w:t xml:space="preserve"> intellectual property rights covered by the TRIPS Agreement;</w:t>
      </w:r>
      <w:r w:rsidR="00547F46">
        <w:t xml:space="preserve"> it applies to counterfeiting and piracy rather </w:t>
      </w:r>
      <w:r w:rsidR="00E93D05">
        <w:t xml:space="preserve">than </w:t>
      </w:r>
      <w:r w:rsidR="00547F46">
        <w:t>to other forms of infringement</w:t>
      </w:r>
      <w:r w:rsidR="000B6D50">
        <w:t>; the</w:t>
      </w:r>
      <w:r w:rsidR="00547F46">
        <w:t xml:space="preserve"> obligation </w:t>
      </w:r>
      <w:r w:rsidR="00B0549D">
        <w:t xml:space="preserve">applies </w:t>
      </w:r>
      <w:r w:rsidR="00547F46">
        <w:t xml:space="preserve">when the act of </w:t>
      </w:r>
      <w:r w:rsidR="00B0549D">
        <w:t xml:space="preserve">trademark </w:t>
      </w:r>
      <w:r w:rsidR="00547F46">
        <w:t xml:space="preserve">counterfeiting </w:t>
      </w:r>
      <w:r w:rsidR="00B0549D">
        <w:t>or</w:t>
      </w:r>
      <w:r w:rsidR="00547F46">
        <w:t xml:space="preserve"> </w:t>
      </w:r>
      <w:r w:rsidR="00547F46">
        <w:lastRenderedPageBreak/>
        <w:t xml:space="preserve">the </w:t>
      </w:r>
      <w:r w:rsidR="00B0549D">
        <w:t xml:space="preserve">copyright </w:t>
      </w:r>
      <w:r w:rsidR="00547F46">
        <w:t>piracy is “willful”</w:t>
      </w:r>
      <w:r w:rsidR="00B0549D">
        <w:t xml:space="preserve">; </w:t>
      </w:r>
      <w:r w:rsidR="00547F46">
        <w:t xml:space="preserve">and when </w:t>
      </w:r>
      <w:r w:rsidR="00B92244">
        <w:t xml:space="preserve">such acts </w:t>
      </w:r>
      <w:r w:rsidR="00547F46">
        <w:t>take place “on a commercial scale”.</w:t>
      </w:r>
      <w:r w:rsidR="000A5320">
        <w:t xml:space="preserve">  </w:t>
      </w:r>
      <w:r w:rsidR="00547F46">
        <w:t>Concerning the first of these limitations</w:t>
      </w:r>
      <w:r w:rsidR="00033889">
        <w:t>, the Panel made it clear that</w:t>
      </w:r>
      <w:r w:rsidR="00547F46">
        <w:t xml:space="preserve"> </w:t>
      </w:r>
      <w:r w:rsidR="00FB4746">
        <w:t xml:space="preserve">criminal sanctions are not mandatory in respect </w:t>
      </w:r>
      <w:r w:rsidR="00A83020">
        <w:t xml:space="preserve">of </w:t>
      </w:r>
      <w:r w:rsidR="00FB4746">
        <w:t>intellectual property rig</w:t>
      </w:r>
      <w:r w:rsidR="000A5320">
        <w:t>hts</w:t>
      </w:r>
      <w:r w:rsidR="007D36AC">
        <w:t xml:space="preserve"> other than trademark and copyright</w:t>
      </w:r>
      <w:r w:rsidR="000A5320">
        <w:t>.</w:t>
      </w:r>
    </w:p>
    <w:p w:rsidR="000A5320" w:rsidRDefault="000A5320" w:rsidP="00FB4746"/>
    <w:p w:rsidR="000A5320" w:rsidRDefault="002E327F" w:rsidP="00AC77E5">
      <w:r>
        <w:fldChar w:fldCharType="begin"/>
      </w:r>
      <w:r>
        <w:instrText xml:space="preserve"> AUTONUM  </w:instrText>
      </w:r>
      <w:r>
        <w:fldChar w:fldCharType="end"/>
      </w:r>
      <w:r>
        <w:tab/>
      </w:r>
      <w:r w:rsidR="003F6B3E">
        <w:t>The fourth senten</w:t>
      </w:r>
      <w:r w:rsidR="00AC77E5">
        <w:t>ce of Article</w:t>
      </w:r>
      <w:r w:rsidR="003F6B3E">
        <w:t xml:space="preserve"> 61 implies the </w:t>
      </w:r>
      <w:r w:rsidR="000A5320">
        <w:t xml:space="preserve">nonexistence of </w:t>
      </w:r>
      <w:r w:rsidR="003F6B3E">
        <w:t xml:space="preserve">an </w:t>
      </w:r>
      <w:r w:rsidR="000A5320">
        <w:t xml:space="preserve">obligation at the multilateral level for </w:t>
      </w:r>
      <w:r w:rsidR="003F6B3E">
        <w:t>criminal sanctions for intellectual property right infringement other than trademark and copyright.  The first clause o</w:t>
      </w:r>
      <w:r w:rsidR="00904414">
        <w:t>f the fourth sentence of Art</w:t>
      </w:r>
      <w:r w:rsidR="00AC77E5">
        <w:t>icle</w:t>
      </w:r>
      <w:r w:rsidR="003F6B3E">
        <w:t xml:space="preserve"> 61 </w:t>
      </w:r>
      <w:r w:rsidR="00AC77E5">
        <w:t xml:space="preserve">in fact </w:t>
      </w:r>
      <w:r w:rsidR="003F6B3E">
        <w:t>is permissive in nature</w:t>
      </w:r>
      <w:r w:rsidR="000A5320">
        <w:t>:</w:t>
      </w:r>
      <w:r w:rsidR="003F6B3E">
        <w:t xml:space="preserve"> </w:t>
      </w:r>
      <w:r w:rsidR="000A5320">
        <w:t xml:space="preserve"> </w:t>
      </w:r>
      <w:r w:rsidR="00FB4746">
        <w:t>“Members</w:t>
      </w:r>
      <w:r w:rsidR="00FB4746" w:rsidRPr="00FB4746">
        <w:rPr>
          <w:rFonts w:ascii="Times New Roman" w:eastAsia="Times New Roman" w:hAnsi="Times New Roman" w:cs="Times New Roman"/>
          <w:color w:val="000000"/>
          <w:lang w:val="en-GB" w:eastAsia="en-US"/>
        </w:rPr>
        <w:t xml:space="preserve"> </w:t>
      </w:r>
      <w:r w:rsidR="00FB4746" w:rsidRPr="00FB4746">
        <w:t>may provide for criminal procedures and penalties to be applied in other cases of infringement of intellectual property rights</w:t>
      </w:r>
      <w:r w:rsidR="00FB4746">
        <w:t>”</w:t>
      </w:r>
      <w:r w:rsidR="000A5320">
        <w:t>,</w:t>
      </w:r>
      <w:r w:rsidR="00FB4746">
        <w:t xml:space="preserve"> in contrast to </w:t>
      </w:r>
      <w:r w:rsidR="000A5320">
        <w:t xml:space="preserve">mandatory nature </w:t>
      </w:r>
      <w:r w:rsidR="00FB4746">
        <w:t>the first sentence</w:t>
      </w:r>
      <w:r w:rsidR="000A5320">
        <w:t>.</w:t>
      </w:r>
      <w:r w:rsidR="00DA12BA">
        <w:t xml:space="preserve">  In this regard</w:t>
      </w:r>
      <w:r w:rsidR="00903C21">
        <w:t>,</w:t>
      </w:r>
      <w:r w:rsidR="00DA12BA">
        <w:t xml:space="preserve"> the Panel Report</w:t>
      </w:r>
      <w:r w:rsidR="00DA12BA" w:rsidRPr="00DA12BA">
        <w:t xml:space="preserve"> </w:t>
      </w:r>
      <w:r w:rsidR="00903C21">
        <w:t xml:space="preserve">in </w:t>
      </w:r>
      <w:r w:rsidR="00903C21">
        <w:rPr>
          <w:i/>
        </w:rPr>
        <w:t>China – Intellectual Property Rights</w:t>
      </w:r>
      <w:r w:rsidR="00903C21" w:rsidRPr="00DA12BA">
        <w:t xml:space="preserve"> </w:t>
      </w:r>
      <w:r w:rsidR="00DA12BA">
        <w:t>state</w:t>
      </w:r>
      <w:r w:rsidR="00903C21">
        <w:t>d</w:t>
      </w:r>
      <w:r w:rsidR="00DA12BA">
        <w:t>:</w:t>
      </w:r>
      <w:r w:rsidR="00273322">
        <w:t xml:space="preserve">  </w:t>
      </w:r>
      <w:r w:rsidR="00DA12BA" w:rsidRPr="00DA12BA">
        <w:t>“</w:t>
      </w:r>
      <w:r w:rsidR="000A5320" w:rsidRPr="00DA12BA">
        <w:t>The fourth sentence of Article 61</w:t>
      </w:r>
      <w:r w:rsidR="00DA12BA" w:rsidRPr="00DA12BA">
        <w:t xml:space="preserve"> </w:t>
      </w:r>
      <w:r w:rsidR="000A5320" w:rsidRPr="00DA12BA">
        <w:t>gives Members the option to criminalize other infringements of intellectual property rights, in</w:t>
      </w:r>
      <w:r w:rsidR="00DA12BA" w:rsidRPr="00DA12BA">
        <w:t xml:space="preserve"> </w:t>
      </w:r>
      <w:r w:rsidR="000A5320" w:rsidRPr="00DA12BA">
        <w:t>particular where they are committed wil</w:t>
      </w:r>
      <w:r w:rsidR="007E21AF">
        <w:t>l</w:t>
      </w:r>
      <w:r w:rsidR="000A5320" w:rsidRPr="00DA12BA">
        <w:t>fully and on a commercial scale. Despite the potential gravity</w:t>
      </w:r>
      <w:r w:rsidR="00DA12BA" w:rsidRPr="00DA12BA">
        <w:t xml:space="preserve"> </w:t>
      </w:r>
      <w:r w:rsidR="000A5320" w:rsidRPr="00DA12BA">
        <w:t>of such infringements, Article 61 creates no obligation to criminalize them</w:t>
      </w:r>
      <w:r w:rsidR="00DA12BA" w:rsidRPr="00DA12BA">
        <w:t>”</w:t>
      </w:r>
      <w:r w:rsidR="00BD768D">
        <w:t>.</w:t>
      </w:r>
      <w:r w:rsidR="00DA12BA">
        <w:rPr>
          <w:rStyle w:val="FootnoteReference"/>
        </w:rPr>
        <w:footnoteReference w:id="7"/>
      </w:r>
    </w:p>
    <w:p w:rsidR="000A5320" w:rsidRDefault="000A5320" w:rsidP="002D231B"/>
    <w:p w:rsidR="003E5EDB" w:rsidRDefault="002E327F" w:rsidP="002D231B">
      <w:r>
        <w:fldChar w:fldCharType="begin"/>
      </w:r>
      <w:r>
        <w:instrText xml:space="preserve"> AUTONUM  </w:instrText>
      </w:r>
      <w:r>
        <w:fldChar w:fldCharType="end"/>
      </w:r>
      <w:r>
        <w:tab/>
      </w:r>
      <w:r w:rsidR="0096602B">
        <w:t>Since p</w:t>
      </w:r>
      <w:r w:rsidR="00397183" w:rsidRPr="00397183">
        <w:t>atent a</w:t>
      </w:r>
      <w:r w:rsidR="0096602B">
        <w:t>re excluded from that provision,</w:t>
      </w:r>
      <w:r w:rsidR="00397183" w:rsidRPr="00397183">
        <w:t xml:space="preserve"> it means that </w:t>
      </w:r>
      <w:r w:rsidR="007770DD">
        <w:t xml:space="preserve">no international obligation exists for WTO Members </w:t>
      </w:r>
      <w:r w:rsidR="00397183" w:rsidRPr="00397183">
        <w:t xml:space="preserve">to adopt </w:t>
      </w:r>
      <w:r w:rsidR="007770DD">
        <w:t>criminal</w:t>
      </w:r>
      <w:r w:rsidR="007770DD" w:rsidRPr="00397183">
        <w:t xml:space="preserve"> </w:t>
      </w:r>
      <w:r w:rsidR="00397183" w:rsidRPr="00397183">
        <w:t xml:space="preserve">sanctions </w:t>
      </w:r>
      <w:r w:rsidR="007770DD">
        <w:t>for</w:t>
      </w:r>
      <w:r w:rsidR="00940154">
        <w:t xml:space="preserve"> </w:t>
      </w:r>
      <w:r w:rsidR="00F407B9">
        <w:t xml:space="preserve">patent </w:t>
      </w:r>
      <w:r w:rsidR="007770DD">
        <w:t xml:space="preserve">rights </w:t>
      </w:r>
      <w:r w:rsidR="00F407B9">
        <w:t>infringement.  In</w:t>
      </w:r>
      <w:r w:rsidR="00940154">
        <w:t xml:space="preserve"> this regard</w:t>
      </w:r>
      <w:r w:rsidR="0096602B">
        <w:t xml:space="preserve">, </w:t>
      </w:r>
      <w:r w:rsidR="00397183" w:rsidRPr="00397183">
        <w:t xml:space="preserve">Article 61 </w:t>
      </w:r>
      <w:r w:rsidR="0096602B">
        <w:t xml:space="preserve">specifies </w:t>
      </w:r>
      <w:r w:rsidR="00397183" w:rsidRPr="00397183">
        <w:t>that “Members may provide for criminal procedures and penalties to be applied in other cases of infringement of intellectual property rights, in particular where they are committed wi</w:t>
      </w:r>
      <w:r w:rsidR="009F5A4D">
        <w:t>l</w:t>
      </w:r>
      <w:r w:rsidR="00397183" w:rsidRPr="00397183">
        <w:t>lfully and on a commercial scale”.</w:t>
      </w:r>
      <w:r w:rsidR="0096602B">
        <w:t xml:space="preserve">  </w:t>
      </w:r>
      <w:r w:rsidR="00940154">
        <w:t xml:space="preserve">Providing </w:t>
      </w:r>
      <w:r w:rsidR="001B47EE">
        <w:t xml:space="preserve">for </w:t>
      </w:r>
      <w:r w:rsidR="00940154">
        <w:t xml:space="preserve">criminal sanctions might be a strong deterrent from </w:t>
      </w:r>
      <w:r w:rsidR="001B47EE">
        <w:t xml:space="preserve">engaging in </w:t>
      </w:r>
      <w:r w:rsidR="00940154">
        <w:t xml:space="preserve">business </w:t>
      </w:r>
      <w:r w:rsidR="001B47EE">
        <w:t>activities</w:t>
      </w:r>
      <w:r w:rsidR="00A55C51">
        <w:t xml:space="preserve"> </w:t>
      </w:r>
      <w:r w:rsidR="00940154">
        <w:t>based on the violation of</w:t>
      </w:r>
      <w:r w:rsidR="008F4D43">
        <w:t xml:space="preserve"> </w:t>
      </w:r>
      <w:r w:rsidR="00940154">
        <w:t>IPRs</w:t>
      </w:r>
      <w:r w:rsidR="00A55C51">
        <w:t>; in</w:t>
      </w:r>
      <w:r w:rsidR="00940154">
        <w:t xml:space="preserve"> fact, it has been noted that “the risk of facing criminal sanctions may often be strong enough to dissuade a firm from activities that the titleholder may argue are infringing</w:t>
      </w:r>
      <w:r w:rsidR="00861C00">
        <w:t>”.</w:t>
      </w:r>
      <w:r w:rsidR="00940154">
        <w:rPr>
          <w:rStyle w:val="FootnoteReference"/>
        </w:rPr>
        <w:footnoteReference w:id="8"/>
      </w:r>
    </w:p>
    <w:p w:rsidR="00ED3DD3" w:rsidRDefault="00ED3DD3" w:rsidP="002D231B"/>
    <w:p w:rsidR="00762FB0" w:rsidRDefault="002E327F" w:rsidP="00762FB0">
      <w:r>
        <w:fldChar w:fldCharType="begin"/>
      </w:r>
      <w:r>
        <w:instrText xml:space="preserve"> AUTONUM  </w:instrText>
      </w:r>
      <w:r>
        <w:fldChar w:fldCharType="end"/>
      </w:r>
      <w:r>
        <w:tab/>
      </w:r>
      <w:r w:rsidR="001B47EE">
        <w:t>With respect to patent rights, a</w:t>
      </w:r>
      <w:r w:rsidR="00DA12BA">
        <w:t xml:space="preserve"> different approach is</w:t>
      </w:r>
      <w:r w:rsidR="00940154">
        <w:t xml:space="preserve"> adopt</w:t>
      </w:r>
      <w:r w:rsidR="00DA12BA">
        <w:t>ed concerning</w:t>
      </w:r>
      <w:r w:rsidR="00940154">
        <w:t xml:space="preserve"> criminal sanctions</w:t>
      </w:r>
      <w:r w:rsidR="001B47EE">
        <w:t xml:space="preserve"> than the approach for</w:t>
      </w:r>
      <w:r w:rsidR="00DA12BA">
        <w:t xml:space="preserve"> </w:t>
      </w:r>
      <w:r w:rsidR="00940154">
        <w:t xml:space="preserve">copyright </w:t>
      </w:r>
      <w:r w:rsidR="00DA12BA">
        <w:t>and trademarks</w:t>
      </w:r>
      <w:r w:rsidR="00940154">
        <w:t xml:space="preserve">.  </w:t>
      </w:r>
      <w:r w:rsidR="00762FB0">
        <w:t xml:space="preserve">Several explanations </w:t>
      </w:r>
      <w:r w:rsidR="001B47EE">
        <w:t>may account for</w:t>
      </w:r>
      <w:r w:rsidR="00762FB0">
        <w:t xml:space="preserve"> this fact</w:t>
      </w:r>
      <w:r w:rsidR="001B47EE">
        <w:t>.</w:t>
      </w:r>
      <w:r w:rsidR="00762FB0">
        <w:t xml:space="preserve">  </w:t>
      </w:r>
      <w:r w:rsidR="0044651A">
        <w:t>F</w:t>
      </w:r>
      <w:r w:rsidR="00762FB0">
        <w:t>or ins</w:t>
      </w:r>
      <w:r w:rsidR="00DA12BA">
        <w:t>tance, it has been argued that infringers of trademarks and copyrights</w:t>
      </w:r>
      <w:r w:rsidR="00762FB0">
        <w:t xml:space="preserve"> </w:t>
      </w:r>
      <w:r w:rsidR="00DA12BA">
        <w:t>“</w:t>
      </w:r>
      <w:r w:rsidR="00762FB0">
        <w:t>cause more harm and/or require harsher punishments for deterrence than infringers of patents</w:t>
      </w:r>
      <w:r w:rsidR="00DA12BA">
        <w:t>” or</w:t>
      </w:r>
      <w:r w:rsidR="00762FB0">
        <w:t xml:space="preserve"> that while industries lobby for</w:t>
      </w:r>
      <w:r w:rsidR="00DA12BA">
        <w:t xml:space="preserve"> stronger protection for other categories of </w:t>
      </w:r>
      <w:r w:rsidR="0044651A">
        <w:t xml:space="preserve">intellectual property </w:t>
      </w:r>
      <w:r w:rsidR="00762FB0">
        <w:t>(especially copyright), different industries are at odds with one another regarding the proper level of protection for patents”</w:t>
      </w:r>
      <w:r w:rsidR="0044651A">
        <w:t>.</w:t>
      </w:r>
      <w:r w:rsidR="00762FB0">
        <w:rPr>
          <w:rStyle w:val="FootnoteReference"/>
        </w:rPr>
        <w:footnoteReference w:id="9"/>
      </w:r>
    </w:p>
    <w:p w:rsidR="00ED3DD3" w:rsidRDefault="00ED3DD3" w:rsidP="002D231B"/>
    <w:p w:rsidR="003E5EDB" w:rsidRDefault="002E327F" w:rsidP="002D231B">
      <w:r>
        <w:fldChar w:fldCharType="begin"/>
      </w:r>
      <w:r>
        <w:instrText xml:space="preserve"> AUTONUM  </w:instrText>
      </w:r>
      <w:r>
        <w:fldChar w:fldCharType="end"/>
      </w:r>
      <w:r>
        <w:tab/>
      </w:r>
      <w:r w:rsidR="00ED3DD3">
        <w:t xml:space="preserve">Concerning the </w:t>
      </w:r>
      <w:r w:rsidR="00FC620B">
        <w:t xml:space="preserve">introduction of criminal </w:t>
      </w:r>
      <w:r w:rsidR="00AA36D4">
        <w:t>sanctions</w:t>
      </w:r>
      <w:r w:rsidR="00FC620B">
        <w:t xml:space="preserve"> for </w:t>
      </w:r>
      <w:r w:rsidR="00AA36D4">
        <w:t>patent</w:t>
      </w:r>
      <w:r w:rsidR="00FC620B">
        <w:t xml:space="preserve"> infringement</w:t>
      </w:r>
      <w:r w:rsidR="0051339D">
        <w:t>,</w:t>
      </w:r>
      <w:r w:rsidR="00FC620B">
        <w:t xml:space="preserve"> </w:t>
      </w:r>
      <w:r w:rsidR="00ED3DD3">
        <w:t xml:space="preserve">it has been observed that </w:t>
      </w:r>
      <w:r w:rsidR="00ED3DD3" w:rsidRPr="00ED3DD3">
        <w:t>“criminalization could provide incentives for willful patent infringers to cease their illegal activities (or not engage in them in the first place) and thus reduce losses to patent owners”</w:t>
      </w:r>
      <w:r w:rsidR="0051339D">
        <w:t>.</w:t>
      </w:r>
      <w:r w:rsidR="00ED3DD3" w:rsidRPr="00ED3DD3">
        <w:rPr>
          <w:vertAlign w:val="superscript"/>
        </w:rPr>
        <w:footnoteReference w:id="10"/>
      </w:r>
      <w:r w:rsidR="0051339D">
        <w:t xml:space="preserve"> </w:t>
      </w:r>
      <w:r w:rsidR="00F40E20">
        <w:t xml:space="preserve"> I</w:t>
      </w:r>
      <w:r w:rsidR="00ED3DD3">
        <w:t>t has been</w:t>
      </w:r>
      <w:r w:rsidR="00F40E20">
        <w:t xml:space="preserve"> also</w:t>
      </w:r>
      <w:r w:rsidR="00ED3DD3">
        <w:t xml:space="preserve"> pointed out </w:t>
      </w:r>
      <w:r w:rsidR="00184BE9">
        <w:t xml:space="preserve">that </w:t>
      </w:r>
      <w:r w:rsidR="008D7D78">
        <w:t>criminal procedure</w:t>
      </w:r>
      <w:r w:rsidR="00F40E20">
        <w:t>s</w:t>
      </w:r>
      <w:r w:rsidR="00ED3DD3">
        <w:t xml:space="preserve">, </w:t>
      </w:r>
      <w:r w:rsidR="004960F7">
        <w:t>as opposed to</w:t>
      </w:r>
      <w:r w:rsidR="00ED3DD3">
        <w:t xml:space="preserve"> civil </w:t>
      </w:r>
      <w:r w:rsidR="004960F7">
        <w:t>procedures</w:t>
      </w:r>
      <w:r w:rsidR="00ED3DD3">
        <w:t>, are undertaken by the State</w:t>
      </w:r>
      <w:r w:rsidR="009A2807">
        <w:t>,</w:t>
      </w:r>
      <w:r w:rsidR="00ED3DD3">
        <w:t xml:space="preserve"> </w:t>
      </w:r>
      <w:r w:rsidR="009A2807">
        <w:t>which</w:t>
      </w:r>
      <w:r w:rsidR="00ED3DD3">
        <w:t xml:space="preserve"> </w:t>
      </w:r>
      <w:r w:rsidR="005C5AB0">
        <w:t xml:space="preserve">might </w:t>
      </w:r>
      <w:r w:rsidR="009A2807">
        <w:t xml:space="preserve">be </w:t>
      </w:r>
      <w:r w:rsidR="00184BE9">
        <w:t>cost-savin</w:t>
      </w:r>
      <w:r w:rsidR="00F40E20">
        <w:t>g</w:t>
      </w:r>
      <w:r w:rsidR="002A0BFC">
        <w:t xml:space="preserve"> for patent owner</w:t>
      </w:r>
      <w:r w:rsidR="00184BE9">
        <w:t>s</w:t>
      </w:r>
      <w:r w:rsidR="008D7D78">
        <w:rPr>
          <w:rStyle w:val="FootnoteReference"/>
        </w:rPr>
        <w:footnoteReference w:id="11"/>
      </w:r>
      <w:r w:rsidR="009A2807">
        <w:t xml:space="preserve"> since </w:t>
      </w:r>
      <w:r w:rsidR="00F40E20">
        <w:t>c</w:t>
      </w:r>
      <w:r w:rsidR="006340D7">
        <w:t xml:space="preserve">ivil patent litigation can </w:t>
      </w:r>
      <w:r w:rsidR="009A2807">
        <w:t xml:space="preserve">in fact </w:t>
      </w:r>
      <w:r w:rsidR="006340D7">
        <w:t xml:space="preserve">be expensive and </w:t>
      </w:r>
      <w:r w:rsidR="00AD3949">
        <w:t xml:space="preserve">hardly affordable for </w:t>
      </w:r>
      <w:r w:rsidR="00630650">
        <w:t xml:space="preserve">some </w:t>
      </w:r>
      <w:r w:rsidR="002A0BFC">
        <w:t xml:space="preserve">title </w:t>
      </w:r>
      <w:r w:rsidR="006340D7">
        <w:t>holders</w:t>
      </w:r>
      <w:r w:rsidR="00561C41">
        <w:t>.</w:t>
      </w:r>
      <w:r w:rsidR="005C5E4C">
        <w:rPr>
          <w:rStyle w:val="FootnoteReference"/>
        </w:rPr>
        <w:footnoteReference w:id="12"/>
      </w:r>
    </w:p>
    <w:p w:rsidR="00ED3DD3" w:rsidRDefault="00ED3DD3" w:rsidP="002D231B"/>
    <w:p w:rsidR="00D83251" w:rsidRDefault="002E327F" w:rsidP="002D231B">
      <w:r>
        <w:lastRenderedPageBreak/>
        <w:fldChar w:fldCharType="begin"/>
      </w:r>
      <w:r>
        <w:instrText xml:space="preserve"> AUTONUM  </w:instrText>
      </w:r>
      <w:r>
        <w:fldChar w:fldCharType="end"/>
      </w:r>
      <w:r>
        <w:tab/>
      </w:r>
      <w:r w:rsidR="00FB33EB">
        <w:t>S</w:t>
      </w:r>
      <w:r w:rsidR="00FC620B">
        <w:t>upport</w:t>
      </w:r>
      <w:r w:rsidR="00FB33EB">
        <w:t>ers of</w:t>
      </w:r>
      <w:r w:rsidR="00FC620B">
        <w:t xml:space="preserve"> civil </w:t>
      </w:r>
      <w:r w:rsidR="00FB33EB">
        <w:t>enforcement of</w:t>
      </w:r>
      <w:r w:rsidR="00FC620B">
        <w:t xml:space="preserve"> patent infringement</w:t>
      </w:r>
      <w:r w:rsidR="00FB33EB">
        <w:t>s</w:t>
      </w:r>
      <w:r w:rsidR="004F1E76">
        <w:t xml:space="preserve"> have</w:t>
      </w:r>
      <w:r w:rsidR="00FC620B">
        <w:t xml:space="preserve"> draw</w:t>
      </w:r>
      <w:r w:rsidR="004F1E76">
        <w:t>n</w:t>
      </w:r>
      <w:r w:rsidR="00FC620B">
        <w:t xml:space="preserve"> attention </w:t>
      </w:r>
      <w:r w:rsidR="004F1E76">
        <w:t xml:space="preserve">to </w:t>
      </w:r>
      <w:r w:rsidR="00FC620B">
        <w:t xml:space="preserve">the peculiarity of the patent rights and in </w:t>
      </w:r>
      <w:r w:rsidR="00AA36D4">
        <w:t>particular</w:t>
      </w:r>
      <w:r w:rsidR="004F1E76">
        <w:t>,</w:t>
      </w:r>
      <w:r w:rsidR="00FC620B">
        <w:t xml:space="preserve"> on </w:t>
      </w:r>
      <w:r w:rsidR="004F1E76">
        <w:t xml:space="preserve">their </w:t>
      </w:r>
      <w:r w:rsidR="00FC620B">
        <w:t>scope and validity.</w:t>
      </w:r>
      <w:r w:rsidR="00AA36D4">
        <w:t xml:space="preserve">  </w:t>
      </w:r>
      <w:r w:rsidR="00C87270">
        <w:t xml:space="preserve">In </w:t>
      </w:r>
      <w:r w:rsidR="00AA36D4">
        <w:t xml:space="preserve">that regard the </w:t>
      </w:r>
      <w:r w:rsidR="00D83251" w:rsidRPr="00D83251">
        <w:t xml:space="preserve">Chartered Institute of Patent Agents </w:t>
      </w:r>
      <w:r w:rsidR="00D83251">
        <w:t>(</w:t>
      </w:r>
      <w:r w:rsidR="00AA36D4">
        <w:t>CIPA</w:t>
      </w:r>
      <w:r w:rsidR="00D83251">
        <w:t xml:space="preserve">), in commenting </w:t>
      </w:r>
      <w:r w:rsidR="00C87270">
        <w:t xml:space="preserve">on </w:t>
      </w:r>
      <w:r w:rsidR="00D83251">
        <w:t>the project of E</w:t>
      </w:r>
      <w:r w:rsidR="00C87270">
        <w:t xml:space="preserve">uropean </w:t>
      </w:r>
      <w:r w:rsidR="00D83251">
        <w:t>U</w:t>
      </w:r>
      <w:r w:rsidR="00C87270">
        <w:t>nion</w:t>
      </w:r>
      <w:r w:rsidR="00D83251">
        <w:t xml:space="preserve"> directive on criminal measures</w:t>
      </w:r>
      <w:r w:rsidR="00D83251" w:rsidRPr="00D83251">
        <w:t xml:space="preserve"> aimed at ensuring the enforcement of intellectual property rights</w:t>
      </w:r>
      <w:r w:rsidR="00D83251">
        <w:t>,</w:t>
      </w:r>
      <w:r w:rsidR="00FB33EB">
        <w:t xml:space="preserve"> has observed that </w:t>
      </w:r>
      <w:r w:rsidR="00AA36D4">
        <w:t>criminal sanctions are</w:t>
      </w:r>
      <w:r w:rsidR="00FB33EB">
        <w:t xml:space="preserve"> not necessarily appropriate in the patent field: </w:t>
      </w:r>
      <w:r w:rsidR="00C87270">
        <w:t xml:space="preserve"> </w:t>
      </w:r>
      <w:r w:rsidR="00FB33EB">
        <w:t>“</w:t>
      </w:r>
      <w:r w:rsidR="00AA36D4">
        <w:t>although patents are fully examined, it is common in infringement proceedings (after the patent is granted) that there will be arguments about the scope of the patent protection and whether it covers a particular product or process; and also the validity of the patent will be challenged; and in many cases these reflect on each other – the competitor will argue that what they are doing does not fall within the valid scope of the patent. If criminal sanctions applied to patent infringement, the uncertainties about the scope of protection and validity would give rise to a significant deterrent to competitors even considering activities which might be within the scope of a patent</w:t>
      </w:r>
      <w:r w:rsidR="0056134D">
        <w:t>”.</w:t>
      </w:r>
      <w:r w:rsidR="00AA36D4">
        <w:rPr>
          <w:rStyle w:val="FootnoteReference"/>
        </w:rPr>
        <w:footnoteReference w:id="13"/>
      </w:r>
      <w:r w:rsidR="00FB33EB">
        <w:t xml:space="preserve">  </w:t>
      </w:r>
      <w:r w:rsidR="00D83251">
        <w:t>Addi</w:t>
      </w:r>
      <w:r w:rsidR="00FB33EB">
        <w:t>tionally, some scholars</w:t>
      </w:r>
      <w:r w:rsidR="002D5FD7">
        <w:rPr>
          <w:rStyle w:val="FootnoteReference"/>
        </w:rPr>
        <w:footnoteReference w:id="14"/>
      </w:r>
      <w:r w:rsidR="00D83251">
        <w:t xml:space="preserve"> </w:t>
      </w:r>
      <w:r w:rsidR="00056B76">
        <w:t xml:space="preserve">have </w:t>
      </w:r>
      <w:r w:rsidR="00D83251">
        <w:t>stressed that the risk of over deterrence in the patent field might b</w:t>
      </w:r>
      <w:r w:rsidR="00FB33EB">
        <w:t>e quite expensive for society, since t</w:t>
      </w:r>
      <w:r w:rsidR="00D83251">
        <w:t xml:space="preserve">he fear of criminal sanctions might hinder the development of new technologies, </w:t>
      </w:r>
      <w:r w:rsidR="00FB33EB">
        <w:t>including</w:t>
      </w:r>
      <w:r w:rsidR="00D83251">
        <w:t xml:space="preserve"> </w:t>
      </w:r>
      <w:r w:rsidR="007376F8">
        <w:t xml:space="preserve">in </w:t>
      </w:r>
      <w:r w:rsidR="003512C8">
        <w:t xml:space="preserve">delicate </w:t>
      </w:r>
      <w:r w:rsidR="00D83251">
        <w:t xml:space="preserve">sectors </w:t>
      </w:r>
      <w:r w:rsidR="003512C8">
        <w:t>for</w:t>
      </w:r>
      <w:r w:rsidR="007376F8">
        <w:t xml:space="preserve"> the </w:t>
      </w:r>
      <w:r w:rsidR="00D83251">
        <w:t>public interest, such as public health.</w:t>
      </w:r>
    </w:p>
    <w:p w:rsidR="000309BD" w:rsidRDefault="000309BD" w:rsidP="002D231B"/>
    <w:p w:rsidR="005C5AB0" w:rsidRDefault="00C56B9E" w:rsidP="000F6401">
      <w:r>
        <w:fldChar w:fldCharType="begin"/>
      </w:r>
      <w:r>
        <w:instrText xml:space="preserve"> AUTONUM  </w:instrText>
      </w:r>
      <w:r>
        <w:fldChar w:fldCharType="end"/>
      </w:r>
      <w:r>
        <w:tab/>
      </w:r>
      <w:r w:rsidR="00376A33">
        <w:t xml:space="preserve">Different </w:t>
      </w:r>
      <w:r w:rsidR="005C5AB0">
        <w:t>policy reasons</w:t>
      </w:r>
      <w:r w:rsidR="00376A33">
        <w:t xml:space="preserve"> have been advance</w:t>
      </w:r>
      <w:r w:rsidR="00002C44">
        <w:t>d</w:t>
      </w:r>
      <w:r w:rsidR="005C5AB0">
        <w:t xml:space="preserve"> for not crim</w:t>
      </w:r>
      <w:r w:rsidR="00376A33">
        <w:t>inalizing patent infringement</w:t>
      </w:r>
      <w:r w:rsidR="003512C8">
        <w:t>; in</w:t>
      </w:r>
      <w:r w:rsidR="00376A33">
        <w:t xml:space="preserve"> this regard,</w:t>
      </w:r>
      <w:r w:rsidR="00FB33EB">
        <w:t xml:space="preserve"> Honorable Mr. Justice Louis Harms, Judge of Appeal</w:t>
      </w:r>
      <w:r w:rsidR="00376A33">
        <w:t xml:space="preserve">, Supreme Court of South Africa, prepared a paper </w:t>
      </w:r>
      <w:r w:rsidR="00002C44">
        <w:t xml:space="preserve">that </w:t>
      </w:r>
      <w:r w:rsidR="00376A33">
        <w:t>was presented at the Fourth Session of the WIPO Advisory Committee on Enforcement</w:t>
      </w:r>
      <w:r w:rsidR="005C5AB0">
        <w:rPr>
          <w:rStyle w:val="FootnoteReference"/>
        </w:rPr>
        <w:footnoteReference w:id="15"/>
      </w:r>
      <w:r w:rsidR="005C5AB0">
        <w:t xml:space="preserve"> </w:t>
      </w:r>
      <w:r w:rsidR="00002C44">
        <w:t xml:space="preserve">that </w:t>
      </w:r>
      <w:r w:rsidR="005C5AB0">
        <w:t>identified the following:</w:t>
      </w:r>
      <w:r w:rsidR="000F6401">
        <w:t xml:space="preserve">  </w:t>
      </w:r>
      <w:r w:rsidR="005C5AB0">
        <w:t xml:space="preserve">Criminal courts are generally speaking not qualified to deal with patent issues;  any given patent may cover many “inventions”; </w:t>
      </w:r>
      <w:r w:rsidR="000F6401">
        <w:t xml:space="preserve"> </w:t>
      </w:r>
      <w:r w:rsidR="005C5AB0">
        <w:t xml:space="preserve">the invalidity of the patent is the typical defense to infringement;  the patentee’s product may not be made in accordance with the patent; </w:t>
      </w:r>
      <w:r w:rsidR="000F6401">
        <w:t xml:space="preserve"> </w:t>
      </w:r>
      <w:r w:rsidR="005C5AB0">
        <w:t>the infringer’s product may not be a copy of the patentee’s product as marketed;</w:t>
      </w:r>
      <w:r w:rsidR="000F6401">
        <w:t xml:space="preserve">  </w:t>
      </w:r>
      <w:r w:rsidR="005C5AB0">
        <w:t xml:space="preserve">it is virtually impossible for law enforcement officers and border officials to determine whether any particular product is an infringing product; </w:t>
      </w:r>
      <w:r w:rsidR="000F6401">
        <w:t xml:space="preserve"> </w:t>
      </w:r>
      <w:r w:rsidR="005C5AB0">
        <w:t>patent litigation is expensive; and</w:t>
      </w:r>
      <w:r w:rsidR="000F6401">
        <w:t xml:space="preserve"> </w:t>
      </w:r>
      <w:r w:rsidR="005C5AB0">
        <w:t>a significant percentage of patents is revoked in the course of patent litigation.</w:t>
      </w:r>
    </w:p>
    <w:p w:rsidR="005C5AB0" w:rsidRDefault="005C5AB0" w:rsidP="005C5AB0"/>
    <w:p w:rsidR="00F45255" w:rsidRDefault="00C56B9E" w:rsidP="003512C8">
      <w:pPr>
        <w:contextualSpacing/>
      </w:pPr>
      <w:r>
        <w:fldChar w:fldCharType="begin"/>
      </w:r>
      <w:r>
        <w:instrText xml:space="preserve"> AUTONUM  </w:instrText>
      </w:r>
      <w:r>
        <w:fldChar w:fldCharType="end"/>
      </w:r>
      <w:r>
        <w:tab/>
      </w:r>
      <w:r w:rsidR="00E95C74">
        <w:t>Experience</w:t>
      </w:r>
      <w:r w:rsidR="0089276C">
        <w:t xml:space="preserve"> shows that</w:t>
      </w:r>
      <w:r w:rsidR="00376A33">
        <w:t xml:space="preserve"> criminal sanctions</w:t>
      </w:r>
      <w:r w:rsidR="0089276C">
        <w:t xml:space="preserve"> for the enforcement of patents rights</w:t>
      </w:r>
      <w:r w:rsidR="0089276C" w:rsidRPr="0089276C">
        <w:t xml:space="preserve"> </w:t>
      </w:r>
      <w:r w:rsidR="0089276C">
        <w:t>ha</w:t>
      </w:r>
      <w:r w:rsidR="004E7B84">
        <w:t>ve</w:t>
      </w:r>
      <w:r w:rsidR="0089276C">
        <w:t xml:space="preserve"> been implemented at the national lev</w:t>
      </w:r>
      <w:r w:rsidR="003F2E31">
        <w:t>el in a number of jurisdictions</w:t>
      </w:r>
      <w:r w:rsidR="004E7B84">
        <w:t>.</w:t>
      </w:r>
      <w:r w:rsidR="003F2E31">
        <w:rPr>
          <w:rStyle w:val="FootnoteReference"/>
        </w:rPr>
        <w:footnoteReference w:id="16"/>
      </w:r>
      <w:r w:rsidR="004E7B84">
        <w:t xml:space="preserve"> </w:t>
      </w:r>
      <w:r w:rsidR="00E95C74">
        <w:t xml:space="preserve"> </w:t>
      </w:r>
      <w:r w:rsidR="004E7B84" w:rsidRPr="00B84098">
        <w:t>A</w:t>
      </w:r>
      <w:r w:rsidR="00885C87" w:rsidRPr="00B84098">
        <w:t xml:space="preserve">t </w:t>
      </w:r>
      <w:r w:rsidR="004E7B84" w:rsidRPr="00B84098">
        <w:t xml:space="preserve">the </w:t>
      </w:r>
      <w:r w:rsidR="00885C87" w:rsidRPr="00B84098">
        <w:t xml:space="preserve">regional level, with the exception of the Bangui Agreement establishing the </w:t>
      </w:r>
      <w:proofErr w:type="spellStart"/>
      <w:r w:rsidR="00885C87" w:rsidRPr="00B84098">
        <w:rPr>
          <w:i/>
        </w:rPr>
        <w:t>Organisation</w:t>
      </w:r>
      <w:proofErr w:type="spellEnd"/>
      <w:r w:rsidR="00885C87" w:rsidRPr="00B84098">
        <w:rPr>
          <w:i/>
        </w:rPr>
        <w:t xml:space="preserve"> </w:t>
      </w:r>
      <w:proofErr w:type="spellStart"/>
      <w:r w:rsidR="00885C87" w:rsidRPr="00B84098">
        <w:rPr>
          <w:i/>
        </w:rPr>
        <w:t>Africaine</w:t>
      </w:r>
      <w:proofErr w:type="spellEnd"/>
      <w:r w:rsidR="00885C87" w:rsidRPr="00B84098">
        <w:rPr>
          <w:i/>
        </w:rPr>
        <w:t xml:space="preserve"> de la </w:t>
      </w:r>
      <w:proofErr w:type="spellStart"/>
      <w:r w:rsidR="00885C87" w:rsidRPr="00B84098">
        <w:rPr>
          <w:i/>
        </w:rPr>
        <w:t>Propriété</w:t>
      </w:r>
      <w:proofErr w:type="spellEnd"/>
      <w:r w:rsidR="00885C87" w:rsidRPr="00B84098">
        <w:rPr>
          <w:i/>
        </w:rPr>
        <w:t xml:space="preserve"> </w:t>
      </w:r>
      <w:proofErr w:type="spellStart"/>
      <w:r w:rsidR="00885C87" w:rsidRPr="00B84098">
        <w:rPr>
          <w:i/>
        </w:rPr>
        <w:t>intellectuelle</w:t>
      </w:r>
      <w:proofErr w:type="spellEnd"/>
      <w:r w:rsidR="00885C87" w:rsidRPr="00B84098">
        <w:t xml:space="preserve">, </w:t>
      </w:r>
      <w:r w:rsidR="00E95C74" w:rsidRPr="00B84098">
        <w:t xml:space="preserve">no </w:t>
      </w:r>
      <w:r w:rsidR="00885C87" w:rsidRPr="00B84098">
        <w:t>other examples</w:t>
      </w:r>
      <w:r w:rsidR="00E95C74" w:rsidRPr="00B84098">
        <w:t xml:space="preserve"> are available since discussion at the E</w:t>
      </w:r>
      <w:r w:rsidR="00DC47AC" w:rsidRPr="00B84098">
        <w:t xml:space="preserve">uropean </w:t>
      </w:r>
      <w:r w:rsidR="00E95C74" w:rsidRPr="00B84098">
        <w:t>U</w:t>
      </w:r>
      <w:r w:rsidR="00DC47AC" w:rsidRPr="00B84098">
        <w:t>nion</w:t>
      </w:r>
      <w:r w:rsidR="00E95C74" w:rsidRPr="00B84098">
        <w:t xml:space="preserve"> </w:t>
      </w:r>
      <w:r w:rsidR="00DC47AC" w:rsidRPr="00B84098">
        <w:t>is</w:t>
      </w:r>
      <w:r w:rsidR="00E95C74" w:rsidRPr="00B84098">
        <w:t xml:space="preserve"> at halt</w:t>
      </w:r>
      <w:r w:rsidR="00DC47AC" w:rsidRPr="00B84098">
        <w:t>.</w:t>
      </w:r>
      <w:r w:rsidR="00040DFA" w:rsidRPr="00B84098">
        <w:rPr>
          <w:rStyle w:val="FootnoteReference"/>
        </w:rPr>
        <w:footnoteReference w:id="17"/>
      </w:r>
      <w:r w:rsidR="00797497" w:rsidRPr="00B84098">
        <w:rPr>
          <w:rStyle w:val="FootnoteReference"/>
        </w:rPr>
        <w:footnoteReference w:id="18"/>
      </w:r>
      <w:r w:rsidR="00797497" w:rsidRPr="00B84098">
        <w:t xml:space="preserve"> </w:t>
      </w:r>
      <w:r w:rsidR="00DC47AC" w:rsidRPr="00B84098">
        <w:t xml:space="preserve"> Further, no examples exist at the </w:t>
      </w:r>
      <w:r w:rsidR="00040DFA" w:rsidRPr="00B84098">
        <w:t>international level</w:t>
      </w:r>
      <w:r w:rsidR="00E95C74" w:rsidRPr="00B84098">
        <w:t>, since the most recent</w:t>
      </w:r>
      <w:r w:rsidR="00964776" w:rsidRPr="00B84098">
        <w:t>ly</w:t>
      </w:r>
      <w:r w:rsidR="00E95C74" w:rsidRPr="00B84098">
        <w:t xml:space="preserve"> adopted treaty </w:t>
      </w:r>
      <w:r w:rsidR="00964776" w:rsidRPr="00B84098">
        <w:t>i</w:t>
      </w:r>
      <w:r w:rsidR="00E95C74" w:rsidRPr="00B84098">
        <w:t>n the field of enforcement</w:t>
      </w:r>
      <w:r w:rsidR="00964776" w:rsidRPr="00B84098">
        <w:t>,</w:t>
      </w:r>
      <w:r w:rsidR="00E95C74" w:rsidRPr="00B84098">
        <w:t xml:space="preserve"> the</w:t>
      </w:r>
      <w:r w:rsidR="00F45255" w:rsidRPr="00B84098">
        <w:t xml:space="preserve"> Anti-Counterfeiting Trade Agreement</w:t>
      </w:r>
      <w:r w:rsidR="00C63950">
        <w:t xml:space="preserve"> (ACTA)</w:t>
      </w:r>
      <w:r w:rsidR="00FC572F" w:rsidRPr="00B84098">
        <w:t xml:space="preserve">, </w:t>
      </w:r>
      <w:r w:rsidR="00E95C74" w:rsidRPr="00B84098">
        <w:t xml:space="preserve">does not deal with </w:t>
      </w:r>
      <w:r w:rsidR="00FC572F" w:rsidRPr="00B84098">
        <w:t>criminal sanctions for patent infringement.</w:t>
      </w:r>
    </w:p>
    <w:p w:rsidR="00A53AE6" w:rsidRDefault="00A53AE6">
      <w:r>
        <w:br w:type="page"/>
      </w:r>
    </w:p>
    <w:p w:rsidR="00E50188" w:rsidRPr="000D2AF6" w:rsidRDefault="000D2AF6" w:rsidP="003512C8">
      <w:pPr>
        <w:pStyle w:val="Heading2"/>
        <w:spacing w:before="0" w:after="0"/>
        <w:contextualSpacing/>
      </w:pPr>
      <w:bookmarkStart w:id="11" w:name="_Toc413401190"/>
      <w:r w:rsidRPr="000D2AF6">
        <w:rPr>
          <w:caps w:val="0"/>
        </w:rPr>
        <w:lastRenderedPageBreak/>
        <w:t>C.</w:t>
      </w:r>
      <w:r w:rsidRPr="000D2AF6">
        <w:rPr>
          <w:caps w:val="0"/>
        </w:rPr>
        <w:tab/>
        <w:t>NATIONAL IMPLEMENTATION</w:t>
      </w:r>
      <w:bookmarkEnd w:id="11"/>
    </w:p>
    <w:p w:rsidR="0017176F" w:rsidRDefault="0017176F" w:rsidP="003512C8">
      <w:pPr>
        <w:contextualSpacing/>
      </w:pPr>
    </w:p>
    <w:p w:rsidR="00FB03E4" w:rsidRDefault="00C56B9E" w:rsidP="00766C0E">
      <w:pPr>
        <w:contextualSpacing/>
      </w:pPr>
      <w:r>
        <w:fldChar w:fldCharType="begin"/>
      </w:r>
      <w:r>
        <w:instrText xml:space="preserve"> AUTONUM  </w:instrText>
      </w:r>
      <w:r>
        <w:fldChar w:fldCharType="end"/>
      </w:r>
      <w:r>
        <w:tab/>
      </w:r>
      <w:r w:rsidR="00766C0E">
        <w:t>While a certain number of countries</w:t>
      </w:r>
      <w:r w:rsidR="00766C0E" w:rsidRPr="000F6401">
        <w:t xml:space="preserve"> </w:t>
      </w:r>
      <w:r w:rsidR="00766C0E">
        <w:t>have decided not to adopt criminal sanctions in case of patent infringement</w:t>
      </w:r>
      <w:r w:rsidR="00766C0E">
        <w:rPr>
          <w:rStyle w:val="FootnoteReference"/>
        </w:rPr>
        <w:t xml:space="preserve"> </w:t>
      </w:r>
      <w:r w:rsidR="00766C0E">
        <w:rPr>
          <w:rStyle w:val="FootnoteReference"/>
        </w:rPr>
        <w:footnoteReference w:id="19"/>
      </w:r>
      <w:r w:rsidR="00766C0E">
        <w:t>, others have decided otherwise.  Concerning the latter group, the implementation of criminal sanctions for patent infringement is very diverse.  For example, according to a study</w:t>
      </w:r>
      <w:r w:rsidR="00766C0E">
        <w:rPr>
          <w:rStyle w:val="FootnoteReference"/>
        </w:rPr>
        <w:footnoteReference w:id="20"/>
      </w:r>
      <w:r w:rsidR="00766C0E">
        <w:t xml:space="preserve">, in Europe, where no European Union norm exists in this field, only six </w:t>
      </w:r>
      <w:r w:rsidR="00766C0E" w:rsidRPr="005273D2">
        <w:t xml:space="preserve">Member States </w:t>
      </w:r>
      <w:r w:rsidR="00766C0E">
        <w:t xml:space="preserve">do not </w:t>
      </w:r>
      <w:r w:rsidR="00766C0E" w:rsidRPr="005273D2">
        <w:t>provide for criminal sa</w:t>
      </w:r>
      <w:r w:rsidR="00766C0E">
        <w:t xml:space="preserve">nctions for patent infringement;  Japan introduced criminal sanction for patent infringements with the enactment of the Patent Act in 1959, which when revised in 2006 to enhance the deterrent effect of infringement, increased the imprisonment term from a maximum of five years to ten years, and increased the fine from 5 million JPY to 10 million </w:t>
      </w:r>
      <w:r w:rsidR="00766C0E" w:rsidRPr="00A11986">
        <w:t>JPY</w:t>
      </w:r>
      <w:r w:rsidR="00766C0E">
        <w:t xml:space="preserve">; and a number of developing countries, from different regions around the world, </w:t>
      </w:r>
      <w:r w:rsidR="00766C0E" w:rsidRPr="00822654">
        <w:t xml:space="preserve">have </w:t>
      </w:r>
      <w:r w:rsidR="00766C0E">
        <w:t>criminalized patent infringement.</w:t>
      </w:r>
      <w:r w:rsidR="00766C0E">
        <w:rPr>
          <w:rStyle w:val="FootnoteReference"/>
        </w:rPr>
        <w:footnoteReference w:id="21"/>
      </w:r>
      <w:r w:rsidR="00766C0E">
        <w:t xml:space="preserve">  Despite important differences among provisions of law, either patent or criminal law, there are common elements that deserve to be highlighted.</w:t>
      </w:r>
    </w:p>
    <w:p w:rsidR="00766C0E" w:rsidRDefault="00766C0E" w:rsidP="00766C0E">
      <w:pPr>
        <w:contextualSpacing/>
      </w:pPr>
    </w:p>
    <w:p w:rsidR="00766C0E" w:rsidRDefault="00766C0E" w:rsidP="00766C0E">
      <w:pPr>
        <w:contextualSpacing/>
      </w:pPr>
    </w:p>
    <w:p w:rsidR="00BE12D3" w:rsidRPr="0074565A" w:rsidRDefault="0074565A" w:rsidP="00380E56">
      <w:pPr>
        <w:pStyle w:val="Heading3"/>
        <w:spacing w:before="0" w:after="0"/>
        <w:contextualSpacing/>
        <w:rPr>
          <w:u w:val="none"/>
        </w:rPr>
      </w:pPr>
      <w:bookmarkStart w:id="12" w:name="_Toc413401191"/>
      <w:r w:rsidRPr="0074565A">
        <w:rPr>
          <w:u w:val="none"/>
        </w:rPr>
        <w:t>(</w:t>
      </w:r>
      <w:r w:rsidR="00846A19" w:rsidRPr="0074565A">
        <w:rPr>
          <w:u w:val="none"/>
        </w:rPr>
        <w:t>a</w:t>
      </w:r>
      <w:r w:rsidR="00172156" w:rsidRPr="0074565A">
        <w:rPr>
          <w:u w:val="none"/>
        </w:rPr>
        <w:t>)</w:t>
      </w:r>
      <w:r w:rsidR="002D3908" w:rsidRPr="0074565A">
        <w:rPr>
          <w:u w:val="none"/>
        </w:rPr>
        <w:tab/>
      </w:r>
      <w:r w:rsidR="00BE12D3" w:rsidRPr="00380E56">
        <w:t>The conduct</w:t>
      </w:r>
      <w:bookmarkEnd w:id="12"/>
    </w:p>
    <w:p w:rsidR="00BE12D3" w:rsidRDefault="00BE12D3" w:rsidP="00FE55B5">
      <w:pPr>
        <w:contextualSpacing/>
      </w:pPr>
    </w:p>
    <w:p w:rsidR="003E5EDB" w:rsidRDefault="00AE572A" w:rsidP="00FE55B5">
      <w:pPr>
        <w:contextualSpacing/>
      </w:pPr>
      <w:r>
        <w:fldChar w:fldCharType="begin"/>
      </w:r>
      <w:r>
        <w:instrText xml:space="preserve"> AUTONUM  </w:instrText>
      </w:r>
      <w:r>
        <w:fldChar w:fldCharType="end"/>
      </w:r>
      <w:r>
        <w:tab/>
      </w:r>
      <w:r w:rsidR="00725AC6">
        <w:t>The material conduct of the crime consists of an act related to the exploitation of the invention without the authorization of the patent holder</w:t>
      </w:r>
      <w:r w:rsidR="00843858">
        <w:rPr>
          <w:rStyle w:val="FootnoteReference"/>
        </w:rPr>
        <w:footnoteReference w:id="22"/>
      </w:r>
      <w:r w:rsidR="00725AC6">
        <w:t xml:space="preserve">.  </w:t>
      </w:r>
      <w:r w:rsidR="00843858">
        <w:t>Some Member States provide a more detailed description of the conduct</w:t>
      </w:r>
      <w:r w:rsidR="003941B5">
        <w:t>.</w:t>
      </w:r>
      <w:r w:rsidR="005273D2" w:rsidRPr="00885C87">
        <w:rPr>
          <w:rStyle w:val="FootnoteReference"/>
        </w:rPr>
        <w:footnoteReference w:id="23"/>
      </w:r>
    </w:p>
    <w:p w:rsidR="00496B01" w:rsidRDefault="00725AC6" w:rsidP="00BB3D2D">
      <w:pPr>
        <w:ind w:left="567"/>
      </w:pPr>
      <w:r>
        <w:t xml:space="preserve"> </w:t>
      </w:r>
    </w:p>
    <w:p w:rsidR="00496B01" w:rsidRDefault="00AE572A" w:rsidP="00BE12D3">
      <w:r>
        <w:fldChar w:fldCharType="begin"/>
      </w:r>
      <w:r>
        <w:instrText xml:space="preserve"> AUTONUM  </w:instrText>
      </w:r>
      <w:r>
        <w:fldChar w:fldCharType="end"/>
      </w:r>
      <w:r>
        <w:tab/>
      </w:r>
      <w:r w:rsidR="00496B01">
        <w:t>A</w:t>
      </w:r>
      <w:r w:rsidR="00FE55B5">
        <w:t>n express</w:t>
      </w:r>
      <w:r w:rsidR="00496B01">
        <w:t xml:space="preserve"> reference to the </w:t>
      </w:r>
      <w:r w:rsidR="00A25155">
        <w:t xml:space="preserve">intentional </w:t>
      </w:r>
      <w:r w:rsidR="00496B01">
        <w:t xml:space="preserve">psychological </w:t>
      </w:r>
      <w:r w:rsidR="00725AC6">
        <w:t>element</w:t>
      </w:r>
      <w:r w:rsidR="00496B01">
        <w:t xml:space="preserve"> of the </w:t>
      </w:r>
      <w:r w:rsidR="00725AC6">
        <w:t>crime/</w:t>
      </w:r>
      <w:r w:rsidR="002B2839">
        <w:t xml:space="preserve">offense </w:t>
      </w:r>
      <w:r w:rsidR="00725AC6">
        <w:t xml:space="preserve">is </w:t>
      </w:r>
      <w:r w:rsidR="00BE12D3">
        <w:t xml:space="preserve">almost always </w:t>
      </w:r>
      <w:r w:rsidR="000B2093">
        <w:t>included</w:t>
      </w:r>
      <w:r w:rsidR="00843858">
        <w:rPr>
          <w:rStyle w:val="FootnoteReference"/>
        </w:rPr>
        <w:footnoteReference w:id="24"/>
      </w:r>
      <w:r w:rsidR="000B2093">
        <w:t xml:space="preserve">, </w:t>
      </w:r>
      <w:r w:rsidR="00FE55B5">
        <w:t xml:space="preserve">since </w:t>
      </w:r>
      <w:r w:rsidR="00B31F80">
        <w:t xml:space="preserve">the intentionality of the infringement </w:t>
      </w:r>
      <w:r w:rsidR="00725AC6">
        <w:t xml:space="preserve">constitutes the basis </w:t>
      </w:r>
      <w:r w:rsidR="00B31F80">
        <w:t>of</w:t>
      </w:r>
      <w:r w:rsidR="00725AC6">
        <w:t xml:space="preserve"> the application </w:t>
      </w:r>
      <w:r w:rsidR="00B31F80">
        <w:t>of</w:t>
      </w:r>
      <w:r w:rsidR="00BC1DCE">
        <w:t xml:space="preserve"> a criminal sanction.</w:t>
      </w:r>
      <w:r w:rsidR="00B31F80">
        <w:t xml:space="preserve"> </w:t>
      </w:r>
      <w:r w:rsidR="00780F87">
        <w:t xml:space="preserve"> </w:t>
      </w:r>
      <w:r w:rsidR="00BC1DCE">
        <w:t>In</w:t>
      </w:r>
      <w:r w:rsidR="00B31F80">
        <w:t xml:space="preserve"> fact,</w:t>
      </w:r>
      <w:r w:rsidR="00725AC6">
        <w:t xml:space="preserve"> if the act has been </w:t>
      </w:r>
      <w:r w:rsidR="002B2906">
        <w:t xml:space="preserve">carried out </w:t>
      </w:r>
      <w:r w:rsidR="00725AC6">
        <w:t>without the intention of in</w:t>
      </w:r>
      <w:r w:rsidR="00B31F80">
        <w:t xml:space="preserve">fringing the patent right, </w:t>
      </w:r>
      <w:r w:rsidR="00BC1DCE">
        <w:t xml:space="preserve">in principle, </w:t>
      </w:r>
      <w:r w:rsidR="00B31F80">
        <w:t>only</w:t>
      </w:r>
      <w:r w:rsidR="00BE12D3">
        <w:t xml:space="preserve"> a civil </w:t>
      </w:r>
      <w:r w:rsidR="00D1738E">
        <w:t>remedy</w:t>
      </w:r>
      <w:r w:rsidR="002B2906">
        <w:t xml:space="preserve"> </w:t>
      </w:r>
      <w:r w:rsidR="00FE55B5">
        <w:t>would be</w:t>
      </w:r>
      <w:r w:rsidR="00725AC6">
        <w:t xml:space="preserve"> envisaged. </w:t>
      </w:r>
      <w:r w:rsidR="00A25155">
        <w:t xml:space="preserve"> </w:t>
      </w:r>
      <w:r w:rsidR="00371A7F">
        <w:t xml:space="preserve">In </w:t>
      </w:r>
      <w:r w:rsidR="00A25155">
        <w:t>that regard</w:t>
      </w:r>
      <w:r w:rsidR="002539A0">
        <w:t>,</w:t>
      </w:r>
      <w:r w:rsidR="00A25155">
        <w:t xml:space="preserve"> </w:t>
      </w:r>
      <w:r w:rsidR="002539A0">
        <w:t xml:space="preserve">national lawmakers have adopted </w:t>
      </w:r>
      <w:r w:rsidR="00A25155">
        <w:t>different expressions:</w:t>
      </w:r>
      <w:r w:rsidR="002539A0">
        <w:t xml:space="preserve"> </w:t>
      </w:r>
      <w:r w:rsidR="00A25155">
        <w:t xml:space="preserve"> “a person who </w:t>
      </w:r>
      <w:r w:rsidR="00A25155" w:rsidRPr="00A25155">
        <w:rPr>
          <w:i/>
        </w:rPr>
        <w:t xml:space="preserve">knowingly </w:t>
      </w:r>
      <w:r w:rsidR="00A25155">
        <w:t>performs</w:t>
      </w:r>
      <w:r w:rsidR="008D049E">
        <w:t>/acts</w:t>
      </w:r>
      <w:r w:rsidR="002539A0">
        <w:t xml:space="preserve"> </w:t>
      </w:r>
      <w:r w:rsidR="00A25155">
        <w:t>(…)”</w:t>
      </w:r>
      <w:r w:rsidR="00A25155">
        <w:rPr>
          <w:rStyle w:val="FootnoteReference"/>
        </w:rPr>
        <w:footnoteReference w:id="25"/>
      </w:r>
      <w:r w:rsidR="00C31B33">
        <w:t>;</w:t>
      </w:r>
      <w:r w:rsidR="00A25155">
        <w:t xml:space="preserve"> “any person who </w:t>
      </w:r>
      <w:r w:rsidR="00A25155" w:rsidRPr="00A25155">
        <w:rPr>
          <w:i/>
        </w:rPr>
        <w:t xml:space="preserve">unlawfully and knowingly </w:t>
      </w:r>
      <w:r w:rsidR="00A25155">
        <w:t>commits</w:t>
      </w:r>
      <w:r w:rsidR="007C7143">
        <w:t xml:space="preserve"> (</w:t>
      </w:r>
      <w:r w:rsidR="00A25155">
        <w:t>…</w:t>
      </w:r>
      <w:r w:rsidR="007C7143">
        <w:t>)”</w:t>
      </w:r>
      <w:r w:rsidR="00A25155">
        <w:rPr>
          <w:rStyle w:val="FootnoteReference"/>
        </w:rPr>
        <w:footnoteReference w:id="26"/>
      </w:r>
      <w:r w:rsidR="00A25155">
        <w:t xml:space="preserve">; “intention </w:t>
      </w:r>
      <w:proofErr w:type="spellStart"/>
      <w:r w:rsidR="00A25155">
        <w:t>m</w:t>
      </w:r>
      <w:r w:rsidR="00D1738E">
        <w:t>é</w:t>
      </w:r>
      <w:r w:rsidR="00A25155">
        <w:t>chante</w:t>
      </w:r>
      <w:proofErr w:type="spellEnd"/>
      <w:r w:rsidR="00A25155">
        <w:t xml:space="preserve"> </w:t>
      </w:r>
      <w:proofErr w:type="spellStart"/>
      <w:r w:rsidR="00A25155">
        <w:t>ou</w:t>
      </w:r>
      <w:proofErr w:type="spellEnd"/>
      <w:r w:rsidR="00A25155">
        <w:t xml:space="preserve"> </w:t>
      </w:r>
      <w:proofErr w:type="spellStart"/>
      <w:r w:rsidR="00A25155">
        <w:t>fra</w:t>
      </w:r>
      <w:r w:rsidR="00D1738E">
        <w:t>u</w:t>
      </w:r>
      <w:r w:rsidR="00A25155">
        <w:t>deuleuse</w:t>
      </w:r>
      <w:proofErr w:type="spellEnd"/>
      <w:r w:rsidR="00A25155">
        <w:t>”</w:t>
      </w:r>
      <w:r w:rsidR="00A25155">
        <w:rPr>
          <w:rStyle w:val="FootnoteReference"/>
        </w:rPr>
        <w:footnoteReference w:id="27"/>
      </w:r>
      <w:r w:rsidR="00A25155">
        <w:t xml:space="preserve">; “any person who </w:t>
      </w:r>
      <w:r w:rsidR="00A25155" w:rsidRPr="00A25155">
        <w:rPr>
          <w:i/>
        </w:rPr>
        <w:t>intentionally or willfully</w:t>
      </w:r>
      <w:r w:rsidR="00A25155">
        <w:t xml:space="preserve"> performs</w:t>
      </w:r>
      <w:r w:rsidR="002C3EB7">
        <w:t xml:space="preserve"> (</w:t>
      </w:r>
      <w:r w:rsidR="00A25155">
        <w:t>…</w:t>
      </w:r>
      <w:r w:rsidR="002C3EB7">
        <w:t>)”</w:t>
      </w:r>
      <w:r w:rsidR="00A25155">
        <w:rPr>
          <w:rStyle w:val="FootnoteReference"/>
        </w:rPr>
        <w:footnoteReference w:id="28"/>
      </w:r>
      <w:r w:rsidR="00C31B33">
        <w:t>;</w:t>
      </w:r>
      <w:r w:rsidR="0099546F">
        <w:t xml:space="preserve"> </w:t>
      </w:r>
      <w:r w:rsidR="0099546F" w:rsidRPr="0099546F">
        <w:t xml:space="preserve">“any </w:t>
      </w:r>
      <w:r w:rsidR="0099546F" w:rsidRPr="0099546F">
        <w:lastRenderedPageBreak/>
        <w:t>person who</w:t>
      </w:r>
      <w:r w:rsidR="0099546F">
        <w:t xml:space="preserve"> </w:t>
      </w:r>
      <w:r w:rsidR="0099546F" w:rsidRPr="0099546F">
        <w:rPr>
          <w:i/>
        </w:rPr>
        <w:t>fraudulently</w:t>
      </w:r>
      <w:r w:rsidR="0099546F">
        <w:t xml:space="preserve"> uses</w:t>
      </w:r>
      <w:r w:rsidR="002C0B19">
        <w:t xml:space="preserve"> (</w:t>
      </w:r>
      <w:r w:rsidR="0099546F">
        <w:t>…</w:t>
      </w:r>
      <w:r w:rsidR="002C0B19">
        <w:t>)</w:t>
      </w:r>
      <w:r w:rsidR="0099546F">
        <w:t>”</w:t>
      </w:r>
      <w:r w:rsidR="0099546F">
        <w:rPr>
          <w:rStyle w:val="FootnoteReference"/>
        </w:rPr>
        <w:footnoteReference w:id="29"/>
      </w:r>
      <w:r w:rsidR="002C0B19">
        <w:t xml:space="preserve">; </w:t>
      </w:r>
      <w:r w:rsidR="0099546F">
        <w:t xml:space="preserve"> “</w:t>
      </w:r>
      <w:proofErr w:type="spellStart"/>
      <w:r w:rsidR="0099546F">
        <w:t>ceux</w:t>
      </w:r>
      <w:proofErr w:type="spellEnd"/>
      <w:r w:rsidR="0099546F">
        <w:t xml:space="preserve"> qui </w:t>
      </w:r>
      <w:proofErr w:type="spellStart"/>
      <w:r w:rsidR="0099546F">
        <w:t>ont</w:t>
      </w:r>
      <w:proofErr w:type="spellEnd"/>
      <w:r w:rsidR="0099546F">
        <w:t xml:space="preserve"> </w:t>
      </w:r>
      <w:proofErr w:type="spellStart"/>
      <w:r w:rsidR="0099546F" w:rsidRPr="0099546F">
        <w:rPr>
          <w:i/>
        </w:rPr>
        <w:t>sciemment</w:t>
      </w:r>
      <w:proofErr w:type="spellEnd"/>
      <w:r w:rsidR="0099546F">
        <w:t xml:space="preserve"> </w:t>
      </w:r>
      <w:proofErr w:type="spellStart"/>
      <w:r w:rsidR="0099546F">
        <w:t>recelé</w:t>
      </w:r>
      <w:proofErr w:type="spellEnd"/>
      <w:r w:rsidR="0099546F">
        <w:t xml:space="preserve"> (…)”</w:t>
      </w:r>
      <w:r w:rsidR="0099546F">
        <w:rPr>
          <w:rStyle w:val="FootnoteReference"/>
        </w:rPr>
        <w:footnoteReference w:id="30"/>
      </w:r>
      <w:r w:rsidR="00C31B33">
        <w:t>;</w:t>
      </w:r>
      <w:r w:rsidR="0099546F">
        <w:t xml:space="preserve"> “</w:t>
      </w:r>
      <w:r w:rsidR="0099546F" w:rsidRPr="005E13DA">
        <w:rPr>
          <w:i/>
        </w:rPr>
        <w:t xml:space="preserve">deliberate </w:t>
      </w:r>
      <w:r w:rsidR="0099546F">
        <w:t>infringement</w:t>
      </w:r>
      <w:r w:rsidR="00175522">
        <w:t>/violation</w:t>
      </w:r>
      <w:r w:rsidR="0099546F">
        <w:t>”</w:t>
      </w:r>
      <w:r w:rsidR="0099546F">
        <w:rPr>
          <w:rStyle w:val="FootnoteReference"/>
        </w:rPr>
        <w:footnoteReference w:id="31"/>
      </w:r>
      <w:r w:rsidR="00C31B33">
        <w:t>;</w:t>
      </w:r>
      <w:r w:rsidR="0099546F">
        <w:t xml:space="preserve"> “person </w:t>
      </w:r>
      <w:r w:rsidR="0099546F" w:rsidRPr="009E592D">
        <w:rPr>
          <w:i/>
        </w:rPr>
        <w:t xml:space="preserve">intentionally </w:t>
      </w:r>
      <w:r w:rsidR="0099546F">
        <w:t>infrin</w:t>
      </w:r>
      <w:r w:rsidR="009E592D">
        <w:t>g</w:t>
      </w:r>
      <w:r w:rsidR="0099546F">
        <w:t>es</w:t>
      </w:r>
      <w:r w:rsidR="00BE4D22">
        <w:t>”</w:t>
      </w:r>
      <w:r w:rsidR="009E592D">
        <w:rPr>
          <w:rStyle w:val="FootnoteReference"/>
        </w:rPr>
        <w:footnoteReference w:id="32"/>
      </w:r>
      <w:r w:rsidR="00BE4D22">
        <w:t xml:space="preserve">; </w:t>
      </w:r>
      <w:r w:rsidR="00260851">
        <w:t xml:space="preserve"> “</w:t>
      </w:r>
      <w:proofErr w:type="spellStart"/>
      <w:r w:rsidR="00260851">
        <w:t>atteintes</w:t>
      </w:r>
      <w:proofErr w:type="spellEnd"/>
      <w:r w:rsidR="00260851">
        <w:t xml:space="preserve"> </w:t>
      </w:r>
      <w:proofErr w:type="spellStart"/>
      <w:r w:rsidR="00260851">
        <w:t>portées</w:t>
      </w:r>
      <w:proofErr w:type="spellEnd"/>
      <w:r w:rsidR="00260851">
        <w:t xml:space="preserve"> </w:t>
      </w:r>
      <w:proofErr w:type="spellStart"/>
      <w:r w:rsidR="00260851" w:rsidRPr="00260851">
        <w:rPr>
          <w:i/>
        </w:rPr>
        <w:t>sciemment</w:t>
      </w:r>
      <w:proofErr w:type="spellEnd"/>
      <w:r w:rsidR="00260851">
        <w:t xml:space="preserve"> (...)”</w:t>
      </w:r>
      <w:r w:rsidR="00260851">
        <w:rPr>
          <w:rStyle w:val="FootnoteReference"/>
        </w:rPr>
        <w:footnoteReference w:id="33"/>
      </w:r>
      <w:r w:rsidR="00D24A51">
        <w:t xml:space="preserve">; </w:t>
      </w:r>
      <w:r w:rsidR="00260851">
        <w:t xml:space="preserve"> </w:t>
      </w:r>
      <w:r w:rsidR="003E63B0">
        <w:t>“</w:t>
      </w:r>
      <w:r w:rsidR="00260851">
        <w:t xml:space="preserve">A person who, </w:t>
      </w:r>
      <w:r w:rsidR="00260851" w:rsidRPr="00260851">
        <w:rPr>
          <w:i/>
        </w:rPr>
        <w:t>knowingly</w:t>
      </w:r>
      <w:r w:rsidR="00260851">
        <w:t xml:space="preserve"> and </w:t>
      </w:r>
      <w:r w:rsidR="00260851" w:rsidRPr="00260851">
        <w:rPr>
          <w:i/>
        </w:rPr>
        <w:t>intentionally</w:t>
      </w:r>
      <w:r w:rsidR="00260851">
        <w:t>, performs (…)”</w:t>
      </w:r>
      <w:r w:rsidR="00260851">
        <w:rPr>
          <w:rStyle w:val="FootnoteReference"/>
        </w:rPr>
        <w:footnoteReference w:id="34"/>
      </w:r>
      <w:r w:rsidR="002A40CF">
        <w:t>;</w:t>
      </w:r>
      <w:r w:rsidR="00260851">
        <w:t xml:space="preserve"> </w:t>
      </w:r>
      <w:r w:rsidR="003E63B0">
        <w:t>“</w:t>
      </w:r>
      <w:r w:rsidR="003E63B0" w:rsidRPr="005E13DA">
        <w:rPr>
          <w:i/>
        </w:rPr>
        <w:t>intentional</w:t>
      </w:r>
      <w:r w:rsidR="003E63B0">
        <w:t xml:space="preserve"> infringement”</w:t>
      </w:r>
      <w:r w:rsidR="003E63B0">
        <w:rPr>
          <w:rStyle w:val="FootnoteReference"/>
        </w:rPr>
        <w:footnoteReference w:id="35"/>
      </w:r>
      <w:r w:rsidR="00BA57CD">
        <w:t xml:space="preserve">; </w:t>
      </w:r>
      <w:r w:rsidR="008D049E">
        <w:t xml:space="preserve"> “</w:t>
      </w:r>
      <w:r w:rsidR="008D049E" w:rsidRPr="008D049E">
        <w:rPr>
          <w:i/>
        </w:rPr>
        <w:t>willfully</w:t>
      </w:r>
      <w:r w:rsidR="008D049E">
        <w:t xml:space="preserve"> infringes(…)</w:t>
      </w:r>
      <w:r w:rsidR="00BA57CD">
        <w:t>”.</w:t>
      </w:r>
      <w:r w:rsidR="00BA57CD">
        <w:rPr>
          <w:rStyle w:val="FootnoteReference"/>
        </w:rPr>
        <w:footnoteReference w:id="36"/>
      </w:r>
    </w:p>
    <w:p w:rsidR="00BE12D3" w:rsidRDefault="00BE12D3" w:rsidP="00BE12D3"/>
    <w:p w:rsidR="0099546F" w:rsidRPr="00176236" w:rsidRDefault="00AE572A" w:rsidP="00BE12D3">
      <w:r>
        <w:fldChar w:fldCharType="begin"/>
      </w:r>
      <w:r>
        <w:instrText xml:space="preserve"> AUTONUM  </w:instrText>
      </w:r>
      <w:r>
        <w:fldChar w:fldCharType="end"/>
      </w:r>
      <w:r>
        <w:tab/>
      </w:r>
      <w:r w:rsidR="008D049E" w:rsidRPr="00176236">
        <w:t xml:space="preserve">It </w:t>
      </w:r>
      <w:r w:rsidR="00E43877">
        <w:t>is noteworthy</w:t>
      </w:r>
      <w:r w:rsidR="008D049E" w:rsidRPr="00176236">
        <w:t xml:space="preserve"> that </w:t>
      </w:r>
      <w:r w:rsidR="00E43877">
        <w:t>the</w:t>
      </w:r>
      <w:r w:rsidR="00E43877" w:rsidRPr="00176236">
        <w:t xml:space="preserve"> </w:t>
      </w:r>
      <w:r w:rsidR="00E43877">
        <w:t>p</w:t>
      </w:r>
      <w:r w:rsidR="00E43877" w:rsidRPr="00176236">
        <w:t xml:space="preserve">atents </w:t>
      </w:r>
      <w:r w:rsidR="00E43877">
        <w:t>laws</w:t>
      </w:r>
      <w:r w:rsidR="00E43877" w:rsidRPr="00176236">
        <w:t xml:space="preserve"> </w:t>
      </w:r>
      <w:r w:rsidR="00E43877">
        <w:t xml:space="preserve">of some countries </w:t>
      </w:r>
      <w:r w:rsidR="0099546F" w:rsidRPr="00176236">
        <w:t xml:space="preserve">refer not only to intentional conduct, </w:t>
      </w:r>
      <w:r w:rsidR="00176236" w:rsidRPr="00176236">
        <w:t>i.e. an act which must be committed knowing</w:t>
      </w:r>
      <w:r w:rsidR="00E43877">
        <w:t>ly</w:t>
      </w:r>
      <w:r w:rsidR="002A40CF">
        <w:t xml:space="preserve"> and/</w:t>
      </w:r>
      <w:r w:rsidR="00E43877">
        <w:t>or with a desire for</w:t>
      </w:r>
      <w:r w:rsidR="00E43877" w:rsidRPr="00176236">
        <w:t xml:space="preserve"> </w:t>
      </w:r>
      <w:r w:rsidR="00176236" w:rsidRPr="00176236">
        <w:t>the result of</w:t>
      </w:r>
      <w:r w:rsidR="00E43877">
        <w:t xml:space="preserve"> </w:t>
      </w:r>
      <w:r w:rsidR="00176236" w:rsidRPr="00176236">
        <w:t>certain conduct</w:t>
      </w:r>
      <w:r w:rsidR="002A40CF">
        <w:t xml:space="preserve"> (</w:t>
      </w:r>
      <w:proofErr w:type="spellStart"/>
      <w:r w:rsidR="002A40CF">
        <w:t>wilful</w:t>
      </w:r>
      <w:proofErr w:type="spellEnd"/>
      <w:r w:rsidR="002A40CF">
        <w:t xml:space="preserve"> misconduct)</w:t>
      </w:r>
      <w:r w:rsidR="00176236" w:rsidRPr="00176236">
        <w:t xml:space="preserve">, </w:t>
      </w:r>
      <w:r w:rsidR="0099546F" w:rsidRPr="00176236">
        <w:t xml:space="preserve">but also to </w:t>
      </w:r>
      <w:r w:rsidR="0099546F" w:rsidRPr="00176236">
        <w:rPr>
          <w:i/>
        </w:rPr>
        <w:t>grossly negligent</w:t>
      </w:r>
      <w:r w:rsidR="0099546F" w:rsidRPr="00176236">
        <w:t xml:space="preserve"> </w:t>
      </w:r>
      <w:r w:rsidR="00E43877" w:rsidRPr="00B373B1">
        <w:rPr>
          <w:i/>
          <w:iCs/>
        </w:rPr>
        <w:t>conduct</w:t>
      </w:r>
      <w:r w:rsidR="0099546F" w:rsidRPr="00176236">
        <w:t xml:space="preserve">, extending the area </w:t>
      </w:r>
      <w:r w:rsidR="00DB7DF8">
        <w:t xml:space="preserve">of application of criminal sanction also to certain conducts that were not </w:t>
      </w:r>
      <w:proofErr w:type="spellStart"/>
      <w:r w:rsidR="00DB7DF8">
        <w:t>wilfully</w:t>
      </w:r>
      <w:proofErr w:type="spellEnd"/>
      <w:r w:rsidR="00DB7DF8">
        <w:t xml:space="preserve"> aimed at infringing the patent rights</w:t>
      </w:r>
      <w:r w:rsidR="008D049E" w:rsidRPr="00176236">
        <w:rPr>
          <w:rStyle w:val="FootnoteReference"/>
        </w:rPr>
        <w:footnoteReference w:id="37"/>
      </w:r>
      <w:r w:rsidR="0099546F" w:rsidRPr="00176236">
        <w:t xml:space="preserve">. </w:t>
      </w:r>
      <w:r w:rsidR="00B46F9C" w:rsidRPr="00176236">
        <w:t xml:space="preserve"> </w:t>
      </w:r>
      <w:r w:rsidR="00176236" w:rsidRPr="00176236">
        <w:t xml:space="preserve">The </w:t>
      </w:r>
      <w:r w:rsidR="00176236" w:rsidRPr="00176236">
        <w:rPr>
          <w:i/>
        </w:rPr>
        <w:t>grossly negligent conduct</w:t>
      </w:r>
      <w:r w:rsidR="00176236" w:rsidRPr="00176236">
        <w:t xml:space="preserve"> has been contemplated, for instance, in the patent law</w:t>
      </w:r>
      <w:r w:rsidR="00AF5B31">
        <w:t>s</w:t>
      </w:r>
      <w:r w:rsidR="00176236" w:rsidRPr="00176236">
        <w:t xml:space="preserve"> of Samoa and Sweden, while i</w:t>
      </w:r>
      <w:r w:rsidR="00B46F9C" w:rsidRPr="00176236">
        <w:t xml:space="preserve">n Denmark, if the infringement has been committed </w:t>
      </w:r>
      <w:r w:rsidR="00B46F9C" w:rsidRPr="00176236">
        <w:rPr>
          <w:i/>
        </w:rPr>
        <w:t>grossly negligently</w:t>
      </w:r>
      <w:r w:rsidR="00176236" w:rsidRPr="00176236">
        <w:t>,</w:t>
      </w:r>
      <w:r w:rsidR="00B46F9C" w:rsidRPr="00176236">
        <w:t xml:space="preserve"> only the pecuniary sanctions will be applied</w:t>
      </w:r>
      <w:r w:rsidR="00BC1DCE">
        <w:t xml:space="preserve"> (</w:t>
      </w:r>
      <w:r w:rsidR="00DB7DF8">
        <w:t>h</w:t>
      </w:r>
      <w:r w:rsidR="00517770">
        <w:t>owever</w:t>
      </w:r>
      <w:r w:rsidR="00B46F9C" w:rsidRPr="00176236">
        <w:t xml:space="preserve">, </w:t>
      </w:r>
      <w:r w:rsidR="00517770">
        <w:t xml:space="preserve">an </w:t>
      </w:r>
      <w:r w:rsidR="00B46F9C" w:rsidRPr="00176236">
        <w:t xml:space="preserve">intention of </w:t>
      </w:r>
      <w:r w:rsidR="003E5EDB" w:rsidRPr="00176236">
        <w:t>committing</w:t>
      </w:r>
      <w:r w:rsidR="00B46F9C" w:rsidRPr="00176236">
        <w:t xml:space="preserve"> the infringement constitutes an aggravating circumstance </w:t>
      </w:r>
      <w:r w:rsidR="00517770">
        <w:t>that</w:t>
      </w:r>
      <w:r w:rsidR="00517770" w:rsidRPr="00176236">
        <w:t xml:space="preserve"> </w:t>
      </w:r>
      <w:r w:rsidR="00BC14DE" w:rsidRPr="00176236">
        <w:t>allow</w:t>
      </w:r>
      <w:r w:rsidR="00517770">
        <w:t xml:space="preserve">s </w:t>
      </w:r>
      <w:r w:rsidR="00BC14DE" w:rsidRPr="00176236">
        <w:t>the application of</w:t>
      </w:r>
      <w:r w:rsidR="00B46F9C" w:rsidRPr="00176236">
        <w:t xml:space="preserve"> the sanction of imprisonment</w:t>
      </w:r>
      <w:r w:rsidR="00BC1DCE">
        <w:t>)</w:t>
      </w:r>
      <w:r w:rsidR="00B46F9C" w:rsidRPr="00176236">
        <w:t>.</w:t>
      </w:r>
    </w:p>
    <w:p w:rsidR="00DF14BE" w:rsidRDefault="00DF14BE" w:rsidP="00BB3D2D">
      <w:pPr>
        <w:ind w:left="567"/>
      </w:pPr>
    </w:p>
    <w:p w:rsidR="00DF14BE" w:rsidRDefault="00AE572A" w:rsidP="001B5CD8">
      <w:r>
        <w:fldChar w:fldCharType="begin"/>
      </w:r>
      <w:r>
        <w:instrText xml:space="preserve"> AUTONUM  </w:instrText>
      </w:r>
      <w:r>
        <w:fldChar w:fldCharType="end"/>
      </w:r>
      <w:r>
        <w:tab/>
      </w:r>
      <w:r w:rsidR="00DF14BE">
        <w:t xml:space="preserve">It </w:t>
      </w:r>
      <w:r w:rsidR="00500285">
        <w:t xml:space="preserve">is </w:t>
      </w:r>
      <w:r w:rsidR="00DF14BE">
        <w:t>worth mention</w:t>
      </w:r>
      <w:r w:rsidR="00500285">
        <w:t>ing</w:t>
      </w:r>
      <w:r w:rsidR="00DF14BE">
        <w:t xml:space="preserve"> that the psychological element, and in </w:t>
      </w:r>
      <w:r w:rsidR="001B5CD8">
        <w:t>particular</w:t>
      </w:r>
      <w:r w:rsidR="00DF14BE">
        <w:t xml:space="preserve"> the </w:t>
      </w:r>
      <w:r w:rsidR="001B5CD8">
        <w:t>willfulness</w:t>
      </w:r>
      <w:r w:rsidR="00DF14BE">
        <w:t xml:space="preserve"> in infringing the patent, has importance also in countries where </w:t>
      </w:r>
      <w:r w:rsidR="00500285">
        <w:t xml:space="preserve">only civil </w:t>
      </w:r>
      <w:r w:rsidR="00D1738E">
        <w:t xml:space="preserve">remedies </w:t>
      </w:r>
      <w:r w:rsidR="00500285">
        <w:t xml:space="preserve">and </w:t>
      </w:r>
      <w:r w:rsidR="00DF14BE">
        <w:t xml:space="preserve">no criminal </w:t>
      </w:r>
      <w:r w:rsidR="001B5CD8">
        <w:t>sanctions</w:t>
      </w:r>
      <w:r w:rsidR="00DF14BE">
        <w:t xml:space="preserve"> are provided</w:t>
      </w:r>
      <w:r w:rsidR="00500285">
        <w:t xml:space="preserve"> for.  F</w:t>
      </w:r>
      <w:r w:rsidR="00DF14BE">
        <w:t>or instance, in the United St</w:t>
      </w:r>
      <w:r w:rsidR="001B5CD8">
        <w:t xml:space="preserve">ates </w:t>
      </w:r>
      <w:r w:rsidR="00500285">
        <w:t xml:space="preserve">of America, </w:t>
      </w:r>
      <w:r w:rsidR="001B5CD8">
        <w:t>the willful infringement o</w:t>
      </w:r>
      <w:r w:rsidR="00561B0C">
        <w:t>f</w:t>
      </w:r>
      <w:r w:rsidR="00DF14BE">
        <w:t xml:space="preserve"> the patent gives rise to so</w:t>
      </w:r>
      <w:r w:rsidR="00313268">
        <w:t>-</w:t>
      </w:r>
      <w:r w:rsidR="00DF14BE">
        <w:t>called punitive damages,</w:t>
      </w:r>
      <w:r w:rsidR="008733A1">
        <w:t xml:space="preserve"> whereas</w:t>
      </w:r>
      <w:r w:rsidR="00A85D91">
        <w:t xml:space="preserve"> in Belgium the bad faith of the infringer plays a r</w:t>
      </w:r>
      <w:r w:rsidR="0093158E">
        <w:t xml:space="preserve">ole in the determination of </w:t>
      </w:r>
      <w:r w:rsidR="00A85D91">
        <w:t>civil remedies</w:t>
      </w:r>
      <w:r w:rsidR="00A85D91">
        <w:rPr>
          <w:rStyle w:val="FootnoteReference"/>
        </w:rPr>
        <w:footnoteReference w:id="38"/>
      </w:r>
      <w:r w:rsidR="00A85D91">
        <w:t>;</w:t>
      </w:r>
      <w:r w:rsidR="00DF14BE">
        <w:t xml:space="preserve"> </w:t>
      </w:r>
      <w:r w:rsidR="008733A1">
        <w:t xml:space="preserve">finally, </w:t>
      </w:r>
      <w:r w:rsidR="00DF14BE">
        <w:t>in the United Kingdom, if the infringement was not intentional, the damages to be paid</w:t>
      </w:r>
      <w:r w:rsidR="005D43D1">
        <w:t xml:space="preserve"> will be reduced.</w:t>
      </w:r>
      <w:r w:rsidR="00DF14BE">
        <w:rPr>
          <w:rStyle w:val="FootnoteReference"/>
        </w:rPr>
        <w:footnoteReference w:id="39"/>
      </w:r>
    </w:p>
    <w:p w:rsidR="00DF14BE" w:rsidRDefault="00DF14BE" w:rsidP="00BB3D2D">
      <w:pPr>
        <w:ind w:left="567"/>
      </w:pPr>
    </w:p>
    <w:p w:rsidR="00B73691" w:rsidRDefault="00AE572A" w:rsidP="00DB7DF8">
      <w:pPr>
        <w:contextualSpacing/>
      </w:pPr>
      <w:r>
        <w:fldChar w:fldCharType="begin"/>
      </w:r>
      <w:r>
        <w:instrText xml:space="preserve"> AUTONUM  </w:instrText>
      </w:r>
      <w:r>
        <w:fldChar w:fldCharType="end"/>
      </w:r>
      <w:r>
        <w:tab/>
      </w:r>
      <w:r w:rsidR="00B73691">
        <w:t xml:space="preserve">Committing the infringement on a commercial </w:t>
      </w:r>
      <w:r w:rsidR="003F3D53">
        <w:t xml:space="preserve">scale </w:t>
      </w:r>
      <w:r w:rsidR="007A23C6">
        <w:t xml:space="preserve">under the laws of </w:t>
      </w:r>
      <w:r w:rsidR="003F3D53">
        <w:t xml:space="preserve">certain </w:t>
      </w:r>
      <w:r w:rsidR="007A23C6">
        <w:t xml:space="preserve">countries </w:t>
      </w:r>
      <w:r w:rsidR="00B73691">
        <w:t>is an element of the crime</w:t>
      </w:r>
      <w:r w:rsidR="00421144">
        <w:rPr>
          <w:rStyle w:val="FootnoteReference"/>
        </w:rPr>
        <w:footnoteReference w:id="40"/>
      </w:r>
      <w:r w:rsidR="00E95752">
        <w:t>,</w:t>
      </w:r>
      <w:r w:rsidR="001B5CD8">
        <w:t xml:space="preserve"> </w:t>
      </w:r>
      <w:r w:rsidR="00EA6D76">
        <w:t xml:space="preserve">whereas </w:t>
      </w:r>
      <w:r w:rsidR="001B5CD8">
        <w:t>i</w:t>
      </w:r>
      <w:r w:rsidR="00B73691">
        <w:t>n other countries</w:t>
      </w:r>
      <w:r w:rsidR="00EA6D76">
        <w:t>,</w:t>
      </w:r>
      <w:r w:rsidR="00B73691">
        <w:t xml:space="preserve"> it constitutes a</w:t>
      </w:r>
      <w:r w:rsidR="00EA6D76">
        <w:t>n</w:t>
      </w:r>
      <w:r w:rsidR="00B73691">
        <w:t xml:space="preserve"> aggravating </w:t>
      </w:r>
      <w:r w:rsidR="001B5CD8">
        <w:t>circumstance</w:t>
      </w:r>
      <w:r w:rsidR="003F3D53">
        <w:t>.</w:t>
      </w:r>
    </w:p>
    <w:p w:rsidR="00E15D65" w:rsidRDefault="00E15D65" w:rsidP="00DB7DF8">
      <w:pPr>
        <w:ind w:left="567"/>
        <w:contextualSpacing/>
      </w:pPr>
    </w:p>
    <w:p w:rsidR="00FB03E4" w:rsidRPr="00496B01" w:rsidRDefault="00FB03E4" w:rsidP="00DB7DF8">
      <w:pPr>
        <w:ind w:left="567"/>
        <w:contextualSpacing/>
      </w:pPr>
    </w:p>
    <w:p w:rsidR="00BB3D2D" w:rsidRPr="0074565A" w:rsidRDefault="0074565A" w:rsidP="00DB7DF8">
      <w:pPr>
        <w:pStyle w:val="Heading3"/>
        <w:spacing w:before="0" w:after="0"/>
        <w:contextualSpacing/>
        <w:rPr>
          <w:u w:val="none"/>
        </w:rPr>
      </w:pPr>
      <w:bookmarkStart w:id="13" w:name="_Toc413401192"/>
      <w:r w:rsidRPr="0074565A">
        <w:rPr>
          <w:u w:val="none"/>
        </w:rPr>
        <w:t>(</w:t>
      </w:r>
      <w:r w:rsidR="00846A19" w:rsidRPr="0074565A">
        <w:rPr>
          <w:u w:val="none"/>
        </w:rPr>
        <w:t>b</w:t>
      </w:r>
      <w:r w:rsidR="00BB3D2D" w:rsidRPr="0074565A">
        <w:rPr>
          <w:u w:val="none"/>
        </w:rPr>
        <w:t>)</w:t>
      </w:r>
      <w:r w:rsidR="00BB3D2D" w:rsidRPr="0074565A">
        <w:rPr>
          <w:u w:val="none"/>
        </w:rPr>
        <w:tab/>
      </w:r>
      <w:r w:rsidR="00B0472F" w:rsidRPr="0042029B">
        <w:t>S</w:t>
      </w:r>
      <w:r w:rsidR="00BB3D2D" w:rsidRPr="0042029B">
        <w:t>anction</w:t>
      </w:r>
      <w:r w:rsidR="00485C47" w:rsidRPr="0042029B">
        <w:t>s</w:t>
      </w:r>
      <w:bookmarkEnd w:id="13"/>
    </w:p>
    <w:p w:rsidR="00E565E9" w:rsidRDefault="00E565E9" w:rsidP="00DB7DF8">
      <w:pPr>
        <w:ind w:left="567"/>
        <w:contextualSpacing/>
        <w:rPr>
          <w:i/>
        </w:rPr>
      </w:pPr>
    </w:p>
    <w:p w:rsidR="003F3D53" w:rsidRDefault="00AE572A" w:rsidP="00DB7DF8">
      <w:pPr>
        <w:contextualSpacing/>
      </w:pPr>
      <w:r>
        <w:fldChar w:fldCharType="begin"/>
      </w:r>
      <w:r>
        <w:instrText xml:space="preserve"> AUTONUM  </w:instrText>
      </w:r>
      <w:r>
        <w:fldChar w:fldCharType="end"/>
      </w:r>
      <w:r>
        <w:tab/>
      </w:r>
      <w:r w:rsidR="001B5CD8">
        <w:t>S</w:t>
      </w:r>
      <w:r w:rsidR="003F3D53" w:rsidRPr="003F3D53">
        <w:t>anction</w:t>
      </w:r>
      <w:r w:rsidR="001B5CD8">
        <w:t>s</w:t>
      </w:r>
      <w:r w:rsidR="003F3D53" w:rsidRPr="003F3D53">
        <w:t xml:space="preserve"> to </w:t>
      </w:r>
      <w:r w:rsidR="001B5CD8">
        <w:t>be applied in case</w:t>
      </w:r>
      <w:r w:rsidR="00D66581">
        <w:t>s</w:t>
      </w:r>
      <w:r w:rsidR="001B5CD8">
        <w:t xml:space="preserve"> of </w:t>
      </w:r>
      <w:r w:rsidR="003F3D53" w:rsidRPr="003F3D53">
        <w:t xml:space="preserve">patent infringement </w:t>
      </w:r>
      <w:r w:rsidR="001B5CD8">
        <w:t>are</w:t>
      </w:r>
      <w:r w:rsidR="00226A9C">
        <w:t xml:space="preserve"> usually</w:t>
      </w:r>
      <w:r w:rsidR="003F3D53" w:rsidRPr="003F3D53">
        <w:t xml:space="preserve"> a </w:t>
      </w:r>
      <w:r w:rsidR="00363AFD" w:rsidRPr="003F3D53">
        <w:t>pecuniary</w:t>
      </w:r>
      <w:r w:rsidR="003F3D53" w:rsidRPr="003F3D53">
        <w:t xml:space="preserve"> sanction</w:t>
      </w:r>
      <w:r w:rsidR="00E972F9">
        <w:t xml:space="preserve"> (fine)</w:t>
      </w:r>
      <w:r w:rsidR="003F3D53" w:rsidRPr="003F3D53">
        <w:t xml:space="preserve"> or a sanction </w:t>
      </w:r>
      <w:r w:rsidR="00D66581">
        <w:t>that</w:t>
      </w:r>
      <w:r w:rsidR="00D66581" w:rsidRPr="003F3D53">
        <w:t xml:space="preserve"> </w:t>
      </w:r>
      <w:r w:rsidR="003F3D53" w:rsidRPr="003F3D53">
        <w:t xml:space="preserve">restricts the freedom of the person (imprisonment).  </w:t>
      </w:r>
      <w:r w:rsidR="00D66581">
        <w:t>These sanctions can be</w:t>
      </w:r>
      <w:r w:rsidR="003F3D53" w:rsidRPr="003F3D53">
        <w:t xml:space="preserve"> combined</w:t>
      </w:r>
      <w:r w:rsidR="00363AFD">
        <w:rPr>
          <w:rStyle w:val="FootnoteReference"/>
        </w:rPr>
        <w:footnoteReference w:id="41"/>
      </w:r>
      <w:r w:rsidR="00B40BF5">
        <w:t xml:space="preserve">; </w:t>
      </w:r>
      <w:r w:rsidR="00D66581">
        <w:t>mutually exclusive (i.e., applied in the alternative)</w:t>
      </w:r>
      <w:r w:rsidR="00363AFD">
        <w:rPr>
          <w:rStyle w:val="FootnoteReference"/>
        </w:rPr>
        <w:footnoteReference w:id="42"/>
      </w:r>
      <w:r w:rsidR="00B40BF5">
        <w:t xml:space="preserve">; </w:t>
      </w:r>
      <w:r w:rsidR="006C5D38">
        <w:t>or</w:t>
      </w:r>
      <w:r w:rsidR="00C709BD">
        <w:t xml:space="preserve"> with the first sanction of a fine as a base, and the second sanction of imprisonment applying only upon the </w:t>
      </w:r>
      <w:r w:rsidR="0076523C">
        <w:t>existence</w:t>
      </w:r>
      <w:r w:rsidR="00C709BD">
        <w:t xml:space="preserve"> of</w:t>
      </w:r>
      <w:r w:rsidR="00D55719">
        <w:t xml:space="preserve"> </w:t>
      </w:r>
      <w:r w:rsidR="00E972F9">
        <w:t>aggravating circumstance</w:t>
      </w:r>
      <w:r w:rsidR="00A76863">
        <w:t>s</w:t>
      </w:r>
      <w:r w:rsidR="00D55719">
        <w:t>.</w:t>
      </w:r>
      <w:r w:rsidR="00A76863">
        <w:rPr>
          <w:rStyle w:val="FootnoteReference"/>
        </w:rPr>
        <w:footnoteReference w:id="43"/>
      </w:r>
    </w:p>
    <w:p w:rsidR="003E5EDB" w:rsidRDefault="003E5EDB" w:rsidP="00BB3D2D">
      <w:pPr>
        <w:ind w:left="567"/>
      </w:pPr>
    </w:p>
    <w:p w:rsidR="00E15D65" w:rsidRPr="003F3D53" w:rsidRDefault="00AE572A" w:rsidP="00DB7DF8">
      <w:pPr>
        <w:contextualSpacing/>
      </w:pPr>
      <w:r>
        <w:fldChar w:fldCharType="begin"/>
      </w:r>
      <w:r>
        <w:instrText xml:space="preserve"> AUTONUM  </w:instrText>
      </w:r>
      <w:r>
        <w:fldChar w:fldCharType="end"/>
      </w:r>
      <w:r>
        <w:tab/>
      </w:r>
      <w:r w:rsidR="00EF6244">
        <w:t>Among countries,</w:t>
      </w:r>
      <w:r w:rsidR="00051F24">
        <w:t xml:space="preserve"> t</w:t>
      </w:r>
      <w:r w:rsidR="00E972F9">
        <w:t xml:space="preserve">he </w:t>
      </w:r>
      <w:r w:rsidR="00AB5ABB">
        <w:t>amount</w:t>
      </w:r>
      <w:r w:rsidR="00E972F9">
        <w:t xml:space="preserve"> of </w:t>
      </w:r>
      <w:r w:rsidR="00051F24">
        <w:t xml:space="preserve">the </w:t>
      </w:r>
      <w:r w:rsidR="00AB5ABB">
        <w:t>sanctions</w:t>
      </w:r>
      <w:r w:rsidR="00E972F9">
        <w:t xml:space="preserve"> </w:t>
      </w:r>
      <w:r w:rsidR="00EF6244">
        <w:t>is</w:t>
      </w:r>
      <w:r w:rsidR="00051F24">
        <w:t xml:space="preserve"> </w:t>
      </w:r>
      <w:r w:rsidR="00E972F9">
        <w:t>very diverse</w:t>
      </w:r>
      <w:r w:rsidR="00EA4182">
        <w:t>.</w:t>
      </w:r>
      <w:r w:rsidR="00E972F9">
        <w:t xml:space="preserve"> </w:t>
      </w:r>
      <w:r w:rsidR="00EF6244">
        <w:t xml:space="preserve"> </w:t>
      </w:r>
      <w:r w:rsidR="00EA4182">
        <w:t>C</w:t>
      </w:r>
      <w:r w:rsidR="00E972F9">
        <w:t>oncerning</w:t>
      </w:r>
      <w:r w:rsidR="00E972F9" w:rsidRPr="00E972F9">
        <w:t xml:space="preserve"> </w:t>
      </w:r>
      <w:r w:rsidR="00E972F9">
        <w:t xml:space="preserve">fines </w:t>
      </w:r>
      <w:r w:rsidR="00051F24">
        <w:t xml:space="preserve">sanctions </w:t>
      </w:r>
      <w:r w:rsidR="00E972F9">
        <w:t xml:space="preserve">can </w:t>
      </w:r>
      <w:r w:rsidR="00051F24">
        <w:t xml:space="preserve">range </w:t>
      </w:r>
      <w:r w:rsidR="00E972F9">
        <w:t xml:space="preserve">from a </w:t>
      </w:r>
      <w:r w:rsidR="00051F24">
        <w:t xml:space="preserve">relatively </w:t>
      </w:r>
      <w:r w:rsidR="00E972F9">
        <w:t xml:space="preserve">low sum of 100 </w:t>
      </w:r>
      <w:r w:rsidR="006200E0">
        <w:t>EUR</w:t>
      </w:r>
      <w:r w:rsidR="00E972F9">
        <w:rPr>
          <w:rStyle w:val="FootnoteReference"/>
        </w:rPr>
        <w:footnoteReference w:id="44"/>
      </w:r>
      <w:r w:rsidR="00E972F9">
        <w:t xml:space="preserve"> </w:t>
      </w:r>
      <w:r w:rsidR="002F27CB">
        <w:t xml:space="preserve">to 100,000 EUR, and even </w:t>
      </w:r>
      <w:r w:rsidR="00E972F9">
        <w:t xml:space="preserve">up to </w:t>
      </w:r>
      <w:r w:rsidR="00E972F9" w:rsidRPr="00E05C69">
        <w:t>300,000</w:t>
      </w:r>
      <w:r w:rsidR="00E972F9">
        <w:t xml:space="preserve"> </w:t>
      </w:r>
      <w:r w:rsidR="006200E0">
        <w:t>EUR</w:t>
      </w:r>
      <w:r w:rsidR="00E972F9">
        <w:rPr>
          <w:rStyle w:val="FootnoteReference"/>
        </w:rPr>
        <w:footnoteReference w:id="45"/>
      </w:r>
      <w:r w:rsidR="007324A7">
        <w:t>.</w:t>
      </w:r>
      <w:r w:rsidR="00E972F9">
        <w:t xml:space="preserve">  Another way of calculating the sanction </w:t>
      </w:r>
      <w:r w:rsidR="0073724C">
        <w:t>takes</w:t>
      </w:r>
      <w:r w:rsidR="00E972F9">
        <w:t xml:space="preserve"> into account the minimum monthly legal salary</w:t>
      </w:r>
      <w:r w:rsidR="006E3C74">
        <w:t xml:space="preserve"> of the alleged infringer</w:t>
      </w:r>
      <w:r w:rsidR="00E870B2">
        <w:t>.</w:t>
      </w:r>
      <w:r w:rsidR="00E972F9">
        <w:rPr>
          <w:rStyle w:val="FootnoteReference"/>
        </w:rPr>
        <w:footnoteReference w:id="46"/>
      </w:r>
      <w:r w:rsidR="00E972F9">
        <w:t xml:space="preserve">  Concerning</w:t>
      </w:r>
      <w:r w:rsidR="003F3D53">
        <w:t xml:space="preserve"> imprisonment</w:t>
      </w:r>
      <w:r w:rsidR="0073724C">
        <w:t>,</w:t>
      </w:r>
      <w:r w:rsidR="003F3D53">
        <w:t xml:space="preserve"> </w:t>
      </w:r>
      <w:r w:rsidR="0073724C">
        <w:t>the potential term</w:t>
      </w:r>
      <w:r w:rsidR="00D41EDF">
        <w:t>s</w:t>
      </w:r>
      <w:r w:rsidR="0073724C">
        <w:t xml:space="preserve"> </w:t>
      </w:r>
      <w:r w:rsidR="00B8787F">
        <w:t>var</w:t>
      </w:r>
      <w:r w:rsidR="00D41EDF">
        <w:t>y</w:t>
      </w:r>
      <w:r w:rsidR="00EA4182">
        <w:t xml:space="preserve"> signi</w:t>
      </w:r>
      <w:r w:rsidR="00EF6244">
        <w:t>fi</w:t>
      </w:r>
      <w:r w:rsidR="00446F7B">
        <w:t xml:space="preserve">cantly; e.g. </w:t>
      </w:r>
      <w:r w:rsidR="00D843CA">
        <w:t xml:space="preserve">between six months </w:t>
      </w:r>
      <w:r w:rsidR="00B8787F">
        <w:t xml:space="preserve">to </w:t>
      </w:r>
      <w:r w:rsidR="00D843CA">
        <w:t>three years</w:t>
      </w:r>
      <w:r w:rsidR="00D843CA">
        <w:rPr>
          <w:rStyle w:val="FootnoteReference"/>
        </w:rPr>
        <w:footnoteReference w:id="47"/>
      </w:r>
      <w:r w:rsidR="00D843CA">
        <w:t xml:space="preserve"> </w:t>
      </w:r>
      <w:r w:rsidR="00E972F9">
        <w:t xml:space="preserve">to </w:t>
      </w:r>
      <w:r w:rsidR="0032074B">
        <w:t>between 5</w:t>
      </w:r>
      <w:r w:rsidR="00E5702D">
        <w:t xml:space="preserve"> </w:t>
      </w:r>
      <w:r w:rsidR="0032074B">
        <w:t>years</w:t>
      </w:r>
      <w:r w:rsidR="00E5702D">
        <w:t xml:space="preserve"> to </w:t>
      </w:r>
      <w:r w:rsidR="00B8787F">
        <w:t>12</w:t>
      </w:r>
      <w:r w:rsidR="00247460">
        <w:t xml:space="preserve"> years.</w:t>
      </w:r>
      <w:r w:rsidR="00D843CA">
        <w:rPr>
          <w:rStyle w:val="FootnoteReference"/>
        </w:rPr>
        <w:footnoteReference w:id="48"/>
      </w:r>
      <w:r w:rsidR="00E972F9">
        <w:t xml:space="preserve">  </w:t>
      </w:r>
      <w:r w:rsidR="00B11FF5" w:rsidRPr="00B11FF5">
        <w:t>Other sanctions might be the publication of the decision</w:t>
      </w:r>
      <w:r w:rsidR="00E05C69">
        <w:rPr>
          <w:rStyle w:val="FootnoteReference"/>
        </w:rPr>
        <w:footnoteReference w:id="49"/>
      </w:r>
      <w:r w:rsidR="00B11FF5" w:rsidRPr="00B11FF5">
        <w:t>, the destruction of the infringing goods</w:t>
      </w:r>
      <w:r w:rsidR="00B11FF5" w:rsidRPr="00B11FF5">
        <w:rPr>
          <w:vertAlign w:val="superscript"/>
        </w:rPr>
        <w:footnoteReference w:id="50"/>
      </w:r>
      <w:r w:rsidR="00B11FF5" w:rsidRPr="00B11FF5">
        <w:t xml:space="preserve">, </w:t>
      </w:r>
      <w:proofErr w:type="gramStart"/>
      <w:r w:rsidR="00B11FF5" w:rsidRPr="00B11FF5">
        <w:t>the</w:t>
      </w:r>
      <w:proofErr w:type="gramEnd"/>
      <w:r w:rsidR="00B11FF5" w:rsidRPr="00B11FF5">
        <w:t xml:space="preserve"> withdraw</w:t>
      </w:r>
      <w:r w:rsidR="00B11FF5">
        <w:t>al</w:t>
      </w:r>
      <w:r w:rsidR="00B11FF5" w:rsidRPr="00B11FF5">
        <w:t xml:space="preserve"> </w:t>
      </w:r>
      <w:r w:rsidR="00DB7FB6">
        <w:t xml:space="preserve">of the infringing goods </w:t>
      </w:r>
      <w:r w:rsidR="00B11FF5" w:rsidRPr="00B11FF5">
        <w:t xml:space="preserve">from </w:t>
      </w:r>
      <w:r w:rsidR="00DB7FB6">
        <w:t xml:space="preserve">the </w:t>
      </w:r>
      <w:r w:rsidR="00B11FF5" w:rsidRPr="00B11FF5">
        <w:t xml:space="preserve">commercial </w:t>
      </w:r>
      <w:r w:rsidR="00DB7FB6">
        <w:t>market</w:t>
      </w:r>
      <w:r w:rsidR="00DB7FB6" w:rsidRPr="00B11FF5">
        <w:t xml:space="preserve"> </w:t>
      </w:r>
      <w:r w:rsidR="00617DD1">
        <w:t xml:space="preserve">or </w:t>
      </w:r>
      <w:r w:rsidR="00B11FF5" w:rsidRPr="00B11FF5">
        <w:t>obligatory labor</w:t>
      </w:r>
      <w:r w:rsidR="00DB7FB6">
        <w:t>.</w:t>
      </w:r>
      <w:r w:rsidR="00B11FF5" w:rsidRPr="00B11FF5">
        <w:rPr>
          <w:vertAlign w:val="superscript"/>
        </w:rPr>
        <w:footnoteReference w:id="51"/>
      </w:r>
    </w:p>
    <w:p w:rsidR="00A76863" w:rsidRDefault="00A76863" w:rsidP="00DB7DF8">
      <w:pPr>
        <w:ind w:left="567"/>
        <w:contextualSpacing/>
        <w:rPr>
          <w:i/>
        </w:rPr>
      </w:pPr>
    </w:p>
    <w:p w:rsidR="00473D2C" w:rsidRPr="00BB3D2D" w:rsidRDefault="00473D2C" w:rsidP="00DB7DF8">
      <w:pPr>
        <w:ind w:left="567"/>
        <w:contextualSpacing/>
        <w:rPr>
          <w:i/>
        </w:rPr>
      </w:pPr>
    </w:p>
    <w:p w:rsidR="00BB3D2D" w:rsidRPr="0074565A" w:rsidRDefault="0074565A" w:rsidP="00473D2C">
      <w:pPr>
        <w:pStyle w:val="Heading3"/>
        <w:spacing w:before="0" w:after="0"/>
        <w:contextualSpacing/>
        <w:rPr>
          <w:u w:val="none"/>
        </w:rPr>
      </w:pPr>
      <w:bookmarkStart w:id="14" w:name="_Toc413401193"/>
      <w:r>
        <w:rPr>
          <w:u w:val="none"/>
        </w:rPr>
        <w:t>(</w:t>
      </w:r>
      <w:r w:rsidR="00846A19" w:rsidRPr="0074565A">
        <w:rPr>
          <w:u w:val="none"/>
        </w:rPr>
        <w:t>c</w:t>
      </w:r>
      <w:r w:rsidR="00E50188" w:rsidRPr="0074565A">
        <w:rPr>
          <w:u w:val="none"/>
        </w:rPr>
        <w:t>)</w:t>
      </w:r>
      <w:r w:rsidR="00E50188" w:rsidRPr="0074565A">
        <w:rPr>
          <w:u w:val="none"/>
        </w:rPr>
        <w:tab/>
      </w:r>
      <w:r w:rsidR="00B03247" w:rsidRPr="00473D2C">
        <w:t>A</w:t>
      </w:r>
      <w:r w:rsidR="00E50188" w:rsidRPr="00473D2C">
        <w:t>ggravating circumstance</w:t>
      </w:r>
      <w:r w:rsidR="00BB3D2D" w:rsidRPr="00473D2C">
        <w:t>s</w:t>
      </w:r>
      <w:bookmarkEnd w:id="14"/>
    </w:p>
    <w:p w:rsidR="00FE4803" w:rsidRDefault="00FE4803" w:rsidP="004911A6">
      <w:pPr>
        <w:ind w:left="567" w:firstLine="567"/>
        <w:contextualSpacing/>
        <w:rPr>
          <w:i/>
        </w:rPr>
      </w:pPr>
    </w:p>
    <w:p w:rsidR="00E972F9" w:rsidRDefault="00CF2189" w:rsidP="004911A6">
      <w:pPr>
        <w:contextualSpacing/>
      </w:pPr>
      <w:r>
        <w:fldChar w:fldCharType="begin"/>
      </w:r>
      <w:r>
        <w:instrText xml:space="preserve"> AUTONUM  </w:instrText>
      </w:r>
      <w:r>
        <w:fldChar w:fldCharType="end"/>
      </w:r>
      <w:r>
        <w:tab/>
      </w:r>
      <w:r w:rsidR="00E972F9">
        <w:t>Among the</w:t>
      </w:r>
      <w:r w:rsidR="00B73691" w:rsidRPr="00363AFD">
        <w:t xml:space="preserve"> circumstances </w:t>
      </w:r>
      <w:r w:rsidR="00E972F9">
        <w:t xml:space="preserve">that </w:t>
      </w:r>
      <w:r w:rsidR="00B73691" w:rsidRPr="00363AFD">
        <w:t>might increase the amount of the sanction</w:t>
      </w:r>
      <w:r w:rsidR="00E972F9">
        <w:t xml:space="preserve"> are:</w:t>
      </w:r>
      <w:r w:rsidR="00171D7D" w:rsidRPr="00171D7D">
        <w:t xml:space="preserve"> </w:t>
      </w:r>
      <w:r w:rsidR="008A4EAE">
        <w:t xml:space="preserve"> </w:t>
      </w:r>
      <w:r w:rsidR="00171D7D">
        <w:t xml:space="preserve">the infringement has been committed through a network of communication to the public online; </w:t>
      </w:r>
      <w:r w:rsidR="008A4EAE">
        <w:t xml:space="preserve">the </w:t>
      </w:r>
      <w:r w:rsidR="00171D7D">
        <w:lastRenderedPageBreak/>
        <w:t>infringements concerned products dangerous for health, human or animal security</w:t>
      </w:r>
      <w:r w:rsidR="00171D7D">
        <w:rPr>
          <w:rStyle w:val="FootnoteReference"/>
        </w:rPr>
        <w:footnoteReference w:id="52"/>
      </w:r>
      <w:r w:rsidR="00171D7D">
        <w:t>;</w:t>
      </w:r>
      <w:r w:rsidR="00171D7D" w:rsidRPr="00171D7D">
        <w:t xml:space="preserve"> </w:t>
      </w:r>
      <w:r w:rsidR="00171D7D">
        <w:t>recidivism</w:t>
      </w:r>
      <w:r w:rsidR="00C23748">
        <w:rPr>
          <w:rStyle w:val="FootnoteReference"/>
        </w:rPr>
        <w:footnoteReference w:id="53"/>
      </w:r>
      <w:r w:rsidR="00171D7D">
        <w:t>;</w:t>
      </w:r>
      <w:r w:rsidR="001D48A5">
        <w:t xml:space="preserve"> the </w:t>
      </w:r>
      <w:r w:rsidR="00171D7D">
        <w:t xml:space="preserve">infringement </w:t>
      </w:r>
      <w:r w:rsidR="001D48A5">
        <w:t xml:space="preserve">took </w:t>
      </w:r>
      <w:r w:rsidR="00171D7D">
        <w:t>place on a commercial scale</w:t>
      </w:r>
      <w:r w:rsidR="00C23748">
        <w:rPr>
          <w:rStyle w:val="FootnoteReference"/>
        </w:rPr>
        <w:footnoteReference w:id="54"/>
      </w:r>
      <w:r w:rsidR="00171D7D">
        <w:t>;</w:t>
      </w:r>
      <w:r w:rsidR="00C23748" w:rsidRPr="00C23748">
        <w:t xml:space="preserve"> </w:t>
      </w:r>
      <w:r w:rsidR="00C23748">
        <w:t xml:space="preserve">or </w:t>
      </w:r>
      <w:r w:rsidR="00A463C2">
        <w:t xml:space="preserve">the infringement caused </w:t>
      </w:r>
      <w:r w:rsidR="00C23748">
        <w:t>a material gain (for the infringer) or damage (to the title holder)</w:t>
      </w:r>
      <w:r w:rsidR="00C23748">
        <w:rPr>
          <w:rStyle w:val="FootnoteReference"/>
        </w:rPr>
        <w:footnoteReference w:id="55"/>
      </w:r>
      <w:r w:rsidR="004911A6">
        <w:t>;</w:t>
      </w:r>
      <w:r w:rsidR="00C23748">
        <w:t xml:space="preserve"> </w:t>
      </w:r>
      <w:r w:rsidR="00171D7D">
        <w:t xml:space="preserve">and </w:t>
      </w:r>
      <w:r w:rsidR="00C23748">
        <w:t>when</w:t>
      </w:r>
      <w:r w:rsidR="00171D7D">
        <w:t xml:space="preserve"> the infringer</w:t>
      </w:r>
      <w:r w:rsidR="00C23748">
        <w:t xml:space="preserve"> has a given status</w:t>
      </w:r>
      <w:r w:rsidR="001F5692">
        <w:t>.</w:t>
      </w:r>
      <w:r w:rsidR="00C23748">
        <w:rPr>
          <w:rStyle w:val="FootnoteReference"/>
        </w:rPr>
        <w:footnoteReference w:id="56"/>
      </w:r>
    </w:p>
    <w:p w:rsidR="001E151A" w:rsidRPr="00E71425" w:rsidRDefault="000F01F3" w:rsidP="004911A6">
      <w:pPr>
        <w:pStyle w:val="Heading1"/>
        <w:spacing w:before="0" w:after="0"/>
        <w:contextualSpacing/>
      </w:pPr>
      <w:r>
        <w:br w:type="page"/>
      </w:r>
      <w:bookmarkStart w:id="15" w:name="_Toc413401194"/>
      <w:r w:rsidRPr="00E71425">
        <w:lastRenderedPageBreak/>
        <w:t>III.</w:t>
      </w:r>
      <w:r w:rsidRPr="00E71425">
        <w:tab/>
        <w:t>MEASURES RELATED TO SECURITY WHICH MIGHT RESULT IN A LIMITATION OF PATENT RIGHTS (SO-CALLED “SECURITY EXCEPTIONS”)</w:t>
      </w:r>
      <w:bookmarkEnd w:id="15"/>
    </w:p>
    <w:p w:rsidR="00053FE1" w:rsidRPr="00E71425" w:rsidRDefault="00053FE1" w:rsidP="004911A6">
      <w:pPr>
        <w:contextualSpacing/>
        <w:rPr>
          <w:b/>
        </w:rPr>
      </w:pPr>
    </w:p>
    <w:p w:rsidR="00E71425" w:rsidRPr="000D2AF6" w:rsidRDefault="000D2AF6" w:rsidP="00571630">
      <w:pPr>
        <w:pStyle w:val="Heading2"/>
        <w:spacing w:before="0" w:after="0"/>
        <w:contextualSpacing/>
      </w:pPr>
      <w:bookmarkStart w:id="16" w:name="_Toc413401195"/>
      <w:r w:rsidRPr="000D2AF6">
        <w:rPr>
          <w:caps w:val="0"/>
        </w:rPr>
        <w:t>A.</w:t>
      </w:r>
      <w:r w:rsidRPr="000D2AF6">
        <w:rPr>
          <w:caps w:val="0"/>
        </w:rPr>
        <w:tab/>
        <w:t>INTRODUCTION</w:t>
      </w:r>
      <w:bookmarkEnd w:id="16"/>
    </w:p>
    <w:p w:rsidR="0013745F" w:rsidRPr="0013745F" w:rsidRDefault="0013745F" w:rsidP="007A7A40">
      <w:pPr>
        <w:pStyle w:val="ListParagraph"/>
        <w:ind w:left="930"/>
        <w:rPr>
          <w:b/>
        </w:rPr>
      </w:pPr>
    </w:p>
    <w:p w:rsidR="00053FE1" w:rsidRDefault="00CF2189" w:rsidP="00571630">
      <w:pPr>
        <w:contextualSpacing/>
      </w:pPr>
      <w:r>
        <w:fldChar w:fldCharType="begin"/>
      </w:r>
      <w:r>
        <w:instrText xml:space="preserve"> AUTONUM  </w:instrText>
      </w:r>
      <w:r>
        <w:fldChar w:fldCharType="end"/>
      </w:r>
      <w:r>
        <w:tab/>
      </w:r>
      <w:r w:rsidR="0013745F">
        <w:t>The concept of national sovereignty</w:t>
      </w:r>
      <w:r w:rsidR="00726F33">
        <w:t xml:space="preserve"> is at the center of international law</w:t>
      </w:r>
      <w:r w:rsidR="009D4F14">
        <w:t>;</w:t>
      </w:r>
      <w:r w:rsidR="00053FE1">
        <w:t xml:space="preserve"> </w:t>
      </w:r>
      <w:r w:rsidR="004A5CEE">
        <w:t xml:space="preserve">it has been stated that </w:t>
      </w:r>
      <w:r w:rsidR="0013745F">
        <w:t xml:space="preserve">each state is </w:t>
      </w:r>
      <w:r w:rsidR="002B5D60">
        <w:t xml:space="preserve">a </w:t>
      </w:r>
      <w:r w:rsidR="0013745F">
        <w:t>co-equal sovereign</w:t>
      </w:r>
      <w:r w:rsidR="0013745F">
        <w:rPr>
          <w:rStyle w:val="FootnoteReference"/>
        </w:rPr>
        <w:footnoteReference w:id="57"/>
      </w:r>
      <w:r w:rsidR="0013745F">
        <w:t xml:space="preserve"> and is the final authority within its territorial limits</w:t>
      </w:r>
      <w:r w:rsidR="002B5D60">
        <w:t xml:space="preserve">. </w:t>
      </w:r>
      <w:r w:rsidR="0013745F">
        <w:t xml:space="preserve"> </w:t>
      </w:r>
      <w:r w:rsidR="002B5D60">
        <w:t>I</w:t>
      </w:r>
      <w:r w:rsidR="0013745F">
        <w:t>n a sense</w:t>
      </w:r>
      <w:r w:rsidR="002B5D60">
        <w:t>,</w:t>
      </w:r>
      <w:r w:rsidR="0013745F">
        <w:t xml:space="preserve"> </w:t>
      </w:r>
      <w:r w:rsidR="002B5D60">
        <w:t xml:space="preserve">this concept </w:t>
      </w:r>
      <w:r w:rsidR="006F69E0">
        <w:t>indicates</w:t>
      </w:r>
      <w:r w:rsidR="002B5D60">
        <w:t xml:space="preserve"> </w:t>
      </w:r>
      <w:r w:rsidR="0013745F">
        <w:t xml:space="preserve">the independence of a state in </w:t>
      </w:r>
      <w:r w:rsidR="005C739C">
        <w:t xml:space="preserve">its </w:t>
      </w:r>
      <w:r w:rsidR="0013745F">
        <w:t>functions to the exclusion of other states</w:t>
      </w:r>
      <w:r w:rsidR="005C739C">
        <w:t>.</w:t>
      </w:r>
      <w:r w:rsidR="0013745F">
        <w:rPr>
          <w:rStyle w:val="FootnoteReference"/>
        </w:rPr>
        <w:footnoteReference w:id="58"/>
      </w:r>
      <w:r w:rsidR="0013745F">
        <w:t xml:space="preserve">  </w:t>
      </w:r>
      <w:r w:rsidR="00261777">
        <w:t xml:space="preserve">Nevertheless, </w:t>
      </w:r>
      <w:r w:rsidR="00EA4182">
        <w:t>due to</w:t>
      </w:r>
      <w:r w:rsidR="00261777">
        <w:t xml:space="preserve"> globalization</w:t>
      </w:r>
      <w:r w:rsidR="00EA4182">
        <w:t xml:space="preserve"> and deeper</w:t>
      </w:r>
      <w:r w:rsidR="00261777">
        <w:t xml:space="preserve"> economic inte</w:t>
      </w:r>
      <w:r w:rsidR="00EA4182">
        <w:t>g</w:t>
      </w:r>
      <w:r w:rsidR="00261777">
        <w:t>ration</w:t>
      </w:r>
      <w:proofErr w:type="gramStart"/>
      <w:r w:rsidR="00EA4182">
        <w:t>,</w:t>
      </w:r>
      <w:r w:rsidR="00261777">
        <w:t xml:space="preserve">  </w:t>
      </w:r>
      <w:r w:rsidR="00075114">
        <w:t>international</w:t>
      </w:r>
      <w:proofErr w:type="gramEnd"/>
      <w:r w:rsidR="00075114">
        <w:t xml:space="preserve"> regulation </w:t>
      </w:r>
      <w:r w:rsidR="00261777">
        <w:t xml:space="preserve"> has</w:t>
      </w:r>
      <w:r w:rsidR="00EA4182">
        <w:t xml:space="preserve"> </w:t>
      </w:r>
      <w:r w:rsidR="00261777">
        <w:t>increased.</w:t>
      </w:r>
      <w:r w:rsidR="00F407B9">
        <w:rPr>
          <w:rStyle w:val="FootnoteReference"/>
        </w:rPr>
        <w:footnoteReference w:id="59"/>
      </w:r>
    </w:p>
    <w:p w:rsidR="003E5EDB" w:rsidRDefault="003E5EDB" w:rsidP="00053FE1"/>
    <w:p w:rsidR="00350563" w:rsidRDefault="00CF2189" w:rsidP="00571630">
      <w:pPr>
        <w:contextualSpacing/>
      </w:pPr>
      <w:r>
        <w:fldChar w:fldCharType="begin"/>
      </w:r>
      <w:r>
        <w:instrText xml:space="preserve"> AUTONUM  </w:instrText>
      </w:r>
      <w:r>
        <w:fldChar w:fldCharType="end"/>
      </w:r>
      <w:r>
        <w:tab/>
      </w:r>
      <w:r w:rsidR="0082514B">
        <w:t>T</w:t>
      </w:r>
      <w:r w:rsidR="00053FE1">
        <w:t>he</w:t>
      </w:r>
      <w:r w:rsidR="0082514B">
        <w:t xml:space="preserve"> linkage between</w:t>
      </w:r>
      <w:r w:rsidR="00053FE1">
        <w:t xml:space="preserve"> international trade</w:t>
      </w:r>
      <w:r w:rsidR="0082514B">
        <w:t xml:space="preserve"> and national security goes back to 1947 with the appearance of the General Agreements on Tariffs and Trade (GATT)</w:t>
      </w:r>
      <w:r w:rsidR="0082514B">
        <w:rPr>
          <w:rStyle w:val="FootnoteReference"/>
        </w:rPr>
        <w:footnoteReference w:id="60"/>
      </w:r>
      <w:r w:rsidR="0082514B">
        <w:t xml:space="preserve">.  </w:t>
      </w:r>
      <w:r w:rsidR="00D174F5">
        <w:t>Provisions on patent-related matters relevant to national security are also frequent in bilateral</w:t>
      </w:r>
      <w:r w:rsidR="00D174F5" w:rsidRPr="00715E3A">
        <w:rPr>
          <w:vertAlign w:val="superscript"/>
        </w:rPr>
        <w:footnoteReference w:id="61"/>
      </w:r>
      <w:r w:rsidR="0048243D">
        <w:t>,</w:t>
      </w:r>
      <w:r w:rsidR="00D174F5">
        <w:t xml:space="preserve"> regional</w:t>
      </w:r>
      <w:r w:rsidR="00D174F5" w:rsidRPr="00715E3A">
        <w:rPr>
          <w:vertAlign w:val="superscript"/>
        </w:rPr>
        <w:footnoteReference w:id="62"/>
      </w:r>
      <w:r w:rsidR="00D174F5">
        <w:t xml:space="preserve"> and international agreements</w:t>
      </w:r>
      <w:r w:rsidR="0048243D">
        <w:t>.</w:t>
      </w:r>
      <w:r w:rsidR="00D174F5" w:rsidRPr="00715E3A">
        <w:rPr>
          <w:vertAlign w:val="superscript"/>
        </w:rPr>
        <w:footnoteReference w:id="63"/>
      </w:r>
    </w:p>
    <w:p w:rsidR="00350563" w:rsidRDefault="00350563" w:rsidP="00571630">
      <w:pPr>
        <w:contextualSpacing/>
      </w:pPr>
    </w:p>
    <w:p w:rsidR="006107B4" w:rsidRDefault="006107B4" w:rsidP="00571630">
      <w:pPr>
        <w:contextualSpacing/>
      </w:pPr>
    </w:p>
    <w:p w:rsidR="00350563" w:rsidRPr="000D2AF6" w:rsidRDefault="000D2AF6" w:rsidP="00571630">
      <w:pPr>
        <w:pStyle w:val="Heading2"/>
        <w:spacing w:before="0" w:after="0"/>
        <w:contextualSpacing/>
      </w:pPr>
      <w:bookmarkStart w:id="17" w:name="_Toc413401196"/>
      <w:r w:rsidRPr="000D2AF6">
        <w:rPr>
          <w:caps w:val="0"/>
        </w:rPr>
        <w:t>B.</w:t>
      </w:r>
      <w:r w:rsidRPr="000D2AF6">
        <w:rPr>
          <w:caps w:val="0"/>
        </w:rPr>
        <w:tab/>
        <w:t>THE INTERNATIONAL LEGAL FRAMEWORK</w:t>
      </w:r>
      <w:bookmarkEnd w:id="17"/>
    </w:p>
    <w:p w:rsidR="00AE6819" w:rsidRDefault="00AE6819" w:rsidP="00571630">
      <w:pPr>
        <w:contextualSpacing/>
      </w:pPr>
    </w:p>
    <w:p w:rsidR="00350563" w:rsidRDefault="00CF2189" w:rsidP="00571630">
      <w:pPr>
        <w:contextualSpacing/>
      </w:pPr>
      <w:r>
        <w:fldChar w:fldCharType="begin"/>
      </w:r>
      <w:r>
        <w:instrText xml:space="preserve"> AUTONUM  </w:instrText>
      </w:r>
      <w:r>
        <w:fldChar w:fldCharType="end"/>
      </w:r>
      <w:r>
        <w:tab/>
      </w:r>
      <w:r w:rsidR="00866795">
        <w:t>M</w:t>
      </w:r>
      <w:r w:rsidR="00350563">
        <w:t xml:space="preserve">ultilateral agreements on patents </w:t>
      </w:r>
      <w:r w:rsidR="00866795">
        <w:t xml:space="preserve">pay particular attention </w:t>
      </w:r>
      <w:r w:rsidR="00350563">
        <w:t xml:space="preserve">to the need to maintain the necessary freedom of </w:t>
      </w:r>
      <w:r w:rsidR="00866795">
        <w:t xml:space="preserve">contracting </w:t>
      </w:r>
      <w:r w:rsidR="008255EA">
        <w:t>states</w:t>
      </w:r>
      <w:r w:rsidR="00866795">
        <w:t xml:space="preserve"> </w:t>
      </w:r>
      <w:r w:rsidR="00350563">
        <w:t xml:space="preserve">to adopt measures considered appropriate to protect national security interests.  Such provisions are found in </w:t>
      </w:r>
      <w:r w:rsidR="00BC1DCE">
        <w:t xml:space="preserve">WIPO administered treaties such as </w:t>
      </w:r>
      <w:r w:rsidR="00350563">
        <w:t xml:space="preserve">the </w:t>
      </w:r>
      <w:r w:rsidR="006F4EB2" w:rsidRPr="006F4EB2">
        <w:t>Patent Cooperation Treaty (PCT)</w:t>
      </w:r>
      <w:r w:rsidR="00350563">
        <w:t xml:space="preserve">, the </w:t>
      </w:r>
      <w:r w:rsidR="00EC79A5" w:rsidRPr="00EC79A5">
        <w:t xml:space="preserve">Budapest Treaty on the International Recognition of the Deposit of Microorganisms for the Purposes of Patent Procedure </w:t>
      </w:r>
      <w:r w:rsidR="00EC79A5">
        <w:t>(</w:t>
      </w:r>
      <w:r w:rsidR="00350563">
        <w:t>Budapest Treaty</w:t>
      </w:r>
      <w:r w:rsidR="00EC79A5">
        <w:t>)</w:t>
      </w:r>
      <w:r w:rsidR="00350563">
        <w:t xml:space="preserve">, </w:t>
      </w:r>
      <w:proofErr w:type="gramStart"/>
      <w:r w:rsidR="00350563">
        <w:t>the</w:t>
      </w:r>
      <w:proofErr w:type="gramEnd"/>
      <w:r w:rsidR="00350563">
        <w:t xml:space="preserve"> </w:t>
      </w:r>
      <w:r w:rsidR="008242AE" w:rsidRPr="008242AE">
        <w:t xml:space="preserve">Patent Law Treaty </w:t>
      </w:r>
      <w:r w:rsidR="008242AE">
        <w:t>(</w:t>
      </w:r>
      <w:r w:rsidR="00350563">
        <w:t>PLT</w:t>
      </w:r>
      <w:r w:rsidR="00F65FFF">
        <w:t>)</w:t>
      </w:r>
      <w:r w:rsidR="00350563">
        <w:t xml:space="preserve"> and </w:t>
      </w:r>
      <w:r w:rsidR="00BC1DCE">
        <w:t xml:space="preserve">are also found in </w:t>
      </w:r>
      <w:r w:rsidR="00350563">
        <w:t>the TRIPS Agreement.</w:t>
      </w:r>
    </w:p>
    <w:p w:rsidR="00350563" w:rsidRDefault="00350563" w:rsidP="00350563"/>
    <w:p w:rsidR="00350563" w:rsidRDefault="00350563" w:rsidP="00350563">
      <w:r>
        <w:fldChar w:fldCharType="begin"/>
      </w:r>
      <w:r>
        <w:instrText xml:space="preserve"> AUTONUM  </w:instrText>
      </w:r>
      <w:r>
        <w:fldChar w:fldCharType="end"/>
      </w:r>
      <w:r>
        <w:tab/>
        <w:t xml:space="preserve">Concerning the PCT, </w:t>
      </w:r>
      <w:r w:rsidR="003D34C9">
        <w:t>A</w:t>
      </w:r>
      <w:r>
        <w:t xml:space="preserve">rticle 27(8) states that nothing in the treaty would limit the freedom of any </w:t>
      </w:r>
      <w:r w:rsidR="008255EA">
        <w:t>c</w:t>
      </w:r>
      <w:r>
        <w:t xml:space="preserve">ontracting </w:t>
      </w:r>
      <w:r w:rsidR="008255EA">
        <w:t>s</w:t>
      </w:r>
      <w:r>
        <w:t>tate to apply “measures deemed necessary for the preservation of its national security”</w:t>
      </w:r>
      <w:proofErr w:type="gramStart"/>
      <w:r w:rsidR="003B28AF">
        <w:t>;  in</w:t>
      </w:r>
      <w:proofErr w:type="gramEnd"/>
      <w:r w:rsidR="003B28AF">
        <w:t xml:space="preserve"> addition </w:t>
      </w:r>
      <w:r>
        <w:t xml:space="preserve">Rule 22.1(a) </w:t>
      </w:r>
      <w:r w:rsidR="003B28AF">
        <w:t xml:space="preserve">of the </w:t>
      </w:r>
      <w:r w:rsidR="003B28AF" w:rsidRPr="003B28AF">
        <w:t xml:space="preserve">Regulations under the </w:t>
      </w:r>
      <w:r w:rsidR="003B28AF">
        <w:t>PCT</w:t>
      </w:r>
      <w:r w:rsidR="003B28AF" w:rsidRPr="003B28AF">
        <w:t xml:space="preserve"> </w:t>
      </w:r>
      <w:r>
        <w:t xml:space="preserve">recognizes that based on prescriptions concerning national security, the receiving Office may be prevented from transmitting the record copy of the international application to the International Bureau.  Therefore, under the PCT, an essential flexibility exists for </w:t>
      </w:r>
      <w:r w:rsidR="008255EA">
        <w:t xml:space="preserve">contracting states </w:t>
      </w:r>
      <w:r>
        <w:t>to adopt provisions that aim to protect national security in their national patent laws</w:t>
      </w:r>
      <w:r w:rsidR="009D4F14">
        <w:t>; e.g</w:t>
      </w:r>
      <w:r>
        <w:t>., provisions that allow the patent office, acting as a receiving Office in respect of an international application, to prevent the transmission of the record copy until clearance is given by the competent national body.</w:t>
      </w:r>
      <w:r w:rsidRPr="00715E3A">
        <w:rPr>
          <w:vertAlign w:val="superscript"/>
        </w:rPr>
        <w:footnoteReference w:id="64"/>
      </w:r>
    </w:p>
    <w:p w:rsidR="00350563" w:rsidRDefault="00350563" w:rsidP="00350563"/>
    <w:p w:rsidR="00350563" w:rsidRPr="008F1AC7" w:rsidRDefault="00AF204E" w:rsidP="00350563">
      <w:r>
        <w:lastRenderedPageBreak/>
        <w:fldChar w:fldCharType="begin"/>
      </w:r>
      <w:r>
        <w:instrText xml:space="preserve"> AUTONUM  </w:instrText>
      </w:r>
      <w:r>
        <w:fldChar w:fldCharType="end"/>
      </w:r>
      <w:r>
        <w:tab/>
      </w:r>
      <w:r w:rsidR="00350563">
        <w:t xml:space="preserve">Concerning </w:t>
      </w:r>
      <w:r w:rsidR="00EA4182">
        <w:t>other WIPO administered treaties the situation is as follo</w:t>
      </w:r>
      <w:r w:rsidR="00041791">
        <w:t>w</w:t>
      </w:r>
      <w:r w:rsidR="00EA4182">
        <w:t>s</w:t>
      </w:r>
      <w:r w:rsidR="00041791">
        <w:t xml:space="preserve">: </w:t>
      </w:r>
      <w:r w:rsidR="00EA4182">
        <w:t xml:space="preserve"> on one hand </w:t>
      </w:r>
      <w:r w:rsidR="00350563">
        <w:t xml:space="preserve">the Budapest Treaty Article 5 </w:t>
      </w:r>
      <w:r w:rsidR="00E1222D">
        <w:t xml:space="preserve">provides </w:t>
      </w:r>
      <w:r w:rsidR="00350563">
        <w:t xml:space="preserve">for restrictions </w:t>
      </w:r>
      <w:r w:rsidR="00E226E8">
        <w:t xml:space="preserve">of </w:t>
      </w:r>
      <w:r w:rsidR="00350563">
        <w:t xml:space="preserve">the export from and import into the territory of a </w:t>
      </w:r>
      <w:r w:rsidR="00E1222D">
        <w:t xml:space="preserve">contracting state </w:t>
      </w:r>
      <w:r w:rsidR="00350563">
        <w:t xml:space="preserve">of </w:t>
      </w:r>
      <w:r w:rsidR="00E1222D">
        <w:t xml:space="preserve">microorganisms </w:t>
      </w:r>
      <w:r w:rsidR="00350563">
        <w:t>destined for deposit or deposited under the treaty, due to national security, under certain circumstances</w:t>
      </w:r>
      <w:r w:rsidR="00041791">
        <w:t xml:space="preserve">, </w:t>
      </w:r>
      <w:r w:rsidR="00350563">
        <w:rPr>
          <w:rStyle w:val="FootnoteReference"/>
        </w:rPr>
        <w:footnoteReference w:id="65"/>
      </w:r>
      <w:r w:rsidR="00041791">
        <w:t xml:space="preserve"> while on the other hand</w:t>
      </w:r>
      <w:r w:rsidR="00350563" w:rsidRPr="008F1AC7">
        <w:t xml:space="preserve"> </w:t>
      </w:r>
      <w:r w:rsidR="00944BB1">
        <w:t xml:space="preserve">the </w:t>
      </w:r>
      <w:r w:rsidR="00350563" w:rsidRPr="008F1AC7">
        <w:t>PLT</w:t>
      </w:r>
      <w:r w:rsidR="00A7104F">
        <w:t xml:space="preserve"> contains</w:t>
      </w:r>
      <w:r w:rsidR="00350563" w:rsidRPr="008F1AC7">
        <w:t xml:space="preserve"> the so</w:t>
      </w:r>
      <w:r w:rsidR="00162DFB">
        <w:t>-</w:t>
      </w:r>
      <w:r w:rsidR="00350563" w:rsidRPr="008F1AC7">
        <w:t xml:space="preserve">called “security exception” </w:t>
      </w:r>
      <w:r w:rsidR="00350563">
        <w:t>(Article 4)</w:t>
      </w:r>
      <w:r w:rsidR="00A7104F">
        <w:t xml:space="preserve"> which</w:t>
      </w:r>
      <w:r w:rsidR="00350563">
        <w:t xml:space="preserve"> </w:t>
      </w:r>
      <w:r w:rsidR="00AC2EDD">
        <w:t>is drafted in a broad manner</w:t>
      </w:r>
      <w:r w:rsidR="00350563">
        <w:t xml:space="preserve">: </w:t>
      </w:r>
      <w:r w:rsidR="00350563" w:rsidRPr="008F1AC7">
        <w:t xml:space="preserve"> “</w:t>
      </w:r>
      <w:r w:rsidR="00350563">
        <w:t>N</w:t>
      </w:r>
      <w:r w:rsidR="00350563" w:rsidRPr="008F1AC7">
        <w:t xml:space="preserve">othing in this Treaty and the Regulations shall limit the freedom of a </w:t>
      </w:r>
      <w:r w:rsidR="00350563">
        <w:t>C</w:t>
      </w:r>
      <w:r w:rsidR="00350563" w:rsidRPr="008F1AC7">
        <w:t xml:space="preserve">ontracting </w:t>
      </w:r>
      <w:r w:rsidR="00350563">
        <w:t>P</w:t>
      </w:r>
      <w:r w:rsidR="00350563" w:rsidRPr="008F1AC7">
        <w:t>arty to take any action it deems necessary for the preservation of essential security interest”.</w:t>
      </w:r>
    </w:p>
    <w:p w:rsidR="00350563" w:rsidRDefault="00350563" w:rsidP="00350563"/>
    <w:p w:rsidR="00053FE1" w:rsidRDefault="00350563" w:rsidP="00053FE1">
      <w:r>
        <w:fldChar w:fldCharType="begin"/>
      </w:r>
      <w:r>
        <w:instrText xml:space="preserve"> AUTONUM  </w:instrText>
      </w:r>
      <w:r>
        <w:fldChar w:fldCharType="end"/>
      </w:r>
      <w:r>
        <w:tab/>
      </w:r>
      <w:r w:rsidR="00A7104F">
        <w:t>Finally</w:t>
      </w:r>
      <w:r>
        <w:t xml:space="preserve">, the TRIPS Agreement Article 73 provides a general exception for matters </w:t>
      </w:r>
      <w:r w:rsidR="004B18CC">
        <w:t xml:space="preserve">that </w:t>
      </w:r>
      <w:r>
        <w:t>are deemed to be essential to national security interests.</w:t>
      </w:r>
      <w:r w:rsidRPr="00715E3A">
        <w:rPr>
          <w:vertAlign w:val="superscript"/>
        </w:rPr>
        <w:footnoteReference w:id="66"/>
      </w:r>
      <w:r w:rsidR="00BC1DCE">
        <w:t xml:space="preserve">  </w:t>
      </w:r>
      <w:r w:rsidR="00A7104F">
        <w:t xml:space="preserve">This </w:t>
      </w:r>
      <w:r>
        <w:t xml:space="preserve">Article </w:t>
      </w:r>
      <w:r w:rsidR="00A7104F">
        <w:t>pr</w:t>
      </w:r>
      <w:r w:rsidR="00053FE1">
        <w:t>ovides for three grounds of security exceptions</w:t>
      </w:r>
      <w:r w:rsidR="00944BB1">
        <w:t>; namely,</w:t>
      </w:r>
      <w:r w:rsidR="00053FE1">
        <w:t xml:space="preserve"> </w:t>
      </w:r>
      <w:r w:rsidR="00AA0D3C">
        <w:t xml:space="preserve">a </w:t>
      </w:r>
      <w:r w:rsidR="00053FE1">
        <w:t xml:space="preserve">limitation to </w:t>
      </w:r>
      <w:r w:rsidR="00AA0D3C">
        <w:t xml:space="preserve">the </w:t>
      </w:r>
      <w:r w:rsidR="00053FE1">
        <w:t xml:space="preserve">disclosure of information contrary to national essential security interests; </w:t>
      </w:r>
      <w:r w:rsidR="00AA0D3C">
        <w:t xml:space="preserve">the </w:t>
      </w:r>
      <w:r w:rsidR="00053FE1">
        <w:t xml:space="preserve">adoption of action </w:t>
      </w:r>
      <w:r w:rsidR="00AA0D3C">
        <w:t xml:space="preserve">considered </w:t>
      </w:r>
      <w:r w:rsidR="00053FE1">
        <w:t xml:space="preserve">necessary for the protection of essential security interests; </w:t>
      </w:r>
      <w:r w:rsidR="007F3317">
        <w:t xml:space="preserve">and </w:t>
      </w:r>
      <w:r w:rsidR="00177D2E">
        <w:t xml:space="preserve">the </w:t>
      </w:r>
      <w:r w:rsidR="00053FE1">
        <w:t>adoption of action in pursuance of the Member State obligations under the UN Charter for the maintenance of international peace and security.</w:t>
      </w:r>
    </w:p>
    <w:p w:rsidR="00053FE1" w:rsidRDefault="00053FE1" w:rsidP="00053FE1"/>
    <w:p w:rsidR="00053FE1" w:rsidRDefault="001052F2" w:rsidP="00944BB1">
      <w:pPr>
        <w:contextualSpacing/>
      </w:pPr>
      <w:r>
        <w:fldChar w:fldCharType="begin"/>
      </w:r>
      <w:r>
        <w:instrText xml:space="preserve"> AUTONUM  </w:instrText>
      </w:r>
      <w:r>
        <w:fldChar w:fldCharType="end"/>
      </w:r>
      <w:r>
        <w:tab/>
      </w:r>
      <w:r w:rsidR="0064287D">
        <w:t xml:space="preserve">In relation to </w:t>
      </w:r>
      <w:r w:rsidR="00053FE1">
        <w:t xml:space="preserve">what can be considered </w:t>
      </w:r>
      <w:r w:rsidR="00343E9E">
        <w:t xml:space="preserve">an </w:t>
      </w:r>
      <w:r w:rsidR="00053FE1">
        <w:t>“essential security interest”</w:t>
      </w:r>
      <w:r w:rsidR="00350563">
        <w:t xml:space="preserve"> some authors</w:t>
      </w:r>
      <w:r w:rsidR="00A7104F" w:rsidRPr="00A7104F">
        <w:t xml:space="preserve"> </w:t>
      </w:r>
      <w:r w:rsidR="00A7104F">
        <w:t>state that it is within discretion of each WTO Member State to define what an “essential security interest” is</w:t>
      </w:r>
      <w:r w:rsidR="00A7104F">
        <w:rPr>
          <w:rStyle w:val="FootnoteReference"/>
        </w:rPr>
        <w:t xml:space="preserve"> </w:t>
      </w:r>
      <w:r w:rsidR="005D0927">
        <w:rPr>
          <w:rStyle w:val="FootnoteReference"/>
        </w:rPr>
        <w:footnoteReference w:id="67"/>
      </w:r>
      <w:r w:rsidR="00350563">
        <w:t>.  T</w:t>
      </w:r>
      <w:r w:rsidR="0064287D">
        <w:t>herefore</w:t>
      </w:r>
      <w:r w:rsidR="00350563">
        <w:t>,</w:t>
      </w:r>
      <w:r w:rsidR="0064287D">
        <w:t xml:space="preserve"> </w:t>
      </w:r>
      <w:r w:rsidR="00C566C9">
        <w:t>it is suggested that it should no</w:t>
      </w:r>
      <w:r w:rsidR="00F93C3B">
        <w:t xml:space="preserve">t </w:t>
      </w:r>
      <w:r w:rsidR="0064287D">
        <w:t xml:space="preserve">be a ground </w:t>
      </w:r>
      <w:r w:rsidR="00350563">
        <w:t>for</w:t>
      </w:r>
      <w:r w:rsidR="0064287D">
        <w:t xml:space="preserve"> WTO </w:t>
      </w:r>
      <w:r w:rsidR="00626E18">
        <w:t>dispute settlement</w:t>
      </w:r>
      <w:r w:rsidR="004B24EC">
        <w:t xml:space="preserve"> understanding (DSU)</w:t>
      </w:r>
      <w:r w:rsidR="00CD10B2">
        <w:t xml:space="preserve">, i.e. the latter </w:t>
      </w:r>
      <w:r w:rsidR="00F93C3B">
        <w:t xml:space="preserve">is not well placed to </w:t>
      </w:r>
      <w:r w:rsidR="00CD10B2">
        <w:t>decide if the reason for which the Member State adopted a security measure under Article 73 was effectively to meet an “essential security interest”</w:t>
      </w:r>
      <w:r w:rsidR="0064287D">
        <w:t>.</w:t>
      </w:r>
      <w:r w:rsidR="00CD0FA7">
        <w:t xml:space="preserve">  The WTO is not widely perceived as a forum for dealing with </w:t>
      </w:r>
      <w:r w:rsidR="00626E18">
        <w:t xml:space="preserve">these </w:t>
      </w:r>
      <w:r w:rsidR="00CD0FA7">
        <w:t>type</w:t>
      </w:r>
      <w:r w:rsidR="00626E18">
        <w:t>s</w:t>
      </w:r>
      <w:r w:rsidR="00CD0FA7">
        <w:t xml:space="preserve"> of disputes</w:t>
      </w:r>
      <w:r w:rsidR="00CD0FA7">
        <w:rPr>
          <w:rStyle w:val="FootnoteReference"/>
        </w:rPr>
        <w:footnoteReference w:id="68"/>
      </w:r>
      <w:r w:rsidR="00626E18">
        <w:t>,</w:t>
      </w:r>
      <w:r w:rsidR="00CD0FA7">
        <w:t xml:space="preserve"> as was the case of GATT 1947</w:t>
      </w:r>
      <w:r w:rsidR="00626E18">
        <w:t>.</w:t>
      </w:r>
      <w:r w:rsidR="00CD0FA7">
        <w:rPr>
          <w:rStyle w:val="FootnoteReference"/>
        </w:rPr>
        <w:footnoteReference w:id="69"/>
      </w:r>
    </w:p>
    <w:p w:rsidR="00350563" w:rsidRDefault="00350563" w:rsidP="00944BB1">
      <w:pPr>
        <w:contextualSpacing/>
      </w:pPr>
    </w:p>
    <w:p w:rsidR="00D56994" w:rsidRPr="000D2AF6" w:rsidRDefault="000D2AF6" w:rsidP="00944BB1">
      <w:pPr>
        <w:pStyle w:val="Heading2"/>
        <w:spacing w:before="0" w:after="0"/>
        <w:contextualSpacing/>
      </w:pPr>
      <w:bookmarkStart w:id="18" w:name="_Toc413401197"/>
      <w:r w:rsidRPr="000D2AF6">
        <w:rPr>
          <w:caps w:val="0"/>
        </w:rPr>
        <w:t>C.</w:t>
      </w:r>
      <w:r w:rsidRPr="000D2AF6">
        <w:rPr>
          <w:caps w:val="0"/>
        </w:rPr>
        <w:tab/>
        <w:t>NATIONAL IMPLEMENTATION</w:t>
      </w:r>
      <w:bookmarkEnd w:id="18"/>
    </w:p>
    <w:p w:rsidR="00D56994" w:rsidRPr="00FA03E0" w:rsidRDefault="00D56994" w:rsidP="00944BB1">
      <w:pPr>
        <w:contextualSpacing/>
      </w:pPr>
    </w:p>
    <w:p w:rsidR="006425BC" w:rsidRDefault="001052F2" w:rsidP="00AC6DB6">
      <w:pPr>
        <w:tabs>
          <w:tab w:val="left" w:pos="567"/>
        </w:tabs>
      </w:pPr>
      <w:r>
        <w:fldChar w:fldCharType="begin"/>
      </w:r>
      <w:r>
        <w:instrText xml:space="preserve"> AUTONUM  </w:instrText>
      </w:r>
      <w:r>
        <w:fldChar w:fldCharType="end"/>
      </w:r>
      <w:r>
        <w:tab/>
      </w:r>
      <w:r w:rsidR="0004329E">
        <w:t>In the light of Article 73 of the TRIPS Agreement, Member States</w:t>
      </w:r>
      <w:r w:rsidR="00053FE1">
        <w:t xml:space="preserve"> have the option </w:t>
      </w:r>
      <w:r w:rsidR="000E13DB">
        <w:t xml:space="preserve">whether or not </w:t>
      </w:r>
      <w:r w:rsidR="00053FE1">
        <w:t>to introduce within their national legislation the so</w:t>
      </w:r>
      <w:r w:rsidR="00662B48">
        <w:t>-</w:t>
      </w:r>
      <w:r w:rsidR="00053FE1">
        <w:t>called “security exceptions”</w:t>
      </w:r>
      <w:r w:rsidR="0066695D">
        <w:t>.</w:t>
      </w:r>
      <w:r w:rsidR="000E13DB">
        <w:t xml:space="preserve"> </w:t>
      </w:r>
      <w:r w:rsidR="00053FE1">
        <w:t xml:space="preserve"> </w:t>
      </w:r>
      <w:r w:rsidR="006C3AAC">
        <w:t>In</w:t>
      </w:r>
      <w:r w:rsidR="00053FE1">
        <w:t xml:space="preserve"> relation to patent </w:t>
      </w:r>
      <w:r w:rsidR="00C700E3">
        <w:t xml:space="preserve">legislation </w:t>
      </w:r>
      <w:r w:rsidR="0066695D">
        <w:t xml:space="preserve">in particular, </w:t>
      </w:r>
      <w:r w:rsidR="004E33E0">
        <w:t>such</w:t>
      </w:r>
      <w:r w:rsidR="00053FE1">
        <w:t xml:space="preserve"> measures have taken different aspects</w:t>
      </w:r>
      <w:r w:rsidR="00FF579B">
        <w:t>:</w:t>
      </w:r>
      <w:r w:rsidR="007F3317">
        <w:t xml:space="preserve"> on one hand, </w:t>
      </w:r>
      <w:r w:rsidR="00053FE1">
        <w:t xml:space="preserve">security measures related to patent </w:t>
      </w:r>
      <w:r w:rsidR="001677A2">
        <w:t>prosecution</w:t>
      </w:r>
      <w:r w:rsidR="007351F4">
        <w:t xml:space="preserve">, and on the other hand </w:t>
      </w:r>
      <w:r w:rsidR="001677A2">
        <w:t xml:space="preserve">measures related to </w:t>
      </w:r>
      <w:r w:rsidR="00B666D0">
        <w:t>exclusion</w:t>
      </w:r>
      <w:r w:rsidR="001677A2">
        <w:t>s</w:t>
      </w:r>
      <w:r w:rsidR="00B666D0">
        <w:t xml:space="preserve"> from </w:t>
      </w:r>
      <w:r w:rsidR="000A179E">
        <w:t>patentability</w:t>
      </w:r>
      <w:r w:rsidR="004B24EC">
        <w:t xml:space="preserve"> and other</w:t>
      </w:r>
      <w:r w:rsidR="001677A2">
        <w:t xml:space="preserve"> measures in the field of </w:t>
      </w:r>
      <w:r w:rsidR="00053FE1">
        <w:t>inventions related to atomic energy</w:t>
      </w:r>
      <w:r w:rsidR="007351F4">
        <w:t>.</w:t>
      </w:r>
    </w:p>
    <w:p w:rsidR="00053FE1" w:rsidRDefault="00053FE1" w:rsidP="00CE1653"/>
    <w:p w:rsidR="0004329E" w:rsidRPr="00246C1E" w:rsidRDefault="0074565A" w:rsidP="006C20B0">
      <w:pPr>
        <w:pStyle w:val="Heading3"/>
        <w:spacing w:before="0" w:after="0"/>
        <w:contextualSpacing/>
        <w:rPr>
          <w:u w:val="none"/>
        </w:rPr>
      </w:pPr>
      <w:bookmarkStart w:id="19" w:name="_Toc413401198"/>
      <w:r>
        <w:rPr>
          <w:u w:val="none"/>
        </w:rPr>
        <w:t>(</w:t>
      </w:r>
      <w:r w:rsidR="00CE1653" w:rsidRPr="00246C1E">
        <w:rPr>
          <w:u w:val="none"/>
        </w:rPr>
        <w:t>a)</w:t>
      </w:r>
      <w:r w:rsidR="00CE1653" w:rsidRPr="00246C1E">
        <w:rPr>
          <w:u w:val="none"/>
        </w:rPr>
        <w:tab/>
      </w:r>
      <w:r w:rsidR="00846A19" w:rsidRPr="006C20B0">
        <w:t>S</w:t>
      </w:r>
      <w:r w:rsidR="00053FE1" w:rsidRPr="006C20B0">
        <w:t xml:space="preserve">ecurity measures related to </w:t>
      </w:r>
      <w:r w:rsidR="001677A2" w:rsidRPr="006C20B0">
        <w:t>patent prosecution</w:t>
      </w:r>
      <w:bookmarkEnd w:id="19"/>
    </w:p>
    <w:p w:rsidR="00562497" w:rsidRDefault="00562497" w:rsidP="00CE1653"/>
    <w:p w:rsidR="00562497" w:rsidRDefault="001052F2" w:rsidP="00CE1653">
      <w:r>
        <w:fldChar w:fldCharType="begin"/>
      </w:r>
      <w:r>
        <w:instrText xml:space="preserve"> AUTONUM  </w:instrText>
      </w:r>
      <w:r>
        <w:fldChar w:fldCharType="end"/>
      </w:r>
      <w:r>
        <w:tab/>
      </w:r>
      <w:r w:rsidR="00562497">
        <w:t>In a certain number of countries</w:t>
      </w:r>
      <w:r w:rsidR="008F5765">
        <w:t>,</w:t>
      </w:r>
      <w:r w:rsidR="00562497">
        <w:t xml:space="preserve"> the national legislation provides for the possibility to declare a patent application “secret”</w:t>
      </w:r>
      <w:r w:rsidR="008F5765">
        <w:t>.</w:t>
      </w:r>
      <w:r w:rsidR="00562497">
        <w:rPr>
          <w:rStyle w:val="FootnoteReference"/>
        </w:rPr>
        <w:footnoteReference w:id="70"/>
      </w:r>
      <w:r w:rsidR="00562497">
        <w:t xml:space="preserve"> </w:t>
      </w:r>
      <w:r w:rsidR="003B4ED5">
        <w:t xml:space="preserve"> </w:t>
      </w:r>
      <w:r w:rsidR="008F5765">
        <w:t xml:space="preserve">In general, </w:t>
      </w:r>
      <w:r w:rsidR="002E7F1D">
        <w:t>this</w:t>
      </w:r>
      <w:r w:rsidR="00562497">
        <w:t xml:space="preserve"> means that </w:t>
      </w:r>
      <w:r w:rsidR="008F5765">
        <w:t xml:space="preserve">neither </w:t>
      </w:r>
      <w:r w:rsidR="00562497">
        <w:t xml:space="preserve">the patent application </w:t>
      </w:r>
      <w:r w:rsidR="008F5765">
        <w:t xml:space="preserve">nor the final patent </w:t>
      </w:r>
      <w:r w:rsidR="00B655EB">
        <w:t>document is</w:t>
      </w:r>
      <w:r w:rsidR="008F5765">
        <w:t xml:space="preserve"> </w:t>
      </w:r>
      <w:r w:rsidR="00562497">
        <w:t>published.</w:t>
      </w:r>
    </w:p>
    <w:p w:rsidR="001677A2" w:rsidRPr="001677A2" w:rsidRDefault="001677A2" w:rsidP="001677A2">
      <w:pPr>
        <w:pStyle w:val="ListParagraph"/>
        <w:ind w:left="930"/>
        <w:rPr>
          <w:i/>
        </w:rPr>
      </w:pPr>
    </w:p>
    <w:p w:rsidR="00B563A9" w:rsidRDefault="001052F2" w:rsidP="00B563A9">
      <w:r>
        <w:fldChar w:fldCharType="begin"/>
      </w:r>
      <w:r>
        <w:instrText xml:space="preserve"> AUTONUM  </w:instrText>
      </w:r>
      <w:r>
        <w:fldChar w:fldCharType="end"/>
      </w:r>
      <w:r>
        <w:tab/>
      </w:r>
      <w:r w:rsidR="00543531">
        <w:t>In some countries</w:t>
      </w:r>
      <w:r w:rsidR="002E7F1D">
        <w:t>,</w:t>
      </w:r>
      <w:r w:rsidR="00543531">
        <w:t xml:space="preserve"> </w:t>
      </w:r>
      <w:r w:rsidR="001677A2">
        <w:t xml:space="preserve">patents laws give </w:t>
      </w:r>
      <w:r w:rsidR="00567F59">
        <w:t>the</w:t>
      </w:r>
      <w:r w:rsidR="001677A2">
        <w:t xml:space="preserve"> patent office</w:t>
      </w:r>
      <w:r w:rsidR="00543531">
        <w:t xml:space="preserve"> </w:t>
      </w:r>
      <w:r w:rsidR="00567F59">
        <w:t xml:space="preserve">the </w:t>
      </w:r>
      <w:r w:rsidR="00F341B7">
        <w:t>facul</w:t>
      </w:r>
      <w:r w:rsidR="00567F59">
        <w:t xml:space="preserve">ty </w:t>
      </w:r>
      <w:r w:rsidR="00543531">
        <w:t xml:space="preserve">to keep secret information </w:t>
      </w:r>
      <w:r w:rsidR="00724B9E">
        <w:t xml:space="preserve">that </w:t>
      </w:r>
      <w:r w:rsidR="00543531">
        <w:t>rela</w:t>
      </w:r>
      <w:r w:rsidR="001677A2">
        <w:t>tes to national security</w:t>
      </w:r>
      <w:r w:rsidR="007C457E">
        <w:rPr>
          <w:rStyle w:val="FootnoteReference"/>
        </w:rPr>
        <w:footnoteReference w:id="71"/>
      </w:r>
      <w:r w:rsidR="001677A2">
        <w:t xml:space="preserve"> </w:t>
      </w:r>
      <w:r w:rsidR="00A7104F">
        <w:t>while</w:t>
      </w:r>
      <w:r w:rsidR="00B563A9">
        <w:t xml:space="preserve"> </w:t>
      </w:r>
      <w:r w:rsidR="00A7104F">
        <w:t>i</w:t>
      </w:r>
      <w:r w:rsidR="00B563A9">
        <w:t>n other cases</w:t>
      </w:r>
      <w:r w:rsidR="009F2935">
        <w:t>,</w:t>
      </w:r>
      <w:r w:rsidR="00B563A9">
        <w:t xml:space="preserve"> the patent office pass</w:t>
      </w:r>
      <w:r w:rsidR="00562497">
        <w:t>es</w:t>
      </w:r>
      <w:r w:rsidR="00B563A9">
        <w:t xml:space="preserve"> </w:t>
      </w:r>
      <w:r w:rsidR="009F2935">
        <w:t xml:space="preserve">the patent application </w:t>
      </w:r>
      <w:r w:rsidR="00B563A9">
        <w:t xml:space="preserve">to the competent authority to verify if the invention might relate to the national defense or security.  The authority in charge of the examination of the “secret” character of the invention </w:t>
      </w:r>
      <w:r w:rsidR="00BA2C31">
        <w:t xml:space="preserve">may </w:t>
      </w:r>
      <w:r w:rsidR="00B563A9">
        <w:t>vary from country to country</w:t>
      </w:r>
      <w:r w:rsidR="00F341B7">
        <w:t>;</w:t>
      </w:r>
      <w:r w:rsidR="00562497">
        <w:t xml:space="preserve"> for instance</w:t>
      </w:r>
      <w:r w:rsidR="00B563A9">
        <w:t xml:space="preserve"> in Egypt</w:t>
      </w:r>
      <w:r w:rsidR="00B563A9">
        <w:rPr>
          <w:rStyle w:val="FootnoteReference"/>
        </w:rPr>
        <w:footnoteReference w:id="72"/>
      </w:r>
      <w:r w:rsidR="00B563A9">
        <w:t xml:space="preserve">, </w:t>
      </w:r>
      <w:r w:rsidR="00FE1919">
        <w:t>whether the authority in charge is the M</w:t>
      </w:r>
      <w:r w:rsidR="00B563A9">
        <w:t xml:space="preserve">inistry of Defense, the Ministry of Military </w:t>
      </w:r>
      <w:r w:rsidR="00EE34C7">
        <w:t>P</w:t>
      </w:r>
      <w:r w:rsidR="00B563A9">
        <w:t>roduction, the Ministry of Interior or the Ministry of Health</w:t>
      </w:r>
      <w:r w:rsidR="00B563A9" w:rsidRPr="00D06C8D">
        <w:t xml:space="preserve"> </w:t>
      </w:r>
      <w:r w:rsidR="00562497">
        <w:t>depend</w:t>
      </w:r>
      <w:r w:rsidR="00FE1919">
        <w:t>s</w:t>
      </w:r>
      <w:r w:rsidR="00562497">
        <w:t xml:space="preserve"> on the subject matter.</w:t>
      </w:r>
      <w:r w:rsidR="00562497" w:rsidRPr="00562497">
        <w:t xml:space="preserve"> </w:t>
      </w:r>
      <w:r w:rsidR="00562497">
        <w:t xml:space="preserve"> In the case Albania, Netherlands</w:t>
      </w:r>
      <w:r w:rsidR="00EE34C7">
        <w:t xml:space="preserve"> and </w:t>
      </w:r>
      <w:r w:rsidR="00562497">
        <w:t xml:space="preserve">New Zealand, the authority </w:t>
      </w:r>
      <w:r w:rsidR="00EE34C7">
        <w:t xml:space="preserve">competent </w:t>
      </w:r>
      <w:r w:rsidR="00562497">
        <w:t xml:space="preserve">to classify the invention as a “state secret” </w:t>
      </w:r>
      <w:r w:rsidR="00F341B7">
        <w:t>is</w:t>
      </w:r>
      <w:r w:rsidR="00562497">
        <w:t xml:space="preserve"> the </w:t>
      </w:r>
      <w:r w:rsidR="00B563A9">
        <w:t xml:space="preserve">Ministry of </w:t>
      </w:r>
      <w:proofErr w:type="spellStart"/>
      <w:r w:rsidR="00EE34C7">
        <w:t>Defence</w:t>
      </w:r>
      <w:proofErr w:type="spellEnd"/>
      <w:r w:rsidR="00562497">
        <w:t>.</w:t>
      </w:r>
      <w:r w:rsidR="00B563A9">
        <w:t xml:space="preserve">  In the United Kingdom</w:t>
      </w:r>
      <w:r w:rsidR="00C67B00">
        <w:t>,</w:t>
      </w:r>
      <w:r w:rsidR="00B563A9">
        <w:t xml:space="preserve"> the authority in charge of considering whether the publication of the application or the publication or communication of the information in question would be prejudicial to national security or the safety of the public is the Secretary of State.</w:t>
      </w:r>
    </w:p>
    <w:p w:rsidR="005D7AF6" w:rsidRDefault="005D7AF6" w:rsidP="0004329E"/>
    <w:p w:rsidR="004743B7" w:rsidRDefault="001052F2" w:rsidP="00A7104F">
      <w:r>
        <w:fldChar w:fldCharType="begin"/>
      </w:r>
      <w:r>
        <w:instrText xml:space="preserve"> AUTONUM  </w:instrText>
      </w:r>
      <w:r>
        <w:fldChar w:fldCharType="end"/>
      </w:r>
      <w:r>
        <w:tab/>
      </w:r>
      <w:r w:rsidR="005D7AF6">
        <w:t xml:space="preserve">Taking into account that Member States </w:t>
      </w:r>
      <w:r w:rsidR="00D2186E">
        <w:t>have the faculty</w:t>
      </w:r>
      <w:r w:rsidR="005D7AF6">
        <w:t xml:space="preserve"> to define what </w:t>
      </w:r>
      <w:r w:rsidR="00D2186E">
        <w:t>their “essential security interests” are</w:t>
      </w:r>
      <w:r w:rsidR="00C67B00">
        <w:t>,</w:t>
      </w:r>
      <w:r w:rsidR="005D7AF6">
        <w:t xml:space="preserve"> and which measures </w:t>
      </w:r>
      <w:r w:rsidR="00C67B00">
        <w:t xml:space="preserve">may be adopted </w:t>
      </w:r>
      <w:r w:rsidR="005D7AF6">
        <w:t xml:space="preserve">to protect </w:t>
      </w:r>
      <w:r w:rsidR="00C67B00">
        <w:t>such interests</w:t>
      </w:r>
      <w:r w:rsidR="005D7AF6">
        <w:t xml:space="preserve">, </w:t>
      </w:r>
      <w:r w:rsidR="00562497">
        <w:t>the laws and practice</w:t>
      </w:r>
      <w:r w:rsidR="00C67B00">
        <w:t>s</w:t>
      </w:r>
      <w:r w:rsidR="00562497">
        <w:t xml:space="preserve"> are</w:t>
      </w:r>
      <w:r w:rsidR="00D2186E">
        <w:t xml:space="preserve"> very diverse.  Some common features </w:t>
      </w:r>
      <w:r w:rsidR="00562497">
        <w:t xml:space="preserve">could be groped </w:t>
      </w:r>
      <w:r w:rsidR="00D2186E">
        <w:t>a</w:t>
      </w:r>
      <w:r w:rsidR="00562497">
        <w:t>s follows</w:t>
      </w:r>
      <w:r w:rsidR="004743B7">
        <w:t>:</w:t>
      </w:r>
      <w:r w:rsidR="00A7104F">
        <w:t xml:space="preserve"> i</w:t>
      </w:r>
      <w:r w:rsidR="00D2186E">
        <w:t>ndication</w:t>
      </w:r>
      <w:r w:rsidR="00303E8B">
        <w:t xml:space="preserve"> of</w:t>
      </w:r>
      <w:r w:rsidR="004743B7">
        <w:t xml:space="preserve"> inventions </w:t>
      </w:r>
      <w:r w:rsidR="00D2186E">
        <w:t xml:space="preserve">that </w:t>
      </w:r>
      <w:r w:rsidR="00F3588A">
        <w:t xml:space="preserve">have </w:t>
      </w:r>
      <w:r w:rsidR="00D2186E">
        <w:t>to</w:t>
      </w:r>
      <w:r w:rsidR="004743B7">
        <w:t xml:space="preserve"> be kept secret</w:t>
      </w:r>
      <w:r w:rsidR="00303E8B">
        <w:t>;</w:t>
      </w:r>
      <w:r w:rsidR="00A7104F">
        <w:t xml:space="preserve"> r</w:t>
      </w:r>
      <w:r w:rsidR="00D2186E">
        <w:t>equirements to delay/avoid</w:t>
      </w:r>
      <w:r w:rsidR="004743B7">
        <w:t xml:space="preserve"> publication of the above</w:t>
      </w:r>
      <w:r w:rsidR="00736C4F">
        <w:t>-</w:t>
      </w:r>
      <w:r w:rsidR="004743B7">
        <w:t>mentioned patent applications</w:t>
      </w:r>
      <w:r w:rsidR="00303E8B">
        <w:t>;</w:t>
      </w:r>
      <w:r w:rsidR="00A7104F">
        <w:t xml:space="preserve"> c</w:t>
      </w:r>
      <w:r w:rsidR="00D2186E">
        <w:t>ompensation for state use/</w:t>
      </w:r>
      <w:r w:rsidR="00303E8B">
        <w:t>assignment</w:t>
      </w:r>
      <w:r w:rsidR="004743B7">
        <w:t xml:space="preserve"> </w:t>
      </w:r>
      <w:r w:rsidR="00D2186E">
        <w:t>of the invention</w:t>
      </w:r>
      <w:r w:rsidR="00303E8B">
        <w:t>;</w:t>
      </w:r>
      <w:r w:rsidR="008F7EBC">
        <w:t xml:space="preserve"> and</w:t>
      </w:r>
    </w:p>
    <w:p w:rsidR="004743B7" w:rsidRDefault="00A7104F" w:rsidP="00A7104F">
      <w:proofErr w:type="gramStart"/>
      <w:r>
        <w:t>r</w:t>
      </w:r>
      <w:r w:rsidR="004743B7" w:rsidRPr="00B563A9">
        <w:t>estrictions</w:t>
      </w:r>
      <w:proofErr w:type="gramEnd"/>
      <w:r w:rsidR="004743B7" w:rsidRPr="00B563A9">
        <w:t xml:space="preserve"> </w:t>
      </w:r>
      <w:r w:rsidR="00736C4F">
        <w:t>on</w:t>
      </w:r>
      <w:r w:rsidR="004743B7" w:rsidRPr="00B563A9">
        <w:t xml:space="preserve"> patenting the secret invention in other countries</w:t>
      </w:r>
      <w:r w:rsidR="008F7EBC">
        <w:t>.</w:t>
      </w:r>
    </w:p>
    <w:p w:rsidR="00B554CE" w:rsidRDefault="00B554CE" w:rsidP="00B554CE">
      <w:pPr>
        <w:pStyle w:val="ListParagraph"/>
        <w:ind w:left="1701"/>
      </w:pPr>
    </w:p>
    <w:p w:rsidR="00053FE1" w:rsidRPr="00152E0B" w:rsidRDefault="007B3BFF" w:rsidP="007B3BFF">
      <w:pPr>
        <w:pStyle w:val="Heading4"/>
      </w:pPr>
      <w:r>
        <w:t>(</w:t>
      </w:r>
      <w:proofErr w:type="spellStart"/>
      <w:r>
        <w:t>i</w:t>
      </w:r>
      <w:proofErr w:type="spellEnd"/>
      <w:r>
        <w:t>)</w:t>
      </w:r>
      <w:r>
        <w:tab/>
      </w:r>
      <w:r w:rsidR="007351F4" w:rsidRPr="007351F4">
        <w:t>Indication of i</w:t>
      </w:r>
      <w:r w:rsidR="002774C5" w:rsidRPr="00152E0B">
        <w:t xml:space="preserve">nventions </w:t>
      </w:r>
      <w:r w:rsidR="007351F4">
        <w:t xml:space="preserve">that have </w:t>
      </w:r>
      <w:r w:rsidR="002774C5" w:rsidRPr="00152E0B">
        <w:t>to b</w:t>
      </w:r>
      <w:r w:rsidR="00B57E9F" w:rsidRPr="00152E0B">
        <w:t>e kept secret</w:t>
      </w:r>
    </w:p>
    <w:p w:rsidR="00236BE5" w:rsidRPr="005D7AF6" w:rsidRDefault="00236BE5" w:rsidP="00B563A9">
      <w:pPr>
        <w:rPr>
          <w:i/>
        </w:rPr>
      </w:pPr>
    </w:p>
    <w:p w:rsidR="002774C5" w:rsidRDefault="001052F2" w:rsidP="00B563A9">
      <w:r>
        <w:fldChar w:fldCharType="begin"/>
      </w:r>
      <w:r>
        <w:instrText xml:space="preserve"> AUTONUM  </w:instrText>
      </w:r>
      <w:r>
        <w:fldChar w:fldCharType="end"/>
      </w:r>
      <w:r>
        <w:tab/>
      </w:r>
      <w:r w:rsidR="00F174E8">
        <w:t>The type</w:t>
      </w:r>
      <w:r w:rsidR="005D7AF6">
        <w:t xml:space="preserve"> of invention</w:t>
      </w:r>
      <w:r w:rsidR="00F174E8">
        <w:t>s</w:t>
      </w:r>
      <w:r w:rsidR="00F174E8">
        <w:rPr>
          <w:rStyle w:val="FootnoteReference"/>
        </w:rPr>
        <w:footnoteReference w:id="73"/>
      </w:r>
      <w:r w:rsidR="005D7AF6">
        <w:t xml:space="preserve"> </w:t>
      </w:r>
      <w:r w:rsidR="00A821AF">
        <w:t xml:space="preserve">that </w:t>
      </w:r>
      <w:r w:rsidR="005D7AF6">
        <w:t>must be kept secret can vary from country to country</w:t>
      </w:r>
      <w:r w:rsidR="002774C5">
        <w:t>.</w:t>
      </w:r>
    </w:p>
    <w:p w:rsidR="002774C5" w:rsidRDefault="0099519C" w:rsidP="00B563A9">
      <w:r>
        <w:t>In</w:t>
      </w:r>
      <w:r w:rsidR="002774C5">
        <w:t xml:space="preserve"> some countries</w:t>
      </w:r>
      <w:r w:rsidR="00A821AF">
        <w:t>,</w:t>
      </w:r>
      <w:r w:rsidR="002774C5">
        <w:t xml:space="preserve"> secret inventions are those </w:t>
      </w:r>
      <w:r w:rsidR="00A821AF">
        <w:t xml:space="preserve">that </w:t>
      </w:r>
      <w:r w:rsidR="002774C5">
        <w:t>relate to national</w:t>
      </w:r>
      <w:r w:rsidR="00545D80">
        <w:t xml:space="preserve"> defense</w:t>
      </w:r>
      <w:r>
        <w:rPr>
          <w:rStyle w:val="FootnoteReference"/>
        </w:rPr>
        <w:footnoteReference w:id="74"/>
      </w:r>
      <w:r w:rsidR="00A821AF">
        <w:t xml:space="preserve">, </w:t>
      </w:r>
      <w:r w:rsidR="002B15B3">
        <w:t>a</w:t>
      </w:r>
      <w:r w:rsidR="00236BE5">
        <w:t>ffect the interests of State</w:t>
      </w:r>
      <w:r w:rsidR="00A821AF">
        <w:t xml:space="preserve"> </w:t>
      </w:r>
      <w:r w:rsidR="00236BE5">
        <w:t>defense</w:t>
      </w:r>
      <w:r w:rsidR="00236BE5">
        <w:rPr>
          <w:rStyle w:val="FootnoteReference"/>
        </w:rPr>
        <w:footnoteReference w:id="75"/>
      </w:r>
      <w:r w:rsidR="00A821AF">
        <w:t xml:space="preserve"> </w:t>
      </w:r>
      <w:r w:rsidR="00545D80" w:rsidRPr="00545D80">
        <w:t>or relate to defense purposes</w:t>
      </w:r>
      <w:r w:rsidR="00A821AF">
        <w:t>.</w:t>
      </w:r>
      <w:r w:rsidR="00545D80">
        <w:rPr>
          <w:rStyle w:val="FootnoteReference"/>
        </w:rPr>
        <w:footnoteReference w:id="76"/>
      </w:r>
      <w:r w:rsidR="0040245C">
        <w:t xml:space="preserve"> </w:t>
      </w:r>
      <w:r w:rsidR="002B15B3">
        <w:t xml:space="preserve"> The Polish Patent Law</w:t>
      </w:r>
      <w:r w:rsidR="00CE1653">
        <w:t>, for example,</w:t>
      </w:r>
      <w:r w:rsidR="005A4945">
        <w:t xml:space="preserve"> </w:t>
      </w:r>
      <w:r w:rsidR="002B15B3">
        <w:t>provides a specific definition of inventions concerning national defense and the security of the state</w:t>
      </w:r>
      <w:r w:rsidR="002B15B3">
        <w:rPr>
          <w:rStyle w:val="FootnoteReference"/>
        </w:rPr>
        <w:footnoteReference w:id="77"/>
      </w:r>
      <w:r w:rsidR="00CE1653">
        <w:t>, while o</w:t>
      </w:r>
      <w:r>
        <w:t>ther</w:t>
      </w:r>
      <w:r w:rsidR="006F69F5">
        <w:t xml:space="preserve"> countries refer to inventions concerning</w:t>
      </w:r>
      <w:r>
        <w:t xml:space="preserve"> to safety of the </w:t>
      </w:r>
      <w:r>
        <w:lastRenderedPageBreak/>
        <w:t>public</w:t>
      </w:r>
      <w:r>
        <w:rPr>
          <w:rStyle w:val="FootnoteReference"/>
        </w:rPr>
        <w:footnoteReference w:id="78"/>
      </w:r>
      <w:r w:rsidR="009F72D6">
        <w:t>,</w:t>
      </w:r>
      <w:r w:rsidR="009C4BDA">
        <w:t xml:space="preserve"> </w:t>
      </w:r>
      <w:r w:rsidR="005A4945">
        <w:t xml:space="preserve">inventions in which </w:t>
      </w:r>
      <w:r w:rsidR="009C4BDA">
        <w:t>disclosure might be detrimental to the national security</w:t>
      </w:r>
      <w:r w:rsidR="009C4BDA">
        <w:rPr>
          <w:rStyle w:val="FootnoteReference"/>
        </w:rPr>
        <w:footnoteReference w:id="79"/>
      </w:r>
      <w:r w:rsidR="00236BE5">
        <w:t xml:space="preserve"> </w:t>
      </w:r>
      <w:r w:rsidR="002B15B3">
        <w:t>or</w:t>
      </w:r>
      <w:r w:rsidR="00236BE5">
        <w:t xml:space="preserve"> inventions prejudicial </w:t>
      </w:r>
      <w:r w:rsidR="009F72D6">
        <w:t xml:space="preserve">to both </w:t>
      </w:r>
      <w:r w:rsidR="00236BE5">
        <w:t xml:space="preserve">national </w:t>
      </w:r>
      <w:r w:rsidR="002B15B3">
        <w:t>defense</w:t>
      </w:r>
      <w:r w:rsidR="00236BE5">
        <w:t xml:space="preserve"> and </w:t>
      </w:r>
      <w:r w:rsidR="00DF5F65">
        <w:t xml:space="preserve">security </w:t>
      </w:r>
      <w:r w:rsidR="009F72D6">
        <w:t xml:space="preserve">or </w:t>
      </w:r>
      <w:r w:rsidR="00236BE5">
        <w:t xml:space="preserve">safety of </w:t>
      </w:r>
      <w:r w:rsidR="009F72D6">
        <w:t xml:space="preserve">the </w:t>
      </w:r>
      <w:r w:rsidR="00236BE5">
        <w:t>public (</w:t>
      </w:r>
      <w:r w:rsidR="00DF5F65">
        <w:t>for instance</w:t>
      </w:r>
      <w:r w:rsidR="005A4945">
        <w:t>,</w:t>
      </w:r>
      <w:r w:rsidR="00DF5F65">
        <w:t xml:space="preserve"> </w:t>
      </w:r>
      <w:r w:rsidR="00B666D0">
        <w:t>Luxembourg</w:t>
      </w:r>
      <w:r w:rsidR="00DF5F65">
        <w:t>, Montenegro and Kenya</w:t>
      </w:r>
      <w:r w:rsidR="00BB5194">
        <w:t xml:space="preserve">) or </w:t>
      </w:r>
      <w:r w:rsidR="009F72D6">
        <w:t xml:space="preserve">inventions that are </w:t>
      </w:r>
      <w:r w:rsidR="00BB5194">
        <w:t>prejudicial to the interest or sec</w:t>
      </w:r>
      <w:r w:rsidR="002B15B3">
        <w:t>urity of the nation (Malaysia).</w:t>
      </w:r>
    </w:p>
    <w:p w:rsidR="003E5EDB" w:rsidRDefault="003E5EDB" w:rsidP="00B563A9"/>
    <w:p w:rsidR="003E5EDB" w:rsidRDefault="001052F2" w:rsidP="00B563A9">
      <w:r>
        <w:fldChar w:fldCharType="begin"/>
      </w:r>
      <w:r>
        <w:instrText xml:space="preserve"> AUTONUM  </w:instrText>
      </w:r>
      <w:r>
        <w:fldChar w:fldCharType="end"/>
      </w:r>
      <w:r>
        <w:tab/>
      </w:r>
      <w:r w:rsidR="007351F4">
        <w:t>In the same vein, t</w:t>
      </w:r>
      <w:r w:rsidR="00676EAC">
        <w:t xml:space="preserve">he legislation of some countries </w:t>
      </w:r>
      <w:r w:rsidR="002D203A">
        <w:t>refers</w:t>
      </w:r>
      <w:r w:rsidR="00BB5194">
        <w:t xml:space="preserve"> to inventions </w:t>
      </w:r>
      <w:r w:rsidR="002B15B3">
        <w:t>related to weapons</w:t>
      </w:r>
      <w:r w:rsidR="00676EAC">
        <w:t xml:space="preserve">; </w:t>
      </w:r>
      <w:r w:rsidR="00BB5194" w:rsidRPr="00BB5194">
        <w:t>for instance, the law</w:t>
      </w:r>
      <w:r w:rsidR="0097584A">
        <w:t>s</w:t>
      </w:r>
      <w:r w:rsidR="00BB5194" w:rsidRPr="00BB5194">
        <w:t xml:space="preserve"> of Bangladesh and Canada refer to inventions concerning improvement in instruments or munitions of war.  Similarly, the Patent Law of Denmark </w:t>
      </w:r>
      <w:r w:rsidR="007351F4">
        <w:t xml:space="preserve">refers to </w:t>
      </w:r>
      <w:r w:rsidR="00BB5194" w:rsidRPr="00BB5194">
        <w:t>“inventions relating to war material and processes for the</w:t>
      </w:r>
      <w:r w:rsidR="002B15B3">
        <w:t xml:space="preserve"> manufacture of war material”.</w:t>
      </w:r>
    </w:p>
    <w:p w:rsidR="002B15B3" w:rsidRDefault="002B15B3" w:rsidP="00B563A9"/>
    <w:p w:rsidR="00D75D39" w:rsidRDefault="001052F2" w:rsidP="00B563A9">
      <w:r>
        <w:fldChar w:fldCharType="begin"/>
      </w:r>
      <w:r>
        <w:instrText xml:space="preserve"> AUTONUM  </w:instrText>
      </w:r>
      <w:r>
        <w:fldChar w:fldCharType="end"/>
      </w:r>
      <w:r>
        <w:tab/>
      </w:r>
      <w:r w:rsidR="00757DA0">
        <w:t xml:space="preserve">A certain number of countries </w:t>
      </w:r>
      <w:r w:rsidR="002B15B3">
        <w:t>have</w:t>
      </w:r>
      <w:r w:rsidR="00757DA0">
        <w:t xml:space="preserve"> </w:t>
      </w:r>
      <w:r w:rsidR="00236BE5">
        <w:t xml:space="preserve">introduced </w:t>
      </w:r>
      <w:r w:rsidR="00757DA0">
        <w:t>a more</w:t>
      </w:r>
      <w:r w:rsidR="00543531">
        <w:t xml:space="preserve"> elaborated </w:t>
      </w:r>
      <w:r w:rsidR="002B15B3">
        <w:t>set of provisions concerning secret inventions</w:t>
      </w:r>
      <w:r w:rsidR="000E1A2A">
        <w:t xml:space="preserve">: </w:t>
      </w:r>
      <w:r w:rsidR="002B15B3">
        <w:t xml:space="preserve"> </w:t>
      </w:r>
      <w:r w:rsidR="00757DA0">
        <w:t xml:space="preserve">for </w:t>
      </w:r>
      <w:r w:rsidR="00EB2BCD">
        <w:t>example</w:t>
      </w:r>
      <w:r w:rsidR="002B15B3">
        <w:t>,</w:t>
      </w:r>
      <w:r w:rsidR="00757DA0">
        <w:t xml:space="preserve"> </w:t>
      </w:r>
      <w:r w:rsidR="00517281">
        <w:t xml:space="preserve">Article 24 of the </w:t>
      </w:r>
      <w:r w:rsidR="00543531">
        <w:t>Patent</w:t>
      </w:r>
      <w:r w:rsidR="004C266E">
        <w:t xml:space="preserve"> </w:t>
      </w:r>
      <w:r w:rsidR="00543531">
        <w:t>Law</w:t>
      </w:r>
      <w:r w:rsidR="004C266E">
        <w:t xml:space="preserve"> </w:t>
      </w:r>
      <w:r w:rsidR="00543531">
        <w:t xml:space="preserve">of Bulgaria explains that </w:t>
      </w:r>
      <w:r w:rsidR="00D75D39">
        <w:t>“</w:t>
      </w:r>
      <w:r w:rsidR="00543531">
        <w:t>secret inventions</w:t>
      </w:r>
      <w:r w:rsidR="00236BE5">
        <w:t xml:space="preserve"> ar</w:t>
      </w:r>
      <w:r w:rsidR="00D75D39">
        <w:t>e inventions which contain classified information representing a state secret within the meaning of Article 25 of the Law on Protection of Classified Information”</w:t>
      </w:r>
      <w:r w:rsidR="004C266E">
        <w:t>.</w:t>
      </w:r>
      <w:r w:rsidR="00D75D39">
        <w:t xml:space="preserve">  </w:t>
      </w:r>
      <w:r w:rsidR="000E1A2A">
        <w:t>T</w:t>
      </w:r>
      <w:r w:rsidR="007351F4">
        <w:t>his latter provision</w:t>
      </w:r>
      <w:r w:rsidR="00D75D39">
        <w:t xml:space="preserve"> establishes that </w:t>
      </w:r>
      <w:r w:rsidR="004E2703">
        <w:t xml:space="preserve">a </w:t>
      </w:r>
      <w:r w:rsidR="00D75D39">
        <w:t>“</w:t>
      </w:r>
      <w:r w:rsidR="00D75D39" w:rsidRPr="00D75D39">
        <w:t xml:space="preserve">State secret is such information, as listed in Schedule 1, the </w:t>
      </w:r>
      <w:r w:rsidR="002B15B3" w:rsidRPr="00D75D39">
        <w:t>unauthorized</w:t>
      </w:r>
      <w:r w:rsidR="00D75D39" w:rsidRPr="00D75D39">
        <w:t xml:space="preserve"> access to which might threaten or prejudice such interests of the Republic of Bulgaria as relate to national security, </w:t>
      </w:r>
      <w:r w:rsidR="002B15B3" w:rsidRPr="00D75D39">
        <w:t>defense</w:t>
      </w:r>
      <w:r w:rsidR="00D75D39" w:rsidRPr="00D75D39">
        <w:t>, foreign policy or the protection of the constitution</w:t>
      </w:r>
      <w:r w:rsidR="00D75D39">
        <w:t>al order”</w:t>
      </w:r>
      <w:r w:rsidR="004E2703">
        <w:t xml:space="preserve"> </w:t>
      </w:r>
      <w:r w:rsidR="00D75D39">
        <w:t xml:space="preserve">and </w:t>
      </w:r>
      <w:r w:rsidR="004E2703">
        <w:t xml:space="preserve">in </w:t>
      </w:r>
      <w:r w:rsidR="00D75D39">
        <w:t>that regard</w:t>
      </w:r>
      <w:r w:rsidR="004E2703">
        <w:t>,</w:t>
      </w:r>
      <w:r w:rsidR="00D75D39">
        <w:t xml:space="preserve"> Schedule 1 contains a</w:t>
      </w:r>
      <w:r w:rsidR="00FA08B0">
        <w:t xml:space="preserve"> </w:t>
      </w:r>
      <w:r w:rsidR="00D75D39">
        <w:t xml:space="preserve">long and detailed list of what might be considered </w:t>
      </w:r>
      <w:r w:rsidR="00FA08B0">
        <w:t xml:space="preserve">a </w:t>
      </w:r>
      <w:r w:rsidR="00D75D39">
        <w:t>secret invention.</w:t>
      </w:r>
      <w:r w:rsidR="00D75D39">
        <w:rPr>
          <w:rStyle w:val="FootnoteReference"/>
        </w:rPr>
        <w:footnoteReference w:id="80"/>
      </w:r>
      <w:r w:rsidR="009D3F4F">
        <w:t xml:space="preserve">  Some other laws adopt a broader approach:</w:t>
      </w:r>
      <w:r w:rsidR="00D4167F">
        <w:t xml:space="preserve"> </w:t>
      </w:r>
      <w:r w:rsidR="009D3F4F">
        <w:t xml:space="preserve"> for instance the </w:t>
      </w:r>
      <w:r w:rsidR="000E1A2A">
        <w:t>Law on Industrial P</w:t>
      </w:r>
      <w:r w:rsidR="009D3F4F">
        <w:t>roperty of the Democratic Republic of Congo specifies that “inventions and discoveries (…)</w:t>
      </w:r>
      <w:r w:rsidR="006F69F5">
        <w:t xml:space="preserve"> </w:t>
      </w:r>
      <w:r w:rsidR="009D3F4F">
        <w:t>of particular interest for the national interest may be declared secret.  They may concern any field, especially that of national defense and security”.</w:t>
      </w:r>
    </w:p>
    <w:p w:rsidR="00FE617E" w:rsidRDefault="00FE617E" w:rsidP="00B563A9"/>
    <w:p w:rsidR="009D3F4F" w:rsidRPr="00152E0B" w:rsidRDefault="00934FFA" w:rsidP="00934FFA">
      <w:pPr>
        <w:pStyle w:val="Heading4"/>
      </w:pPr>
      <w:r>
        <w:t>(ii)</w:t>
      </w:r>
      <w:r>
        <w:tab/>
      </w:r>
      <w:r w:rsidR="00FE617E" w:rsidRPr="00152E0B">
        <w:t>Requirements to delay/avoid publication of the above mentioned patent applications</w:t>
      </w:r>
    </w:p>
    <w:p w:rsidR="00C337A1" w:rsidRDefault="00C337A1" w:rsidP="00B563A9">
      <w:pPr>
        <w:rPr>
          <w:i/>
        </w:rPr>
      </w:pPr>
    </w:p>
    <w:p w:rsidR="00852E36" w:rsidRDefault="001052F2" w:rsidP="00B563A9">
      <w:r>
        <w:fldChar w:fldCharType="begin"/>
      </w:r>
      <w:r>
        <w:instrText xml:space="preserve"> AUTONUM  </w:instrText>
      </w:r>
      <w:r>
        <w:fldChar w:fldCharType="end"/>
      </w:r>
      <w:r>
        <w:tab/>
      </w:r>
      <w:r w:rsidR="00FE617E">
        <w:t>In some jurisdictions</w:t>
      </w:r>
      <w:r w:rsidR="00B84098">
        <w:rPr>
          <w:rStyle w:val="FootnoteReference"/>
        </w:rPr>
        <w:footnoteReference w:id="81"/>
      </w:r>
      <w:r w:rsidR="0080214E">
        <w:t>,</w:t>
      </w:r>
      <w:r w:rsidR="00FE617E">
        <w:t xml:space="preserve"> </w:t>
      </w:r>
      <w:r w:rsidR="00773755">
        <w:t>i</w:t>
      </w:r>
      <w:r w:rsidR="00FE617E">
        <w:t>f the patent office deems</w:t>
      </w:r>
      <w:r w:rsidR="004F6A2B">
        <w:t xml:space="preserve"> that an invention relate</w:t>
      </w:r>
      <w:r w:rsidR="00FE617E">
        <w:t>s to defense</w:t>
      </w:r>
      <w:r w:rsidR="004F6A2B">
        <w:t xml:space="preserve"> </w:t>
      </w:r>
      <w:r w:rsidR="00FE617E">
        <w:t xml:space="preserve">or </w:t>
      </w:r>
      <w:r w:rsidR="004F6A2B">
        <w:t xml:space="preserve">national security, </w:t>
      </w:r>
      <w:r w:rsidR="00773755">
        <w:t xml:space="preserve">the competent </w:t>
      </w:r>
      <w:r w:rsidR="0036548F">
        <w:t xml:space="preserve">authority </w:t>
      </w:r>
      <w:r w:rsidR="00FD1742">
        <w:t xml:space="preserve">proceeds </w:t>
      </w:r>
      <w:r w:rsidR="004F6A2B">
        <w:t xml:space="preserve">to evaluate </w:t>
      </w:r>
      <w:r w:rsidR="00773755">
        <w:t xml:space="preserve">whether </w:t>
      </w:r>
      <w:r w:rsidR="004F6A2B">
        <w:t xml:space="preserve">the publication of the patent application might </w:t>
      </w:r>
      <w:r w:rsidR="0080214E">
        <w:t xml:space="preserve">prejudice </w:t>
      </w:r>
      <w:r w:rsidR="004F6A2B">
        <w:t xml:space="preserve">interests such as national </w:t>
      </w:r>
      <w:r w:rsidR="001E34DF">
        <w:t>defense</w:t>
      </w:r>
      <w:r w:rsidR="004F6A2B">
        <w:t xml:space="preserve">.  In certain cases, the publication is banned </w:t>
      </w:r>
      <w:r w:rsidR="004F6A2B" w:rsidRPr="009C4BDA">
        <w:rPr>
          <w:i/>
        </w:rPr>
        <w:t>a priori</w:t>
      </w:r>
      <w:r w:rsidR="00B84098">
        <w:rPr>
          <w:rStyle w:val="FootnoteReference"/>
          <w:i/>
        </w:rPr>
        <w:footnoteReference w:id="82"/>
      </w:r>
      <w:r w:rsidR="001E34DF">
        <w:t xml:space="preserve">.  </w:t>
      </w:r>
      <w:r w:rsidR="00852E36">
        <w:t xml:space="preserve">The time </w:t>
      </w:r>
      <w:r w:rsidR="003F3739">
        <w:t xml:space="preserve">during </w:t>
      </w:r>
      <w:r w:rsidR="00852E36">
        <w:t>which an inventi</w:t>
      </w:r>
      <w:r w:rsidR="001E34DF">
        <w:t xml:space="preserve">on must be kept </w:t>
      </w:r>
      <w:r w:rsidR="009656CA">
        <w:t xml:space="preserve">secret varies </w:t>
      </w:r>
      <w:r w:rsidR="001E34DF">
        <w:t xml:space="preserve">significantly </w:t>
      </w:r>
      <w:r w:rsidR="009656CA">
        <w:t xml:space="preserve">among </w:t>
      </w:r>
      <w:r w:rsidR="001E34DF">
        <w:t>the laws analyzed</w:t>
      </w:r>
      <w:r w:rsidR="00F93C3B">
        <w:t xml:space="preserve">, </w:t>
      </w:r>
      <w:r w:rsidR="001E34DF">
        <w:t xml:space="preserve">e.g., the </w:t>
      </w:r>
      <w:r w:rsidR="00251B91">
        <w:t xml:space="preserve">law of the </w:t>
      </w:r>
      <w:r w:rsidR="001E34DF">
        <w:t>United S</w:t>
      </w:r>
      <w:r w:rsidR="00852E36">
        <w:t xml:space="preserve">tates </w:t>
      </w:r>
      <w:r w:rsidR="00251B91">
        <w:t xml:space="preserve">of America </w:t>
      </w:r>
      <w:r w:rsidR="00F3256E">
        <w:t>provid</w:t>
      </w:r>
      <w:r w:rsidR="00852E36">
        <w:t>es that “</w:t>
      </w:r>
      <w:r w:rsidR="00251B91">
        <w:t>[a]</w:t>
      </w:r>
      <w:r w:rsidR="00852E36" w:rsidRPr="00852E36">
        <w:t>n invention shall not be ordered kept secret and the publication of an application or the grant of a patent withheld for a period of more than one year. The Commissioner of Patents shall renew the order at the end thereof, or at the end of any renewal period, for additional periods of one year upon notification by the head of the department or the chief officer of the agency who caused the order to be issued that an affirmative determination has been made that the national interest continues to so require</w:t>
      </w:r>
      <w:r w:rsidR="00852E36">
        <w:t>”</w:t>
      </w:r>
      <w:r w:rsidR="007900C3">
        <w:t>.</w:t>
      </w:r>
      <w:r w:rsidR="00852E36">
        <w:rPr>
          <w:rStyle w:val="FootnoteReference"/>
        </w:rPr>
        <w:footnoteReference w:id="83"/>
      </w:r>
    </w:p>
    <w:p w:rsidR="001E34DF" w:rsidRPr="004F6A2B" w:rsidRDefault="001E34DF" w:rsidP="00B563A9"/>
    <w:p w:rsidR="00B57E9F" w:rsidRPr="00152E0B" w:rsidRDefault="00980F81" w:rsidP="00980F81">
      <w:pPr>
        <w:pStyle w:val="Heading4"/>
      </w:pPr>
      <w:r>
        <w:t>(iii)</w:t>
      </w:r>
      <w:r>
        <w:tab/>
      </w:r>
      <w:r w:rsidR="00F174E8" w:rsidRPr="00152E0B">
        <w:t xml:space="preserve">Compensation </w:t>
      </w:r>
      <w:r w:rsidR="006D2219" w:rsidRPr="00152E0B">
        <w:t xml:space="preserve">to the patent applicant </w:t>
      </w:r>
      <w:r w:rsidR="00F174E8" w:rsidRPr="00152E0B">
        <w:t>due to</w:t>
      </w:r>
      <w:r w:rsidR="001E34DF" w:rsidRPr="00152E0B">
        <w:t xml:space="preserve"> </w:t>
      </w:r>
      <w:r w:rsidR="00EC0937" w:rsidRPr="00152E0B">
        <w:t>assignment</w:t>
      </w:r>
      <w:r w:rsidR="00B57E9F" w:rsidRPr="00152E0B">
        <w:t xml:space="preserve"> to the State</w:t>
      </w:r>
    </w:p>
    <w:p w:rsidR="00C337A1" w:rsidRDefault="00C337A1" w:rsidP="00B563A9">
      <w:pPr>
        <w:rPr>
          <w:i/>
        </w:rPr>
      </w:pPr>
    </w:p>
    <w:p w:rsidR="005C2F64" w:rsidRDefault="00B9728F" w:rsidP="00B563A9">
      <w:r>
        <w:fldChar w:fldCharType="begin"/>
      </w:r>
      <w:r>
        <w:instrText xml:space="preserve"> AUTONUM  </w:instrText>
      </w:r>
      <w:r>
        <w:fldChar w:fldCharType="end"/>
      </w:r>
      <w:r>
        <w:tab/>
      </w:r>
      <w:r w:rsidR="003E5EDB">
        <w:t>In</w:t>
      </w:r>
      <w:r w:rsidR="00E96135">
        <w:t xml:space="preserve"> a certain number of countries</w:t>
      </w:r>
      <w:r w:rsidR="006C6374">
        <w:t>,</w:t>
      </w:r>
      <w:r w:rsidR="00E96135">
        <w:t xml:space="preserve"> </w:t>
      </w:r>
      <w:r w:rsidR="007351F4">
        <w:t>when an invention falls within the</w:t>
      </w:r>
      <w:r w:rsidR="00E96135">
        <w:t xml:space="preserve"> category</w:t>
      </w:r>
      <w:r w:rsidR="007351F4">
        <w:t xml:space="preserve"> of secret</w:t>
      </w:r>
      <w:r w:rsidR="00E96135">
        <w:t xml:space="preserve">, </w:t>
      </w:r>
      <w:r w:rsidR="00F93C3B">
        <w:t xml:space="preserve">it </w:t>
      </w:r>
      <w:r w:rsidR="00E96135">
        <w:t>h</w:t>
      </w:r>
      <w:r w:rsidR="003E5EDB">
        <w:t>as to be assigned to the state</w:t>
      </w:r>
      <w:r w:rsidR="002F6F0B">
        <w:t>.</w:t>
      </w:r>
      <w:r w:rsidR="004819E4">
        <w:rPr>
          <w:rStyle w:val="FootnoteReference"/>
        </w:rPr>
        <w:footnoteReference w:id="84"/>
      </w:r>
      <w:r w:rsidR="005C2F64" w:rsidRPr="005C2F64">
        <w:t xml:space="preserve"> </w:t>
      </w:r>
      <w:r w:rsidR="005C2F64">
        <w:t xml:space="preserve"> T</w:t>
      </w:r>
      <w:r w:rsidR="005C2F64" w:rsidRPr="002C1623">
        <w:t xml:space="preserve">he Patents Act of Norway provides that the “King may, when </w:t>
      </w:r>
      <w:r w:rsidR="005C2F64" w:rsidRPr="002C1623">
        <w:lastRenderedPageBreak/>
        <w:t>found necessary because of war or danger of war and situations of crisis connected therewith, provide that the right to an invention shall be assigned to the Government or to another p</w:t>
      </w:r>
      <w:r w:rsidR="005C2F64">
        <w:t>arty designated by the King”.</w:t>
      </w:r>
    </w:p>
    <w:p w:rsidR="005C2F64" w:rsidRDefault="005C2F64" w:rsidP="00B563A9"/>
    <w:p w:rsidR="001938DF" w:rsidRPr="00C337A1" w:rsidRDefault="00B9728F" w:rsidP="00B563A9">
      <w:r>
        <w:fldChar w:fldCharType="begin"/>
      </w:r>
      <w:r>
        <w:instrText xml:space="preserve"> AUTONUM  </w:instrText>
      </w:r>
      <w:r>
        <w:fldChar w:fldCharType="end"/>
      </w:r>
      <w:r>
        <w:tab/>
      </w:r>
      <w:r w:rsidR="00FC767F">
        <w:t>In</w:t>
      </w:r>
      <w:r w:rsidR="00A06B9A">
        <w:t xml:space="preserve"> case of </w:t>
      </w:r>
      <w:r w:rsidR="002F6F0B">
        <w:t xml:space="preserve">the </w:t>
      </w:r>
      <w:r w:rsidR="00781962">
        <w:t>assignment</w:t>
      </w:r>
      <w:r w:rsidR="00A06B9A">
        <w:t xml:space="preserve"> </w:t>
      </w:r>
      <w:r w:rsidR="002F6F0B">
        <w:t xml:space="preserve">of the invention and the rights thereto </w:t>
      </w:r>
      <w:r w:rsidR="00A06B9A">
        <w:t xml:space="preserve">to the state, </w:t>
      </w:r>
      <w:r w:rsidR="0036548F">
        <w:t>compensation</w:t>
      </w:r>
      <w:r w:rsidR="001E34DF">
        <w:t xml:space="preserve"> is</w:t>
      </w:r>
      <w:r w:rsidR="00A06B9A">
        <w:t xml:space="preserve"> paid to the </w:t>
      </w:r>
      <w:r w:rsidR="00781962">
        <w:t>patent</w:t>
      </w:r>
      <w:r w:rsidR="00A06B9A">
        <w:t xml:space="preserve"> applicant.</w:t>
      </w:r>
      <w:r w:rsidR="001938DF">
        <w:t xml:space="preserve">  </w:t>
      </w:r>
      <w:r w:rsidR="002F6F0B">
        <w:t xml:space="preserve">The </w:t>
      </w:r>
      <w:r w:rsidR="001938DF">
        <w:t xml:space="preserve">legislation </w:t>
      </w:r>
      <w:r w:rsidR="002F6F0B">
        <w:t xml:space="preserve">of some countries </w:t>
      </w:r>
      <w:r w:rsidR="001938DF">
        <w:t>circumscribe</w:t>
      </w:r>
      <w:r w:rsidR="002F6F0B">
        <w:t>s</w:t>
      </w:r>
      <w:r w:rsidR="001938DF">
        <w:t xml:space="preserve"> </w:t>
      </w:r>
      <w:r w:rsidR="002F6F0B">
        <w:t xml:space="preserve">more than other countries </w:t>
      </w:r>
      <w:r w:rsidR="001938DF">
        <w:t>the concept of compensation, specifying it should be reasonable</w:t>
      </w:r>
      <w:r w:rsidR="001938DF">
        <w:rPr>
          <w:rStyle w:val="FootnoteReference"/>
        </w:rPr>
        <w:footnoteReference w:id="85"/>
      </w:r>
      <w:r w:rsidR="00303E8B">
        <w:t>, fair</w:t>
      </w:r>
      <w:r w:rsidR="00303E8B">
        <w:rPr>
          <w:rStyle w:val="FootnoteReference"/>
        </w:rPr>
        <w:footnoteReference w:id="86"/>
      </w:r>
      <w:r w:rsidR="00303E8B">
        <w:t>,</w:t>
      </w:r>
      <w:r w:rsidR="009F7BD7">
        <w:t xml:space="preserve"> or </w:t>
      </w:r>
      <w:r w:rsidR="009F7BD7" w:rsidRPr="00303E8B">
        <w:t xml:space="preserve">established </w:t>
      </w:r>
      <w:r w:rsidR="00C52900" w:rsidRPr="00303E8B">
        <w:t xml:space="preserve">in proportion </w:t>
      </w:r>
      <w:r w:rsidR="009F7BD7" w:rsidRPr="00303E8B">
        <w:t>to the market value of the invention</w:t>
      </w:r>
      <w:r w:rsidR="002F6F0B">
        <w:t>.</w:t>
      </w:r>
      <w:r w:rsidR="00C52900" w:rsidRPr="00303E8B">
        <w:rPr>
          <w:rStyle w:val="FootnoteReference"/>
        </w:rPr>
        <w:footnoteReference w:id="87"/>
      </w:r>
      <w:r w:rsidR="005776A1">
        <w:t xml:space="preserve">  In </w:t>
      </w:r>
      <w:r w:rsidR="002F6F0B">
        <w:t xml:space="preserve">the </w:t>
      </w:r>
      <w:r w:rsidR="005776A1">
        <w:t>Netherlands</w:t>
      </w:r>
      <w:r w:rsidR="002F6F0B">
        <w:t>,</w:t>
      </w:r>
      <w:r w:rsidR="005776A1">
        <w:t xml:space="preserve"> </w:t>
      </w:r>
      <w:r w:rsidR="002F6F0B">
        <w:t xml:space="preserve">the law provides </w:t>
      </w:r>
      <w:r w:rsidR="005776A1">
        <w:t xml:space="preserve">that the </w:t>
      </w:r>
      <w:r w:rsidR="002F6F0B">
        <w:t xml:space="preserve">state </w:t>
      </w:r>
      <w:r w:rsidR="005776A1">
        <w:t>should award compensation for any damage that the patent applicant of a secret invention has sustained as a result of the provisi</w:t>
      </w:r>
      <w:r w:rsidR="005C3780">
        <w:t>ons of law on secr</w:t>
      </w:r>
      <w:r w:rsidR="001E34DF">
        <w:t>et inventions</w:t>
      </w:r>
      <w:r w:rsidR="002F6F0B">
        <w:t>.</w:t>
      </w:r>
      <w:r w:rsidR="001E34DF">
        <w:t xml:space="preserve"> </w:t>
      </w:r>
      <w:r w:rsidR="002F6F0B">
        <w:t xml:space="preserve"> S</w:t>
      </w:r>
      <w:r w:rsidR="001E34DF">
        <w:t>imilarly</w:t>
      </w:r>
      <w:r w:rsidR="002F6F0B">
        <w:t>,</w:t>
      </w:r>
      <w:r w:rsidR="001E34DF">
        <w:t xml:space="preserve"> </w:t>
      </w:r>
      <w:r w:rsidR="00F3256E">
        <w:t xml:space="preserve">the </w:t>
      </w:r>
      <w:r w:rsidR="005C3780">
        <w:t xml:space="preserve">Patent </w:t>
      </w:r>
      <w:r w:rsidR="001F24CB">
        <w:t>Law</w:t>
      </w:r>
      <w:r w:rsidR="005C3780">
        <w:t xml:space="preserve"> of the U</w:t>
      </w:r>
      <w:r w:rsidR="002F6F0B">
        <w:t xml:space="preserve">nited </w:t>
      </w:r>
      <w:r w:rsidR="005C3780">
        <w:t>S</w:t>
      </w:r>
      <w:r w:rsidR="002F6F0B">
        <w:t>tates of America</w:t>
      </w:r>
      <w:r w:rsidR="005C3780">
        <w:t xml:space="preserve"> use</w:t>
      </w:r>
      <w:r w:rsidR="002F6F0B">
        <w:t>s</w:t>
      </w:r>
      <w:r w:rsidR="005C3780">
        <w:t xml:space="preserve"> the terminology “compensation for the damage caused by the order of secrecy and/or for the use of the invention by the Government”</w:t>
      </w:r>
      <w:r w:rsidR="005C3780">
        <w:rPr>
          <w:rStyle w:val="FootnoteReference"/>
        </w:rPr>
        <w:footnoteReference w:id="88"/>
      </w:r>
      <w:r w:rsidR="00F174E8">
        <w:t xml:space="preserve">, </w:t>
      </w:r>
      <w:r w:rsidR="002F6F0B">
        <w:t xml:space="preserve">whereas </w:t>
      </w:r>
      <w:r w:rsidR="00F174E8">
        <w:t>o</w:t>
      </w:r>
      <w:r w:rsidR="001938DF">
        <w:t xml:space="preserve">ther countries use the term </w:t>
      </w:r>
      <w:r w:rsidR="002F6F0B">
        <w:t>“</w:t>
      </w:r>
      <w:r w:rsidR="001938DF">
        <w:t>indemnification</w:t>
      </w:r>
      <w:r w:rsidR="002F6F0B">
        <w:t>”.</w:t>
      </w:r>
      <w:r w:rsidR="001938DF">
        <w:rPr>
          <w:rStyle w:val="FootnoteReference"/>
        </w:rPr>
        <w:footnoteReference w:id="89"/>
      </w:r>
    </w:p>
    <w:p w:rsidR="00C337A1" w:rsidRDefault="00C337A1" w:rsidP="00B563A9">
      <w:pPr>
        <w:rPr>
          <w:i/>
        </w:rPr>
      </w:pPr>
    </w:p>
    <w:p w:rsidR="00F174E8" w:rsidRDefault="00B9728F" w:rsidP="00B563A9">
      <w:pPr>
        <w:rPr>
          <w:i/>
        </w:rPr>
      </w:pPr>
      <w:r>
        <w:fldChar w:fldCharType="begin"/>
      </w:r>
      <w:r>
        <w:instrText xml:space="preserve"> AUTONUM  </w:instrText>
      </w:r>
      <w:r>
        <w:fldChar w:fldCharType="end"/>
      </w:r>
      <w:r>
        <w:tab/>
      </w:r>
      <w:r w:rsidR="00F174E8">
        <w:t>In some jurisdiction</w:t>
      </w:r>
      <w:r w:rsidR="001F24CB">
        <w:t xml:space="preserve">s </w:t>
      </w:r>
      <w:r w:rsidR="00F174E8">
        <w:t>the exploitation of a secret invention shall be limited, in the sense that the patent holder</w:t>
      </w:r>
      <w:r w:rsidR="003070A4">
        <w:t>,</w:t>
      </w:r>
      <w:r w:rsidR="00F174E8">
        <w:t xml:space="preserve"> before exploiting or assign</w:t>
      </w:r>
      <w:r w:rsidR="003070A4">
        <w:t>ing</w:t>
      </w:r>
      <w:r w:rsidR="00F174E8">
        <w:t xml:space="preserve"> </w:t>
      </w:r>
      <w:r w:rsidR="003070A4">
        <w:t>the invention</w:t>
      </w:r>
      <w:r w:rsidR="00F174E8">
        <w:t>, has to inform the government agency</w:t>
      </w:r>
      <w:r w:rsidR="000E4203">
        <w:t xml:space="preserve"> in order to obtain its authorization</w:t>
      </w:r>
      <w:r w:rsidR="00D37487">
        <w:rPr>
          <w:rStyle w:val="FootnoteReference"/>
        </w:rPr>
        <w:footnoteReference w:id="90"/>
      </w:r>
      <w:r w:rsidR="00F174E8">
        <w:t xml:space="preserve">. </w:t>
      </w:r>
      <w:r w:rsidR="003070A4">
        <w:t xml:space="preserve"> </w:t>
      </w:r>
      <w:r w:rsidR="001F24CB">
        <w:t>Similarly, t</w:t>
      </w:r>
      <w:r w:rsidR="00F174E8">
        <w:t xml:space="preserve">he </w:t>
      </w:r>
      <w:r w:rsidR="00F174E8" w:rsidRPr="0028729F">
        <w:t>Bulgarian</w:t>
      </w:r>
      <w:r w:rsidR="00F174E8">
        <w:t xml:space="preserve"> Patent</w:t>
      </w:r>
      <w:r w:rsidR="003070A4">
        <w:t xml:space="preserve"> </w:t>
      </w:r>
      <w:r w:rsidR="00F174E8">
        <w:t>Law establishes that “</w:t>
      </w:r>
      <w:r w:rsidR="00347BF8">
        <w:t>[t]</w:t>
      </w:r>
      <w:r w:rsidR="00F174E8" w:rsidRPr="0028729F">
        <w:t>he person entitled to use and dispose of a secret patent shall be determined by decis</w:t>
      </w:r>
      <w:r w:rsidR="00F174E8">
        <w:t>ion of the Council of Ministers</w:t>
      </w:r>
      <w:r w:rsidR="007A580F">
        <w:t>”</w:t>
      </w:r>
      <w:r w:rsidR="005617F1">
        <w:t>.</w:t>
      </w:r>
      <w:r w:rsidR="00F174E8">
        <w:rPr>
          <w:rStyle w:val="FootnoteReference"/>
        </w:rPr>
        <w:footnoteReference w:id="91"/>
      </w:r>
    </w:p>
    <w:p w:rsidR="00F174E8" w:rsidRPr="005D7AF6" w:rsidRDefault="00F174E8" w:rsidP="00B563A9">
      <w:pPr>
        <w:rPr>
          <w:i/>
        </w:rPr>
      </w:pPr>
    </w:p>
    <w:p w:rsidR="00B57E9F" w:rsidRPr="00152E0B" w:rsidRDefault="00D70813" w:rsidP="00D70813">
      <w:pPr>
        <w:pStyle w:val="Heading4"/>
      </w:pPr>
      <w:proofErr w:type="gramStart"/>
      <w:r>
        <w:t>(iv)</w:t>
      </w:r>
      <w:r>
        <w:tab/>
      </w:r>
      <w:r w:rsidR="00A30069" w:rsidRPr="00152E0B">
        <w:t>R</w:t>
      </w:r>
      <w:r w:rsidR="002774C5" w:rsidRPr="00152E0B">
        <w:t>estrictions</w:t>
      </w:r>
      <w:proofErr w:type="gramEnd"/>
      <w:r w:rsidR="002774C5" w:rsidRPr="00152E0B">
        <w:t xml:space="preserve"> in patenting the secret invention in other countries</w:t>
      </w:r>
    </w:p>
    <w:p w:rsidR="00A06B9A" w:rsidRDefault="00A06B9A" w:rsidP="00B563A9">
      <w:pPr>
        <w:rPr>
          <w:i/>
        </w:rPr>
      </w:pPr>
    </w:p>
    <w:p w:rsidR="006651E9" w:rsidRPr="00A06B9A" w:rsidRDefault="006C7473" w:rsidP="001F24CB">
      <w:pPr>
        <w:contextualSpacing/>
      </w:pPr>
      <w:r>
        <w:fldChar w:fldCharType="begin"/>
      </w:r>
      <w:r>
        <w:instrText xml:space="preserve"> AUTONUM  </w:instrText>
      </w:r>
      <w:r>
        <w:fldChar w:fldCharType="end"/>
      </w:r>
      <w:r>
        <w:tab/>
      </w:r>
      <w:r w:rsidR="00F439CC">
        <w:t>Since secret invention</w:t>
      </w:r>
      <w:r w:rsidR="0085725C">
        <w:t>s</w:t>
      </w:r>
      <w:r w:rsidR="00F439CC">
        <w:t xml:space="preserve"> </w:t>
      </w:r>
      <w:r w:rsidR="005F3D87">
        <w:t xml:space="preserve">are subject to </w:t>
      </w:r>
      <w:r w:rsidR="00F439CC">
        <w:t xml:space="preserve">a different procedure </w:t>
      </w:r>
      <w:r w:rsidR="005C2F64">
        <w:t>due to</w:t>
      </w:r>
      <w:r w:rsidR="00F439CC">
        <w:t xml:space="preserve"> national </w:t>
      </w:r>
      <w:r w:rsidR="00B563A9">
        <w:t>defense</w:t>
      </w:r>
      <w:r w:rsidR="005C2F64">
        <w:t xml:space="preserve"> or</w:t>
      </w:r>
      <w:r w:rsidR="00F439CC">
        <w:t xml:space="preserve"> security, the state </w:t>
      </w:r>
      <w:r w:rsidR="005C2F64">
        <w:t>patrol</w:t>
      </w:r>
      <w:r w:rsidR="0085725C">
        <w:t>s</w:t>
      </w:r>
      <w:r w:rsidR="0044058B">
        <w:t xml:space="preserve"> the patenting activity of its</w:t>
      </w:r>
      <w:r w:rsidR="00F439CC">
        <w:t xml:space="preserve"> c</w:t>
      </w:r>
      <w:r w:rsidR="0044058B">
        <w:t xml:space="preserve">itizens and residents </w:t>
      </w:r>
      <w:r w:rsidR="005C2F64">
        <w:t xml:space="preserve">not only </w:t>
      </w:r>
      <w:r w:rsidR="0044058B">
        <w:t xml:space="preserve">in </w:t>
      </w:r>
      <w:r w:rsidR="0085725C">
        <w:t xml:space="preserve">the </w:t>
      </w:r>
      <w:r w:rsidR="0044058B">
        <w:t>territor</w:t>
      </w:r>
      <w:r w:rsidR="00F439CC">
        <w:t>y</w:t>
      </w:r>
      <w:r w:rsidR="0085725C">
        <w:t xml:space="preserve"> of the state,</w:t>
      </w:r>
      <w:r w:rsidR="005C2F64">
        <w:t xml:space="preserve"> but also in foreign countries</w:t>
      </w:r>
      <w:r w:rsidR="00F439CC">
        <w:t>.  This e</w:t>
      </w:r>
      <w:r w:rsidR="005C2F64">
        <w:t>xplains why in certain jurisdictions,</w:t>
      </w:r>
      <w:r w:rsidR="00F439CC">
        <w:t xml:space="preserve"> residents cannot apply for a patent in another count</w:t>
      </w:r>
      <w:r w:rsidR="005C2F64">
        <w:t>ry without the express or implicit clearance</w:t>
      </w:r>
      <w:r w:rsidR="00F439CC">
        <w:t xml:space="preserve"> of the national authority.</w:t>
      </w:r>
      <w:r w:rsidR="0044058B">
        <w:t xml:space="preserve">  Usually a period of time is given to the competent a</w:t>
      </w:r>
      <w:r w:rsidR="005C2F64">
        <w:t>uthority in order to analyze the patent application and afterward</w:t>
      </w:r>
      <w:r w:rsidR="002B2839">
        <w:t>,</w:t>
      </w:r>
      <w:r w:rsidR="0044058B">
        <w:t xml:space="preserve"> the patent </w:t>
      </w:r>
      <w:r w:rsidR="00B563A9">
        <w:t>applicant receives</w:t>
      </w:r>
      <w:r w:rsidR="005C2F64">
        <w:t xml:space="preserve"> authorization to file</w:t>
      </w:r>
      <w:r w:rsidR="0044058B">
        <w:t xml:space="preserve"> </w:t>
      </w:r>
      <w:r w:rsidR="00B563A9">
        <w:t xml:space="preserve">abroad.  According to the </w:t>
      </w:r>
      <w:r w:rsidR="0044058B">
        <w:t xml:space="preserve">patent </w:t>
      </w:r>
      <w:r w:rsidR="002B2839">
        <w:t xml:space="preserve">law </w:t>
      </w:r>
      <w:r w:rsidR="00B563A9">
        <w:t>of some Member States, not respecting this rule</w:t>
      </w:r>
      <w:r w:rsidR="0044058B">
        <w:t xml:space="preserve"> shall imply an </w:t>
      </w:r>
      <w:r w:rsidR="002B2839">
        <w:t xml:space="preserve">offense </w:t>
      </w:r>
      <w:r w:rsidR="0044058B">
        <w:t>and criminal and/or civil sanctions</w:t>
      </w:r>
      <w:r w:rsidR="00214659">
        <w:t>.</w:t>
      </w:r>
      <w:r w:rsidR="0051544B">
        <w:rPr>
          <w:rStyle w:val="FootnoteReference"/>
        </w:rPr>
        <w:footnoteReference w:id="92"/>
      </w:r>
      <w:r w:rsidR="00B563A9">
        <w:t xml:space="preserve">  </w:t>
      </w:r>
      <w:r w:rsidR="00273CA5">
        <w:t>In</w:t>
      </w:r>
      <w:r w:rsidR="00237161">
        <w:t xml:space="preserve"> countries where secret patents are granted, the titleholder cannot </w:t>
      </w:r>
      <w:r w:rsidR="00273CA5">
        <w:t>patent</w:t>
      </w:r>
      <w:r w:rsidR="00237161">
        <w:t xml:space="preserve"> abroad</w:t>
      </w:r>
      <w:r w:rsidR="00237161">
        <w:rPr>
          <w:rStyle w:val="FootnoteReference"/>
        </w:rPr>
        <w:footnoteReference w:id="93"/>
      </w:r>
      <w:r w:rsidR="00B563A9">
        <w:t>, or has to ask for</w:t>
      </w:r>
      <w:r w:rsidR="007539BF">
        <w:t xml:space="preserve"> permission</w:t>
      </w:r>
      <w:r w:rsidR="00A64086">
        <w:t>.</w:t>
      </w:r>
      <w:r w:rsidR="007539BF">
        <w:rPr>
          <w:rStyle w:val="FootnoteReference"/>
        </w:rPr>
        <w:footnoteReference w:id="94"/>
      </w:r>
    </w:p>
    <w:p w:rsidR="00F174E8" w:rsidRDefault="00F174E8" w:rsidP="001F24CB">
      <w:pPr>
        <w:contextualSpacing/>
        <w:rPr>
          <w:i/>
        </w:rPr>
      </w:pPr>
    </w:p>
    <w:p w:rsidR="00D70813" w:rsidRDefault="00D70813" w:rsidP="001F24CB">
      <w:pPr>
        <w:contextualSpacing/>
        <w:rPr>
          <w:i/>
        </w:rPr>
      </w:pPr>
    </w:p>
    <w:p w:rsidR="00D70813" w:rsidRDefault="00D70813" w:rsidP="001F24CB">
      <w:pPr>
        <w:contextualSpacing/>
        <w:rPr>
          <w:i/>
        </w:rPr>
      </w:pPr>
    </w:p>
    <w:p w:rsidR="00B563A9" w:rsidRPr="00246C1E" w:rsidRDefault="0074565A" w:rsidP="00D70813">
      <w:pPr>
        <w:pStyle w:val="Heading3"/>
        <w:ind w:left="567" w:hanging="567"/>
      </w:pPr>
      <w:r w:rsidRPr="00D70813">
        <w:rPr>
          <w:u w:val="none"/>
        </w:rPr>
        <w:lastRenderedPageBreak/>
        <w:t>(</w:t>
      </w:r>
      <w:r w:rsidR="001F24CB" w:rsidRPr="00D70813">
        <w:rPr>
          <w:u w:val="none"/>
        </w:rPr>
        <w:t>b</w:t>
      </w:r>
      <w:r w:rsidR="00D976F9" w:rsidRPr="00D70813">
        <w:rPr>
          <w:u w:val="none"/>
        </w:rPr>
        <w:t>)</w:t>
      </w:r>
      <w:r w:rsidR="00D976F9" w:rsidRPr="00D70813">
        <w:rPr>
          <w:u w:val="none"/>
        </w:rPr>
        <w:tab/>
      </w:r>
      <w:r w:rsidR="00385748" w:rsidRPr="00246C1E">
        <w:t>M</w:t>
      </w:r>
      <w:r w:rsidR="00B563A9" w:rsidRPr="00246C1E">
        <w:t>easures related to exclusions from patenta</w:t>
      </w:r>
      <w:r w:rsidR="0091399A" w:rsidRPr="00246C1E">
        <w:t>bility and other</w:t>
      </w:r>
      <w:r w:rsidR="00B563A9" w:rsidRPr="00246C1E">
        <w:t xml:space="preserve"> measures in the field of inventions related to atomic energy</w:t>
      </w:r>
    </w:p>
    <w:p w:rsidR="00D37487" w:rsidRDefault="00D37487" w:rsidP="00D70813">
      <w:pPr>
        <w:keepNext/>
        <w:keepLines/>
      </w:pPr>
    </w:p>
    <w:p w:rsidR="006651E9" w:rsidRDefault="006651E9" w:rsidP="00D70813">
      <w:pPr>
        <w:keepNext/>
        <w:keepLines/>
      </w:pPr>
      <w:r>
        <w:t>45.</w:t>
      </w:r>
      <w:r>
        <w:tab/>
        <w:t>In a certain number of countries patents on inventions which must be kept secret are not granted.</w:t>
      </w:r>
      <w:r>
        <w:rPr>
          <w:rStyle w:val="FootnoteReference"/>
        </w:rPr>
        <w:footnoteReference w:id="95"/>
      </w:r>
      <w:r w:rsidR="00496CD1">
        <w:t xml:space="preserve">  The Patent Law of</w:t>
      </w:r>
      <w:r>
        <w:t xml:space="preserve"> New Zealand, for instance, </w:t>
      </w:r>
      <w:r w:rsidR="00496CD1">
        <w:t xml:space="preserve">provides that if the invention falls, in the opinion of the Commissioner, in one of a class notified to the Commissioner by the Minister of </w:t>
      </w:r>
      <w:proofErr w:type="spellStart"/>
      <w:r w:rsidR="00496CD1">
        <w:t>Defence</w:t>
      </w:r>
      <w:proofErr w:type="spellEnd"/>
      <w:r w:rsidR="00496CD1">
        <w:t xml:space="preserve"> as relevant for </w:t>
      </w:r>
      <w:proofErr w:type="spellStart"/>
      <w:r w:rsidR="00496CD1">
        <w:t>defence</w:t>
      </w:r>
      <w:proofErr w:type="spellEnd"/>
      <w:r w:rsidR="00496CD1">
        <w:t xml:space="preserve"> purposes, no patent must be granted.</w:t>
      </w:r>
      <w:r w:rsidR="00496CD1">
        <w:rPr>
          <w:rStyle w:val="FootnoteReference"/>
        </w:rPr>
        <w:footnoteReference w:id="96"/>
      </w:r>
      <w:r w:rsidR="00496CD1">
        <w:t xml:space="preserve">  In the Russian Federation secret inventions will be protectable through patents, but not through utility models</w:t>
      </w:r>
      <w:r w:rsidR="00496CD1">
        <w:rPr>
          <w:rStyle w:val="FootnoteReference"/>
        </w:rPr>
        <w:footnoteReference w:id="97"/>
      </w:r>
      <w:r w:rsidR="00496CD1">
        <w:t xml:space="preserve">.  Finally, it has to be mentioned that </w:t>
      </w:r>
      <w:r w:rsidR="00496CD1" w:rsidRPr="00496CD1">
        <w:t xml:space="preserve">Madagascar’s patent law excludes from patentability certain categories of invention where required by vital interest, which includes national defense.  </w:t>
      </w:r>
    </w:p>
    <w:p w:rsidR="006651E9" w:rsidRPr="00D37487" w:rsidRDefault="006651E9" w:rsidP="00D37487"/>
    <w:p w:rsidR="006651E9" w:rsidRDefault="00496CD1" w:rsidP="00D37487">
      <w:r>
        <w:t>46</w:t>
      </w:r>
      <w:r w:rsidR="00D37487">
        <w:tab/>
      </w:r>
      <w:r w:rsidR="003649A8">
        <w:t>With regard to innovation related to atomic energy, in</w:t>
      </w:r>
      <w:r w:rsidR="00F93C3B">
        <w:t xml:space="preserve"> a certain number of countries</w:t>
      </w:r>
      <w:r w:rsidR="00F93C3B" w:rsidRPr="00F93C3B">
        <w:t xml:space="preserve">, such as India and Sri Lanka, </w:t>
      </w:r>
      <w:r w:rsidR="00F93C3B">
        <w:t xml:space="preserve">a specific </w:t>
      </w:r>
      <w:r w:rsidR="003649A8">
        <w:t>legislation has been adopted</w:t>
      </w:r>
      <w:r w:rsidR="00F93C3B">
        <w:t xml:space="preserve">, </w:t>
      </w:r>
      <w:r w:rsidR="003649A8">
        <w:t xml:space="preserve">where </w:t>
      </w:r>
      <w:r w:rsidR="00D37487">
        <w:t>inventions related to atomic energy</w:t>
      </w:r>
      <w:r w:rsidR="00D37487">
        <w:rPr>
          <w:rStyle w:val="FootnoteReference"/>
        </w:rPr>
        <w:footnoteReference w:id="98"/>
      </w:r>
      <w:r w:rsidR="003649A8">
        <w:t xml:space="preserve"> </w:t>
      </w:r>
      <w:r w:rsidR="00D37487">
        <w:t>are not patentable.  In particular, Section 20(</w:t>
      </w:r>
      <w:proofErr w:type="spellStart"/>
      <w:r w:rsidR="00D37487">
        <w:t>i</w:t>
      </w:r>
      <w:proofErr w:type="spellEnd"/>
      <w:r w:rsidR="00D37487">
        <w:t xml:space="preserve">) of the Indian Atomic Energy Act, 1962 </w:t>
      </w:r>
      <w:r w:rsidR="003649A8">
        <w:t>establishes that “[a]s from the c</w:t>
      </w:r>
      <w:r w:rsidR="00D37487">
        <w:t>ommencement of this Act, no patents shall be granted for inventions which in the opinion of the Central Government are useful for or relate to the production, control, use or disposal of atomic energy or the prospecting, mining, extraction, production, physical and chemical treatment, fabrication, enrichment, canning or use of any prescribed substance or radioactive substance or the ensuring of safety in atomic energy operations”.  Similarly the Intellectual Property Act of Sri Lanka provides that an invention that is useful in the utilization of special nuclear material or atomic energy in an atomic weapon shall not be patentable.</w:t>
      </w:r>
      <w:r w:rsidR="00D37487">
        <w:rPr>
          <w:rStyle w:val="FootnoteReference"/>
        </w:rPr>
        <w:footnoteReference w:id="99"/>
      </w:r>
    </w:p>
    <w:p w:rsidR="009568DF" w:rsidRDefault="009568DF" w:rsidP="000535B5"/>
    <w:p w:rsidR="00E67E54" w:rsidRDefault="00496CD1" w:rsidP="000E2056">
      <w:r>
        <w:t>47.</w:t>
      </w:r>
      <w:r w:rsidR="006C7473">
        <w:tab/>
      </w:r>
      <w:r w:rsidR="004139F0">
        <w:t>In</w:t>
      </w:r>
      <w:r w:rsidR="00E67E54">
        <w:t xml:space="preserve"> the United States of America,</w:t>
      </w:r>
      <w:r w:rsidR="009568DF">
        <w:t xml:space="preserve"> </w:t>
      </w:r>
      <w:r w:rsidR="007D14DA">
        <w:t>S</w:t>
      </w:r>
      <w:r w:rsidR="000535B5">
        <w:t>ection 151 of the Nuclear Regulatory Le</w:t>
      </w:r>
      <w:r w:rsidR="000E2056">
        <w:t>gislation provides that</w:t>
      </w:r>
      <w:r w:rsidR="009568DF">
        <w:t xml:space="preserve"> “a</w:t>
      </w:r>
      <w:r w:rsidR="000E2056">
        <w:t xml:space="preserve"> .</w:t>
      </w:r>
      <w:r w:rsidR="000535B5">
        <w:t xml:space="preserve">No patent shall hereafter </w:t>
      </w:r>
      <w:r w:rsidR="000E2056">
        <w:t xml:space="preserve">be granted for any invention or </w:t>
      </w:r>
      <w:r w:rsidR="000535B5">
        <w:t>discovery which is useful solely in the</w:t>
      </w:r>
      <w:r w:rsidR="000E2056">
        <w:t xml:space="preserve"> utilization of special nuclear </w:t>
      </w:r>
      <w:r w:rsidR="000535B5">
        <w:t>material or atomic energy in an atomic</w:t>
      </w:r>
      <w:r w:rsidR="009568DF">
        <w:t xml:space="preserve"> weapon” and </w:t>
      </w:r>
      <w:r w:rsidR="00EE26A3">
        <w:t>“</w:t>
      </w:r>
      <w:r w:rsidR="009568DF">
        <w:t>b</w:t>
      </w:r>
      <w:r w:rsidR="000535B5">
        <w:t>. No patent hereafter granted shall co</w:t>
      </w:r>
      <w:r w:rsidR="000E2056">
        <w:t xml:space="preserve">nfer any rights with respect to </w:t>
      </w:r>
      <w:r w:rsidR="000535B5">
        <w:t>any invention or discovery to the extent t</w:t>
      </w:r>
      <w:r w:rsidR="000E2056">
        <w:t xml:space="preserve">hat such invention or discovery </w:t>
      </w:r>
      <w:r w:rsidR="000535B5">
        <w:t xml:space="preserve">is used in the utilization of special nuclear material or atomic </w:t>
      </w:r>
      <w:r w:rsidR="000E2056">
        <w:t xml:space="preserve">energy in </w:t>
      </w:r>
      <w:r w:rsidR="000535B5">
        <w:t>atomic weapons</w:t>
      </w:r>
      <w:r w:rsidR="009568DF">
        <w:t>”.</w:t>
      </w:r>
      <w:r w:rsidR="000E2056">
        <w:t xml:space="preserve">  Additionally, </w:t>
      </w:r>
      <w:r w:rsidR="009568DF">
        <w:t>this provision of law establish</w:t>
      </w:r>
      <w:r w:rsidR="00F55CAF">
        <w:t>es</w:t>
      </w:r>
      <w:r w:rsidR="000E2056">
        <w:t xml:space="preserve"> that “</w:t>
      </w:r>
      <w:r w:rsidR="001D0678">
        <w:t>[a]</w:t>
      </w:r>
      <w:proofErr w:type="spellStart"/>
      <w:r w:rsidR="000E2056">
        <w:t>ny</w:t>
      </w:r>
      <w:proofErr w:type="spellEnd"/>
      <w:r w:rsidR="000E2056">
        <w:t xml:space="preserve"> person who has made or hereafter makes any invention or discovery useful in the production or utilization of special nuclear material or atomic energy, shall file with the Commission a report containing a complete description thereof unless such invention or discovery is described in an application for a patent filed with the Under Secretary of Commerce for Intellectual Property and Director of the United States Patent and Trademark Office</w:t>
      </w:r>
      <w:r w:rsidR="00A852DB">
        <w:t xml:space="preserve"> (…)</w:t>
      </w:r>
      <w:r w:rsidR="000E2056">
        <w:t>”</w:t>
      </w:r>
      <w:r w:rsidR="000C3D56">
        <w:t>.</w:t>
      </w:r>
    </w:p>
    <w:p w:rsidR="009568DF" w:rsidRDefault="009568DF" w:rsidP="000E2056"/>
    <w:p w:rsidR="003649A8" w:rsidRDefault="00496CD1" w:rsidP="003649A8">
      <w:r>
        <w:t>48.</w:t>
      </w:r>
      <w:r w:rsidR="006C7473">
        <w:tab/>
      </w:r>
      <w:r w:rsidR="001E7D0F">
        <w:t>Similarly, the</w:t>
      </w:r>
      <w:r w:rsidR="00EA0480">
        <w:t xml:space="preserve"> </w:t>
      </w:r>
      <w:r w:rsidR="001E7D0F">
        <w:t>Canadian</w:t>
      </w:r>
      <w:r w:rsidR="000C3D56">
        <w:t xml:space="preserve"> patent law </w:t>
      </w:r>
      <w:r w:rsidR="00EA0480">
        <w:t>provides that “</w:t>
      </w:r>
      <w:r w:rsidR="000C3D56">
        <w:t>[a]</w:t>
      </w:r>
      <w:proofErr w:type="spellStart"/>
      <w:r w:rsidR="004C6B1F" w:rsidRPr="004C6B1F">
        <w:t>ny</w:t>
      </w:r>
      <w:proofErr w:type="spellEnd"/>
      <w:r w:rsidR="004C6B1F" w:rsidRPr="004C6B1F">
        <w:t xml:space="preserve"> application for a patent for an invention that, in the opinion of the Commissioner, relates to the production, application </w:t>
      </w:r>
      <w:r w:rsidR="004C6B1F">
        <w:t xml:space="preserve">or use of nuclear energy shall (…) </w:t>
      </w:r>
      <w:r w:rsidR="004C6B1F" w:rsidRPr="004C6B1F">
        <w:t>be communicated by the Commissioner to the Canadian Nuclear Safety Commission</w:t>
      </w:r>
      <w:r w:rsidR="004C6B1F">
        <w:t>”</w:t>
      </w:r>
      <w:r w:rsidR="00C273F1">
        <w:t>.</w:t>
      </w:r>
      <w:r w:rsidR="004C6B1F">
        <w:rPr>
          <w:rStyle w:val="FootnoteReference"/>
        </w:rPr>
        <w:footnoteReference w:id="100"/>
      </w:r>
    </w:p>
    <w:p w:rsidR="002F65E0" w:rsidRDefault="002F65E0" w:rsidP="003649A8"/>
    <w:p w:rsidR="006651E9" w:rsidRDefault="006651E9" w:rsidP="003649A8"/>
    <w:p w:rsidR="007460C2" w:rsidRDefault="007460C2" w:rsidP="00053FE1"/>
    <w:p w:rsidR="007460C2" w:rsidRDefault="007460C2" w:rsidP="007460C2">
      <w:pPr>
        <w:jc w:val="right"/>
      </w:pPr>
      <w:r>
        <w:t>[Annexes follow]</w:t>
      </w:r>
    </w:p>
    <w:p w:rsidR="007460C2" w:rsidRDefault="007460C2" w:rsidP="00053FE1"/>
    <w:sectPr w:rsidR="007460C2" w:rsidSect="002A4EF3">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B8C" w:rsidRDefault="00B25B8C">
      <w:r>
        <w:separator/>
      </w:r>
    </w:p>
  </w:endnote>
  <w:endnote w:type="continuationSeparator" w:id="0">
    <w:p w:rsidR="00B25B8C" w:rsidRDefault="00B25B8C" w:rsidP="003B38C1">
      <w:r>
        <w:separator/>
      </w:r>
    </w:p>
    <w:p w:rsidR="00B25B8C" w:rsidRPr="003B38C1" w:rsidRDefault="00B25B8C" w:rsidP="003B38C1">
      <w:pPr>
        <w:spacing w:after="60"/>
        <w:rPr>
          <w:sz w:val="17"/>
        </w:rPr>
      </w:pPr>
      <w:r>
        <w:rPr>
          <w:sz w:val="17"/>
        </w:rPr>
        <w:t>[Endnote continued from previous page]</w:t>
      </w:r>
    </w:p>
  </w:endnote>
  <w:endnote w:type="continuationNotice" w:id="1">
    <w:p w:rsidR="00B25B8C" w:rsidRPr="003B38C1" w:rsidRDefault="00B25B8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793" w:rsidRDefault="003967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793" w:rsidRDefault="003967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793" w:rsidRDefault="003967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B8C" w:rsidRDefault="00B25B8C">
      <w:r>
        <w:separator/>
      </w:r>
    </w:p>
  </w:footnote>
  <w:footnote w:type="continuationSeparator" w:id="0">
    <w:p w:rsidR="00B25B8C" w:rsidRDefault="00B25B8C" w:rsidP="008B60B2">
      <w:r>
        <w:separator/>
      </w:r>
    </w:p>
    <w:p w:rsidR="00B25B8C" w:rsidRPr="00ED77FB" w:rsidRDefault="00B25B8C" w:rsidP="008B60B2">
      <w:pPr>
        <w:spacing w:after="60"/>
        <w:rPr>
          <w:sz w:val="17"/>
          <w:szCs w:val="17"/>
        </w:rPr>
      </w:pPr>
      <w:r w:rsidRPr="00ED77FB">
        <w:rPr>
          <w:sz w:val="17"/>
          <w:szCs w:val="17"/>
        </w:rPr>
        <w:t>[Footnote continued from previous page]</w:t>
      </w:r>
    </w:p>
  </w:footnote>
  <w:footnote w:type="continuationNotice" w:id="1">
    <w:p w:rsidR="00B25B8C" w:rsidRPr="00ED77FB" w:rsidRDefault="00B25B8C" w:rsidP="008B60B2">
      <w:pPr>
        <w:spacing w:before="60"/>
        <w:jc w:val="right"/>
        <w:rPr>
          <w:sz w:val="17"/>
          <w:szCs w:val="17"/>
        </w:rPr>
      </w:pPr>
      <w:r w:rsidRPr="00ED77FB">
        <w:rPr>
          <w:sz w:val="17"/>
          <w:szCs w:val="17"/>
        </w:rPr>
        <w:t>[Footnote continued on next page]</w:t>
      </w:r>
    </w:p>
  </w:footnote>
  <w:footnote w:id="2">
    <w:p w:rsidR="00D318C5" w:rsidRPr="00DC6921" w:rsidRDefault="00D318C5" w:rsidP="00BF5D35">
      <w:pPr>
        <w:pStyle w:val="FootnoteText"/>
        <w:tabs>
          <w:tab w:val="left" w:pos="567"/>
        </w:tabs>
        <w:ind w:left="567" w:hanging="567"/>
        <w:rPr>
          <w:szCs w:val="18"/>
        </w:rPr>
      </w:pPr>
      <w:r w:rsidRPr="00522A44">
        <w:rPr>
          <w:rStyle w:val="FootnoteReference"/>
          <w:szCs w:val="18"/>
        </w:rPr>
        <w:footnoteRef/>
      </w:r>
      <w:r w:rsidRPr="00522A44">
        <w:rPr>
          <w:szCs w:val="18"/>
        </w:rPr>
        <w:t xml:space="preserve"> </w:t>
      </w:r>
      <w:r>
        <w:rPr>
          <w:szCs w:val="18"/>
        </w:rPr>
        <w:tab/>
      </w:r>
      <w:r w:rsidRPr="00522A44">
        <w:rPr>
          <w:szCs w:val="18"/>
        </w:rPr>
        <w:t xml:space="preserve">Among the most prominent features of the draft proposal prepared by the European Commission for EU Criminal Sanction Directive </w:t>
      </w:r>
      <w:r w:rsidRPr="00DC6921">
        <w:rPr>
          <w:szCs w:val="18"/>
        </w:rPr>
        <w:t>was the introduction of criminal sanction</w:t>
      </w:r>
      <w:r>
        <w:rPr>
          <w:szCs w:val="18"/>
        </w:rPr>
        <w:t xml:space="preserve"> – </w:t>
      </w:r>
      <w:r w:rsidRPr="00DC6921">
        <w:rPr>
          <w:szCs w:val="18"/>
        </w:rPr>
        <w:t>at the national level</w:t>
      </w:r>
      <w:r>
        <w:rPr>
          <w:szCs w:val="18"/>
        </w:rPr>
        <w:t xml:space="preserve"> – </w:t>
      </w:r>
      <w:r w:rsidRPr="00DC6921">
        <w:rPr>
          <w:szCs w:val="18"/>
        </w:rPr>
        <w:t>for patent infringement.  It is worth noting that during the first reading of the proposed Directive (April 2007), the Parliament</w:t>
      </w:r>
      <w:r w:rsidR="00D6378D">
        <w:rPr>
          <w:szCs w:val="18"/>
        </w:rPr>
        <w:t xml:space="preserve"> </w:t>
      </w:r>
      <w:r w:rsidR="00D6378D" w:rsidRPr="00D6378D">
        <w:rPr>
          <w:szCs w:val="18"/>
        </w:rPr>
        <w:t>adopted a resolution that made significant ame</w:t>
      </w:r>
      <w:r w:rsidR="00D6378D">
        <w:rPr>
          <w:szCs w:val="18"/>
        </w:rPr>
        <w:t>ndments. These clarified that criminal sanctions</w:t>
      </w:r>
      <w:r w:rsidR="00D6378D" w:rsidRPr="00D6378D">
        <w:rPr>
          <w:szCs w:val="18"/>
        </w:rPr>
        <w:t xml:space="preserve"> should only apply to counterfeiting and piracy.</w:t>
      </w:r>
    </w:p>
  </w:footnote>
  <w:footnote w:id="3">
    <w:p w:rsidR="00D318C5" w:rsidRPr="000A3F33" w:rsidRDefault="00D318C5" w:rsidP="00BF5D35">
      <w:pPr>
        <w:pStyle w:val="FootnoteText"/>
        <w:tabs>
          <w:tab w:val="left" w:pos="567"/>
        </w:tabs>
        <w:ind w:left="567" w:hanging="567"/>
        <w:rPr>
          <w:szCs w:val="18"/>
        </w:rPr>
      </w:pPr>
      <w:r w:rsidRPr="00DC6921">
        <w:rPr>
          <w:rStyle w:val="FootnoteReference"/>
          <w:szCs w:val="18"/>
        </w:rPr>
        <w:footnoteRef/>
      </w:r>
      <w:r w:rsidRPr="00DC6921">
        <w:rPr>
          <w:szCs w:val="18"/>
        </w:rPr>
        <w:t xml:space="preserve"> </w:t>
      </w:r>
      <w:r>
        <w:rPr>
          <w:szCs w:val="18"/>
        </w:rPr>
        <w:tab/>
        <w:t xml:space="preserve">For instance, </w:t>
      </w:r>
      <w:r w:rsidRPr="00DC6921">
        <w:rPr>
          <w:szCs w:val="18"/>
        </w:rPr>
        <w:t>Algeria, Angola, Antigua and Barbuda, Argentina, Armenia, Bahamas, Barbados, Belarus</w:t>
      </w:r>
      <w:r w:rsidRPr="003941B5">
        <w:rPr>
          <w:szCs w:val="18"/>
        </w:rPr>
        <w:t>,</w:t>
      </w:r>
      <w:r w:rsidRPr="000B2093">
        <w:rPr>
          <w:szCs w:val="18"/>
        </w:rPr>
        <w:t xml:space="preserve"> Belgium, Belize, Bhutan, Botswana, Brazil, Bulgaria, Cabo Verde, Cambodia, Colo</w:t>
      </w:r>
      <w:r w:rsidRPr="00500285">
        <w:rPr>
          <w:szCs w:val="18"/>
        </w:rPr>
        <w:t>mbia, Comoros, Croatia, Cuba, Mexico, Philippines, Russian Federation, Sweden</w:t>
      </w:r>
      <w:r w:rsidRPr="00C119A0">
        <w:rPr>
          <w:szCs w:val="18"/>
        </w:rPr>
        <w:t>,</w:t>
      </w:r>
      <w:r w:rsidRPr="000A3F33">
        <w:rPr>
          <w:szCs w:val="18"/>
        </w:rPr>
        <w:t xml:space="preserve"> Switzerland, Thailand, among others.</w:t>
      </w:r>
      <w:r>
        <w:rPr>
          <w:szCs w:val="18"/>
        </w:rPr>
        <w:t xml:space="preserve">  For more details see A</w:t>
      </w:r>
      <w:r w:rsidRPr="00C63950">
        <w:rPr>
          <w:szCs w:val="18"/>
        </w:rPr>
        <w:t xml:space="preserve">nnex I </w:t>
      </w:r>
      <w:r>
        <w:rPr>
          <w:szCs w:val="18"/>
        </w:rPr>
        <w:t xml:space="preserve">to this document containing national and regional </w:t>
      </w:r>
      <w:r w:rsidRPr="00C63950">
        <w:rPr>
          <w:szCs w:val="18"/>
        </w:rPr>
        <w:t>provisions of law</w:t>
      </w:r>
      <w:r>
        <w:rPr>
          <w:szCs w:val="18"/>
        </w:rPr>
        <w:t>.</w:t>
      </w:r>
    </w:p>
  </w:footnote>
  <w:footnote w:id="4">
    <w:p w:rsidR="00D318C5" w:rsidRPr="00D66581" w:rsidRDefault="00D318C5" w:rsidP="00BF5D35">
      <w:pPr>
        <w:pStyle w:val="FootnoteText"/>
        <w:tabs>
          <w:tab w:val="left" w:pos="567"/>
        </w:tabs>
        <w:ind w:left="567" w:hanging="567"/>
        <w:rPr>
          <w:szCs w:val="18"/>
        </w:rPr>
      </w:pPr>
      <w:r w:rsidRPr="000A3F33">
        <w:rPr>
          <w:rStyle w:val="FootnoteReference"/>
          <w:szCs w:val="18"/>
        </w:rPr>
        <w:footnoteRef/>
      </w:r>
      <w:r w:rsidRPr="00734828">
        <w:rPr>
          <w:szCs w:val="18"/>
        </w:rPr>
        <w:t xml:space="preserve"> </w:t>
      </w:r>
      <w:r>
        <w:rPr>
          <w:szCs w:val="18"/>
        </w:rPr>
        <w:tab/>
      </w:r>
      <w:r w:rsidRPr="00734828">
        <w:rPr>
          <w:szCs w:val="18"/>
        </w:rPr>
        <w:t xml:space="preserve">Irina Manta highlighted </w:t>
      </w:r>
      <w:r w:rsidRPr="007D14DA">
        <w:rPr>
          <w:szCs w:val="18"/>
        </w:rPr>
        <w:t xml:space="preserve">on </w:t>
      </w:r>
      <w:r w:rsidRPr="00904414">
        <w:rPr>
          <w:szCs w:val="18"/>
        </w:rPr>
        <w:t xml:space="preserve">one hand that a statute providing for criminal sanctions for patent infringement would presumably request willfulness </w:t>
      </w:r>
      <w:r w:rsidRPr="00A77253">
        <w:rPr>
          <w:szCs w:val="18"/>
        </w:rPr>
        <w:t xml:space="preserve">of the infringer’s </w:t>
      </w:r>
      <w:proofErr w:type="spellStart"/>
      <w:r w:rsidRPr="000B6D50">
        <w:rPr>
          <w:i/>
          <w:szCs w:val="18"/>
        </w:rPr>
        <w:t>mens</w:t>
      </w:r>
      <w:proofErr w:type="spellEnd"/>
      <w:r w:rsidRPr="000B6D50">
        <w:rPr>
          <w:i/>
          <w:szCs w:val="18"/>
        </w:rPr>
        <w:t xml:space="preserve"> rea</w:t>
      </w:r>
      <w:r w:rsidRPr="00DC6921">
        <w:rPr>
          <w:szCs w:val="18"/>
        </w:rPr>
        <w:t xml:space="preserve"> </w:t>
      </w:r>
      <w:r>
        <w:rPr>
          <w:szCs w:val="18"/>
        </w:rPr>
        <w:t>while o</w:t>
      </w:r>
      <w:r w:rsidRPr="00DC6921">
        <w:rPr>
          <w:szCs w:val="18"/>
        </w:rPr>
        <w:t xml:space="preserve">n the other hand drew </w:t>
      </w:r>
      <w:r w:rsidRPr="003941B5">
        <w:rPr>
          <w:szCs w:val="18"/>
        </w:rPr>
        <w:t xml:space="preserve">attention to the difficulties in setting the threshold for willful infringement </w:t>
      </w:r>
      <w:r w:rsidRPr="000B2093">
        <w:rPr>
          <w:szCs w:val="18"/>
        </w:rPr>
        <w:t>in criminal sanction in the patent field.  In contrast</w:t>
      </w:r>
      <w:r w:rsidRPr="007C7143">
        <w:rPr>
          <w:szCs w:val="18"/>
        </w:rPr>
        <w:t xml:space="preserve"> to other </w:t>
      </w:r>
      <w:r w:rsidRPr="002C3EB7">
        <w:rPr>
          <w:szCs w:val="18"/>
        </w:rPr>
        <w:t>intellectual property</w:t>
      </w:r>
      <w:r w:rsidRPr="002C0B19">
        <w:rPr>
          <w:szCs w:val="18"/>
        </w:rPr>
        <w:t xml:space="preserve"> </w:t>
      </w:r>
      <w:r w:rsidRPr="001021BF">
        <w:rPr>
          <w:szCs w:val="18"/>
        </w:rPr>
        <w:t>categories</w:t>
      </w:r>
      <w:r w:rsidRPr="00473DDC">
        <w:rPr>
          <w:szCs w:val="18"/>
        </w:rPr>
        <w:t xml:space="preserve">, if the threshold is </w:t>
      </w:r>
      <w:r w:rsidRPr="0075539F">
        <w:rPr>
          <w:szCs w:val="18"/>
        </w:rPr>
        <w:t>too high</w:t>
      </w:r>
      <w:r w:rsidRPr="00325C96">
        <w:rPr>
          <w:szCs w:val="18"/>
        </w:rPr>
        <w:t>, then fewer infringers will be</w:t>
      </w:r>
      <w:r w:rsidRPr="00BE4D22">
        <w:rPr>
          <w:szCs w:val="18"/>
        </w:rPr>
        <w:t xml:space="preserve"> </w:t>
      </w:r>
      <w:r w:rsidRPr="00D24A51">
        <w:rPr>
          <w:szCs w:val="18"/>
        </w:rPr>
        <w:t>prosecut</w:t>
      </w:r>
      <w:r w:rsidRPr="00BA57CD">
        <w:rPr>
          <w:szCs w:val="18"/>
        </w:rPr>
        <w:t>ed,</w:t>
      </w:r>
      <w:r w:rsidRPr="00322A75">
        <w:rPr>
          <w:szCs w:val="18"/>
        </w:rPr>
        <w:t xml:space="preserve"> </w:t>
      </w:r>
      <w:r w:rsidRPr="00E43877">
        <w:rPr>
          <w:szCs w:val="18"/>
        </w:rPr>
        <w:t xml:space="preserve">and the advantages of criminal enforcement will be heavily </w:t>
      </w:r>
      <w:r w:rsidRPr="00500285">
        <w:rPr>
          <w:szCs w:val="18"/>
        </w:rPr>
        <w:t>reduced.  But</w:t>
      </w:r>
      <w:r w:rsidRPr="00AF5B31">
        <w:rPr>
          <w:szCs w:val="18"/>
        </w:rPr>
        <w:t xml:space="preserve">, if the threshold is too low, then such a sanction could deter those afraid of suffering criminal sanctions from </w:t>
      </w:r>
      <w:proofErr w:type="gramStart"/>
      <w:r w:rsidRPr="00AF5B31">
        <w:rPr>
          <w:szCs w:val="18"/>
        </w:rPr>
        <w:t xml:space="preserve">innovating </w:t>
      </w:r>
      <w:r w:rsidRPr="00D93529">
        <w:rPr>
          <w:szCs w:val="18"/>
        </w:rPr>
        <w:t>,</w:t>
      </w:r>
      <w:proofErr w:type="gramEnd"/>
      <w:r w:rsidRPr="00D93529">
        <w:rPr>
          <w:szCs w:val="18"/>
        </w:rPr>
        <w:t xml:space="preserve"> “The Puzzle of Criminal Sanctions for Intellectual Property Infringement”, Harvard Journal of Law &amp; Technology, Vol. 24, Number 2, 2011, </w:t>
      </w:r>
      <w:r>
        <w:rPr>
          <w:szCs w:val="18"/>
        </w:rPr>
        <w:t>p</w:t>
      </w:r>
      <w:r w:rsidRPr="005D43D1">
        <w:rPr>
          <w:szCs w:val="18"/>
        </w:rPr>
        <w:t>ag</w:t>
      </w:r>
      <w:r w:rsidRPr="00E95752">
        <w:rPr>
          <w:szCs w:val="18"/>
        </w:rPr>
        <w:t>es</w:t>
      </w:r>
      <w:r w:rsidRPr="00D66581">
        <w:rPr>
          <w:szCs w:val="18"/>
        </w:rPr>
        <w:t xml:space="preserve"> 495 to 498.</w:t>
      </w:r>
    </w:p>
  </w:footnote>
  <w:footnote w:id="5">
    <w:p w:rsidR="00D318C5" w:rsidRPr="00A821AF" w:rsidRDefault="00D318C5" w:rsidP="00BF5D35">
      <w:pPr>
        <w:pStyle w:val="FootnoteText"/>
        <w:tabs>
          <w:tab w:val="left" w:pos="567"/>
        </w:tabs>
        <w:ind w:left="567" w:hanging="567"/>
        <w:rPr>
          <w:szCs w:val="18"/>
        </w:rPr>
      </w:pPr>
      <w:r w:rsidRPr="00D66581">
        <w:rPr>
          <w:rStyle w:val="FootnoteReference"/>
          <w:szCs w:val="18"/>
        </w:rPr>
        <w:footnoteRef/>
      </w:r>
      <w:r w:rsidRPr="00D66581">
        <w:rPr>
          <w:szCs w:val="18"/>
        </w:rPr>
        <w:t xml:space="preserve"> </w:t>
      </w:r>
      <w:r>
        <w:rPr>
          <w:szCs w:val="18"/>
        </w:rPr>
        <w:tab/>
      </w:r>
      <w:r w:rsidRPr="00D66581">
        <w:rPr>
          <w:szCs w:val="18"/>
        </w:rPr>
        <w:t>Tim Frain, Director of IP matters at Nokia, commenting on the EU Directive, called attention to how managers, when taking decisions on using a given technology, take</w:t>
      </w:r>
      <w:r w:rsidRPr="00C709BD">
        <w:rPr>
          <w:szCs w:val="18"/>
        </w:rPr>
        <w:t xml:space="preserve"> ris</w:t>
      </w:r>
      <w:r w:rsidRPr="00D55719">
        <w:rPr>
          <w:szCs w:val="18"/>
        </w:rPr>
        <w:t xml:space="preserve">ks concerning the validity of granted patent.  </w:t>
      </w:r>
      <w:r w:rsidRPr="00051F24">
        <w:rPr>
          <w:szCs w:val="18"/>
        </w:rPr>
        <w:t>O</w:t>
      </w:r>
      <w:r w:rsidRPr="006200E0">
        <w:rPr>
          <w:szCs w:val="18"/>
        </w:rPr>
        <w:t xml:space="preserve">nce there </w:t>
      </w:r>
      <w:r w:rsidRPr="007324A7">
        <w:rPr>
          <w:szCs w:val="18"/>
        </w:rPr>
        <w:t xml:space="preserve">is </w:t>
      </w:r>
      <w:r w:rsidRPr="00B8787F">
        <w:rPr>
          <w:szCs w:val="18"/>
        </w:rPr>
        <w:t xml:space="preserve">room for challenging the patent, </w:t>
      </w:r>
      <w:r w:rsidRPr="00247460">
        <w:rPr>
          <w:szCs w:val="18"/>
        </w:rPr>
        <w:t>they move forwar</w:t>
      </w:r>
      <w:r>
        <w:rPr>
          <w:szCs w:val="18"/>
        </w:rPr>
        <w:t>d;</w:t>
      </w:r>
      <w:r w:rsidRPr="00E5702D">
        <w:rPr>
          <w:szCs w:val="18"/>
        </w:rPr>
        <w:t xml:space="preserve"> however,</w:t>
      </w:r>
      <w:r w:rsidRPr="00617DD1">
        <w:rPr>
          <w:szCs w:val="18"/>
        </w:rPr>
        <w:t xml:space="preserve"> the situation would be a different one if</w:t>
      </w:r>
      <w:r w:rsidRPr="001F5692">
        <w:rPr>
          <w:szCs w:val="18"/>
        </w:rPr>
        <w:t xml:space="preserve"> the manager risks </w:t>
      </w:r>
      <w:r w:rsidRPr="00C50837">
        <w:rPr>
          <w:szCs w:val="18"/>
        </w:rPr>
        <w:t xml:space="preserve">criminally liability.  Cited by Paul </w:t>
      </w:r>
      <w:proofErr w:type="spellStart"/>
      <w:r w:rsidRPr="00C50837">
        <w:rPr>
          <w:szCs w:val="18"/>
        </w:rPr>
        <w:t>Mell</w:t>
      </w:r>
      <w:r w:rsidRPr="002B5D60">
        <w:rPr>
          <w:szCs w:val="18"/>
        </w:rPr>
        <w:t>er</w:t>
      </w:r>
      <w:proofErr w:type="spellEnd"/>
      <w:r w:rsidRPr="002B5D60">
        <w:rPr>
          <w:szCs w:val="18"/>
        </w:rPr>
        <w:t xml:space="preserve">, </w:t>
      </w:r>
      <w:r w:rsidRPr="002B5D60">
        <w:rPr>
          <w:i/>
          <w:szCs w:val="18"/>
        </w:rPr>
        <w:t>Prison</w:t>
      </w:r>
      <w:r w:rsidRPr="005C739C">
        <w:rPr>
          <w:i/>
          <w:szCs w:val="18"/>
        </w:rPr>
        <w:t xml:space="preserve"> over Patents? Proposed EU Law Unites Foes, </w:t>
      </w:r>
      <w:r w:rsidRPr="00261777">
        <w:rPr>
          <w:szCs w:val="18"/>
        </w:rPr>
        <w:t xml:space="preserve">N.Y. Times, Dec.9, 2005.  Similar </w:t>
      </w:r>
      <w:r w:rsidRPr="0048243D">
        <w:rPr>
          <w:szCs w:val="18"/>
        </w:rPr>
        <w:t>views</w:t>
      </w:r>
      <w:r w:rsidRPr="006B07C5">
        <w:rPr>
          <w:szCs w:val="18"/>
        </w:rPr>
        <w:t xml:space="preserve"> were </w:t>
      </w:r>
      <w:r w:rsidRPr="003346CB">
        <w:rPr>
          <w:szCs w:val="18"/>
        </w:rPr>
        <w:t>expressed by the European Generic Medicines Association EGA in a final position paper on the Amended Proposal for a European Parliament and Counci</w:t>
      </w:r>
      <w:r w:rsidRPr="00C119A0">
        <w:rPr>
          <w:szCs w:val="18"/>
        </w:rPr>
        <w:t>l Directive on Criminal Measures aimed at Ensuring the Enforcement of Intellectual Property Rights</w:t>
      </w:r>
      <w:r w:rsidRPr="00A821AF">
        <w:rPr>
          <w:szCs w:val="18"/>
        </w:rPr>
        <w:t xml:space="preserve"> (May 2006).</w:t>
      </w:r>
    </w:p>
  </w:footnote>
  <w:footnote w:id="6">
    <w:p w:rsidR="00D318C5" w:rsidRPr="00DC6921" w:rsidRDefault="00D318C5" w:rsidP="00BF5D35">
      <w:pPr>
        <w:pStyle w:val="FootnoteText"/>
        <w:tabs>
          <w:tab w:val="left" w:pos="567"/>
        </w:tabs>
        <w:ind w:left="567" w:hanging="567"/>
        <w:rPr>
          <w:szCs w:val="18"/>
        </w:rPr>
      </w:pPr>
      <w:r w:rsidRPr="00A821AF">
        <w:rPr>
          <w:rStyle w:val="FootnoteReference"/>
          <w:szCs w:val="18"/>
        </w:rPr>
        <w:footnoteRef/>
      </w:r>
      <w:r w:rsidRPr="009F72D6">
        <w:rPr>
          <w:szCs w:val="18"/>
        </w:rPr>
        <w:t xml:space="preserve"> </w:t>
      </w:r>
      <w:r>
        <w:rPr>
          <w:szCs w:val="18"/>
        </w:rPr>
        <w:tab/>
      </w:r>
      <w:proofErr w:type="gramStart"/>
      <w:r w:rsidRPr="009F72D6">
        <w:rPr>
          <w:szCs w:val="18"/>
        </w:rPr>
        <w:t xml:space="preserve">Panel Report </w:t>
      </w:r>
      <w:r w:rsidRPr="000B6D50">
        <w:rPr>
          <w:i/>
          <w:szCs w:val="18"/>
        </w:rPr>
        <w:t>China – Measures Affecting the Protection and Enforcement of Intellectual Property Rights</w:t>
      </w:r>
      <w:r w:rsidRPr="00522A44">
        <w:rPr>
          <w:szCs w:val="18"/>
        </w:rPr>
        <w:t xml:space="preserve"> (WT/DS362/R) </w:t>
      </w:r>
      <w:r w:rsidRPr="007372BF">
        <w:rPr>
          <w:szCs w:val="18"/>
        </w:rPr>
        <w:t>(</w:t>
      </w:r>
      <w:r w:rsidRPr="00DC6921">
        <w:rPr>
          <w:szCs w:val="18"/>
        </w:rPr>
        <w:t>26 January 2009) (“</w:t>
      </w:r>
      <w:r w:rsidRPr="000B6D50">
        <w:rPr>
          <w:i/>
          <w:szCs w:val="18"/>
        </w:rPr>
        <w:t>China – Intellectual Property Rights</w:t>
      </w:r>
      <w:r w:rsidRPr="00522A44">
        <w:rPr>
          <w:szCs w:val="18"/>
        </w:rPr>
        <w:t>”</w:t>
      </w:r>
      <w:r w:rsidRPr="007372BF">
        <w:rPr>
          <w:szCs w:val="18"/>
        </w:rPr>
        <w:t>)</w:t>
      </w:r>
      <w:r w:rsidRPr="00DC6921">
        <w:rPr>
          <w:szCs w:val="18"/>
        </w:rPr>
        <w:t>.</w:t>
      </w:r>
      <w:proofErr w:type="gramEnd"/>
    </w:p>
  </w:footnote>
  <w:footnote w:id="7">
    <w:p w:rsidR="00D318C5" w:rsidRPr="006B07C5" w:rsidRDefault="00D318C5" w:rsidP="00BF5D35">
      <w:pPr>
        <w:pStyle w:val="FootnoteText"/>
        <w:tabs>
          <w:tab w:val="left" w:pos="567"/>
        </w:tabs>
        <w:ind w:left="567" w:hanging="567"/>
        <w:rPr>
          <w:szCs w:val="18"/>
        </w:rPr>
      </w:pPr>
      <w:r w:rsidRPr="00E43877">
        <w:rPr>
          <w:rStyle w:val="FootnoteReference"/>
          <w:szCs w:val="18"/>
        </w:rPr>
        <w:footnoteRef/>
      </w:r>
      <w:r w:rsidRPr="00500285">
        <w:rPr>
          <w:szCs w:val="18"/>
        </w:rPr>
        <w:t xml:space="preserve"> </w:t>
      </w:r>
      <w:r>
        <w:rPr>
          <w:szCs w:val="18"/>
        </w:rPr>
        <w:tab/>
      </w:r>
      <w:r w:rsidRPr="00694ED7">
        <w:rPr>
          <w:szCs w:val="18"/>
        </w:rPr>
        <w:t xml:space="preserve">WT/DS362/R of 26 January 2009, </w:t>
      </w:r>
      <w:r w:rsidRPr="00E43877">
        <w:rPr>
          <w:szCs w:val="18"/>
        </w:rPr>
        <w:t>para</w:t>
      </w:r>
      <w:r w:rsidRPr="00500285">
        <w:rPr>
          <w:szCs w:val="18"/>
        </w:rPr>
        <w:t>graph</w:t>
      </w:r>
      <w:r w:rsidRPr="006B07C5">
        <w:rPr>
          <w:szCs w:val="18"/>
        </w:rPr>
        <w:t xml:space="preserve"> 7.518.</w:t>
      </w:r>
    </w:p>
  </w:footnote>
  <w:footnote w:id="8">
    <w:p w:rsidR="00D318C5" w:rsidRPr="00D93529" w:rsidRDefault="00D318C5" w:rsidP="00BF5D35">
      <w:pPr>
        <w:pStyle w:val="FootnoteText"/>
        <w:ind w:left="567" w:hanging="567"/>
        <w:rPr>
          <w:szCs w:val="18"/>
        </w:rPr>
      </w:pPr>
      <w:r w:rsidRPr="006B07C5">
        <w:rPr>
          <w:rStyle w:val="FootnoteReference"/>
          <w:szCs w:val="18"/>
        </w:rPr>
        <w:footnoteRef/>
      </w:r>
      <w:r w:rsidRPr="006B07C5">
        <w:rPr>
          <w:szCs w:val="18"/>
        </w:rPr>
        <w:t xml:space="preserve"> </w:t>
      </w:r>
      <w:r>
        <w:rPr>
          <w:szCs w:val="18"/>
        </w:rPr>
        <w:tab/>
      </w:r>
      <w:r w:rsidRPr="003346CB">
        <w:rPr>
          <w:szCs w:val="18"/>
        </w:rPr>
        <w:t>“</w:t>
      </w:r>
      <w:r w:rsidRPr="00C119A0">
        <w:rPr>
          <w:szCs w:val="18"/>
        </w:rPr>
        <w:t xml:space="preserve">Resource Book on </w:t>
      </w:r>
      <w:r w:rsidRPr="002B2839">
        <w:rPr>
          <w:szCs w:val="18"/>
        </w:rPr>
        <w:t>TRIPS and Development</w:t>
      </w:r>
      <w:r w:rsidRPr="000A3F33">
        <w:rPr>
          <w:szCs w:val="18"/>
        </w:rPr>
        <w:t xml:space="preserve">”, </w:t>
      </w:r>
      <w:r w:rsidRPr="00904414">
        <w:rPr>
          <w:szCs w:val="18"/>
        </w:rPr>
        <w:t>UNCTAD-ICTSD Project on IPRs and Sustainable Development, 2005, page 621.</w:t>
      </w:r>
    </w:p>
  </w:footnote>
  <w:footnote w:id="9">
    <w:p w:rsidR="00D318C5" w:rsidRPr="00C63950" w:rsidRDefault="00D318C5" w:rsidP="00BF5D35">
      <w:pPr>
        <w:pStyle w:val="FootnoteText"/>
        <w:ind w:left="567" w:hanging="567"/>
        <w:rPr>
          <w:szCs w:val="18"/>
        </w:rPr>
      </w:pPr>
      <w:r w:rsidRPr="00D93529">
        <w:rPr>
          <w:rStyle w:val="FootnoteReference"/>
          <w:szCs w:val="18"/>
        </w:rPr>
        <w:footnoteRef/>
      </w:r>
      <w:r w:rsidRPr="00D93529">
        <w:rPr>
          <w:szCs w:val="18"/>
        </w:rPr>
        <w:t xml:space="preserve"> </w:t>
      </w:r>
      <w:r>
        <w:rPr>
          <w:szCs w:val="18"/>
        </w:rPr>
        <w:tab/>
      </w:r>
      <w:r w:rsidRPr="00C63950">
        <w:rPr>
          <w:szCs w:val="18"/>
        </w:rPr>
        <w:t xml:space="preserve">Irina D. Manta, see </w:t>
      </w:r>
      <w:r w:rsidRPr="00C63950">
        <w:rPr>
          <w:i/>
          <w:szCs w:val="18"/>
        </w:rPr>
        <w:t>supra</w:t>
      </w:r>
      <w:r>
        <w:rPr>
          <w:szCs w:val="18"/>
        </w:rPr>
        <w:t xml:space="preserve"> </w:t>
      </w:r>
      <w:r w:rsidRPr="00C63950">
        <w:rPr>
          <w:szCs w:val="18"/>
        </w:rPr>
        <w:t>footnote 3, page 472.</w:t>
      </w:r>
    </w:p>
  </w:footnote>
  <w:footnote w:id="10">
    <w:p w:rsidR="00D318C5" w:rsidRPr="0091753C" w:rsidRDefault="00D318C5" w:rsidP="00BF5D35">
      <w:pPr>
        <w:pStyle w:val="FootnoteText"/>
        <w:ind w:left="567" w:hanging="567"/>
        <w:rPr>
          <w:szCs w:val="18"/>
        </w:rPr>
      </w:pPr>
      <w:r w:rsidRPr="00C63950">
        <w:rPr>
          <w:rStyle w:val="FootnoteReference"/>
          <w:szCs w:val="18"/>
        </w:rPr>
        <w:footnoteRef/>
      </w:r>
      <w:r w:rsidRPr="00C63950">
        <w:rPr>
          <w:szCs w:val="18"/>
        </w:rPr>
        <w:t xml:space="preserve"> </w:t>
      </w:r>
      <w:r w:rsidRPr="00C63950">
        <w:rPr>
          <w:szCs w:val="18"/>
        </w:rPr>
        <w:tab/>
        <w:t xml:space="preserve">Irina D. Manta, see </w:t>
      </w:r>
      <w:r w:rsidRPr="00C63950">
        <w:rPr>
          <w:i/>
          <w:szCs w:val="18"/>
        </w:rPr>
        <w:t>supra</w:t>
      </w:r>
      <w:r w:rsidRPr="00C63950">
        <w:t xml:space="preserve"> </w:t>
      </w:r>
      <w:r w:rsidRPr="00C63950">
        <w:rPr>
          <w:szCs w:val="18"/>
        </w:rPr>
        <w:t>footnote 3</w:t>
      </w:r>
      <w:r>
        <w:rPr>
          <w:szCs w:val="18"/>
        </w:rPr>
        <w:t>,</w:t>
      </w:r>
      <w:r w:rsidRPr="00C63950">
        <w:rPr>
          <w:szCs w:val="18"/>
        </w:rPr>
        <w:t xml:space="preserve"> page 493.</w:t>
      </w:r>
    </w:p>
  </w:footnote>
  <w:footnote w:id="11">
    <w:p w:rsidR="00D318C5" w:rsidRPr="00172156" w:rsidRDefault="00D318C5" w:rsidP="00BF5D35">
      <w:pPr>
        <w:pStyle w:val="FootnoteText"/>
        <w:ind w:left="567" w:hanging="567"/>
        <w:rPr>
          <w:szCs w:val="18"/>
        </w:rPr>
      </w:pPr>
      <w:r w:rsidRPr="00172156">
        <w:rPr>
          <w:rStyle w:val="FootnoteReference"/>
          <w:szCs w:val="18"/>
        </w:rPr>
        <w:footnoteRef/>
      </w:r>
      <w:r w:rsidRPr="00172156">
        <w:rPr>
          <w:szCs w:val="18"/>
        </w:rPr>
        <w:t xml:space="preserve"> </w:t>
      </w:r>
      <w:r>
        <w:rPr>
          <w:szCs w:val="18"/>
        </w:rPr>
        <w:tab/>
      </w:r>
      <w:r w:rsidRPr="00172156">
        <w:rPr>
          <w:szCs w:val="18"/>
        </w:rPr>
        <w:t>Harold A. Borland, “The Affirmative Duty to Exercise Due Care in Willful Patent Infringement Cases: We Still Want It”, Houston Business and Tax Law Journal, 2005, page 197.</w:t>
      </w:r>
    </w:p>
  </w:footnote>
  <w:footnote w:id="12">
    <w:p w:rsidR="00D318C5" w:rsidRPr="00D93529" w:rsidRDefault="00D318C5" w:rsidP="00BF5D35">
      <w:pPr>
        <w:pStyle w:val="FootnoteText"/>
        <w:ind w:left="567" w:hanging="567"/>
        <w:rPr>
          <w:szCs w:val="18"/>
        </w:rPr>
      </w:pPr>
      <w:r w:rsidRPr="00904414">
        <w:rPr>
          <w:rStyle w:val="FootnoteReference"/>
          <w:szCs w:val="18"/>
        </w:rPr>
        <w:footnoteRef/>
      </w:r>
      <w:r>
        <w:rPr>
          <w:szCs w:val="18"/>
        </w:rPr>
        <w:t>.</w:t>
      </w:r>
      <w:r>
        <w:rPr>
          <w:szCs w:val="18"/>
        </w:rPr>
        <w:tab/>
      </w:r>
      <w:r w:rsidRPr="00904414">
        <w:rPr>
          <w:szCs w:val="18"/>
        </w:rPr>
        <w:t>According to a recent report by the American Intellectual P</w:t>
      </w:r>
      <w:r w:rsidRPr="00C7641F">
        <w:rPr>
          <w:szCs w:val="18"/>
        </w:rPr>
        <w:t>roperty Association (AIPLA),</w:t>
      </w:r>
      <w:r w:rsidRPr="00A77253">
        <w:rPr>
          <w:szCs w:val="18"/>
        </w:rPr>
        <w:t xml:space="preserve"> </w:t>
      </w:r>
      <w:r w:rsidR="00BC1DCE">
        <w:rPr>
          <w:szCs w:val="18"/>
        </w:rPr>
        <w:t xml:space="preserve">in the United States of America, </w:t>
      </w:r>
      <w:r w:rsidRPr="00A77253">
        <w:rPr>
          <w:szCs w:val="18"/>
        </w:rPr>
        <w:t xml:space="preserve">the median litigation costs for patent infringement suits </w:t>
      </w:r>
      <w:r w:rsidRPr="006970C7">
        <w:rPr>
          <w:szCs w:val="18"/>
        </w:rPr>
        <w:t xml:space="preserve">were the following:  </w:t>
      </w:r>
      <w:r w:rsidRPr="002E327F">
        <w:rPr>
          <w:szCs w:val="18"/>
        </w:rPr>
        <w:t>for a claim t</w:t>
      </w:r>
      <w:r>
        <w:rPr>
          <w:szCs w:val="18"/>
        </w:rPr>
        <w:t xml:space="preserve">hat could be worth less than a </w:t>
      </w:r>
      <w:r w:rsidRPr="002E327F">
        <w:rPr>
          <w:szCs w:val="18"/>
        </w:rPr>
        <w:t>1 million USD, the median legal costs were 750,000 USD</w:t>
      </w:r>
      <w:r>
        <w:rPr>
          <w:szCs w:val="18"/>
        </w:rPr>
        <w:t xml:space="preserve">.  When he sum of </w:t>
      </w:r>
      <w:r w:rsidRPr="002E327F">
        <w:rPr>
          <w:szCs w:val="18"/>
        </w:rPr>
        <w:t xml:space="preserve">1 million USD </w:t>
      </w:r>
      <w:r>
        <w:rPr>
          <w:szCs w:val="18"/>
        </w:rPr>
        <w:t xml:space="preserve">to </w:t>
      </w:r>
      <w:r w:rsidRPr="00273322">
        <w:rPr>
          <w:szCs w:val="18"/>
        </w:rPr>
        <w:t>25 million USD was considered “</w:t>
      </w:r>
      <w:r w:rsidRPr="00C56B9E">
        <w:rPr>
          <w:szCs w:val="18"/>
        </w:rPr>
        <w:t xml:space="preserve">at risk”, the total litigation costs </w:t>
      </w:r>
      <w:r w:rsidRPr="00AE572A">
        <w:rPr>
          <w:szCs w:val="18"/>
        </w:rPr>
        <w:t xml:space="preserve">could </w:t>
      </w:r>
      <w:r>
        <w:rPr>
          <w:szCs w:val="18"/>
        </w:rPr>
        <w:t xml:space="preserve">reach the sum of </w:t>
      </w:r>
      <w:r w:rsidRPr="00AE572A">
        <w:rPr>
          <w:szCs w:val="18"/>
        </w:rPr>
        <w:t xml:space="preserve">2.8 million USD.  </w:t>
      </w:r>
      <w:r>
        <w:rPr>
          <w:szCs w:val="18"/>
        </w:rPr>
        <w:t xml:space="preserve">For a claim over </w:t>
      </w:r>
      <w:r w:rsidRPr="00AE572A">
        <w:rPr>
          <w:szCs w:val="18"/>
        </w:rPr>
        <w:t>25 million</w:t>
      </w:r>
      <w:r w:rsidRPr="00CF2189">
        <w:rPr>
          <w:szCs w:val="18"/>
        </w:rPr>
        <w:t xml:space="preserve"> USD, the legal costs through the trial </w:t>
      </w:r>
      <w:r w:rsidRPr="001052F2">
        <w:rPr>
          <w:szCs w:val="18"/>
        </w:rPr>
        <w:t xml:space="preserve">could reach </w:t>
      </w:r>
      <w:r>
        <w:rPr>
          <w:szCs w:val="18"/>
        </w:rPr>
        <w:t xml:space="preserve">up to </w:t>
      </w:r>
      <w:r w:rsidRPr="001052F2">
        <w:rPr>
          <w:szCs w:val="18"/>
        </w:rPr>
        <w:t xml:space="preserve">5 million USD.  The high costs of this litigation dissuaded </w:t>
      </w:r>
      <w:r w:rsidRPr="00B9728F">
        <w:rPr>
          <w:szCs w:val="18"/>
        </w:rPr>
        <w:t xml:space="preserve">many small and medium-sized </w:t>
      </w:r>
      <w:r w:rsidRPr="006C7473">
        <w:rPr>
          <w:szCs w:val="18"/>
        </w:rPr>
        <w:t>enterprises (SME</w:t>
      </w:r>
      <w:r>
        <w:rPr>
          <w:szCs w:val="18"/>
        </w:rPr>
        <w:t>s</w:t>
      </w:r>
      <w:r w:rsidRPr="006C7473">
        <w:rPr>
          <w:szCs w:val="18"/>
        </w:rPr>
        <w:t xml:space="preserve">) </w:t>
      </w:r>
      <w:r w:rsidRPr="00EE28A0">
        <w:rPr>
          <w:szCs w:val="18"/>
        </w:rPr>
        <w:t>from initiating a case for patent infringement (AIPLA 2013 Report of the Economic Survey</w:t>
      </w:r>
      <w:r w:rsidRPr="00D93529">
        <w:rPr>
          <w:szCs w:val="18"/>
        </w:rPr>
        <w:t>).</w:t>
      </w:r>
      <w:r w:rsidR="00630650">
        <w:rPr>
          <w:szCs w:val="18"/>
        </w:rPr>
        <w:t xml:space="preserve">  </w:t>
      </w:r>
      <w:r w:rsidR="00630650">
        <w:t>However, between jurisdictions the costs may differ widely, and the AIPLA study refers exclusively to the situation in United States of America, which is referred as the example of highest cost on patent enforcement.</w:t>
      </w:r>
    </w:p>
  </w:footnote>
  <w:footnote w:id="13">
    <w:p w:rsidR="00D318C5" w:rsidRPr="0091753C" w:rsidRDefault="00D318C5" w:rsidP="00BF5D35">
      <w:pPr>
        <w:pStyle w:val="FootnoteText"/>
        <w:tabs>
          <w:tab w:val="left" w:pos="567"/>
        </w:tabs>
        <w:ind w:left="567" w:hanging="567"/>
        <w:rPr>
          <w:szCs w:val="18"/>
        </w:rPr>
      </w:pPr>
      <w:r w:rsidRPr="00D93529">
        <w:rPr>
          <w:rStyle w:val="FootnoteReference"/>
          <w:szCs w:val="18"/>
        </w:rPr>
        <w:footnoteRef/>
      </w:r>
      <w:r w:rsidRPr="00A05982">
        <w:rPr>
          <w:szCs w:val="18"/>
        </w:rPr>
        <w:t xml:space="preserve"> </w:t>
      </w:r>
      <w:r>
        <w:rPr>
          <w:szCs w:val="18"/>
        </w:rPr>
        <w:tab/>
      </w:r>
      <w:r w:rsidRPr="00A05982">
        <w:rPr>
          <w:szCs w:val="18"/>
        </w:rPr>
        <w:t>Chartered Institute of Patent Agents, “Preliminary Comments on the proposed Directive on criminal measures aimed at ensuring the enforcement of intellectual property rights and the Council Framework Decision on measures to strengthen the criminal law fram</w:t>
      </w:r>
      <w:r w:rsidRPr="0091753C">
        <w:rPr>
          <w:szCs w:val="18"/>
        </w:rPr>
        <w:t>ework to combat intellectual property offences”, page 4.</w:t>
      </w:r>
    </w:p>
  </w:footnote>
  <w:footnote w:id="14">
    <w:p w:rsidR="00D318C5" w:rsidRPr="0091753C" w:rsidRDefault="00D318C5" w:rsidP="00BF5D35">
      <w:pPr>
        <w:pStyle w:val="FootnoteText"/>
        <w:ind w:left="567" w:hanging="567"/>
        <w:rPr>
          <w:szCs w:val="18"/>
        </w:rPr>
      </w:pPr>
      <w:r w:rsidRPr="0091753C">
        <w:rPr>
          <w:rStyle w:val="FootnoteReference"/>
          <w:szCs w:val="18"/>
        </w:rPr>
        <w:footnoteRef/>
      </w:r>
      <w:r w:rsidRPr="0091753C">
        <w:rPr>
          <w:szCs w:val="18"/>
        </w:rPr>
        <w:t xml:space="preserve"> </w:t>
      </w:r>
      <w:r>
        <w:rPr>
          <w:szCs w:val="18"/>
        </w:rPr>
        <w:tab/>
      </w:r>
      <w:r w:rsidRPr="0091753C">
        <w:rPr>
          <w:szCs w:val="18"/>
        </w:rPr>
        <w:t>Irina D. Manta, “The Puzzle of Criminal Sanctions for Intellectual Property Infringement”, Harvard Journal of Law &amp; Technology, Vol. 24, Number 2, 2011, page 499.</w:t>
      </w:r>
    </w:p>
  </w:footnote>
  <w:footnote w:id="15">
    <w:p w:rsidR="00D318C5" w:rsidRPr="008F3127" w:rsidRDefault="00D318C5" w:rsidP="00BF5D35">
      <w:pPr>
        <w:pStyle w:val="FootnoteText"/>
        <w:ind w:left="567" w:hanging="567"/>
        <w:rPr>
          <w:szCs w:val="18"/>
        </w:rPr>
      </w:pPr>
      <w:r w:rsidRPr="0091753C">
        <w:rPr>
          <w:rStyle w:val="FootnoteReference"/>
          <w:szCs w:val="18"/>
        </w:rPr>
        <w:footnoteRef/>
      </w:r>
      <w:r w:rsidRPr="008F3127">
        <w:rPr>
          <w:szCs w:val="18"/>
        </w:rPr>
        <w:t xml:space="preserve"> </w:t>
      </w:r>
      <w:r>
        <w:rPr>
          <w:szCs w:val="18"/>
        </w:rPr>
        <w:tab/>
      </w:r>
      <w:proofErr w:type="gramStart"/>
      <w:r w:rsidRPr="008F3127">
        <w:rPr>
          <w:szCs w:val="18"/>
        </w:rPr>
        <w:t>WIPO/ACE/4/3, page 15.</w:t>
      </w:r>
      <w:proofErr w:type="gramEnd"/>
    </w:p>
  </w:footnote>
  <w:footnote w:id="16">
    <w:p w:rsidR="00D318C5" w:rsidRPr="00172156" w:rsidRDefault="00D318C5" w:rsidP="00BF5D35">
      <w:pPr>
        <w:pStyle w:val="FootnoteText"/>
        <w:ind w:left="567" w:hanging="567"/>
        <w:rPr>
          <w:szCs w:val="18"/>
        </w:rPr>
      </w:pPr>
      <w:r w:rsidRPr="00172156">
        <w:rPr>
          <w:rStyle w:val="FootnoteReference"/>
          <w:szCs w:val="18"/>
        </w:rPr>
        <w:footnoteRef/>
      </w:r>
      <w:r w:rsidRPr="00172156">
        <w:rPr>
          <w:szCs w:val="18"/>
        </w:rPr>
        <w:t xml:space="preserve"> </w:t>
      </w:r>
      <w:r>
        <w:rPr>
          <w:szCs w:val="18"/>
        </w:rPr>
        <w:tab/>
      </w:r>
      <w:r w:rsidRPr="00172156">
        <w:rPr>
          <w:szCs w:val="18"/>
        </w:rPr>
        <w:t xml:space="preserve">See </w:t>
      </w:r>
      <w:r w:rsidRPr="00172156">
        <w:rPr>
          <w:i/>
          <w:szCs w:val="18"/>
        </w:rPr>
        <w:t>supra</w:t>
      </w:r>
      <w:r w:rsidRPr="00172156">
        <w:rPr>
          <w:szCs w:val="18"/>
        </w:rPr>
        <w:t xml:space="preserve"> footnote 2.</w:t>
      </w:r>
    </w:p>
  </w:footnote>
  <w:footnote w:id="17">
    <w:p w:rsidR="00D318C5" w:rsidRPr="008F1588" w:rsidRDefault="00D318C5" w:rsidP="00BF5D35">
      <w:pPr>
        <w:ind w:left="567" w:hanging="567"/>
        <w:rPr>
          <w:sz w:val="18"/>
          <w:szCs w:val="18"/>
        </w:rPr>
      </w:pPr>
      <w:r w:rsidRPr="00BF106D">
        <w:rPr>
          <w:rStyle w:val="FootnoteReference"/>
          <w:sz w:val="18"/>
          <w:szCs w:val="18"/>
        </w:rPr>
        <w:footnoteRef/>
      </w:r>
      <w:r w:rsidRPr="00BF106D">
        <w:rPr>
          <w:sz w:val="18"/>
          <w:szCs w:val="18"/>
        </w:rPr>
        <w:t xml:space="preserve"> </w:t>
      </w:r>
      <w:r>
        <w:rPr>
          <w:sz w:val="18"/>
          <w:szCs w:val="18"/>
        </w:rPr>
        <w:tab/>
      </w:r>
      <w:r w:rsidRPr="00522A44">
        <w:rPr>
          <w:sz w:val="18"/>
          <w:szCs w:val="18"/>
        </w:rPr>
        <w:t>According to an author comm</w:t>
      </w:r>
      <w:r w:rsidRPr="00694ED7">
        <w:rPr>
          <w:sz w:val="18"/>
          <w:szCs w:val="18"/>
        </w:rPr>
        <w:t xml:space="preserve">enting </w:t>
      </w:r>
      <w:r>
        <w:rPr>
          <w:sz w:val="18"/>
          <w:szCs w:val="18"/>
        </w:rPr>
        <w:t>on</w:t>
      </w:r>
      <w:r w:rsidRPr="00694ED7">
        <w:rPr>
          <w:sz w:val="18"/>
          <w:szCs w:val="18"/>
        </w:rPr>
        <w:t xml:space="preserve"> the EU directive on criminal measures aimed at ensuring the enforcement of intellectual property rights (so-</w:t>
      </w:r>
      <w:r w:rsidRPr="008F1588">
        <w:rPr>
          <w:sz w:val="18"/>
          <w:szCs w:val="18"/>
        </w:rPr>
        <w:t>called IPRED2</w:t>
      </w:r>
      <w:r>
        <w:rPr>
          <w:sz w:val="18"/>
          <w:szCs w:val="18"/>
        </w:rPr>
        <w:t xml:space="preserve">, which is the </w:t>
      </w:r>
      <w:r w:rsidRPr="008F1588">
        <w:rPr>
          <w:sz w:val="18"/>
          <w:szCs w:val="18"/>
        </w:rPr>
        <w:t>second because it aims to complement the firs</w:t>
      </w:r>
      <w:r>
        <w:rPr>
          <w:sz w:val="18"/>
          <w:szCs w:val="18"/>
        </w:rPr>
        <w:t>t</w:t>
      </w:r>
      <w:r w:rsidRPr="008F1588">
        <w:rPr>
          <w:sz w:val="18"/>
          <w:szCs w:val="18"/>
        </w:rPr>
        <w:t xml:space="preserve"> Enforcement Directive regulating civil sanctions for IPRs infringement),“among Parliament’s most popular amendments was the one carving out patents from the Directive’s scope”. Lisa </w:t>
      </w:r>
      <w:proofErr w:type="spellStart"/>
      <w:r w:rsidRPr="008F1588">
        <w:rPr>
          <w:sz w:val="18"/>
          <w:szCs w:val="18"/>
        </w:rPr>
        <w:t>Peets</w:t>
      </w:r>
      <w:proofErr w:type="spellEnd"/>
      <w:r w:rsidRPr="008F1588">
        <w:rPr>
          <w:sz w:val="18"/>
          <w:szCs w:val="18"/>
        </w:rPr>
        <w:t xml:space="preserve">, </w:t>
      </w:r>
      <w:r w:rsidRPr="008F1588">
        <w:rPr>
          <w:i/>
          <w:sz w:val="18"/>
          <w:szCs w:val="18"/>
        </w:rPr>
        <w:t>Criminal Sanction</w:t>
      </w:r>
      <w:r>
        <w:rPr>
          <w:i/>
          <w:sz w:val="18"/>
          <w:szCs w:val="18"/>
        </w:rPr>
        <w:t>s</w:t>
      </w:r>
      <w:r w:rsidRPr="00694ED7">
        <w:rPr>
          <w:i/>
          <w:sz w:val="18"/>
          <w:szCs w:val="18"/>
        </w:rPr>
        <w:t xml:space="preserve"> Remain Complex</w:t>
      </w:r>
      <w:r w:rsidRPr="008F1588">
        <w:rPr>
          <w:i/>
          <w:sz w:val="18"/>
          <w:szCs w:val="18"/>
        </w:rPr>
        <w:t>,</w:t>
      </w:r>
      <w:r w:rsidRPr="008F1588">
        <w:rPr>
          <w:sz w:val="18"/>
          <w:szCs w:val="18"/>
        </w:rPr>
        <w:t xml:space="preserve"> Copyright World Issue No. 173, </w:t>
      </w:r>
      <w:r>
        <w:rPr>
          <w:sz w:val="18"/>
          <w:szCs w:val="18"/>
        </w:rPr>
        <w:t>p</w:t>
      </w:r>
      <w:r w:rsidRPr="008F1588">
        <w:rPr>
          <w:sz w:val="18"/>
          <w:szCs w:val="18"/>
        </w:rPr>
        <w:t>ag</w:t>
      </w:r>
      <w:r>
        <w:rPr>
          <w:sz w:val="18"/>
          <w:szCs w:val="18"/>
        </w:rPr>
        <w:t>e</w:t>
      </w:r>
      <w:r w:rsidRPr="008F1588">
        <w:rPr>
          <w:sz w:val="18"/>
          <w:szCs w:val="18"/>
        </w:rPr>
        <w:t xml:space="preserve"> 14</w:t>
      </w:r>
    </w:p>
  </w:footnote>
  <w:footnote w:id="18">
    <w:p w:rsidR="00D318C5" w:rsidRPr="00BF106D" w:rsidRDefault="00D318C5" w:rsidP="00BF5D35">
      <w:pPr>
        <w:ind w:left="567" w:hanging="567"/>
        <w:rPr>
          <w:sz w:val="18"/>
          <w:szCs w:val="18"/>
        </w:rPr>
      </w:pPr>
      <w:r w:rsidRPr="00BF106D">
        <w:rPr>
          <w:rStyle w:val="FootnoteReference"/>
          <w:sz w:val="18"/>
          <w:szCs w:val="18"/>
        </w:rPr>
        <w:footnoteRef/>
      </w:r>
      <w:r w:rsidRPr="00BF106D">
        <w:rPr>
          <w:sz w:val="18"/>
          <w:szCs w:val="18"/>
        </w:rPr>
        <w:t xml:space="preserve"> </w:t>
      </w:r>
      <w:r>
        <w:rPr>
          <w:sz w:val="18"/>
          <w:szCs w:val="18"/>
        </w:rPr>
        <w:tab/>
      </w:r>
      <w:r w:rsidRPr="00522A44">
        <w:rPr>
          <w:sz w:val="18"/>
          <w:szCs w:val="18"/>
        </w:rPr>
        <w:t>A study conducted by a consortium of consultants from different Eur</w:t>
      </w:r>
      <w:r w:rsidRPr="00694ED7">
        <w:rPr>
          <w:sz w:val="18"/>
          <w:szCs w:val="18"/>
        </w:rPr>
        <w:t xml:space="preserve">opean countries, at the request of the European Commission, has stressed the differences </w:t>
      </w:r>
      <w:r>
        <w:rPr>
          <w:sz w:val="18"/>
          <w:szCs w:val="18"/>
        </w:rPr>
        <w:t>among</w:t>
      </w:r>
      <w:r w:rsidRPr="00694ED7">
        <w:rPr>
          <w:sz w:val="18"/>
          <w:szCs w:val="18"/>
        </w:rPr>
        <w:t xml:space="preserve"> legislation of EU Member States on </w:t>
      </w:r>
      <w:r>
        <w:rPr>
          <w:sz w:val="18"/>
          <w:szCs w:val="18"/>
        </w:rPr>
        <w:t>intellectual property</w:t>
      </w:r>
      <w:r w:rsidRPr="00694ED7">
        <w:rPr>
          <w:sz w:val="18"/>
          <w:szCs w:val="18"/>
        </w:rPr>
        <w:t xml:space="preserve"> criminal sanctions</w:t>
      </w:r>
      <w:r>
        <w:rPr>
          <w:sz w:val="18"/>
          <w:szCs w:val="18"/>
        </w:rPr>
        <w:t xml:space="preserve">. </w:t>
      </w:r>
      <w:r w:rsidRPr="00694ED7">
        <w:rPr>
          <w:sz w:val="18"/>
          <w:szCs w:val="18"/>
        </w:rPr>
        <w:t xml:space="preserve"> </w:t>
      </w:r>
      <w:r>
        <w:rPr>
          <w:sz w:val="18"/>
          <w:szCs w:val="18"/>
        </w:rPr>
        <w:t xml:space="preserve">The study </w:t>
      </w:r>
      <w:r w:rsidRPr="00694ED7">
        <w:rPr>
          <w:sz w:val="18"/>
          <w:szCs w:val="18"/>
        </w:rPr>
        <w:t>state</w:t>
      </w:r>
      <w:r w:rsidRPr="00E2422D">
        <w:rPr>
          <w:sz w:val="18"/>
          <w:szCs w:val="18"/>
        </w:rPr>
        <w:t>d that problems caused by transnational crimes create “a strong need for harmonization of the criminal laws of the EU Member State</w:t>
      </w:r>
      <w:r>
        <w:rPr>
          <w:sz w:val="18"/>
          <w:szCs w:val="18"/>
        </w:rPr>
        <w:t>s</w:t>
      </w:r>
      <w:r w:rsidRPr="00E2422D">
        <w:rPr>
          <w:sz w:val="18"/>
          <w:szCs w:val="18"/>
        </w:rPr>
        <w:t xml:space="preserve">”.  In relation to patents, the study highlighted that only </w:t>
      </w:r>
      <w:r>
        <w:rPr>
          <w:sz w:val="18"/>
          <w:szCs w:val="18"/>
        </w:rPr>
        <w:t>six</w:t>
      </w:r>
      <w:r w:rsidRPr="00E2422D">
        <w:rPr>
          <w:sz w:val="18"/>
          <w:szCs w:val="18"/>
        </w:rPr>
        <w:t xml:space="preserve"> </w:t>
      </w:r>
      <w:r>
        <w:rPr>
          <w:sz w:val="18"/>
          <w:szCs w:val="18"/>
        </w:rPr>
        <w:t>M</w:t>
      </w:r>
      <w:r w:rsidRPr="00E2422D">
        <w:rPr>
          <w:sz w:val="18"/>
          <w:szCs w:val="18"/>
        </w:rPr>
        <w:t xml:space="preserve">ember </w:t>
      </w:r>
      <w:r>
        <w:rPr>
          <w:sz w:val="18"/>
          <w:szCs w:val="18"/>
        </w:rPr>
        <w:t>S</w:t>
      </w:r>
      <w:r w:rsidRPr="00E2422D">
        <w:rPr>
          <w:sz w:val="18"/>
          <w:szCs w:val="18"/>
        </w:rPr>
        <w:t xml:space="preserve">tates do not have criminal sanctions </w:t>
      </w:r>
      <w:r>
        <w:rPr>
          <w:sz w:val="18"/>
          <w:szCs w:val="18"/>
        </w:rPr>
        <w:t>but</w:t>
      </w:r>
      <w:r w:rsidRPr="00E2422D">
        <w:rPr>
          <w:sz w:val="18"/>
          <w:szCs w:val="18"/>
        </w:rPr>
        <w:t xml:space="preserve"> despite this background, </w:t>
      </w:r>
      <w:r>
        <w:rPr>
          <w:sz w:val="18"/>
          <w:szCs w:val="18"/>
        </w:rPr>
        <w:t xml:space="preserve">the </w:t>
      </w:r>
      <w:r w:rsidRPr="00E2422D">
        <w:rPr>
          <w:sz w:val="18"/>
          <w:szCs w:val="18"/>
        </w:rPr>
        <w:t>criminalization of patent infringement was not proposed as one of the elements for future action. “Study on a possible modified proposal on criminal measures aimed at ensuring the enforcement of intellectual property rights”, JLS/2009/A1/FWC/023.</w:t>
      </w:r>
    </w:p>
  </w:footnote>
  <w:footnote w:id="19">
    <w:p w:rsidR="00766C0E" w:rsidRPr="00500285" w:rsidRDefault="00766C0E" w:rsidP="00766C0E">
      <w:pPr>
        <w:pStyle w:val="FootnoteText"/>
        <w:tabs>
          <w:tab w:val="left" w:pos="567"/>
        </w:tabs>
        <w:ind w:left="567" w:hanging="567"/>
        <w:rPr>
          <w:szCs w:val="18"/>
        </w:rPr>
      </w:pPr>
      <w:r w:rsidRPr="00522A44">
        <w:rPr>
          <w:rStyle w:val="FootnoteReference"/>
          <w:szCs w:val="18"/>
        </w:rPr>
        <w:footnoteRef/>
      </w:r>
      <w:r w:rsidRPr="00E2422D">
        <w:rPr>
          <w:szCs w:val="18"/>
        </w:rPr>
        <w:t xml:space="preserve"> </w:t>
      </w:r>
      <w:r>
        <w:rPr>
          <w:szCs w:val="18"/>
        </w:rPr>
        <w:tab/>
        <w:t xml:space="preserve">For instance, </w:t>
      </w:r>
      <w:r w:rsidRPr="00E2422D">
        <w:rPr>
          <w:szCs w:val="18"/>
        </w:rPr>
        <w:t>Australia, Bolivia, Canada, Chile, China, Estonia, Georgia, Honduras, Malaysia, New Zealand, Singapore, South Africa, United Kingdom, United States of America, among others.</w:t>
      </w:r>
      <w:r>
        <w:rPr>
          <w:szCs w:val="18"/>
        </w:rPr>
        <w:t xml:space="preserve">  </w:t>
      </w:r>
      <w:r w:rsidRPr="00C63950">
        <w:rPr>
          <w:szCs w:val="18"/>
        </w:rPr>
        <w:t>For more details see Annex I to this document containing national and regional provisions of law.</w:t>
      </w:r>
    </w:p>
  </w:footnote>
  <w:footnote w:id="20">
    <w:p w:rsidR="00766C0E" w:rsidRPr="00864290" w:rsidRDefault="00766C0E" w:rsidP="00766C0E">
      <w:pPr>
        <w:pStyle w:val="FootnoteText"/>
      </w:pPr>
      <w:r>
        <w:rPr>
          <w:rStyle w:val="FootnoteReference"/>
        </w:rPr>
        <w:footnoteRef/>
      </w:r>
      <w:r>
        <w:t xml:space="preserve"> </w:t>
      </w:r>
      <w:r>
        <w:tab/>
        <w:t xml:space="preserve">See </w:t>
      </w:r>
      <w:r w:rsidRPr="004F2DE6">
        <w:rPr>
          <w:i/>
        </w:rPr>
        <w:t>supra</w:t>
      </w:r>
      <w:r>
        <w:t>, footnote 17.</w:t>
      </w:r>
    </w:p>
  </w:footnote>
  <w:footnote w:id="21">
    <w:p w:rsidR="00766C0E" w:rsidRPr="005F2331" w:rsidRDefault="00766C0E" w:rsidP="00766C0E">
      <w:pPr>
        <w:pStyle w:val="FootnoteText"/>
        <w:tabs>
          <w:tab w:val="left" w:pos="567"/>
        </w:tabs>
        <w:ind w:left="567" w:hanging="567"/>
        <w:rPr>
          <w:szCs w:val="18"/>
        </w:rPr>
      </w:pPr>
      <w:r w:rsidRPr="00C119A0">
        <w:rPr>
          <w:rStyle w:val="FootnoteReference"/>
          <w:szCs w:val="18"/>
        </w:rPr>
        <w:footnoteRef/>
      </w:r>
      <w:r w:rsidRPr="000A3F33">
        <w:rPr>
          <w:szCs w:val="18"/>
        </w:rPr>
        <w:t xml:space="preserve"> </w:t>
      </w:r>
      <w:r>
        <w:rPr>
          <w:szCs w:val="18"/>
        </w:rPr>
        <w:tab/>
      </w:r>
      <w:r w:rsidRPr="00C63950">
        <w:rPr>
          <w:szCs w:val="18"/>
        </w:rPr>
        <w:t xml:space="preserve">Out of the laws of the 159 countries that were analyzed in this study, the laws of 99 of those countries have implemented criminal sanctions in the patent field.  </w:t>
      </w:r>
    </w:p>
  </w:footnote>
  <w:footnote w:id="22">
    <w:p w:rsidR="00D318C5" w:rsidRPr="00BC1DCE" w:rsidRDefault="00D318C5" w:rsidP="00AB2829">
      <w:pPr>
        <w:pStyle w:val="FootnoteText"/>
        <w:ind w:left="562" w:hanging="562"/>
      </w:pPr>
      <w:r>
        <w:rPr>
          <w:rStyle w:val="FootnoteReference"/>
        </w:rPr>
        <w:footnoteRef/>
      </w:r>
      <w:r w:rsidRPr="00BC1DCE">
        <w:t xml:space="preserve"> </w:t>
      </w:r>
      <w:r w:rsidRPr="00BC1DCE">
        <w:tab/>
        <w:t>Argentinian Patent Law uses the expressions “</w:t>
      </w:r>
      <w:proofErr w:type="spellStart"/>
      <w:r w:rsidRPr="00BC1DCE">
        <w:t>defraudacion</w:t>
      </w:r>
      <w:proofErr w:type="spellEnd"/>
      <w:r w:rsidRPr="00BC1DCE">
        <w:t xml:space="preserve"> de </w:t>
      </w:r>
      <w:proofErr w:type="spellStart"/>
      <w:r w:rsidRPr="00BC1DCE">
        <w:t>los</w:t>
      </w:r>
      <w:proofErr w:type="spellEnd"/>
      <w:r w:rsidRPr="00BC1DCE">
        <w:t xml:space="preserve"> derechos del inventor” (defrauding inventor’s rights) and “</w:t>
      </w:r>
      <w:proofErr w:type="spellStart"/>
      <w:r w:rsidRPr="00BC1DCE">
        <w:t>delito</w:t>
      </w:r>
      <w:proofErr w:type="spellEnd"/>
      <w:r w:rsidRPr="00BC1DCE">
        <w:t xml:space="preserve"> de </w:t>
      </w:r>
      <w:proofErr w:type="spellStart"/>
      <w:r w:rsidRPr="00BC1DCE">
        <w:t>falsificación</w:t>
      </w:r>
      <w:proofErr w:type="spellEnd"/>
      <w:r w:rsidRPr="00BC1DCE">
        <w:t xml:space="preserve">” (crime of forgery), while the Belgian </w:t>
      </w:r>
      <w:r w:rsidR="00D1738E" w:rsidRPr="00D1738E">
        <w:t>on the Punishment of Counterfeiting and Piracy of Intellectual Property Rights of 05/05/2007</w:t>
      </w:r>
      <w:r w:rsidR="00D1738E">
        <w:t xml:space="preserve">, </w:t>
      </w:r>
      <w:r w:rsidR="00D1738E" w:rsidRPr="00D1738E">
        <w:t>Article 8, § 1</w:t>
      </w:r>
      <w:r w:rsidR="00D1738E">
        <w:t xml:space="preserve">, </w:t>
      </w:r>
      <w:r w:rsidRPr="00BC1DCE">
        <w:t xml:space="preserve">refers to “porter </w:t>
      </w:r>
      <w:proofErr w:type="spellStart"/>
      <w:r w:rsidRPr="00BC1DCE">
        <w:t>atteinte</w:t>
      </w:r>
      <w:proofErr w:type="spellEnd"/>
      <w:r w:rsidRPr="00BC1DCE">
        <w:t xml:space="preserve"> avec </w:t>
      </w:r>
      <w:proofErr w:type="spellStart"/>
      <w:r w:rsidRPr="00BC1DCE">
        <w:t>une</w:t>
      </w:r>
      <w:proofErr w:type="spellEnd"/>
      <w:r w:rsidRPr="00BC1DCE">
        <w:t xml:space="preserve"> intention </w:t>
      </w:r>
      <w:proofErr w:type="spellStart"/>
      <w:r w:rsidRPr="00BC1DCE">
        <w:t>méchante</w:t>
      </w:r>
      <w:proofErr w:type="spellEnd"/>
      <w:r w:rsidRPr="00BC1DCE">
        <w:t xml:space="preserve"> </w:t>
      </w:r>
      <w:proofErr w:type="spellStart"/>
      <w:r w:rsidRPr="00BC1DCE">
        <w:t>ou</w:t>
      </w:r>
      <w:proofErr w:type="spellEnd"/>
      <w:r w:rsidRPr="00BC1DCE">
        <w:t xml:space="preserve"> </w:t>
      </w:r>
      <w:proofErr w:type="spellStart"/>
      <w:r w:rsidRPr="00BC1DCE">
        <w:t>frauduleuse</w:t>
      </w:r>
      <w:proofErr w:type="spellEnd"/>
      <w:r w:rsidRPr="00BC1DCE">
        <w:t xml:space="preserve"> aux droits du </w:t>
      </w:r>
      <w:proofErr w:type="spellStart"/>
      <w:r w:rsidRPr="00BC1DCE">
        <w:t>titulaire</w:t>
      </w:r>
      <w:proofErr w:type="spellEnd"/>
      <w:r w:rsidRPr="00BC1DCE">
        <w:t xml:space="preserve"> d'un brevet </w:t>
      </w:r>
      <w:proofErr w:type="spellStart"/>
      <w:r w:rsidRPr="00BC1DCE">
        <w:t>d'invention</w:t>
      </w:r>
      <w:proofErr w:type="spellEnd"/>
      <w:r w:rsidRPr="00BC1DCE">
        <w:t>”.</w:t>
      </w:r>
    </w:p>
  </w:footnote>
  <w:footnote w:id="23">
    <w:p w:rsidR="00D318C5" w:rsidRPr="00D04AC0" w:rsidRDefault="00D318C5" w:rsidP="00AB2829">
      <w:pPr>
        <w:pStyle w:val="FootnoteText"/>
        <w:tabs>
          <w:tab w:val="left" w:pos="567"/>
        </w:tabs>
        <w:ind w:left="567" w:hanging="567"/>
        <w:rPr>
          <w:szCs w:val="18"/>
        </w:rPr>
      </w:pPr>
      <w:r w:rsidRPr="000421DF">
        <w:rPr>
          <w:rStyle w:val="FootnoteReference"/>
          <w:szCs w:val="18"/>
        </w:rPr>
        <w:footnoteRef/>
      </w:r>
      <w:r>
        <w:rPr>
          <w:szCs w:val="18"/>
        </w:rPr>
        <w:t xml:space="preserve"> </w:t>
      </w:r>
      <w:r>
        <w:rPr>
          <w:szCs w:val="18"/>
        </w:rPr>
        <w:tab/>
        <w:t>F</w:t>
      </w:r>
      <w:r w:rsidRPr="00500285">
        <w:rPr>
          <w:szCs w:val="18"/>
        </w:rPr>
        <w:t>or instance</w:t>
      </w:r>
      <w:r>
        <w:rPr>
          <w:szCs w:val="18"/>
        </w:rPr>
        <w:t>,</w:t>
      </w:r>
      <w:r w:rsidRPr="000421DF">
        <w:rPr>
          <w:szCs w:val="18"/>
        </w:rPr>
        <w:t xml:space="preserve"> Brazilian patent law, in </w:t>
      </w:r>
      <w:r w:rsidR="00D1738E">
        <w:rPr>
          <w:szCs w:val="18"/>
        </w:rPr>
        <w:t>A</w:t>
      </w:r>
      <w:r w:rsidRPr="000421DF">
        <w:rPr>
          <w:szCs w:val="18"/>
        </w:rPr>
        <w:t xml:space="preserve">rticle 184 establishes that: </w:t>
      </w:r>
      <w:r>
        <w:rPr>
          <w:szCs w:val="18"/>
        </w:rPr>
        <w:t xml:space="preserve"> </w:t>
      </w:r>
      <w:r w:rsidRPr="00C119A0">
        <w:rPr>
          <w:szCs w:val="18"/>
        </w:rPr>
        <w:t>“A crime against an invention or utility model patent is perpetrated by anyone wh</w:t>
      </w:r>
      <w:r w:rsidRPr="000A3F33">
        <w:rPr>
          <w:szCs w:val="18"/>
        </w:rPr>
        <w:t>o:</w:t>
      </w:r>
      <w:r>
        <w:rPr>
          <w:szCs w:val="18"/>
        </w:rPr>
        <w:t xml:space="preserve"> </w:t>
      </w:r>
      <w:r w:rsidRPr="00D93529">
        <w:rPr>
          <w:szCs w:val="18"/>
        </w:rPr>
        <w:t>I. exports, sells, displays or offers for sale, has in stock, conceals or receives, with a view to use for economic purposes, a product manufactured in violation of an invention or utility model patent, or obtained by a patented means or process; or</w:t>
      </w:r>
      <w:r>
        <w:rPr>
          <w:szCs w:val="18"/>
        </w:rPr>
        <w:t xml:space="preserve"> </w:t>
      </w:r>
      <w:r w:rsidRPr="0091753C">
        <w:rPr>
          <w:szCs w:val="18"/>
        </w:rPr>
        <w:t xml:space="preserve">II. </w:t>
      </w:r>
      <w:proofErr w:type="gramStart"/>
      <w:r w:rsidRPr="0091753C">
        <w:rPr>
          <w:szCs w:val="18"/>
        </w:rPr>
        <w:t>imports</w:t>
      </w:r>
      <w:proofErr w:type="gramEnd"/>
      <w:r w:rsidRPr="0091753C">
        <w:rPr>
          <w:szCs w:val="18"/>
        </w:rPr>
        <w:t xml:space="preserve"> a product that is the object of an invention or utility model patent, or obtained by a means or process patented in this country, for the purposes set forth in the preceding Item, and that has not been placed on the foreign market directly by the patent holder or with his consent.”</w:t>
      </w:r>
      <w:r>
        <w:rPr>
          <w:szCs w:val="18"/>
        </w:rPr>
        <w:t xml:space="preserve">  </w:t>
      </w:r>
      <w:r>
        <w:rPr>
          <w:szCs w:val="18"/>
        </w:rPr>
        <w:tab/>
      </w:r>
      <w:r w:rsidRPr="0091753C">
        <w:rPr>
          <w:szCs w:val="18"/>
        </w:rPr>
        <w:t xml:space="preserve">A similar structure of the conduct (i.e. listing a series of acts which can constitute an infringement of the patent rights) has been adopted by Angola, Croatia, Ecuador, Egypt, Guatemala and Nicaragua. </w:t>
      </w:r>
    </w:p>
  </w:footnote>
  <w:footnote w:id="24">
    <w:p w:rsidR="00D318C5" w:rsidRPr="00843858" w:rsidRDefault="00D318C5" w:rsidP="00AB2829">
      <w:pPr>
        <w:pStyle w:val="FootnoteText"/>
        <w:ind w:left="562" w:hanging="562"/>
      </w:pPr>
      <w:r>
        <w:rPr>
          <w:rStyle w:val="FootnoteReference"/>
        </w:rPr>
        <w:footnoteRef/>
      </w:r>
      <w:r>
        <w:t xml:space="preserve"> </w:t>
      </w:r>
      <w:r>
        <w:tab/>
        <w:t>F</w:t>
      </w:r>
      <w:r w:rsidRPr="00843858">
        <w:t>or instance</w:t>
      </w:r>
      <w:r>
        <w:t>,</w:t>
      </w:r>
      <w:r w:rsidRPr="00843858">
        <w:t xml:space="preserve"> Andorra, Antigua and Barbuda, Barbados, Belize, Bhutan, Botswana, Cambodia, Colombia, Denmark, Equatorial Guinea, Finland, France, Kenya, Morocco, Norway, Saint Kitts and Nevis and United Republic of Tanzania.</w:t>
      </w:r>
      <w:r>
        <w:t xml:space="preserve">  </w:t>
      </w:r>
      <w:r w:rsidRPr="00614A5F">
        <w:t>For more details see Annex I to this document containing national and regional provisions of law.</w:t>
      </w:r>
    </w:p>
  </w:footnote>
  <w:footnote w:id="25">
    <w:p w:rsidR="00D318C5" w:rsidRPr="00412F25" w:rsidRDefault="00D318C5" w:rsidP="00BF6FDE">
      <w:pPr>
        <w:pStyle w:val="FootnoteText"/>
        <w:tabs>
          <w:tab w:val="left" w:pos="567"/>
        </w:tabs>
        <w:ind w:left="567" w:hanging="567"/>
        <w:rPr>
          <w:szCs w:val="18"/>
          <w:lang w:val="it-IT"/>
        </w:rPr>
      </w:pPr>
      <w:r w:rsidRPr="00BE38C8">
        <w:rPr>
          <w:rStyle w:val="FootnoteReference"/>
          <w:szCs w:val="18"/>
        </w:rPr>
        <w:footnoteRef/>
      </w:r>
      <w:r w:rsidRPr="00BE38C8">
        <w:rPr>
          <w:szCs w:val="18"/>
          <w:lang w:val="it-IT"/>
        </w:rPr>
        <w:t xml:space="preserve"> </w:t>
      </w:r>
      <w:r>
        <w:rPr>
          <w:szCs w:val="18"/>
          <w:lang w:val="it-IT"/>
        </w:rPr>
        <w:tab/>
      </w:r>
      <w:r w:rsidRPr="00BE38C8">
        <w:rPr>
          <w:szCs w:val="18"/>
          <w:lang w:val="it-IT"/>
        </w:rPr>
        <w:t>Antigua and Barbuda, Bhutan, Cambodia, Ghana, Liberia, Samoa, Sierra Leone</w:t>
      </w:r>
      <w:r w:rsidRPr="00412F25">
        <w:rPr>
          <w:szCs w:val="18"/>
          <w:lang w:val="it-IT"/>
        </w:rPr>
        <w:t>.</w:t>
      </w:r>
      <w:r>
        <w:rPr>
          <w:szCs w:val="18"/>
          <w:lang w:val="it-IT"/>
        </w:rPr>
        <w:t xml:space="preserve"> </w:t>
      </w:r>
      <w:r w:rsidRPr="00BE38C8">
        <w:rPr>
          <w:szCs w:val="18"/>
          <w:lang w:val="it-IT"/>
        </w:rPr>
        <w:t xml:space="preserve"> See Annex I to this document.</w:t>
      </w:r>
    </w:p>
  </w:footnote>
  <w:footnote w:id="26">
    <w:p w:rsidR="00D318C5" w:rsidRPr="00500285" w:rsidRDefault="00D318C5" w:rsidP="00BF6FDE">
      <w:pPr>
        <w:pStyle w:val="FootnoteText"/>
        <w:tabs>
          <w:tab w:val="left" w:pos="567"/>
        </w:tabs>
        <w:ind w:left="567" w:hanging="567"/>
        <w:rPr>
          <w:szCs w:val="18"/>
        </w:rPr>
      </w:pPr>
      <w:r w:rsidRPr="00500285">
        <w:rPr>
          <w:rStyle w:val="FootnoteReference"/>
          <w:szCs w:val="18"/>
        </w:rPr>
        <w:footnoteRef/>
      </w:r>
      <w:r w:rsidRPr="00500285">
        <w:rPr>
          <w:szCs w:val="18"/>
        </w:rPr>
        <w:t xml:space="preserve"> </w:t>
      </w:r>
      <w:r>
        <w:rPr>
          <w:szCs w:val="18"/>
        </w:rPr>
        <w:tab/>
        <w:t xml:space="preserve">Bahrain, </w:t>
      </w:r>
      <w:r w:rsidRPr="00614A5F">
        <w:rPr>
          <w:szCs w:val="18"/>
        </w:rPr>
        <w:t>Article 41 of the Law No. 1 of 2004 on Patents and Utility Models as last amended by Law 14 of 2006</w:t>
      </w:r>
      <w:r>
        <w:rPr>
          <w:szCs w:val="18"/>
        </w:rPr>
        <w:t>.</w:t>
      </w:r>
    </w:p>
  </w:footnote>
  <w:footnote w:id="27">
    <w:p w:rsidR="00D318C5" w:rsidRPr="00734828" w:rsidRDefault="00D318C5" w:rsidP="00BF6FDE">
      <w:pPr>
        <w:pStyle w:val="FootnoteText"/>
        <w:tabs>
          <w:tab w:val="left" w:pos="567"/>
        </w:tabs>
        <w:ind w:left="567" w:hanging="567"/>
        <w:rPr>
          <w:szCs w:val="18"/>
        </w:rPr>
      </w:pPr>
      <w:r w:rsidRPr="00C119A0">
        <w:rPr>
          <w:rStyle w:val="FootnoteReference"/>
          <w:szCs w:val="18"/>
        </w:rPr>
        <w:footnoteRef/>
      </w:r>
      <w:r w:rsidRPr="000A3F33">
        <w:rPr>
          <w:szCs w:val="18"/>
        </w:rPr>
        <w:t xml:space="preserve"> </w:t>
      </w:r>
      <w:r>
        <w:rPr>
          <w:szCs w:val="18"/>
        </w:rPr>
        <w:tab/>
        <w:t>Belgium,</w:t>
      </w:r>
      <w:r w:rsidRPr="000A3F33">
        <w:rPr>
          <w:szCs w:val="18"/>
        </w:rPr>
        <w:t xml:space="preserve"> </w:t>
      </w:r>
      <w:r>
        <w:rPr>
          <w:szCs w:val="18"/>
        </w:rPr>
        <w:t xml:space="preserve">Article 8, § 1 </w:t>
      </w:r>
      <w:r w:rsidRPr="00614A5F">
        <w:rPr>
          <w:szCs w:val="18"/>
        </w:rPr>
        <w:t>of the Law on the Punishment of Counterfeiting and Piracy of Intellectual Property Rights of 05/05/2007 as last amended on 25/02/2011</w:t>
      </w:r>
      <w:r>
        <w:rPr>
          <w:szCs w:val="18"/>
        </w:rPr>
        <w:t>.</w:t>
      </w:r>
    </w:p>
  </w:footnote>
  <w:footnote w:id="28">
    <w:p w:rsidR="00D318C5" w:rsidRPr="00412F25" w:rsidRDefault="00D318C5" w:rsidP="00BF6FDE">
      <w:pPr>
        <w:pStyle w:val="FootnoteText"/>
        <w:tabs>
          <w:tab w:val="left" w:pos="567"/>
        </w:tabs>
        <w:ind w:left="567" w:hanging="567"/>
        <w:rPr>
          <w:szCs w:val="18"/>
        </w:rPr>
      </w:pPr>
      <w:r w:rsidRPr="00D93529">
        <w:rPr>
          <w:rStyle w:val="FootnoteReference"/>
          <w:szCs w:val="18"/>
        </w:rPr>
        <w:footnoteRef/>
      </w:r>
      <w:r w:rsidRPr="00D93529">
        <w:rPr>
          <w:szCs w:val="18"/>
        </w:rPr>
        <w:t xml:space="preserve"> </w:t>
      </w:r>
      <w:r>
        <w:rPr>
          <w:szCs w:val="18"/>
        </w:rPr>
        <w:tab/>
        <w:t xml:space="preserve">For instance: </w:t>
      </w:r>
      <w:r w:rsidRPr="00D93529">
        <w:rPr>
          <w:szCs w:val="18"/>
        </w:rPr>
        <w:t xml:space="preserve">Belize, </w:t>
      </w:r>
      <w:r w:rsidRPr="00F823F5">
        <w:rPr>
          <w:szCs w:val="18"/>
        </w:rPr>
        <w:t>Article 63 (1), of the Patents Act - Cap. 253 of 21/06/2000 as last amended by the Act No. 40 of 2005</w:t>
      </w:r>
      <w:r>
        <w:rPr>
          <w:szCs w:val="18"/>
        </w:rPr>
        <w:t xml:space="preserve">;  </w:t>
      </w:r>
      <w:r w:rsidRPr="00D93529">
        <w:rPr>
          <w:szCs w:val="18"/>
        </w:rPr>
        <w:t xml:space="preserve">Botswana, </w:t>
      </w:r>
      <w:r w:rsidRPr="00F823F5">
        <w:rPr>
          <w:szCs w:val="18"/>
        </w:rPr>
        <w:t>Section 134 (6) of the Industrial Property Act (Act No. 8 of 2010)</w:t>
      </w:r>
      <w:r>
        <w:rPr>
          <w:szCs w:val="18"/>
        </w:rPr>
        <w:t xml:space="preserve">;  </w:t>
      </w:r>
      <w:r w:rsidRPr="00D93529">
        <w:rPr>
          <w:szCs w:val="18"/>
        </w:rPr>
        <w:t>Saint Kitts and Nevis</w:t>
      </w:r>
      <w:r>
        <w:rPr>
          <w:szCs w:val="18"/>
        </w:rPr>
        <w:t xml:space="preserve">, </w:t>
      </w:r>
      <w:r w:rsidRPr="00F823F5">
        <w:t xml:space="preserve"> </w:t>
      </w:r>
      <w:r w:rsidRPr="00F823F5">
        <w:rPr>
          <w:szCs w:val="18"/>
        </w:rPr>
        <w:t>Section 62 (1) of the Patents Act (Cap. 18.25) of 31/12/2002</w:t>
      </w:r>
    </w:p>
  </w:footnote>
  <w:footnote w:id="29">
    <w:p w:rsidR="00D318C5" w:rsidRPr="00F823F5" w:rsidRDefault="00D318C5" w:rsidP="00F823F5">
      <w:pPr>
        <w:rPr>
          <w:sz w:val="18"/>
          <w:szCs w:val="18"/>
        </w:rPr>
      </w:pPr>
      <w:r w:rsidRPr="00F823F5">
        <w:rPr>
          <w:rStyle w:val="FootnoteReference"/>
          <w:sz w:val="18"/>
          <w:szCs w:val="18"/>
        </w:rPr>
        <w:footnoteRef/>
      </w:r>
      <w:r w:rsidRPr="00F823F5">
        <w:rPr>
          <w:szCs w:val="18"/>
        </w:rPr>
        <w:t xml:space="preserve"> </w:t>
      </w:r>
      <w:r w:rsidRPr="00F823F5">
        <w:rPr>
          <w:szCs w:val="18"/>
        </w:rPr>
        <w:tab/>
      </w:r>
      <w:r w:rsidRPr="00F823F5">
        <w:rPr>
          <w:sz w:val="18"/>
          <w:szCs w:val="18"/>
        </w:rPr>
        <w:t>Colombia</w:t>
      </w:r>
      <w:r w:rsidRPr="00F823F5">
        <w:rPr>
          <w:szCs w:val="18"/>
        </w:rPr>
        <w:t xml:space="preserve">, </w:t>
      </w:r>
      <w:r w:rsidRPr="00F823F5">
        <w:rPr>
          <w:sz w:val="18"/>
          <w:szCs w:val="18"/>
        </w:rPr>
        <w:t>Article 306 of the Criminal Cod</w:t>
      </w:r>
      <w:r>
        <w:rPr>
          <w:sz w:val="18"/>
          <w:szCs w:val="18"/>
        </w:rPr>
        <w:t>e as last amended on 22/06/2006.</w:t>
      </w:r>
    </w:p>
  </w:footnote>
  <w:footnote w:id="30">
    <w:p w:rsidR="00D318C5" w:rsidRPr="00F823F5" w:rsidRDefault="00D318C5" w:rsidP="00BF6FDE">
      <w:pPr>
        <w:pStyle w:val="FootnoteText"/>
        <w:tabs>
          <w:tab w:val="left" w:pos="567"/>
        </w:tabs>
        <w:ind w:left="567" w:hanging="567"/>
        <w:rPr>
          <w:szCs w:val="18"/>
        </w:rPr>
      </w:pPr>
      <w:r w:rsidRPr="00500285">
        <w:rPr>
          <w:rStyle w:val="FootnoteReference"/>
          <w:szCs w:val="18"/>
        </w:rPr>
        <w:footnoteRef/>
      </w:r>
      <w:r w:rsidRPr="00F823F5">
        <w:rPr>
          <w:szCs w:val="18"/>
        </w:rPr>
        <w:t xml:space="preserve"> </w:t>
      </w:r>
      <w:r w:rsidRPr="00F823F5">
        <w:rPr>
          <w:szCs w:val="18"/>
        </w:rPr>
        <w:tab/>
      </w:r>
      <w:r>
        <w:rPr>
          <w:szCs w:val="18"/>
        </w:rPr>
        <w:t xml:space="preserve">For instance see:  </w:t>
      </w:r>
      <w:r w:rsidRPr="00F823F5">
        <w:rPr>
          <w:szCs w:val="18"/>
        </w:rPr>
        <w:t xml:space="preserve">Comoros, Article </w:t>
      </w:r>
      <w:r>
        <w:rPr>
          <w:szCs w:val="18"/>
        </w:rPr>
        <w:t>41</w:t>
      </w:r>
      <w:r w:rsidRPr="00F823F5">
        <w:rPr>
          <w:szCs w:val="18"/>
        </w:rPr>
        <w:t xml:space="preserve"> of the Patents Law of 05/07/1844.</w:t>
      </w:r>
    </w:p>
  </w:footnote>
  <w:footnote w:id="31">
    <w:p w:rsidR="00D318C5" w:rsidRPr="00E11CE6" w:rsidRDefault="00D318C5" w:rsidP="005B3174">
      <w:pPr>
        <w:pStyle w:val="FootnoteText"/>
        <w:tabs>
          <w:tab w:val="left" w:pos="567"/>
        </w:tabs>
        <w:ind w:left="567" w:hanging="567"/>
        <w:rPr>
          <w:szCs w:val="18"/>
        </w:rPr>
      </w:pPr>
      <w:r w:rsidRPr="00C119A0">
        <w:rPr>
          <w:rStyle w:val="FootnoteReference"/>
          <w:szCs w:val="18"/>
        </w:rPr>
        <w:footnoteRef/>
      </w:r>
      <w:r w:rsidRPr="00E11CE6">
        <w:rPr>
          <w:szCs w:val="18"/>
        </w:rPr>
        <w:t xml:space="preserve"> </w:t>
      </w:r>
      <w:r w:rsidRPr="00E11CE6">
        <w:rPr>
          <w:szCs w:val="18"/>
        </w:rPr>
        <w:tab/>
      </w:r>
      <w:r>
        <w:rPr>
          <w:szCs w:val="18"/>
        </w:rPr>
        <w:t xml:space="preserve">For instance see:  </w:t>
      </w:r>
      <w:r w:rsidRPr="00E11CE6">
        <w:rPr>
          <w:szCs w:val="18"/>
        </w:rPr>
        <w:t xml:space="preserve">Democratic Republic of Congo, </w:t>
      </w:r>
      <w:r>
        <w:rPr>
          <w:szCs w:val="18"/>
        </w:rPr>
        <w:t xml:space="preserve">Article 88 </w:t>
      </w:r>
      <w:r w:rsidRPr="00E11CE6">
        <w:rPr>
          <w:szCs w:val="18"/>
        </w:rPr>
        <w:t>of the Law No. 82-001 of January 7, 1982 on Industrial Property</w:t>
      </w:r>
      <w:r>
        <w:rPr>
          <w:szCs w:val="18"/>
        </w:rPr>
        <w:t xml:space="preserve">;  </w:t>
      </w:r>
      <w:r w:rsidRPr="00E11CE6">
        <w:rPr>
          <w:szCs w:val="18"/>
        </w:rPr>
        <w:t xml:space="preserve">Djibouti, </w:t>
      </w:r>
      <w:r>
        <w:rPr>
          <w:szCs w:val="18"/>
        </w:rPr>
        <w:t>Article</w:t>
      </w:r>
      <w:r w:rsidRPr="00E11CE6">
        <w:rPr>
          <w:szCs w:val="18"/>
        </w:rPr>
        <w:t xml:space="preserve"> 200 of the Law No. 50/AN/09/6th L on the Protection of Industrial Property of 21/06/2009</w:t>
      </w:r>
      <w:r>
        <w:rPr>
          <w:szCs w:val="18"/>
        </w:rPr>
        <w:t xml:space="preserve">;  </w:t>
      </w:r>
      <w:r w:rsidRPr="00E11CE6">
        <w:rPr>
          <w:szCs w:val="18"/>
        </w:rPr>
        <w:t xml:space="preserve">Indonesia, </w:t>
      </w:r>
      <w:r>
        <w:rPr>
          <w:szCs w:val="18"/>
        </w:rPr>
        <w:t>Article</w:t>
      </w:r>
      <w:r w:rsidRPr="00E11CE6">
        <w:rPr>
          <w:szCs w:val="18"/>
        </w:rPr>
        <w:t xml:space="preserve"> 130 of the Patents Law No. 14 of 01/08/2001</w:t>
      </w:r>
      <w:r>
        <w:rPr>
          <w:szCs w:val="18"/>
        </w:rPr>
        <w:t xml:space="preserve">;  </w:t>
      </w:r>
      <w:r w:rsidRPr="00E11CE6">
        <w:rPr>
          <w:szCs w:val="18"/>
        </w:rPr>
        <w:t xml:space="preserve">Morocco, </w:t>
      </w:r>
      <w:r>
        <w:rPr>
          <w:szCs w:val="18"/>
        </w:rPr>
        <w:t>Article</w:t>
      </w:r>
      <w:r w:rsidRPr="00E11CE6">
        <w:rPr>
          <w:szCs w:val="18"/>
        </w:rPr>
        <w:t xml:space="preserve"> 213 of the Law No. 97-17 on the Protection of Industrial Property of 15/02/2000 as last amended by Law No. 31-05</w:t>
      </w:r>
      <w:r>
        <w:rPr>
          <w:szCs w:val="18"/>
        </w:rPr>
        <w:t xml:space="preserve">;  and </w:t>
      </w:r>
      <w:r w:rsidRPr="00E11CE6">
        <w:rPr>
          <w:szCs w:val="18"/>
        </w:rPr>
        <w:t>Netherlands</w:t>
      </w:r>
      <w:r>
        <w:rPr>
          <w:szCs w:val="18"/>
        </w:rPr>
        <w:t xml:space="preserve">, </w:t>
      </w:r>
      <w:r w:rsidRPr="00E11CE6">
        <w:rPr>
          <w:szCs w:val="18"/>
        </w:rPr>
        <w:t xml:space="preserve">Article 79 of the Patents Act of 15/12/1994 (Text as it applies on: 03/06/2009). </w:t>
      </w:r>
    </w:p>
  </w:footnote>
  <w:footnote w:id="32">
    <w:p w:rsidR="00D318C5" w:rsidRPr="00500285" w:rsidRDefault="00D318C5" w:rsidP="00C97785">
      <w:pPr>
        <w:pStyle w:val="FootnoteText"/>
        <w:tabs>
          <w:tab w:val="left" w:pos="567"/>
        </w:tabs>
        <w:ind w:left="540" w:hanging="540"/>
        <w:rPr>
          <w:szCs w:val="18"/>
        </w:rPr>
      </w:pPr>
      <w:r w:rsidRPr="00500285">
        <w:rPr>
          <w:rStyle w:val="FootnoteReference"/>
          <w:szCs w:val="18"/>
        </w:rPr>
        <w:footnoteRef/>
      </w:r>
      <w:r w:rsidRPr="00500285">
        <w:rPr>
          <w:szCs w:val="18"/>
        </w:rPr>
        <w:t xml:space="preserve"> </w:t>
      </w:r>
      <w:r>
        <w:rPr>
          <w:szCs w:val="18"/>
        </w:rPr>
        <w:tab/>
        <w:t xml:space="preserve">For instance see: Equatorial Guinea, </w:t>
      </w:r>
      <w:r w:rsidRPr="00E11CE6">
        <w:rPr>
          <w:szCs w:val="18"/>
        </w:rPr>
        <w:t>Article 534 of the Criminal Code of 03/04/1980</w:t>
      </w:r>
      <w:r>
        <w:rPr>
          <w:szCs w:val="18"/>
        </w:rPr>
        <w:t xml:space="preserve">;  </w:t>
      </w:r>
      <w:r w:rsidRPr="00500285">
        <w:rPr>
          <w:szCs w:val="18"/>
        </w:rPr>
        <w:t xml:space="preserve">Finland, </w:t>
      </w:r>
      <w:r w:rsidRPr="00C97785">
        <w:rPr>
          <w:szCs w:val="18"/>
        </w:rPr>
        <w:t>Article 57 of the Patents Act, Act No. 550 of 15/12/1967 as last amended by Act No. 101/2013</w:t>
      </w:r>
      <w:r>
        <w:rPr>
          <w:szCs w:val="18"/>
        </w:rPr>
        <w:t xml:space="preserve">;  </w:t>
      </w:r>
      <w:r w:rsidRPr="00500285">
        <w:rPr>
          <w:szCs w:val="18"/>
        </w:rPr>
        <w:t xml:space="preserve">Iceland, </w:t>
      </w:r>
      <w:r w:rsidRPr="00C97785">
        <w:rPr>
          <w:szCs w:val="18"/>
        </w:rPr>
        <w:t>Article 57 of the Patents Act No. 17/1991 as last amended by Act No. 126/2011</w:t>
      </w:r>
      <w:r>
        <w:rPr>
          <w:szCs w:val="18"/>
        </w:rPr>
        <w:t xml:space="preserve">;  </w:t>
      </w:r>
      <w:r w:rsidRPr="00500285">
        <w:rPr>
          <w:szCs w:val="18"/>
        </w:rPr>
        <w:t xml:space="preserve">Norway, </w:t>
      </w:r>
      <w:r w:rsidRPr="00C97785">
        <w:rPr>
          <w:szCs w:val="18"/>
        </w:rPr>
        <w:t>Section 57 of the Patents Act No. 9 of 15/12/1967, as amended up to Act No. 8 of 01/07/2010</w:t>
      </w:r>
      <w:r>
        <w:rPr>
          <w:szCs w:val="18"/>
        </w:rPr>
        <w:t xml:space="preserve">;  </w:t>
      </w:r>
      <w:r w:rsidRPr="00500285">
        <w:rPr>
          <w:szCs w:val="18"/>
        </w:rPr>
        <w:t xml:space="preserve">Seychelles, </w:t>
      </w:r>
      <w:r>
        <w:rPr>
          <w:szCs w:val="18"/>
        </w:rPr>
        <w:t xml:space="preserve">Section </w:t>
      </w:r>
      <w:r w:rsidRPr="00C97785">
        <w:rPr>
          <w:szCs w:val="18"/>
        </w:rPr>
        <w:t>119 of the Industrial Property Act, Act No. 7 of 2014</w:t>
      </w:r>
      <w:r>
        <w:rPr>
          <w:szCs w:val="18"/>
        </w:rPr>
        <w:t xml:space="preserve">;  Switzerland, Article </w:t>
      </w:r>
      <w:r w:rsidRPr="00C97785">
        <w:rPr>
          <w:szCs w:val="18"/>
        </w:rPr>
        <w:t>81 of the Patents Law of 25/06/1954, as of 01/01/2012</w:t>
      </w:r>
      <w:r>
        <w:rPr>
          <w:szCs w:val="18"/>
        </w:rPr>
        <w:t xml:space="preserve">;  and United Republic of </w:t>
      </w:r>
      <w:r w:rsidRPr="00500285">
        <w:rPr>
          <w:szCs w:val="18"/>
        </w:rPr>
        <w:t>Tanzania</w:t>
      </w:r>
      <w:r>
        <w:rPr>
          <w:szCs w:val="18"/>
        </w:rPr>
        <w:t xml:space="preserve">, </w:t>
      </w:r>
      <w:r w:rsidRPr="00C97785">
        <w:rPr>
          <w:szCs w:val="18"/>
        </w:rPr>
        <w:t>Section 70 of Chapter 217, the Patents (Registration) Act of 1995</w:t>
      </w:r>
      <w:r>
        <w:rPr>
          <w:szCs w:val="18"/>
        </w:rPr>
        <w:t>.</w:t>
      </w:r>
    </w:p>
  </w:footnote>
  <w:footnote w:id="33">
    <w:p w:rsidR="00D318C5" w:rsidRPr="00284DB5" w:rsidRDefault="00D318C5" w:rsidP="005B3174">
      <w:pPr>
        <w:pStyle w:val="FootnoteText"/>
        <w:tabs>
          <w:tab w:val="left" w:pos="567"/>
        </w:tabs>
        <w:rPr>
          <w:szCs w:val="18"/>
        </w:rPr>
      </w:pPr>
      <w:r w:rsidRPr="00284DB5">
        <w:rPr>
          <w:rStyle w:val="FootnoteReference"/>
          <w:szCs w:val="18"/>
        </w:rPr>
        <w:footnoteRef/>
      </w:r>
      <w:r w:rsidRPr="00284DB5">
        <w:rPr>
          <w:szCs w:val="18"/>
        </w:rPr>
        <w:t xml:space="preserve"> </w:t>
      </w:r>
      <w:r>
        <w:rPr>
          <w:szCs w:val="18"/>
        </w:rPr>
        <w:tab/>
      </w:r>
      <w:r w:rsidRPr="00284DB5">
        <w:rPr>
          <w:szCs w:val="18"/>
        </w:rPr>
        <w:t>France</w:t>
      </w:r>
      <w:r>
        <w:rPr>
          <w:szCs w:val="18"/>
        </w:rPr>
        <w:t xml:space="preserve">, Article L615-14 </w:t>
      </w:r>
      <w:r w:rsidRPr="00C97785">
        <w:rPr>
          <w:szCs w:val="18"/>
        </w:rPr>
        <w:t>of the Intellectual Property Code (consolidated as of January 1, 2014)</w:t>
      </w:r>
      <w:r>
        <w:rPr>
          <w:szCs w:val="18"/>
        </w:rPr>
        <w:t>.</w:t>
      </w:r>
    </w:p>
  </w:footnote>
  <w:footnote w:id="34">
    <w:p w:rsidR="00D318C5" w:rsidRPr="00284DB5" w:rsidRDefault="00D318C5" w:rsidP="00C97785">
      <w:pPr>
        <w:pStyle w:val="FootnoteText"/>
        <w:tabs>
          <w:tab w:val="left" w:pos="567"/>
        </w:tabs>
        <w:ind w:left="540" w:hanging="540"/>
        <w:rPr>
          <w:szCs w:val="18"/>
        </w:rPr>
      </w:pPr>
      <w:r w:rsidRPr="00284DB5">
        <w:rPr>
          <w:rStyle w:val="FootnoteReference"/>
          <w:szCs w:val="18"/>
        </w:rPr>
        <w:footnoteRef/>
      </w:r>
      <w:r w:rsidRPr="00284DB5">
        <w:rPr>
          <w:szCs w:val="18"/>
        </w:rPr>
        <w:t xml:space="preserve"> </w:t>
      </w:r>
      <w:r>
        <w:rPr>
          <w:szCs w:val="18"/>
        </w:rPr>
        <w:tab/>
      </w:r>
      <w:r w:rsidRPr="00284DB5">
        <w:rPr>
          <w:szCs w:val="18"/>
        </w:rPr>
        <w:t>Iran (Islamic Republic of)</w:t>
      </w:r>
      <w:r>
        <w:rPr>
          <w:szCs w:val="18"/>
        </w:rPr>
        <w:t xml:space="preserve">, </w:t>
      </w:r>
      <w:r w:rsidRPr="00C97785">
        <w:rPr>
          <w:szCs w:val="18"/>
        </w:rPr>
        <w:t>Article 61 (1) of the Patent, Industrial Design and Trademark Registration Act of 29/10/2007</w:t>
      </w:r>
      <w:r>
        <w:rPr>
          <w:szCs w:val="18"/>
        </w:rPr>
        <w:t>.</w:t>
      </w:r>
    </w:p>
  </w:footnote>
  <w:footnote w:id="35">
    <w:p w:rsidR="00D318C5" w:rsidRPr="009A240A" w:rsidRDefault="00D318C5" w:rsidP="00874E32">
      <w:pPr>
        <w:pStyle w:val="FootnoteText"/>
        <w:tabs>
          <w:tab w:val="left" w:pos="567"/>
        </w:tabs>
        <w:ind w:left="540" w:hanging="540"/>
        <w:rPr>
          <w:szCs w:val="18"/>
        </w:rPr>
      </w:pPr>
      <w:r w:rsidRPr="009A240A">
        <w:rPr>
          <w:rStyle w:val="FootnoteReference"/>
          <w:szCs w:val="18"/>
        </w:rPr>
        <w:footnoteRef/>
      </w:r>
      <w:r>
        <w:rPr>
          <w:szCs w:val="18"/>
        </w:rPr>
        <w:t xml:space="preserve"> </w:t>
      </w:r>
      <w:r>
        <w:rPr>
          <w:szCs w:val="18"/>
        </w:rPr>
        <w:tab/>
        <w:t xml:space="preserve">For instance see: Kenya, </w:t>
      </w:r>
      <w:r w:rsidRPr="00874E32">
        <w:rPr>
          <w:szCs w:val="18"/>
        </w:rPr>
        <w:t>Article 109 of the Industrial Property Act of 27/07/2001</w:t>
      </w:r>
      <w:proofErr w:type="gramStart"/>
      <w:r>
        <w:rPr>
          <w:szCs w:val="18"/>
        </w:rPr>
        <w:t>;  South</w:t>
      </w:r>
      <w:proofErr w:type="gramEnd"/>
      <w:r>
        <w:rPr>
          <w:szCs w:val="18"/>
        </w:rPr>
        <w:t xml:space="preserve"> Sudan </w:t>
      </w:r>
      <w:r w:rsidRPr="00874E32">
        <w:rPr>
          <w:szCs w:val="18"/>
        </w:rPr>
        <w:t>Section 50 of the Patent Law No. 58 of 1971</w:t>
      </w:r>
      <w:r>
        <w:rPr>
          <w:szCs w:val="18"/>
        </w:rPr>
        <w:t>; and</w:t>
      </w:r>
      <w:r w:rsidRPr="00AC291B">
        <w:rPr>
          <w:szCs w:val="18"/>
        </w:rPr>
        <w:t xml:space="preserve"> Suda</w:t>
      </w:r>
      <w:r w:rsidRPr="00B35C01">
        <w:rPr>
          <w:szCs w:val="18"/>
        </w:rPr>
        <w:t>n</w:t>
      </w:r>
      <w:r>
        <w:rPr>
          <w:szCs w:val="18"/>
        </w:rPr>
        <w:t xml:space="preserve">, </w:t>
      </w:r>
      <w:r w:rsidRPr="00874E32">
        <w:rPr>
          <w:szCs w:val="18"/>
        </w:rPr>
        <w:t>Section 50 of the Patent Law No. 58 of 1971</w:t>
      </w:r>
      <w:r>
        <w:rPr>
          <w:szCs w:val="18"/>
        </w:rPr>
        <w:t>.</w:t>
      </w:r>
    </w:p>
  </w:footnote>
  <w:footnote w:id="36">
    <w:p w:rsidR="00D318C5" w:rsidRPr="00BB5F39" w:rsidRDefault="00D318C5" w:rsidP="005B3174">
      <w:pPr>
        <w:pStyle w:val="FootnoteText"/>
        <w:tabs>
          <w:tab w:val="left" w:pos="567"/>
        </w:tabs>
        <w:rPr>
          <w:szCs w:val="18"/>
        </w:rPr>
      </w:pPr>
      <w:r w:rsidRPr="00BB5F39">
        <w:rPr>
          <w:rStyle w:val="FootnoteReference"/>
          <w:szCs w:val="18"/>
        </w:rPr>
        <w:footnoteRef/>
      </w:r>
      <w:r w:rsidRPr="00BB5F39">
        <w:rPr>
          <w:szCs w:val="18"/>
        </w:rPr>
        <w:t xml:space="preserve"> </w:t>
      </w:r>
      <w:r>
        <w:rPr>
          <w:szCs w:val="18"/>
        </w:rPr>
        <w:tab/>
      </w:r>
      <w:r w:rsidRPr="00BB5F39">
        <w:rPr>
          <w:szCs w:val="18"/>
        </w:rPr>
        <w:t>Spain</w:t>
      </w:r>
      <w:r>
        <w:rPr>
          <w:szCs w:val="18"/>
        </w:rPr>
        <w:t xml:space="preserve">, </w:t>
      </w:r>
      <w:r w:rsidRPr="00874E32">
        <w:rPr>
          <w:szCs w:val="18"/>
        </w:rPr>
        <w:t>Article 534 of the Criminal Code</w:t>
      </w:r>
      <w:r>
        <w:rPr>
          <w:szCs w:val="18"/>
        </w:rPr>
        <w:t>.</w:t>
      </w:r>
    </w:p>
  </w:footnote>
  <w:footnote w:id="37">
    <w:p w:rsidR="00D318C5" w:rsidRPr="005F2331" w:rsidRDefault="00D318C5" w:rsidP="00874E32">
      <w:pPr>
        <w:pStyle w:val="FootnoteText"/>
        <w:tabs>
          <w:tab w:val="left" w:pos="567"/>
        </w:tabs>
        <w:ind w:left="540" w:hanging="540"/>
        <w:rPr>
          <w:szCs w:val="18"/>
        </w:rPr>
      </w:pPr>
      <w:r w:rsidRPr="00BA57CD">
        <w:rPr>
          <w:rStyle w:val="FootnoteReference"/>
          <w:szCs w:val="18"/>
        </w:rPr>
        <w:footnoteRef/>
      </w:r>
      <w:r w:rsidRPr="00BA57CD">
        <w:rPr>
          <w:szCs w:val="18"/>
        </w:rPr>
        <w:t xml:space="preserve"> </w:t>
      </w:r>
      <w:r>
        <w:rPr>
          <w:szCs w:val="18"/>
        </w:rPr>
        <w:tab/>
        <w:t xml:space="preserve">For instance see: Denmark, </w:t>
      </w:r>
      <w:r w:rsidRPr="00874E32">
        <w:rPr>
          <w:szCs w:val="18"/>
        </w:rPr>
        <w:t>Article 57 of the Consolidated Patents Act, Act No. 108 of 24/01/2012</w:t>
      </w:r>
      <w:r>
        <w:rPr>
          <w:szCs w:val="18"/>
        </w:rPr>
        <w:t>;</w:t>
      </w:r>
      <w:r w:rsidRPr="00BA57CD">
        <w:rPr>
          <w:szCs w:val="18"/>
        </w:rPr>
        <w:t xml:space="preserve"> Rwanda, </w:t>
      </w:r>
      <w:r>
        <w:rPr>
          <w:szCs w:val="18"/>
        </w:rPr>
        <w:t>Article</w:t>
      </w:r>
      <w:r w:rsidRPr="00874E32">
        <w:rPr>
          <w:szCs w:val="18"/>
        </w:rPr>
        <w:t xml:space="preserve"> 261 of the Law No. 31/2009 of 26/10/2009 on the Protection of Intellectual Property</w:t>
      </w:r>
      <w:r>
        <w:rPr>
          <w:szCs w:val="18"/>
        </w:rPr>
        <w:t xml:space="preserve">;  and </w:t>
      </w:r>
      <w:r w:rsidRPr="00322A75">
        <w:rPr>
          <w:szCs w:val="18"/>
        </w:rPr>
        <w:t>Sweden</w:t>
      </w:r>
      <w:r>
        <w:rPr>
          <w:szCs w:val="18"/>
        </w:rPr>
        <w:t xml:space="preserve">, </w:t>
      </w:r>
      <w:r w:rsidRPr="00874E32">
        <w:rPr>
          <w:szCs w:val="18"/>
        </w:rPr>
        <w:t>Article 57 of the Patents Act (1967:837) as last amended on 01/07/2011</w:t>
      </w:r>
      <w:r>
        <w:rPr>
          <w:szCs w:val="18"/>
        </w:rPr>
        <w:t>.</w:t>
      </w:r>
    </w:p>
  </w:footnote>
  <w:footnote w:id="38">
    <w:p w:rsidR="00A85D91" w:rsidRPr="00A85D91" w:rsidRDefault="00A85D91" w:rsidP="00A85D91">
      <w:pPr>
        <w:pStyle w:val="FootnoteText"/>
        <w:tabs>
          <w:tab w:val="left" w:pos="567"/>
        </w:tabs>
        <w:ind w:left="540" w:hanging="540"/>
        <w:rPr>
          <w:szCs w:val="18"/>
        </w:rPr>
      </w:pPr>
      <w:r w:rsidRPr="00E871CD">
        <w:rPr>
          <w:rStyle w:val="FootnoteReference"/>
        </w:rPr>
        <w:footnoteRef/>
      </w:r>
      <w:r w:rsidRPr="00A85D91">
        <w:rPr>
          <w:szCs w:val="18"/>
        </w:rPr>
        <w:t xml:space="preserve"> </w:t>
      </w:r>
      <w:r w:rsidR="008733A1">
        <w:rPr>
          <w:szCs w:val="18"/>
        </w:rPr>
        <w:tab/>
      </w:r>
      <w:r w:rsidRPr="00A85D91">
        <w:rPr>
          <w:szCs w:val="18"/>
        </w:rPr>
        <w:t xml:space="preserve">See Article 52 of the Belgian Patent Act, which provides for higher civil remedies in case of bad faith:  </w:t>
      </w:r>
    </w:p>
    <w:p w:rsidR="00A85D91" w:rsidRPr="0093158E" w:rsidRDefault="00A85D91" w:rsidP="008733A1">
      <w:pPr>
        <w:pStyle w:val="FootnoteText"/>
        <w:tabs>
          <w:tab w:val="left" w:pos="567"/>
        </w:tabs>
        <w:ind w:left="540"/>
        <w:rPr>
          <w:szCs w:val="18"/>
        </w:rPr>
      </w:pPr>
      <w:r w:rsidRPr="005258B1">
        <w:rPr>
          <w:szCs w:val="18"/>
          <w:lang w:val="fr-CH"/>
        </w:rPr>
        <w:t xml:space="preserve">« […] § 4. Sans préjudice du § 6, la partie lésée </w:t>
      </w:r>
      <w:proofErr w:type="gramStart"/>
      <w:r w:rsidRPr="005258B1">
        <w:rPr>
          <w:szCs w:val="18"/>
          <w:lang w:val="fr-CH"/>
        </w:rPr>
        <w:t>a</w:t>
      </w:r>
      <w:proofErr w:type="gramEnd"/>
      <w:r w:rsidRPr="005258B1">
        <w:rPr>
          <w:szCs w:val="18"/>
          <w:lang w:val="fr-CH"/>
        </w:rPr>
        <w:t xml:space="preserve"> droit à la réparation de tout préjudice qu'elle subit du fait de la contrefaçon.  § 5. Lorsque l'étendue du préjudice ne peut être déterminée d'aucune autre manière, le juge peut de manière raisonnable et équitable fixer un montant forfaitaire, à titre de dommages et intérêts. Le juge peut, à titre de dommages et intérêts, ordonner la délivrance à la partie demanderesse des biens contrefaisants, ainsi que, dans les cas appropriés, des matériaux et instruments ayant principalement servi à la création ou à la fabrication de ces biens, et qui sont encore en possession du défendeur. Si la valeur de ces biens, matériaux et instruments dépasse l'étendue du dommage réel, le juge fixe la soulte à payer par le demandeur. En cas de mauvaise foi, le juge peut, à titre de dommages et intérêts, ordonner la cession de tout ou partie du bénéfice réalisé à la suite de l'atteinte, ainsi qu'en reddition de compte à cet égard. Seuls les frais directement liés aux activités de contrefaçon concernées sont portés en déduction pour déterminer le bénéfice à céder. § 6. En cas de mauvaise foi, le juge peut prononcer au profit du demandeur la confiscation des biens contrefaisants, ainsi que, dans les cas appropriés, des matériaux et instruments ayant principalement servi à la création ou à la fabrication de ces biens, et qui sont encore en possession du défendeur. Si les biens, matériaux et instruments ne sont plus en possession du défendeur, le juge peut allouer une somme égale au prix reçu pour les biens, matériaux et instruments cédés. La confiscation ainsi prononcée absorbe, à concurrence de la valeur de la confiscation, les dommages et intérêts. </w:t>
      </w:r>
      <w:r w:rsidRPr="00A85D91">
        <w:rPr>
          <w:szCs w:val="18"/>
        </w:rPr>
        <w:t>«</w:t>
      </w:r>
      <w:proofErr w:type="gramStart"/>
      <w:r w:rsidRPr="00A85D91">
        <w:rPr>
          <w:szCs w:val="18"/>
        </w:rPr>
        <w:t>  (</w:t>
      </w:r>
      <w:proofErr w:type="gramEnd"/>
      <w:r w:rsidRPr="00A85D91">
        <w:rPr>
          <w:szCs w:val="18"/>
        </w:rPr>
        <w:t>emphasis added)</w:t>
      </w:r>
      <w:r w:rsidR="0093158E">
        <w:rPr>
          <w:szCs w:val="18"/>
        </w:rPr>
        <w:t>.</w:t>
      </w:r>
    </w:p>
  </w:footnote>
  <w:footnote w:id="39">
    <w:p w:rsidR="00D318C5" w:rsidRPr="00C119A0" w:rsidRDefault="00D318C5" w:rsidP="005B3174">
      <w:pPr>
        <w:pStyle w:val="FootnoteText"/>
        <w:tabs>
          <w:tab w:val="left" w:pos="567"/>
        </w:tabs>
        <w:ind w:left="567" w:hanging="567"/>
        <w:rPr>
          <w:szCs w:val="18"/>
        </w:rPr>
      </w:pPr>
      <w:r w:rsidRPr="00500285">
        <w:rPr>
          <w:rStyle w:val="FootnoteReference"/>
          <w:szCs w:val="18"/>
        </w:rPr>
        <w:footnoteRef/>
      </w:r>
      <w:r w:rsidRPr="00500285">
        <w:rPr>
          <w:szCs w:val="18"/>
        </w:rPr>
        <w:t xml:space="preserve"> </w:t>
      </w:r>
      <w:r>
        <w:rPr>
          <w:szCs w:val="18"/>
        </w:rPr>
        <w:tab/>
      </w:r>
      <w:r w:rsidRPr="00500285">
        <w:rPr>
          <w:szCs w:val="18"/>
        </w:rPr>
        <w:t>For more information about the requirement of willfulness</w:t>
      </w:r>
      <w:r>
        <w:rPr>
          <w:szCs w:val="18"/>
        </w:rPr>
        <w:t>,</w:t>
      </w:r>
      <w:r w:rsidRPr="00500285">
        <w:rPr>
          <w:szCs w:val="18"/>
        </w:rPr>
        <w:t xml:space="preserve"> see Harold A. Borland, “The Affirmative Duty to Exercise Due Care in Willful Patent Infringement Cases: We Still Want It”, Houston Business and Tax Law </w:t>
      </w:r>
      <w:r w:rsidRPr="00C119A0">
        <w:rPr>
          <w:szCs w:val="18"/>
        </w:rPr>
        <w:t>Journal, 2005.</w:t>
      </w:r>
    </w:p>
  </w:footnote>
  <w:footnote w:id="40">
    <w:p w:rsidR="00D318C5" w:rsidRPr="00874E32" w:rsidRDefault="00D318C5" w:rsidP="00874E32">
      <w:pPr>
        <w:pStyle w:val="FootnoteText"/>
        <w:tabs>
          <w:tab w:val="left" w:pos="567"/>
        </w:tabs>
        <w:ind w:left="540" w:hanging="540"/>
        <w:rPr>
          <w:szCs w:val="18"/>
        </w:rPr>
      </w:pPr>
      <w:r w:rsidRPr="000A3F33">
        <w:rPr>
          <w:rStyle w:val="FootnoteReference"/>
          <w:szCs w:val="18"/>
        </w:rPr>
        <w:footnoteRef/>
      </w:r>
      <w:r w:rsidRPr="00874E32">
        <w:rPr>
          <w:szCs w:val="18"/>
        </w:rPr>
        <w:t xml:space="preserve"> </w:t>
      </w:r>
      <w:r w:rsidRPr="00874E32">
        <w:rPr>
          <w:szCs w:val="18"/>
        </w:rPr>
        <w:tab/>
        <w:t xml:space="preserve">Nicaragua, </w:t>
      </w:r>
      <w:r>
        <w:rPr>
          <w:szCs w:val="18"/>
        </w:rPr>
        <w:t xml:space="preserve">Article 132 (a) </w:t>
      </w:r>
      <w:r w:rsidRPr="00874E32">
        <w:rPr>
          <w:szCs w:val="18"/>
        </w:rPr>
        <w:t>of the Law No. 354 of 21/11/2000, Law on Patents, Utility Models and Industrial Designs as last amended by Law No. 634 of 13/09/2007</w:t>
      </w:r>
      <w:r>
        <w:rPr>
          <w:szCs w:val="18"/>
        </w:rPr>
        <w:t xml:space="preserve">;  and </w:t>
      </w:r>
      <w:r w:rsidRPr="00874E32">
        <w:rPr>
          <w:szCs w:val="18"/>
        </w:rPr>
        <w:t>Seychelles</w:t>
      </w:r>
      <w:r>
        <w:rPr>
          <w:szCs w:val="18"/>
        </w:rPr>
        <w:t>, Section</w:t>
      </w:r>
      <w:r w:rsidRPr="00874E32">
        <w:rPr>
          <w:szCs w:val="18"/>
        </w:rPr>
        <w:t xml:space="preserve"> 118 (1) of the Industrial Property Act, Act No. 7 of 2014.</w:t>
      </w:r>
    </w:p>
  </w:footnote>
  <w:footnote w:id="41">
    <w:p w:rsidR="00D318C5" w:rsidRPr="00EF6244" w:rsidRDefault="00D318C5" w:rsidP="001F3CC6">
      <w:pPr>
        <w:pStyle w:val="FootnoteText"/>
        <w:tabs>
          <w:tab w:val="left" w:pos="567"/>
        </w:tabs>
        <w:ind w:left="540" w:hanging="540"/>
        <w:rPr>
          <w:szCs w:val="18"/>
        </w:rPr>
      </w:pPr>
      <w:r w:rsidRPr="000E4562">
        <w:rPr>
          <w:rStyle w:val="FootnoteReference"/>
          <w:szCs w:val="18"/>
        </w:rPr>
        <w:footnoteRef/>
      </w:r>
      <w:r w:rsidRPr="00EF6244">
        <w:rPr>
          <w:szCs w:val="18"/>
        </w:rPr>
        <w:t xml:space="preserve"> </w:t>
      </w:r>
      <w:r w:rsidRPr="00EF6244">
        <w:rPr>
          <w:szCs w:val="18"/>
        </w:rPr>
        <w:tab/>
        <w:t>For instance</w:t>
      </w:r>
      <w:r>
        <w:rPr>
          <w:szCs w:val="18"/>
        </w:rPr>
        <w:t xml:space="preserve"> see</w:t>
      </w:r>
      <w:r w:rsidRPr="00EF6244">
        <w:rPr>
          <w:szCs w:val="18"/>
        </w:rPr>
        <w:t>:  Angola, Article 68 of the Law No. 3/92 on Industrial Property of 28/02/1992</w:t>
      </w:r>
      <w:proofErr w:type="gramStart"/>
      <w:r>
        <w:rPr>
          <w:szCs w:val="18"/>
        </w:rPr>
        <w:t xml:space="preserve">;  </w:t>
      </w:r>
      <w:r w:rsidRPr="00EF6244">
        <w:rPr>
          <w:szCs w:val="18"/>
        </w:rPr>
        <w:t>Argentina</w:t>
      </w:r>
      <w:proofErr w:type="gramEnd"/>
      <w:r w:rsidRPr="00EF6244">
        <w:rPr>
          <w:szCs w:val="18"/>
        </w:rPr>
        <w:t xml:space="preserve">, </w:t>
      </w:r>
      <w:r>
        <w:rPr>
          <w:szCs w:val="18"/>
        </w:rPr>
        <w:t>Article</w:t>
      </w:r>
      <w:r w:rsidRPr="00EF6244">
        <w:rPr>
          <w:szCs w:val="18"/>
        </w:rPr>
        <w:t xml:space="preserve"> 75 of the Law on Patents and Utility Models</w:t>
      </w:r>
      <w:r>
        <w:rPr>
          <w:szCs w:val="18"/>
        </w:rPr>
        <w:t xml:space="preserve">;  and </w:t>
      </w:r>
      <w:r w:rsidRPr="00EF6244">
        <w:rPr>
          <w:szCs w:val="18"/>
        </w:rPr>
        <w:t>France</w:t>
      </w:r>
      <w:r>
        <w:rPr>
          <w:szCs w:val="18"/>
        </w:rPr>
        <w:t xml:space="preserve">, Article L615-14 </w:t>
      </w:r>
      <w:r w:rsidRPr="00EF6244">
        <w:rPr>
          <w:szCs w:val="18"/>
        </w:rPr>
        <w:t>of the Intellectual Property Code.</w:t>
      </w:r>
    </w:p>
  </w:footnote>
  <w:footnote w:id="42">
    <w:p w:rsidR="00D318C5" w:rsidRPr="00734828" w:rsidRDefault="00D318C5" w:rsidP="001F3CC6">
      <w:pPr>
        <w:pStyle w:val="FootnoteText"/>
        <w:tabs>
          <w:tab w:val="left" w:pos="567"/>
        </w:tabs>
        <w:ind w:left="540" w:hanging="540"/>
        <w:rPr>
          <w:szCs w:val="18"/>
        </w:rPr>
      </w:pPr>
      <w:r w:rsidRPr="00C119A0">
        <w:rPr>
          <w:rStyle w:val="FootnoteReference"/>
          <w:szCs w:val="18"/>
        </w:rPr>
        <w:footnoteRef/>
      </w:r>
      <w:r w:rsidRPr="000A3F33">
        <w:rPr>
          <w:szCs w:val="18"/>
        </w:rPr>
        <w:t xml:space="preserve"> </w:t>
      </w:r>
      <w:r>
        <w:rPr>
          <w:szCs w:val="18"/>
        </w:rPr>
        <w:tab/>
        <w:t xml:space="preserve">For instance, </w:t>
      </w:r>
      <w:r w:rsidRPr="000A3F33">
        <w:rPr>
          <w:szCs w:val="18"/>
        </w:rPr>
        <w:t>Antigua and Barbuda, Armenia, Brazil,</w:t>
      </w:r>
      <w:r>
        <w:rPr>
          <w:szCs w:val="18"/>
        </w:rPr>
        <w:t xml:space="preserve"> Cuba, Czech Republic, Romania </w:t>
      </w:r>
      <w:r w:rsidRPr="000A3F33">
        <w:rPr>
          <w:szCs w:val="18"/>
        </w:rPr>
        <w:t>adopted this option.</w:t>
      </w:r>
      <w:r w:rsidRPr="001F3CC6">
        <w:t xml:space="preserve"> </w:t>
      </w:r>
      <w:r>
        <w:t xml:space="preserve"> </w:t>
      </w:r>
      <w:r w:rsidRPr="001F3CC6">
        <w:rPr>
          <w:szCs w:val="18"/>
        </w:rPr>
        <w:t>See Annexes I to this document.</w:t>
      </w:r>
    </w:p>
  </w:footnote>
  <w:footnote w:id="43">
    <w:p w:rsidR="00D318C5" w:rsidRPr="0012181A" w:rsidRDefault="00D318C5" w:rsidP="005B3174">
      <w:pPr>
        <w:pStyle w:val="FootnoteText"/>
        <w:tabs>
          <w:tab w:val="left" w:pos="567"/>
        </w:tabs>
        <w:ind w:left="567" w:hanging="567"/>
        <w:rPr>
          <w:szCs w:val="18"/>
        </w:rPr>
      </w:pPr>
      <w:r w:rsidRPr="0012181A">
        <w:rPr>
          <w:rStyle w:val="FootnoteReference"/>
          <w:szCs w:val="18"/>
        </w:rPr>
        <w:footnoteRef/>
      </w:r>
      <w:r w:rsidRPr="0012181A">
        <w:rPr>
          <w:szCs w:val="18"/>
        </w:rPr>
        <w:t xml:space="preserve"> </w:t>
      </w:r>
      <w:r>
        <w:rPr>
          <w:szCs w:val="18"/>
        </w:rPr>
        <w:tab/>
      </w:r>
      <w:r w:rsidRPr="0012181A">
        <w:rPr>
          <w:szCs w:val="18"/>
        </w:rPr>
        <w:t>For instance</w:t>
      </w:r>
      <w:r>
        <w:rPr>
          <w:szCs w:val="18"/>
        </w:rPr>
        <w:t>,</w:t>
      </w:r>
      <w:r w:rsidRPr="0012181A">
        <w:rPr>
          <w:szCs w:val="18"/>
        </w:rPr>
        <w:t xml:space="preserve"> in Egypt, the basic sanction is a pecuniary fine, but in case of recidivism</w:t>
      </w:r>
      <w:r>
        <w:rPr>
          <w:szCs w:val="18"/>
        </w:rPr>
        <w:t>,</w:t>
      </w:r>
      <w:r w:rsidRPr="0012181A">
        <w:rPr>
          <w:szCs w:val="18"/>
        </w:rPr>
        <w:t xml:space="preserve"> the infringer </w:t>
      </w:r>
      <w:r>
        <w:rPr>
          <w:szCs w:val="18"/>
        </w:rPr>
        <w:t>faces imprisonment</w:t>
      </w:r>
      <w:r w:rsidRPr="0012181A">
        <w:rPr>
          <w:szCs w:val="18"/>
        </w:rPr>
        <w:t xml:space="preserve"> for a period up to two years.</w:t>
      </w:r>
      <w:r>
        <w:rPr>
          <w:szCs w:val="18"/>
        </w:rPr>
        <w:t xml:space="preserve">  </w:t>
      </w:r>
      <w:r w:rsidRPr="00EF6244">
        <w:rPr>
          <w:szCs w:val="18"/>
        </w:rPr>
        <w:t>See Annexes I to this document.</w:t>
      </w:r>
    </w:p>
  </w:footnote>
  <w:footnote w:id="44">
    <w:p w:rsidR="00D318C5" w:rsidRPr="00BC3227" w:rsidRDefault="00D318C5" w:rsidP="001F3CC6">
      <w:pPr>
        <w:pStyle w:val="FootnoteText"/>
        <w:tabs>
          <w:tab w:val="left" w:pos="567"/>
        </w:tabs>
        <w:ind w:left="540" w:hanging="540"/>
        <w:rPr>
          <w:szCs w:val="18"/>
        </w:rPr>
      </w:pPr>
      <w:r w:rsidRPr="00BC3227">
        <w:rPr>
          <w:rStyle w:val="FootnoteReference"/>
          <w:szCs w:val="18"/>
        </w:rPr>
        <w:footnoteRef/>
      </w:r>
      <w:r w:rsidRPr="00BC3227">
        <w:rPr>
          <w:szCs w:val="18"/>
        </w:rPr>
        <w:t xml:space="preserve"> </w:t>
      </w:r>
      <w:r>
        <w:rPr>
          <w:szCs w:val="18"/>
        </w:rPr>
        <w:tab/>
      </w:r>
      <w:r w:rsidRPr="00BC3227">
        <w:rPr>
          <w:szCs w:val="18"/>
        </w:rPr>
        <w:t>Belgium</w:t>
      </w:r>
      <w:r>
        <w:rPr>
          <w:szCs w:val="18"/>
        </w:rPr>
        <w:t xml:space="preserve">, </w:t>
      </w:r>
      <w:r w:rsidRPr="001F3CC6">
        <w:rPr>
          <w:szCs w:val="18"/>
        </w:rPr>
        <w:t>Article 8, § 1 of the Law on the Punishment of Counterfeiting and Piracy of Intellectual Property Rights of 05/05/2007 as last amended on 25/02/2011</w:t>
      </w:r>
      <w:r>
        <w:rPr>
          <w:szCs w:val="18"/>
        </w:rPr>
        <w:t>.</w:t>
      </w:r>
    </w:p>
  </w:footnote>
  <w:footnote w:id="45">
    <w:p w:rsidR="00D318C5" w:rsidRPr="00754FD4" w:rsidRDefault="00D318C5" w:rsidP="005B3174">
      <w:pPr>
        <w:pStyle w:val="FootnoteText"/>
        <w:tabs>
          <w:tab w:val="left" w:pos="567"/>
        </w:tabs>
        <w:rPr>
          <w:szCs w:val="18"/>
        </w:rPr>
      </w:pPr>
      <w:r w:rsidRPr="00754FD4">
        <w:rPr>
          <w:rStyle w:val="FootnoteReference"/>
          <w:szCs w:val="18"/>
        </w:rPr>
        <w:footnoteRef/>
      </w:r>
      <w:r w:rsidRPr="00754FD4">
        <w:rPr>
          <w:szCs w:val="18"/>
        </w:rPr>
        <w:t xml:space="preserve"> </w:t>
      </w:r>
      <w:r>
        <w:rPr>
          <w:szCs w:val="18"/>
        </w:rPr>
        <w:tab/>
      </w:r>
      <w:r w:rsidRPr="00754FD4">
        <w:rPr>
          <w:szCs w:val="18"/>
        </w:rPr>
        <w:t>France</w:t>
      </w:r>
      <w:r>
        <w:rPr>
          <w:szCs w:val="18"/>
        </w:rPr>
        <w:t xml:space="preserve">, Article L615-14 </w:t>
      </w:r>
      <w:r w:rsidRPr="00F44C7D">
        <w:rPr>
          <w:szCs w:val="18"/>
        </w:rPr>
        <w:t>of the Intellectual Property Code (consolidated as of January 1, 2014)</w:t>
      </w:r>
      <w:r>
        <w:rPr>
          <w:szCs w:val="18"/>
        </w:rPr>
        <w:t>.</w:t>
      </w:r>
    </w:p>
  </w:footnote>
  <w:footnote w:id="46">
    <w:p w:rsidR="00D318C5" w:rsidRPr="00EA4C94" w:rsidRDefault="00D318C5" w:rsidP="005B3174">
      <w:pPr>
        <w:pStyle w:val="FootnoteText"/>
        <w:tabs>
          <w:tab w:val="left" w:pos="567"/>
        </w:tabs>
        <w:ind w:left="567" w:hanging="567"/>
        <w:rPr>
          <w:szCs w:val="18"/>
        </w:rPr>
      </w:pPr>
      <w:r w:rsidRPr="0073724C">
        <w:rPr>
          <w:rStyle w:val="FootnoteReference"/>
          <w:szCs w:val="18"/>
        </w:rPr>
        <w:footnoteRef/>
      </w:r>
      <w:r w:rsidRPr="0073724C">
        <w:rPr>
          <w:szCs w:val="18"/>
        </w:rPr>
        <w:t xml:space="preserve"> </w:t>
      </w:r>
      <w:r>
        <w:rPr>
          <w:szCs w:val="18"/>
        </w:rPr>
        <w:tab/>
      </w:r>
      <w:r w:rsidRPr="0073724C">
        <w:rPr>
          <w:szCs w:val="18"/>
        </w:rPr>
        <w:t>In Colombia and the Russian Federation</w:t>
      </w:r>
      <w:r>
        <w:rPr>
          <w:szCs w:val="18"/>
        </w:rPr>
        <w:t>,</w:t>
      </w:r>
      <w:r w:rsidRPr="00EA4C94">
        <w:rPr>
          <w:szCs w:val="18"/>
        </w:rPr>
        <w:t xml:space="preserve"> for instance</w:t>
      </w:r>
      <w:r>
        <w:rPr>
          <w:szCs w:val="18"/>
        </w:rPr>
        <w:t>,</w:t>
      </w:r>
      <w:r w:rsidRPr="00EA4C94">
        <w:rPr>
          <w:szCs w:val="18"/>
        </w:rPr>
        <w:t xml:space="preserve"> this method of calculating the </w:t>
      </w:r>
      <w:r>
        <w:rPr>
          <w:szCs w:val="18"/>
        </w:rPr>
        <w:t>a</w:t>
      </w:r>
      <w:r w:rsidRPr="00EA4C94">
        <w:rPr>
          <w:szCs w:val="18"/>
        </w:rPr>
        <w:t>mount of the fine is applied.</w:t>
      </w:r>
      <w:r>
        <w:rPr>
          <w:szCs w:val="18"/>
        </w:rPr>
        <w:t xml:space="preserve">  </w:t>
      </w:r>
      <w:r w:rsidRPr="00EF6244">
        <w:rPr>
          <w:szCs w:val="18"/>
        </w:rPr>
        <w:t>See Annexes I to this document.</w:t>
      </w:r>
    </w:p>
  </w:footnote>
  <w:footnote w:id="47">
    <w:p w:rsidR="00D318C5" w:rsidRPr="00670F8B" w:rsidRDefault="00D318C5" w:rsidP="005F0CF0">
      <w:pPr>
        <w:pStyle w:val="FootnoteText"/>
        <w:tabs>
          <w:tab w:val="left" w:pos="567"/>
        </w:tabs>
        <w:ind w:left="567" w:hanging="567"/>
        <w:rPr>
          <w:szCs w:val="18"/>
        </w:rPr>
      </w:pPr>
      <w:r w:rsidRPr="0073724C">
        <w:rPr>
          <w:rStyle w:val="FootnoteReference"/>
          <w:szCs w:val="18"/>
        </w:rPr>
        <w:footnoteRef/>
      </w:r>
      <w:r w:rsidRPr="0073724C">
        <w:rPr>
          <w:szCs w:val="18"/>
        </w:rPr>
        <w:t xml:space="preserve"> </w:t>
      </w:r>
      <w:r>
        <w:rPr>
          <w:szCs w:val="18"/>
        </w:rPr>
        <w:tab/>
      </w:r>
      <w:r w:rsidRPr="0073724C">
        <w:rPr>
          <w:szCs w:val="18"/>
        </w:rPr>
        <w:t>For instance; in Antigua and Barbuda</w:t>
      </w:r>
      <w:r>
        <w:rPr>
          <w:szCs w:val="18"/>
        </w:rPr>
        <w:t xml:space="preserve"> and </w:t>
      </w:r>
      <w:r w:rsidRPr="0073724C">
        <w:rPr>
          <w:szCs w:val="18"/>
        </w:rPr>
        <w:t>France</w:t>
      </w:r>
      <w:r>
        <w:rPr>
          <w:szCs w:val="18"/>
        </w:rPr>
        <w:t>,</w:t>
      </w:r>
      <w:r w:rsidRPr="0073724C">
        <w:rPr>
          <w:szCs w:val="18"/>
        </w:rPr>
        <w:t xml:space="preserve"> </w:t>
      </w:r>
      <w:r>
        <w:rPr>
          <w:szCs w:val="18"/>
        </w:rPr>
        <w:t xml:space="preserve">the maximum term </w:t>
      </w:r>
      <w:r w:rsidRPr="0073724C">
        <w:rPr>
          <w:szCs w:val="18"/>
        </w:rPr>
        <w:t>is three years;</w:t>
      </w:r>
      <w:r>
        <w:rPr>
          <w:szCs w:val="18"/>
        </w:rPr>
        <w:t xml:space="preserve"> </w:t>
      </w:r>
      <w:r w:rsidRPr="0073724C">
        <w:rPr>
          <w:szCs w:val="18"/>
        </w:rPr>
        <w:t>in Argentina, Madagascar, Philippines and Uruguay</w:t>
      </w:r>
      <w:r>
        <w:rPr>
          <w:szCs w:val="18"/>
        </w:rPr>
        <w:t>, the term is</w:t>
      </w:r>
      <w:r w:rsidRPr="0073724C">
        <w:rPr>
          <w:szCs w:val="18"/>
        </w:rPr>
        <w:t xml:space="preserve"> from six months up to three years;</w:t>
      </w:r>
      <w:r>
        <w:rPr>
          <w:szCs w:val="18"/>
        </w:rPr>
        <w:t xml:space="preserve"> </w:t>
      </w:r>
      <w:r w:rsidRPr="0073724C">
        <w:rPr>
          <w:szCs w:val="18"/>
        </w:rPr>
        <w:t>in Armenia</w:t>
      </w:r>
      <w:r w:rsidRPr="00670F8B">
        <w:rPr>
          <w:szCs w:val="18"/>
        </w:rPr>
        <w:t xml:space="preserve"> and Sweden</w:t>
      </w:r>
      <w:r>
        <w:rPr>
          <w:szCs w:val="18"/>
        </w:rPr>
        <w:t>, the maximum term is</w:t>
      </w:r>
      <w:r w:rsidRPr="00670F8B">
        <w:rPr>
          <w:szCs w:val="18"/>
        </w:rPr>
        <w:t xml:space="preserve"> two years; in Cuba and Romania</w:t>
      </w:r>
      <w:r>
        <w:rPr>
          <w:szCs w:val="18"/>
        </w:rPr>
        <w:t>, the term is</w:t>
      </w:r>
      <w:r w:rsidRPr="00670F8B">
        <w:rPr>
          <w:szCs w:val="18"/>
        </w:rPr>
        <w:t xml:space="preserve"> from six months to two years</w:t>
      </w:r>
      <w:proofErr w:type="gramStart"/>
      <w:r>
        <w:rPr>
          <w:szCs w:val="18"/>
        </w:rPr>
        <w:t>;  in</w:t>
      </w:r>
      <w:proofErr w:type="gramEnd"/>
      <w:r>
        <w:rPr>
          <w:szCs w:val="18"/>
        </w:rPr>
        <w:t xml:space="preserve"> Switzerland and Swaziland, the term is </w:t>
      </w:r>
      <w:r w:rsidRPr="00670F8B">
        <w:rPr>
          <w:szCs w:val="18"/>
        </w:rPr>
        <w:t>up to one year.</w:t>
      </w:r>
      <w:r>
        <w:rPr>
          <w:szCs w:val="18"/>
        </w:rPr>
        <w:t xml:space="preserve">  See Annexes I to this document.</w:t>
      </w:r>
    </w:p>
  </w:footnote>
  <w:footnote w:id="48">
    <w:p w:rsidR="00D318C5" w:rsidRPr="0032074B" w:rsidRDefault="00D318C5" w:rsidP="005F0CF0">
      <w:pPr>
        <w:pStyle w:val="FootnoteText"/>
        <w:ind w:left="567" w:hanging="567"/>
        <w:rPr>
          <w:szCs w:val="18"/>
        </w:rPr>
      </w:pPr>
      <w:r w:rsidRPr="00670F8B">
        <w:rPr>
          <w:rStyle w:val="FootnoteReference"/>
          <w:szCs w:val="18"/>
        </w:rPr>
        <w:footnoteRef/>
      </w:r>
      <w:r w:rsidRPr="00670F8B">
        <w:rPr>
          <w:szCs w:val="18"/>
        </w:rPr>
        <w:t xml:space="preserve"> </w:t>
      </w:r>
      <w:r>
        <w:rPr>
          <w:szCs w:val="18"/>
        </w:rPr>
        <w:tab/>
      </w:r>
      <w:r w:rsidRPr="00670F8B">
        <w:rPr>
          <w:szCs w:val="18"/>
        </w:rPr>
        <w:t>I</w:t>
      </w:r>
      <w:r>
        <w:rPr>
          <w:szCs w:val="18"/>
        </w:rPr>
        <w:t>n</w:t>
      </w:r>
      <w:r w:rsidRPr="0032074B">
        <w:rPr>
          <w:szCs w:val="18"/>
        </w:rPr>
        <w:t xml:space="preserve"> Belize</w:t>
      </w:r>
      <w:r>
        <w:rPr>
          <w:szCs w:val="18"/>
        </w:rPr>
        <w:t>,</w:t>
      </w:r>
      <w:r w:rsidRPr="0032074B">
        <w:rPr>
          <w:szCs w:val="18"/>
        </w:rPr>
        <w:t xml:space="preserve"> the </w:t>
      </w:r>
      <w:r>
        <w:rPr>
          <w:szCs w:val="18"/>
        </w:rPr>
        <w:t>term</w:t>
      </w:r>
      <w:r w:rsidRPr="0032074B">
        <w:rPr>
          <w:szCs w:val="18"/>
        </w:rPr>
        <w:t xml:space="preserve"> is between five and twelve years.</w:t>
      </w:r>
      <w:r>
        <w:rPr>
          <w:szCs w:val="18"/>
        </w:rPr>
        <w:t xml:space="preserve">  </w:t>
      </w:r>
      <w:r w:rsidRPr="00446F7B">
        <w:rPr>
          <w:szCs w:val="18"/>
        </w:rPr>
        <w:t>See Annexes I to this document.</w:t>
      </w:r>
    </w:p>
  </w:footnote>
  <w:footnote w:id="49">
    <w:p w:rsidR="00D318C5" w:rsidRPr="00734828" w:rsidRDefault="00D318C5" w:rsidP="005F0CF0">
      <w:pPr>
        <w:pStyle w:val="FootnoteText"/>
        <w:ind w:left="567" w:hanging="567"/>
        <w:rPr>
          <w:szCs w:val="18"/>
        </w:rPr>
      </w:pPr>
      <w:r w:rsidRPr="00C119A0">
        <w:rPr>
          <w:rStyle w:val="FootnoteReference"/>
          <w:szCs w:val="18"/>
        </w:rPr>
        <w:footnoteRef/>
      </w:r>
      <w:r w:rsidRPr="000A3F33">
        <w:rPr>
          <w:szCs w:val="18"/>
        </w:rPr>
        <w:t xml:space="preserve"> </w:t>
      </w:r>
      <w:r>
        <w:rPr>
          <w:szCs w:val="18"/>
        </w:rPr>
        <w:tab/>
      </w:r>
      <w:r w:rsidRPr="000A3F33">
        <w:rPr>
          <w:szCs w:val="18"/>
        </w:rPr>
        <w:t>Germany</w:t>
      </w:r>
      <w:r>
        <w:rPr>
          <w:szCs w:val="18"/>
        </w:rPr>
        <w:t>,</w:t>
      </w:r>
      <w:r w:rsidRPr="00446F7B">
        <w:t xml:space="preserve"> </w:t>
      </w:r>
      <w:r w:rsidRPr="00446F7B">
        <w:rPr>
          <w:szCs w:val="18"/>
        </w:rPr>
        <w:t>Section 142 of the Patent Law as amended on 31/07/2009</w:t>
      </w:r>
      <w:r w:rsidRPr="000A3F33">
        <w:rPr>
          <w:szCs w:val="18"/>
        </w:rPr>
        <w:t>.</w:t>
      </w:r>
    </w:p>
  </w:footnote>
  <w:footnote w:id="50">
    <w:p w:rsidR="00D318C5" w:rsidRPr="00AF7EDD" w:rsidRDefault="00D318C5" w:rsidP="005F0CF0">
      <w:pPr>
        <w:pStyle w:val="FootnoteText"/>
        <w:ind w:left="567" w:hanging="567"/>
        <w:rPr>
          <w:szCs w:val="18"/>
        </w:rPr>
      </w:pPr>
      <w:r w:rsidRPr="00D93529">
        <w:rPr>
          <w:rStyle w:val="FootnoteReference"/>
          <w:szCs w:val="18"/>
        </w:rPr>
        <w:footnoteRef/>
      </w:r>
      <w:r w:rsidRPr="00D93529">
        <w:rPr>
          <w:szCs w:val="18"/>
        </w:rPr>
        <w:t xml:space="preserve"> </w:t>
      </w:r>
      <w:r>
        <w:rPr>
          <w:szCs w:val="18"/>
        </w:rPr>
        <w:tab/>
      </w:r>
      <w:r w:rsidRPr="00D93529">
        <w:rPr>
          <w:szCs w:val="18"/>
        </w:rPr>
        <w:t>France and Indonesia</w:t>
      </w:r>
      <w:r>
        <w:rPr>
          <w:szCs w:val="18"/>
        </w:rPr>
        <w:t>,</w:t>
      </w:r>
      <w:r w:rsidRPr="00AF7EDD">
        <w:rPr>
          <w:szCs w:val="18"/>
        </w:rPr>
        <w:t xml:space="preserve"> </w:t>
      </w:r>
      <w:r>
        <w:rPr>
          <w:szCs w:val="18"/>
        </w:rPr>
        <w:t>f</w:t>
      </w:r>
      <w:r w:rsidRPr="00AF7EDD">
        <w:rPr>
          <w:szCs w:val="18"/>
        </w:rPr>
        <w:t>or example, provide for this kind of sanction.</w:t>
      </w:r>
      <w:r>
        <w:rPr>
          <w:szCs w:val="18"/>
        </w:rPr>
        <w:t xml:space="preserve">  </w:t>
      </w:r>
      <w:r w:rsidRPr="00446F7B">
        <w:rPr>
          <w:szCs w:val="18"/>
        </w:rPr>
        <w:t>See Annexes I to this document.</w:t>
      </w:r>
    </w:p>
  </w:footnote>
  <w:footnote w:id="51">
    <w:p w:rsidR="00D318C5" w:rsidRPr="00597A7B" w:rsidRDefault="00D318C5" w:rsidP="005F0CF0">
      <w:pPr>
        <w:pStyle w:val="FootnoteText"/>
        <w:ind w:left="567" w:hanging="567"/>
        <w:rPr>
          <w:szCs w:val="18"/>
        </w:rPr>
      </w:pPr>
      <w:r w:rsidRPr="00597A7B">
        <w:rPr>
          <w:rStyle w:val="FootnoteReference"/>
          <w:szCs w:val="18"/>
        </w:rPr>
        <w:footnoteRef/>
      </w:r>
      <w:r w:rsidRPr="00597A7B">
        <w:rPr>
          <w:szCs w:val="18"/>
        </w:rPr>
        <w:t xml:space="preserve"> </w:t>
      </w:r>
      <w:r>
        <w:rPr>
          <w:szCs w:val="18"/>
        </w:rPr>
        <w:tab/>
      </w:r>
      <w:r w:rsidRPr="00597A7B">
        <w:rPr>
          <w:szCs w:val="18"/>
        </w:rPr>
        <w:t>Russian Federation</w:t>
      </w:r>
      <w:r>
        <w:rPr>
          <w:szCs w:val="18"/>
        </w:rPr>
        <w:t>,</w:t>
      </w:r>
      <w:r w:rsidRPr="00446F7B">
        <w:t xml:space="preserve"> </w:t>
      </w:r>
      <w:r w:rsidRPr="00446F7B">
        <w:rPr>
          <w:szCs w:val="18"/>
        </w:rPr>
        <w:t>Article 147 of the Criminal Code No. 63-FZ of 13/06/1996 as last amended on 01/03/2012</w:t>
      </w:r>
    </w:p>
  </w:footnote>
  <w:footnote w:id="52">
    <w:p w:rsidR="00D318C5" w:rsidRPr="00DB7DF8" w:rsidRDefault="00D318C5" w:rsidP="005F0CF0">
      <w:pPr>
        <w:ind w:left="567" w:hanging="567"/>
        <w:rPr>
          <w:sz w:val="18"/>
          <w:szCs w:val="18"/>
        </w:rPr>
      </w:pPr>
      <w:r w:rsidRPr="00DB7DF8">
        <w:rPr>
          <w:rStyle w:val="FootnoteReference"/>
          <w:sz w:val="18"/>
          <w:szCs w:val="18"/>
        </w:rPr>
        <w:footnoteRef/>
      </w:r>
      <w:r w:rsidRPr="00DB7DF8">
        <w:rPr>
          <w:sz w:val="18"/>
          <w:szCs w:val="18"/>
        </w:rPr>
        <w:t xml:space="preserve"> </w:t>
      </w:r>
      <w:r>
        <w:rPr>
          <w:sz w:val="18"/>
          <w:szCs w:val="18"/>
        </w:rPr>
        <w:tab/>
      </w:r>
      <w:r w:rsidRPr="00522A44">
        <w:rPr>
          <w:sz w:val="18"/>
          <w:szCs w:val="18"/>
        </w:rPr>
        <w:t xml:space="preserve">For instance, in France if the infringement has been committed through a network of communication to the public online, or if the </w:t>
      </w:r>
      <w:r>
        <w:rPr>
          <w:sz w:val="18"/>
          <w:szCs w:val="18"/>
        </w:rPr>
        <w:t>infringement</w:t>
      </w:r>
      <w:r w:rsidRPr="00522A44">
        <w:rPr>
          <w:sz w:val="18"/>
          <w:szCs w:val="18"/>
        </w:rPr>
        <w:t xml:space="preserve"> concerned products dangerous for health, human or animal security, sanctions are increased to </w:t>
      </w:r>
      <w:r w:rsidRPr="00BA57CD">
        <w:rPr>
          <w:sz w:val="18"/>
          <w:szCs w:val="18"/>
        </w:rPr>
        <w:t xml:space="preserve">5 years of imprisonment (instead of 3) and 500,000 </w:t>
      </w:r>
      <w:r>
        <w:rPr>
          <w:sz w:val="18"/>
          <w:szCs w:val="18"/>
        </w:rPr>
        <w:t>EUR</w:t>
      </w:r>
      <w:r w:rsidRPr="00BA57CD">
        <w:rPr>
          <w:sz w:val="18"/>
          <w:szCs w:val="18"/>
        </w:rPr>
        <w:t xml:space="preserve"> (instead of 300,000</w:t>
      </w:r>
      <w:r>
        <w:rPr>
          <w:sz w:val="18"/>
          <w:szCs w:val="18"/>
        </w:rPr>
        <w:t xml:space="preserve"> EUR</w:t>
      </w:r>
      <w:r w:rsidRPr="00BA57CD">
        <w:rPr>
          <w:sz w:val="18"/>
          <w:szCs w:val="18"/>
        </w:rPr>
        <w:t>)</w:t>
      </w:r>
      <w:r>
        <w:rPr>
          <w:sz w:val="18"/>
          <w:szCs w:val="18"/>
        </w:rPr>
        <w:t xml:space="preserve">.  </w:t>
      </w:r>
      <w:r w:rsidRPr="00446F7B">
        <w:rPr>
          <w:sz w:val="18"/>
          <w:szCs w:val="18"/>
        </w:rPr>
        <w:t>See Annexes I to this document.</w:t>
      </w:r>
    </w:p>
  </w:footnote>
  <w:footnote w:id="53">
    <w:p w:rsidR="00D318C5" w:rsidRPr="00496D26" w:rsidRDefault="00D318C5" w:rsidP="005F0CF0">
      <w:pPr>
        <w:ind w:left="567" w:hanging="567"/>
        <w:rPr>
          <w:sz w:val="18"/>
          <w:szCs w:val="18"/>
        </w:rPr>
      </w:pPr>
      <w:r w:rsidRPr="005F0CF0">
        <w:rPr>
          <w:sz w:val="18"/>
          <w:szCs w:val="18"/>
          <w:vertAlign w:val="superscript"/>
        </w:rPr>
        <w:footnoteRef/>
      </w:r>
      <w:r w:rsidRPr="005F0CF0">
        <w:rPr>
          <w:sz w:val="18"/>
          <w:szCs w:val="18"/>
          <w:vertAlign w:val="superscript"/>
        </w:rPr>
        <w:t xml:space="preserve"> </w:t>
      </w:r>
      <w:r>
        <w:rPr>
          <w:sz w:val="18"/>
          <w:szCs w:val="18"/>
        </w:rPr>
        <w:tab/>
      </w:r>
      <w:r w:rsidRPr="00522A44">
        <w:rPr>
          <w:sz w:val="18"/>
          <w:szCs w:val="18"/>
        </w:rPr>
        <w:t>For instance</w:t>
      </w:r>
      <w:r>
        <w:rPr>
          <w:sz w:val="18"/>
          <w:szCs w:val="18"/>
        </w:rPr>
        <w:t>,</w:t>
      </w:r>
      <w:r w:rsidRPr="00522A44">
        <w:rPr>
          <w:sz w:val="18"/>
          <w:szCs w:val="18"/>
        </w:rPr>
        <w:t xml:space="preserve"> in France, in this </w:t>
      </w:r>
      <w:r>
        <w:rPr>
          <w:sz w:val="18"/>
          <w:szCs w:val="18"/>
        </w:rPr>
        <w:t>situation</w:t>
      </w:r>
      <w:r w:rsidRPr="00522A44">
        <w:rPr>
          <w:sz w:val="18"/>
          <w:szCs w:val="18"/>
        </w:rPr>
        <w:t>, sanctions are doubled.</w:t>
      </w:r>
      <w:r>
        <w:rPr>
          <w:sz w:val="18"/>
          <w:szCs w:val="18"/>
        </w:rPr>
        <w:t xml:space="preserve">  </w:t>
      </w:r>
      <w:r w:rsidRPr="00446F7B">
        <w:rPr>
          <w:sz w:val="18"/>
          <w:szCs w:val="18"/>
        </w:rPr>
        <w:t>See Annexes I to this document.</w:t>
      </w:r>
    </w:p>
  </w:footnote>
  <w:footnote w:id="54">
    <w:p w:rsidR="00D318C5" w:rsidRPr="00DB7DF8" w:rsidRDefault="00D318C5" w:rsidP="005F0CF0">
      <w:pPr>
        <w:ind w:left="567" w:hanging="567"/>
        <w:rPr>
          <w:sz w:val="18"/>
          <w:szCs w:val="18"/>
        </w:rPr>
      </w:pPr>
      <w:r w:rsidRPr="00DB7DF8">
        <w:rPr>
          <w:rStyle w:val="FootnoteReference"/>
          <w:sz w:val="18"/>
          <w:szCs w:val="18"/>
        </w:rPr>
        <w:footnoteRef/>
      </w:r>
      <w:r w:rsidRPr="00DB7DF8">
        <w:rPr>
          <w:sz w:val="18"/>
          <w:szCs w:val="18"/>
        </w:rPr>
        <w:t xml:space="preserve"> </w:t>
      </w:r>
      <w:r>
        <w:rPr>
          <w:sz w:val="18"/>
          <w:szCs w:val="18"/>
        </w:rPr>
        <w:tab/>
      </w:r>
      <w:r w:rsidRPr="00522A44">
        <w:rPr>
          <w:sz w:val="18"/>
          <w:szCs w:val="18"/>
        </w:rPr>
        <w:t>F</w:t>
      </w:r>
      <w:r w:rsidRPr="00496D26">
        <w:rPr>
          <w:sz w:val="18"/>
          <w:szCs w:val="18"/>
        </w:rPr>
        <w:t>or instance</w:t>
      </w:r>
      <w:r>
        <w:rPr>
          <w:sz w:val="18"/>
          <w:szCs w:val="18"/>
        </w:rPr>
        <w:t>,</w:t>
      </w:r>
      <w:r w:rsidRPr="00496D26">
        <w:rPr>
          <w:sz w:val="18"/>
          <w:szCs w:val="18"/>
        </w:rPr>
        <w:t xml:space="preserve"> in Germany</w:t>
      </w:r>
      <w:r>
        <w:rPr>
          <w:sz w:val="18"/>
          <w:szCs w:val="18"/>
        </w:rPr>
        <w:t>,</w:t>
      </w:r>
      <w:r w:rsidRPr="00496D26">
        <w:rPr>
          <w:sz w:val="18"/>
          <w:szCs w:val="18"/>
        </w:rPr>
        <w:t xml:space="preserve"> the imprisonment in this case can </w:t>
      </w:r>
      <w:r>
        <w:rPr>
          <w:sz w:val="18"/>
          <w:szCs w:val="18"/>
        </w:rPr>
        <w:t>extend</w:t>
      </w:r>
      <w:r w:rsidRPr="00496D26">
        <w:rPr>
          <w:sz w:val="18"/>
          <w:szCs w:val="18"/>
        </w:rPr>
        <w:t xml:space="preserve"> to five years.</w:t>
      </w:r>
      <w:r>
        <w:rPr>
          <w:sz w:val="18"/>
          <w:szCs w:val="18"/>
        </w:rPr>
        <w:t xml:space="preserve">  </w:t>
      </w:r>
      <w:r w:rsidRPr="00446F7B">
        <w:rPr>
          <w:sz w:val="18"/>
          <w:szCs w:val="18"/>
        </w:rPr>
        <w:t>See Annexes I to this document.</w:t>
      </w:r>
    </w:p>
  </w:footnote>
  <w:footnote w:id="55">
    <w:p w:rsidR="00D318C5" w:rsidRPr="00500285" w:rsidRDefault="00D318C5" w:rsidP="005F0CF0">
      <w:pPr>
        <w:pStyle w:val="FootnoteText"/>
        <w:ind w:left="567" w:hanging="567"/>
        <w:rPr>
          <w:szCs w:val="18"/>
        </w:rPr>
      </w:pPr>
      <w:r w:rsidRPr="00522A44">
        <w:rPr>
          <w:rStyle w:val="FootnoteReference"/>
          <w:szCs w:val="18"/>
        </w:rPr>
        <w:footnoteRef/>
      </w:r>
      <w:r w:rsidRPr="00496D26">
        <w:rPr>
          <w:szCs w:val="18"/>
        </w:rPr>
        <w:t xml:space="preserve"> </w:t>
      </w:r>
      <w:r>
        <w:rPr>
          <w:szCs w:val="18"/>
        </w:rPr>
        <w:tab/>
      </w:r>
      <w:r w:rsidRPr="00496D26">
        <w:rPr>
          <w:szCs w:val="18"/>
        </w:rPr>
        <w:t>For instance</w:t>
      </w:r>
      <w:r>
        <w:rPr>
          <w:szCs w:val="18"/>
        </w:rPr>
        <w:t>,</w:t>
      </w:r>
      <w:r w:rsidRPr="00496D26">
        <w:rPr>
          <w:szCs w:val="18"/>
        </w:rPr>
        <w:t xml:space="preserve"> in Serbia</w:t>
      </w:r>
      <w:r>
        <w:rPr>
          <w:szCs w:val="18"/>
        </w:rPr>
        <w:t>,</w:t>
      </w:r>
      <w:r w:rsidRPr="00496D26">
        <w:rPr>
          <w:szCs w:val="18"/>
        </w:rPr>
        <w:t xml:space="preserve"> “</w:t>
      </w:r>
      <w:r>
        <w:rPr>
          <w:szCs w:val="18"/>
        </w:rPr>
        <w:t>[</w:t>
      </w:r>
      <w:proofErr w:type="spellStart"/>
      <w:r>
        <w:rPr>
          <w:szCs w:val="18"/>
        </w:rPr>
        <w:t>i</w:t>
      </w:r>
      <w:proofErr w:type="spellEnd"/>
      <w:r>
        <w:rPr>
          <w:szCs w:val="18"/>
        </w:rPr>
        <w:t>]</w:t>
      </w:r>
      <w:r w:rsidRPr="00BA57CD">
        <w:rPr>
          <w:szCs w:val="18"/>
        </w:rPr>
        <w:t>f the offence referred to in paragraph 1 results in material gain or damage in an amount exceeding one million dinars, the offender shall be punished with imprisonment from one to eight years</w:t>
      </w:r>
      <w:r w:rsidRPr="00500285">
        <w:rPr>
          <w:szCs w:val="18"/>
        </w:rPr>
        <w:t>”</w:t>
      </w:r>
      <w:r>
        <w:rPr>
          <w:szCs w:val="18"/>
        </w:rPr>
        <w:t xml:space="preserve">.  </w:t>
      </w:r>
      <w:r w:rsidRPr="00446F7B">
        <w:rPr>
          <w:szCs w:val="18"/>
        </w:rPr>
        <w:t>See Annexes I to this document.</w:t>
      </w:r>
    </w:p>
  </w:footnote>
  <w:footnote w:id="56">
    <w:p w:rsidR="00D318C5" w:rsidRPr="00AC6370" w:rsidRDefault="00D318C5" w:rsidP="005F0CF0">
      <w:pPr>
        <w:pStyle w:val="FootnoteText"/>
        <w:ind w:left="567" w:hanging="567"/>
        <w:rPr>
          <w:szCs w:val="18"/>
        </w:rPr>
      </w:pPr>
      <w:r w:rsidRPr="00AC6370">
        <w:rPr>
          <w:rStyle w:val="FootnoteReference"/>
          <w:szCs w:val="18"/>
        </w:rPr>
        <w:footnoteRef/>
      </w:r>
      <w:r w:rsidRPr="00AC6370">
        <w:rPr>
          <w:szCs w:val="18"/>
        </w:rPr>
        <w:t xml:space="preserve"> </w:t>
      </w:r>
      <w:r>
        <w:rPr>
          <w:szCs w:val="18"/>
        </w:rPr>
        <w:tab/>
      </w:r>
      <w:proofErr w:type="gramStart"/>
      <w:r w:rsidRPr="00AC6370">
        <w:rPr>
          <w:szCs w:val="18"/>
        </w:rPr>
        <w:t>For instance</w:t>
      </w:r>
      <w:r>
        <w:rPr>
          <w:szCs w:val="18"/>
        </w:rPr>
        <w:t>,</w:t>
      </w:r>
      <w:r w:rsidRPr="00AC6370">
        <w:rPr>
          <w:szCs w:val="18"/>
        </w:rPr>
        <w:t xml:space="preserve"> the fact that the infringement has been committed by an organized crim</w:t>
      </w:r>
      <w:r>
        <w:rPr>
          <w:szCs w:val="18"/>
        </w:rPr>
        <w:t>inal</w:t>
      </w:r>
      <w:r w:rsidRPr="00AC6370">
        <w:rPr>
          <w:szCs w:val="18"/>
        </w:rPr>
        <w:t xml:space="preserve"> group</w:t>
      </w:r>
      <w:r>
        <w:rPr>
          <w:szCs w:val="18"/>
        </w:rPr>
        <w:t>,</w:t>
      </w:r>
      <w:r w:rsidRPr="00AC6370">
        <w:rPr>
          <w:szCs w:val="18"/>
        </w:rPr>
        <w:t xml:space="preserve"> or if the person concerned was an employee of the owner </w:t>
      </w:r>
      <w:r>
        <w:rPr>
          <w:szCs w:val="18"/>
        </w:rPr>
        <w:t xml:space="preserve">or licensee </w:t>
      </w:r>
      <w:r w:rsidRPr="00AC6370">
        <w:rPr>
          <w:szCs w:val="18"/>
        </w:rPr>
        <w:t>of the patent.</w:t>
      </w:r>
      <w:proofErr w:type="gramEnd"/>
    </w:p>
  </w:footnote>
  <w:footnote w:id="57">
    <w:p w:rsidR="00D318C5" w:rsidRPr="00B73A1D" w:rsidRDefault="00D318C5" w:rsidP="00CB0A43">
      <w:pPr>
        <w:pStyle w:val="FootnoteText"/>
        <w:tabs>
          <w:tab w:val="left" w:pos="567"/>
        </w:tabs>
        <w:ind w:left="567" w:hanging="567"/>
        <w:rPr>
          <w:szCs w:val="18"/>
        </w:rPr>
      </w:pPr>
      <w:r w:rsidRPr="00B73A1D">
        <w:rPr>
          <w:rStyle w:val="FootnoteReference"/>
          <w:szCs w:val="18"/>
        </w:rPr>
        <w:footnoteRef/>
      </w:r>
      <w:r w:rsidRPr="00C72B66">
        <w:rPr>
          <w:szCs w:val="18"/>
        </w:rPr>
        <w:t xml:space="preserve"> </w:t>
      </w:r>
      <w:r>
        <w:rPr>
          <w:szCs w:val="18"/>
        </w:rPr>
        <w:tab/>
      </w:r>
      <w:r w:rsidRPr="00C72B66">
        <w:rPr>
          <w:szCs w:val="18"/>
        </w:rPr>
        <w:t>Royal C. Gardner</w:t>
      </w:r>
      <w:r>
        <w:rPr>
          <w:szCs w:val="18"/>
        </w:rPr>
        <w:t xml:space="preserve">, “Respecting Sovereignty”, Fordham Environmental Law Review, Vol. 8, No. 1, Art. 7 (2011), </w:t>
      </w:r>
      <w:r w:rsidRPr="00C72B66">
        <w:rPr>
          <w:szCs w:val="18"/>
        </w:rPr>
        <w:t>page 133</w:t>
      </w:r>
      <w:r>
        <w:rPr>
          <w:szCs w:val="18"/>
        </w:rPr>
        <w:t>.</w:t>
      </w:r>
    </w:p>
  </w:footnote>
  <w:footnote w:id="58">
    <w:p w:rsidR="00D318C5" w:rsidRPr="000A3F33" w:rsidRDefault="00D318C5" w:rsidP="00CB0A43">
      <w:pPr>
        <w:pStyle w:val="FootnoteText"/>
        <w:tabs>
          <w:tab w:val="left" w:pos="567"/>
        </w:tabs>
        <w:ind w:left="567" w:hanging="567"/>
        <w:rPr>
          <w:szCs w:val="18"/>
        </w:rPr>
      </w:pPr>
      <w:r w:rsidRPr="00C119A0">
        <w:rPr>
          <w:rStyle w:val="FootnoteReference"/>
          <w:szCs w:val="18"/>
        </w:rPr>
        <w:footnoteRef/>
      </w:r>
      <w:r w:rsidRPr="000A3F33">
        <w:rPr>
          <w:szCs w:val="18"/>
        </w:rPr>
        <w:t xml:space="preserve"> </w:t>
      </w:r>
      <w:r>
        <w:rPr>
          <w:szCs w:val="18"/>
        </w:rPr>
        <w:tab/>
      </w:r>
      <w:r w:rsidRPr="000A3F33">
        <w:rPr>
          <w:szCs w:val="18"/>
        </w:rPr>
        <w:t xml:space="preserve">See </w:t>
      </w:r>
      <w:proofErr w:type="spellStart"/>
      <w:r w:rsidRPr="000A3F33">
        <w:rPr>
          <w:szCs w:val="18"/>
        </w:rPr>
        <w:t>Islan</w:t>
      </w:r>
      <w:proofErr w:type="spellEnd"/>
      <w:r w:rsidRPr="000A3F33">
        <w:rPr>
          <w:szCs w:val="18"/>
        </w:rPr>
        <w:t xml:space="preserve"> of Palmas (U.S. v. </w:t>
      </w:r>
      <w:proofErr w:type="spellStart"/>
      <w:r w:rsidRPr="000A3F33">
        <w:rPr>
          <w:szCs w:val="18"/>
        </w:rPr>
        <w:t>Neth</w:t>
      </w:r>
      <w:proofErr w:type="spellEnd"/>
      <w:r w:rsidRPr="000A3F33">
        <w:rPr>
          <w:szCs w:val="18"/>
        </w:rPr>
        <w:t>), Hague Ct. Rep. 2d (Scott) 83, 92.</w:t>
      </w:r>
    </w:p>
  </w:footnote>
  <w:footnote w:id="59">
    <w:p w:rsidR="00D318C5" w:rsidRPr="007F2829" w:rsidRDefault="00D318C5" w:rsidP="00CB0A43">
      <w:pPr>
        <w:pStyle w:val="FootnoteText"/>
        <w:tabs>
          <w:tab w:val="left" w:pos="567"/>
        </w:tabs>
        <w:ind w:left="567" w:hanging="567"/>
        <w:rPr>
          <w:szCs w:val="18"/>
        </w:rPr>
      </w:pPr>
      <w:r w:rsidRPr="00D93529">
        <w:rPr>
          <w:rStyle w:val="FootnoteReference"/>
          <w:szCs w:val="18"/>
        </w:rPr>
        <w:footnoteRef/>
      </w:r>
      <w:r w:rsidRPr="00D93529">
        <w:rPr>
          <w:szCs w:val="18"/>
        </w:rPr>
        <w:t xml:space="preserve"> </w:t>
      </w:r>
      <w:r>
        <w:rPr>
          <w:szCs w:val="18"/>
        </w:rPr>
        <w:tab/>
      </w:r>
      <w:r w:rsidRPr="00D93529">
        <w:rPr>
          <w:szCs w:val="18"/>
        </w:rPr>
        <w:t>See for instance David Held “The Changing Structure of International Law: Sover</w:t>
      </w:r>
      <w:r>
        <w:rPr>
          <w:szCs w:val="18"/>
        </w:rPr>
        <w:t>eignty Transformed?</w:t>
      </w:r>
      <w:proofErr w:type="gramStart"/>
      <w:r>
        <w:rPr>
          <w:szCs w:val="18"/>
        </w:rPr>
        <w:t>”;</w:t>
      </w:r>
      <w:proofErr w:type="gramEnd"/>
      <w:r>
        <w:rPr>
          <w:szCs w:val="18"/>
        </w:rPr>
        <w:t xml:space="preserve"> In: Held,</w:t>
      </w:r>
      <w:r w:rsidRPr="00D93529">
        <w:rPr>
          <w:szCs w:val="18"/>
        </w:rPr>
        <w:t xml:space="preserve"> </w:t>
      </w:r>
      <w:r>
        <w:rPr>
          <w:szCs w:val="18"/>
        </w:rPr>
        <w:t xml:space="preserve">David </w:t>
      </w:r>
      <w:r w:rsidRPr="00D93529">
        <w:rPr>
          <w:szCs w:val="18"/>
        </w:rPr>
        <w:t>and McGrew, Anthony, (eds.) The Global Transformations Reader: an Introduction to the Globalization Debate. Polity Press, 2003, Cambridge, UK, p</w:t>
      </w:r>
      <w:r>
        <w:rPr>
          <w:szCs w:val="18"/>
        </w:rPr>
        <w:t>age</w:t>
      </w:r>
      <w:r w:rsidRPr="007F2829">
        <w:rPr>
          <w:szCs w:val="18"/>
        </w:rPr>
        <w:t xml:space="preserve"> 163</w:t>
      </w:r>
      <w:r>
        <w:rPr>
          <w:szCs w:val="18"/>
        </w:rPr>
        <w:t>.</w:t>
      </w:r>
    </w:p>
  </w:footnote>
  <w:footnote w:id="60">
    <w:p w:rsidR="00D318C5" w:rsidRPr="007A3882" w:rsidRDefault="00D318C5" w:rsidP="00CB0A43">
      <w:pPr>
        <w:pStyle w:val="FootnoteText"/>
        <w:tabs>
          <w:tab w:val="left" w:pos="567"/>
        </w:tabs>
        <w:ind w:left="567" w:hanging="567"/>
        <w:rPr>
          <w:szCs w:val="18"/>
        </w:rPr>
      </w:pPr>
      <w:r w:rsidRPr="007A3882">
        <w:rPr>
          <w:rStyle w:val="FootnoteReference"/>
          <w:szCs w:val="18"/>
        </w:rPr>
        <w:footnoteRef/>
      </w:r>
      <w:r w:rsidRPr="007A3882">
        <w:rPr>
          <w:szCs w:val="18"/>
        </w:rPr>
        <w:t xml:space="preserve"> </w:t>
      </w:r>
      <w:r>
        <w:rPr>
          <w:szCs w:val="18"/>
        </w:rPr>
        <w:tab/>
      </w:r>
      <w:r w:rsidRPr="007A3882">
        <w:rPr>
          <w:szCs w:val="18"/>
        </w:rPr>
        <w:t xml:space="preserve">Article XXI of the GATT and </w:t>
      </w:r>
      <w:r>
        <w:rPr>
          <w:szCs w:val="18"/>
        </w:rPr>
        <w:t>Art.</w:t>
      </w:r>
      <w:r w:rsidRPr="007A3882">
        <w:rPr>
          <w:szCs w:val="18"/>
        </w:rPr>
        <w:t xml:space="preserve"> </w:t>
      </w:r>
      <w:proofErr w:type="gramStart"/>
      <w:r w:rsidRPr="007A3882">
        <w:rPr>
          <w:szCs w:val="18"/>
        </w:rPr>
        <w:t>XI</w:t>
      </w:r>
      <w:r>
        <w:rPr>
          <w:szCs w:val="18"/>
        </w:rPr>
        <w:t>V</w:t>
      </w:r>
      <w:r w:rsidRPr="007A3882">
        <w:rPr>
          <w:szCs w:val="18"/>
        </w:rPr>
        <w:t xml:space="preserve"> </w:t>
      </w:r>
      <w:proofErr w:type="spellStart"/>
      <w:r w:rsidRPr="007A3882">
        <w:rPr>
          <w:i/>
          <w:szCs w:val="18"/>
        </w:rPr>
        <w:t>bis</w:t>
      </w:r>
      <w:proofErr w:type="spellEnd"/>
      <w:r w:rsidRPr="007A3882">
        <w:rPr>
          <w:szCs w:val="18"/>
        </w:rPr>
        <w:t xml:space="preserve"> of the General Agreement on Trade in Services </w:t>
      </w:r>
      <w:r>
        <w:rPr>
          <w:szCs w:val="18"/>
        </w:rPr>
        <w:t>(</w:t>
      </w:r>
      <w:r w:rsidRPr="007A3882">
        <w:rPr>
          <w:szCs w:val="18"/>
        </w:rPr>
        <w:t>GATS</w:t>
      </w:r>
      <w:r>
        <w:rPr>
          <w:szCs w:val="18"/>
        </w:rPr>
        <w:t>)</w:t>
      </w:r>
      <w:r w:rsidRPr="007A3882">
        <w:rPr>
          <w:szCs w:val="18"/>
        </w:rPr>
        <w:t>.</w:t>
      </w:r>
      <w:proofErr w:type="gramEnd"/>
    </w:p>
  </w:footnote>
  <w:footnote w:id="61">
    <w:p w:rsidR="00D318C5" w:rsidRPr="00500285" w:rsidRDefault="00D318C5" w:rsidP="00CB0A43">
      <w:pPr>
        <w:pStyle w:val="FootnoteText"/>
        <w:tabs>
          <w:tab w:val="left" w:pos="567"/>
        </w:tabs>
        <w:ind w:left="567" w:hanging="567"/>
        <w:rPr>
          <w:szCs w:val="18"/>
        </w:rPr>
      </w:pPr>
      <w:r w:rsidRPr="00571630">
        <w:rPr>
          <w:rStyle w:val="FootnoteReference"/>
          <w:szCs w:val="18"/>
        </w:rPr>
        <w:footnoteRef/>
      </w:r>
      <w:r w:rsidRPr="00571630">
        <w:rPr>
          <w:szCs w:val="18"/>
        </w:rPr>
        <w:t xml:space="preserve"> </w:t>
      </w:r>
      <w:r>
        <w:rPr>
          <w:szCs w:val="18"/>
        </w:rPr>
        <w:tab/>
      </w:r>
      <w:r w:rsidRPr="00522A44">
        <w:rPr>
          <w:szCs w:val="18"/>
        </w:rPr>
        <w:t>See in that context the Agreement between the Government of the United States of America and the Government of Turkey to Facilitate Interchange of Patent Rights and Technical Information for Purposes of Defense signed at An</w:t>
      </w:r>
      <w:r w:rsidRPr="00BA57CD">
        <w:rPr>
          <w:szCs w:val="18"/>
        </w:rPr>
        <w:t xml:space="preserve">kara on </w:t>
      </w:r>
      <w:r w:rsidRPr="00322A75">
        <w:rPr>
          <w:szCs w:val="18"/>
        </w:rPr>
        <w:t>May</w:t>
      </w:r>
      <w:r w:rsidRPr="00E43877">
        <w:rPr>
          <w:szCs w:val="18"/>
        </w:rPr>
        <w:t xml:space="preserve"> 18, 1956, or the Agreement between the Government of the United States of America and the Government of Japan to Facilitate Interchange of Patent Rights and Technical Information for Purposes of Defense signed at Tokyo on </w:t>
      </w:r>
      <w:r w:rsidRPr="00500285">
        <w:rPr>
          <w:szCs w:val="18"/>
        </w:rPr>
        <w:t>March 22, 1956.</w:t>
      </w:r>
    </w:p>
  </w:footnote>
  <w:footnote w:id="62">
    <w:p w:rsidR="00D318C5" w:rsidRPr="00C119A0" w:rsidRDefault="00D318C5" w:rsidP="00CB0A43">
      <w:pPr>
        <w:pStyle w:val="FootnoteText"/>
        <w:tabs>
          <w:tab w:val="left" w:pos="567"/>
        </w:tabs>
        <w:ind w:left="567" w:hanging="567"/>
        <w:rPr>
          <w:szCs w:val="18"/>
        </w:rPr>
      </w:pPr>
      <w:r w:rsidRPr="0064559F">
        <w:rPr>
          <w:szCs w:val="18"/>
          <w:vertAlign w:val="superscript"/>
        </w:rPr>
        <w:footnoteRef/>
      </w:r>
      <w:r w:rsidRPr="002C1926">
        <w:rPr>
          <w:szCs w:val="18"/>
        </w:rPr>
        <w:t xml:space="preserve"> </w:t>
      </w:r>
      <w:r>
        <w:rPr>
          <w:szCs w:val="18"/>
        </w:rPr>
        <w:tab/>
      </w:r>
      <w:r w:rsidRPr="006C23B4">
        <w:rPr>
          <w:szCs w:val="18"/>
        </w:rPr>
        <w:t>Agreement on Mutual Preservation of Inter-State Secrets in the Area of Legal Protection of Inventions signed between Armenia, Azerbaijan, Belarus, Georgia, Kazakhstan, Kyrgyzstan, Republic of Moldova, Russian Federation, Tajikista</w:t>
      </w:r>
      <w:r w:rsidRPr="00C119A0">
        <w:rPr>
          <w:szCs w:val="18"/>
        </w:rPr>
        <w:t>n, Ukraine and Uzbekistan.</w:t>
      </w:r>
    </w:p>
  </w:footnote>
  <w:footnote w:id="63">
    <w:p w:rsidR="00D318C5" w:rsidRPr="00BA2C31" w:rsidRDefault="00D318C5" w:rsidP="00CB0A43">
      <w:pPr>
        <w:pStyle w:val="FootnoteText"/>
        <w:tabs>
          <w:tab w:val="left" w:pos="567"/>
        </w:tabs>
        <w:ind w:left="567" w:hanging="567"/>
        <w:rPr>
          <w:szCs w:val="18"/>
        </w:rPr>
      </w:pPr>
      <w:r w:rsidRPr="0064559F">
        <w:rPr>
          <w:szCs w:val="18"/>
          <w:vertAlign w:val="superscript"/>
        </w:rPr>
        <w:footnoteRef/>
      </w:r>
      <w:r w:rsidRPr="00F90A92">
        <w:rPr>
          <w:szCs w:val="18"/>
        </w:rPr>
        <w:t xml:space="preserve"> </w:t>
      </w:r>
      <w:r>
        <w:rPr>
          <w:szCs w:val="18"/>
        </w:rPr>
        <w:tab/>
      </w:r>
      <w:r w:rsidRPr="00BA2C31">
        <w:rPr>
          <w:szCs w:val="18"/>
        </w:rPr>
        <w:t>See in that context the NATO Agreement for Safeguarding of Secrecy of Inventions Relating to Defense (version 1974).</w:t>
      </w:r>
    </w:p>
  </w:footnote>
  <w:footnote w:id="64">
    <w:p w:rsidR="00D318C5" w:rsidRPr="006C23B4" w:rsidRDefault="00D318C5" w:rsidP="00CB0A43">
      <w:pPr>
        <w:pStyle w:val="FootnoteText"/>
        <w:tabs>
          <w:tab w:val="left" w:pos="567"/>
        </w:tabs>
        <w:ind w:left="567" w:hanging="567"/>
        <w:rPr>
          <w:szCs w:val="18"/>
        </w:rPr>
      </w:pPr>
      <w:r w:rsidRPr="0064559F">
        <w:rPr>
          <w:szCs w:val="18"/>
          <w:vertAlign w:val="superscript"/>
        </w:rPr>
        <w:footnoteRef/>
      </w:r>
      <w:r w:rsidRPr="00F90A92">
        <w:rPr>
          <w:szCs w:val="18"/>
        </w:rPr>
        <w:t xml:space="preserve"> </w:t>
      </w:r>
      <w:r>
        <w:rPr>
          <w:szCs w:val="18"/>
        </w:rPr>
        <w:tab/>
      </w:r>
      <w:r w:rsidR="00F32066">
        <w:rPr>
          <w:szCs w:val="18"/>
        </w:rPr>
        <w:t>Since</w:t>
      </w:r>
      <w:r w:rsidR="00F32066" w:rsidRPr="00F32066">
        <w:rPr>
          <w:szCs w:val="18"/>
        </w:rPr>
        <w:t xml:space="preserve"> the PCT does not contain a provision for suspending the procedures during the international phase based on national security measures, the international application will be considered withdrawn if the record copy is not transmitted to the International Bureau before the expiration of the applicable time limit (see PC</w:t>
      </w:r>
      <w:r w:rsidR="00F32066">
        <w:rPr>
          <w:szCs w:val="18"/>
        </w:rPr>
        <w:t>T Article 12(3) and Rule 22.3).</w:t>
      </w:r>
    </w:p>
  </w:footnote>
  <w:footnote w:id="65">
    <w:p w:rsidR="00D318C5" w:rsidRPr="00D93529" w:rsidRDefault="00D318C5" w:rsidP="00B71FDC">
      <w:pPr>
        <w:pStyle w:val="FootnoteText"/>
        <w:tabs>
          <w:tab w:val="left" w:pos="567"/>
        </w:tabs>
        <w:ind w:left="567" w:hanging="567"/>
        <w:rPr>
          <w:szCs w:val="18"/>
        </w:rPr>
      </w:pPr>
      <w:r w:rsidRPr="00C119A0">
        <w:rPr>
          <w:rStyle w:val="FootnoteReference"/>
          <w:szCs w:val="18"/>
        </w:rPr>
        <w:footnoteRef/>
      </w:r>
      <w:r w:rsidRPr="00C119A0">
        <w:rPr>
          <w:szCs w:val="18"/>
        </w:rPr>
        <w:t xml:space="preserve"> </w:t>
      </w:r>
      <w:r>
        <w:rPr>
          <w:szCs w:val="18"/>
        </w:rPr>
        <w:tab/>
      </w:r>
      <w:r w:rsidRPr="00C119A0">
        <w:rPr>
          <w:szCs w:val="18"/>
        </w:rPr>
        <w:t>The exceptional character of this provision is highlighted with the fo</w:t>
      </w:r>
      <w:r w:rsidRPr="000A3F33">
        <w:rPr>
          <w:szCs w:val="18"/>
        </w:rPr>
        <w:t>llowing wording “only when the provision is necessary in view of national security”.</w:t>
      </w:r>
    </w:p>
  </w:footnote>
  <w:footnote w:id="66">
    <w:p w:rsidR="00D318C5" w:rsidRPr="00944BB1" w:rsidRDefault="00D318C5" w:rsidP="00B71FDC">
      <w:pPr>
        <w:pStyle w:val="FootnoteText"/>
        <w:tabs>
          <w:tab w:val="left" w:pos="567"/>
        </w:tabs>
        <w:ind w:left="567" w:hanging="567"/>
        <w:rPr>
          <w:szCs w:val="18"/>
        </w:rPr>
      </w:pPr>
      <w:r w:rsidRPr="00944BB1">
        <w:rPr>
          <w:szCs w:val="18"/>
          <w:vertAlign w:val="superscript"/>
        </w:rPr>
        <w:footnoteRef/>
      </w:r>
      <w:r w:rsidRPr="00944BB1">
        <w:rPr>
          <w:szCs w:val="18"/>
          <w:vertAlign w:val="superscript"/>
        </w:rPr>
        <w:t xml:space="preserve"> </w:t>
      </w:r>
      <w:r>
        <w:rPr>
          <w:szCs w:val="18"/>
          <w:vertAlign w:val="superscript"/>
        </w:rPr>
        <w:tab/>
      </w:r>
      <w:proofErr w:type="gramStart"/>
      <w:r w:rsidRPr="00944BB1">
        <w:rPr>
          <w:szCs w:val="18"/>
        </w:rPr>
        <w:t>“Article 73.</w:t>
      </w:r>
      <w:proofErr w:type="gramEnd"/>
      <w:r w:rsidRPr="00944BB1">
        <w:rPr>
          <w:szCs w:val="18"/>
        </w:rPr>
        <w:t xml:space="preserve">  </w:t>
      </w:r>
      <w:proofErr w:type="gramStart"/>
      <w:r w:rsidRPr="00944BB1">
        <w:rPr>
          <w:szCs w:val="18"/>
        </w:rPr>
        <w:t>Security exceptions.</w:t>
      </w:r>
      <w:proofErr w:type="gramEnd"/>
      <w:r w:rsidRPr="00944BB1">
        <w:rPr>
          <w:szCs w:val="18"/>
        </w:rPr>
        <w:t xml:space="preserve">  Nothing in this Agreement shall be construed:</w:t>
      </w:r>
    </w:p>
    <w:p w:rsidR="00D318C5" w:rsidRPr="00041791" w:rsidRDefault="00D318C5" w:rsidP="00041791">
      <w:pPr>
        <w:pStyle w:val="FootnoteText"/>
        <w:tabs>
          <w:tab w:val="left" w:pos="567"/>
        </w:tabs>
        <w:ind w:left="567" w:hanging="567"/>
        <w:rPr>
          <w:szCs w:val="18"/>
        </w:rPr>
      </w:pPr>
      <w:r>
        <w:rPr>
          <w:szCs w:val="18"/>
        </w:rPr>
        <w:tab/>
      </w:r>
      <w:r w:rsidRPr="00944BB1">
        <w:rPr>
          <w:szCs w:val="18"/>
        </w:rPr>
        <w:t>(a) to require a Member to furnish any information the disclosure of which it considers contrary to its essential security interests; or (b) to prevent a Member from taking any action which it considers necessary for the protection of its essential security interests;  (</w:t>
      </w:r>
      <w:proofErr w:type="spellStart"/>
      <w:r w:rsidRPr="00944BB1">
        <w:rPr>
          <w:szCs w:val="18"/>
        </w:rPr>
        <w:t>i</w:t>
      </w:r>
      <w:proofErr w:type="spellEnd"/>
      <w:r w:rsidRPr="00944BB1">
        <w:rPr>
          <w:szCs w:val="18"/>
        </w:rPr>
        <w:t>) relating to fissionable materials or the materials from which they are derived;  (ii) relating to the traffic in arms, ammunition and implements of war and to such traffic in other goods and materials as is carried on directly or indirectly for the purpose of supplying a military establishment; (iii) taken in time of war or other emergency in international relations; or (c) to prevent a Member from taking any action in pursuance of its obligations under the United Nations Charter for the maintenance of international peace and security”</w:t>
      </w:r>
      <w:r>
        <w:rPr>
          <w:szCs w:val="18"/>
        </w:rPr>
        <w:t>.</w:t>
      </w:r>
    </w:p>
  </w:footnote>
  <w:footnote w:id="67">
    <w:p w:rsidR="00D318C5" w:rsidRPr="007B429D" w:rsidRDefault="00D318C5" w:rsidP="00B71FDC">
      <w:pPr>
        <w:pStyle w:val="FootnoteText"/>
        <w:tabs>
          <w:tab w:val="left" w:pos="567"/>
        </w:tabs>
        <w:ind w:left="567" w:hanging="567"/>
        <w:rPr>
          <w:szCs w:val="18"/>
        </w:rPr>
      </w:pPr>
      <w:r w:rsidRPr="00BA57CD">
        <w:rPr>
          <w:rStyle w:val="FootnoteReference"/>
          <w:szCs w:val="18"/>
        </w:rPr>
        <w:footnoteRef/>
      </w:r>
      <w:r w:rsidRPr="00322A75">
        <w:rPr>
          <w:szCs w:val="18"/>
        </w:rPr>
        <w:t xml:space="preserve"> </w:t>
      </w:r>
      <w:r>
        <w:rPr>
          <w:szCs w:val="18"/>
        </w:rPr>
        <w:tab/>
      </w:r>
      <w:proofErr w:type="gramStart"/>
      <w:r w:rsidRPr="00322A75">
        <w:rPr>
          <w:szCs w:val="18"/>
        </w:rPr>
        <w:t>“Resource Book on TRIPS and Development”, UNCTAD-ICTSD Project on IPRs and Sustainable Development, 2005, p.804.</w:t>
      </w:r>
      <w:proofErr w:type="gramEnd"/>
      <w:r w:rsidRPr="00322A75">
        <w:rPr>
          <w:szCs w:val="18"/>
        </w:rPr>
        <w:t xml:space="preserve">  See also </w:t>
      </w:r>
      <w:proofErr w:type="spellStart"/>
      <w:r w:rsidRPr="00322A75">
        <w:rPr>
          <w:szCs w:val="18"/>
        </w:rPr>
        <w:t>Kiyoun</w:t>
      </w:r>
      <w:proofErr w:type="spellEnd"/>
      <w:r w:rsidRPr="00322A75">
        <w:rPr>
          <w:szCs w:val="18"/>
        </w:rPr>
        <w:t xml:space="preserve"> </w:t>
      </w:r>
      <w:proofErr w:type="spellStart"/>
      <w:r w:rsidRPr="00322A75">
        <w:rPr>
          <w:szCs w:val="18"/>
        </w:rPr>
        <w:t>Sohn</w:t>
      </w:r>
      <w:proofErr w:type="spellEnd"/>
      <w:r w:rsidRPr="00322A75">
        <w:rPr>
          <w:szCs w:val="18"/>
        </w:rPr>
        <w:t xml:space="preserve"> and </w:t>
      </w:r>
      <w:proofErr w:type="spellStart"/>
      <w:r w:rsidRPr="00322A75">
        <w:rPr>
          <w:szCs w:val="18"/>
        </w:rPr>
        <w:t>Ta</w:t>
      </w:r>
      <w:r>
        <w:rPr>
          <w:szCs w:val="18"/>
        </w:rPr>
        <w:t>ek</w:t>
      </w:r>
      <w:proofErr w:type="spellEnd"/>
      <w:r>
        <w:rPr>
          <w:szCs w:val="18"/>
        </w:rPr>
        <w:t xml:space="preserve"> Dong Yeo, “Does the Internati</w:t>
      </w:r>
      <w:r w:rsidRPr="00322A75">
        <w:rPr>
          <w:szCs w:val="18"/>
        </w:rPr>
        <w:t>onal</w:t>
      </w:r>
      <w:r w:rsidRPr="00500285">
        <w:rPr>
          <w:szCs w:val="18"/>
        </w:rPr>
        <w:t xml:space="preserve"> Trade Help to Enhance National Security?</w:t>
      </w:r>
      <w:proofErr w:type="gramStart"/>
      <w:r w:rsidRPr="00500285">
        <w:rPr>
          <w:szCs w:val="18"/>
        </w:rPr>
        <w:t>”,</w:t>
      </w:r>
      <w:proofErr w:type="gramEnd"/>
      <w:r w:rsidRPr="00500285">
        <w:rPr>
          <w:szCs w:val="18"/>
        </w:rPr>
        <w:t xml:space="preserve"> available at </w:t>
      </w:r>
      <w:hyperlink r:id="rId1" w:history="1">
        <w:r w:rsidRPr="007B429D">
          <w:rPr>
            <w:rStyle w:val="Hyperlink"/>
            <w:szCs w:val="18"/>
          </w:rPr>
          <w:t>https://faculty.washington.edu/karyiu/confer/sea05/papers/sohn_yeo.pdf</w:t>
        </w:r>
      </w:hyperlink>
      <w:r>
        <w:rPr>
          <w:szCs w:val="18"/>
        </w:rPr>
        <w:t>.</w:t>
      </w:r>
    </w:p>
  </w:footnote>
  <w:footnote w:id="68">
    <w:p w:rsidR="00D318C5" w:rsidRPr="00B84098" w:rsidRDefault="00D318C5" w:rsidP="00B71FDC">
      <w:pPr>
        <w:pStyle w:val="FootnoteText"/>
        <w:tabs>
          <w:tab w:val="left" w:pos="567"/>
        </w:tabs>
        <w:ind w:left="567" w:hanging="567"/>
        <w:rPr>
          <w:szCs w:val="18"/>
        </w:rPr>
      </w:pPr>
      <w:r w:rsidRPr="001F2D8A">
        <w:rPr>
          <w:rStyle w:val="FootnoteReference"/>
          <w:szCs w:val="18"/>
        </w:rPr>
        <w:footnoteRef/>
      </w:r>
      <w:r w:rsidRPr="001F2D8A">
        <w:rPr>
          <w:szCs w:val="18"/>
        </w:rPr>
        <w:t xml:space="preserve"> </w:t>
      </w:r>
      <w:r>
        <w:rPr>
          <w:szCs w:val="18"/>
        </w:rPr>
        <w:tab/>
      </w:r>
      <w:r w:rsidRPr="00B84098">
        <w:rPr>
          <w:szCs w:val="18"/>
        </w:rPr>
        <w:t>Since the creation of the WTO, no panel has produced a report on national security issues.</w:t>
      </w:r>
    </w:p>
  </w:footnote>
  <w:footnote w:id="69">
    <w:p w:rsidR="00D318C5" w:rsidRPr="00EA2333" w:rsidRDefault="00D318C5" w:rsidP="00B71FDC">
      <w:pPr>
        <w:pStyle w:val="FootnoteText"/>
        <w:tabs>
          <w:tab w:val="left" w:pos="567"/>
        </w:tabs>
        <w:ind w:left="567" w:hanging="567"/>
        <w:rPr>
          <w:szCs w:val="18"/>
        </w:rPr>
      </w:pPr>
      <w:r w:rsidRPr="00B84098">
        <w:rPr>
          <w:rStyle w:val="FootnoteReference"/>
          <w:szCs w:val="18"/>
        </w:rPr>
        <w:footnoteRef/>
      </w:r>
      <w:r w:rsidRPr="00B84098">
        <w:rPr>
          <w:szCs w:val="18"/>
        </w:rPr>
        <w:t xml:space="preserve"> </w:t>
      </w:r>
      <w:r>
        <w:rPr>
          <w:szCs w:val="18"/>
        </w:rPr>
        <w:tab/>
      </w:r>
      <w:r w:rsidRPr="00B84098">
        <w:rPr>
          <w:szCs w:val="18"/>
        </w:rPr>
        <w:t>Only 4 cases have reached the level of formalized dispute settlements, see “Resource Book on TRIPS and Development”, UNCTAD-ICTSD Project on IPRs and Sustainable Development, 2005, page 80</w:t>
      </w:r>
      <w:r w:rsidRPr="00EA2333">
        <w:rPr>
          <w:szCs w:val="18"/>
        </w:rPr>
        <w:t>6</w:t>
      </w:r>
      <w:r>
        <w:rPr>
          <w:szCs w:val="18"/>
        </w:rPr>
        <w:t>.</w:t>
      </w:r>
    </w:p>
  </w:footnote>
  <w:footnote w:id="70">
    <w:p w:rsidR="00D318C5" w:rsidRPr="00B72DD4" w:rsidRDefault="00D318C5" w:rsidP="0063518F">
      <w:pPr>
        <w:pStyle w:val="FootnoteText"/>
        <w:tabs>
          <w:tab w:val="left" w:pos="567"/>
        </w:tabs>
        <w:ind w:left="567" w:hanging="567"/>
        <w:rPr>
          <w:szCs w:val="18"/>
        </w:rPr>
      </w:pPr>
      <w:r w:rsidRPr="00C119A0">
        <w:rPr>
          <w:rStyle w:val="FootnoteReference"/>
          <w:szCs w:val="18"/>
        </w:rPr>
        <w:footnoteRef/>
      </w:r>
      <w:r w:rsidRPr="00C119A0">
        <w:rPr>
          <w:szCs w:val="18"/>
        </w:rPr>
        <w:t xml:space="preserve"> </w:t>
      </w:r>
      <w:r>
        <w:rPr>
          <w:szCs w:val="18"/>
        </w:rPr>
        <w:tab/>
      </w:r>
      <w:r w:rsidRPr="00C119A0">
        <w:rPr>
          <w:szCs w:val="18"/>
        </w:rPr>
        <w:t xml:space="preserve">The terminology, however, shall vary: </w:t>
      </w:r>
      <w:r>
        <w:rPr>
          <w:szCs w:val="18"/>
        </w:rPr>
        <w:t xml:space="preserve"> </w:t>
      </w:r>
      <w:r w:rsidRPr="00C119A0">
        <w:rPr>
          <w:szCs w:val="18"/>
        </w:rPr>
        <w:t>for example, in the Industrial</w:t>
      </w:r>
      <w:r>
        <w:rPr>
          <w:szCs w:val="18"/>
        </w:rPr>
        <w:t xml:space="preserve"> P</w:t>
      </w:r>
      <w:r w:rsidRPr="00C119A0">
        <w:rPr>
          <w:szCs w:val="18"/>
        </w:rPr>
        <w:t>roperty Law of the Former Republic of Macedon</w:t>
      </w:r>
      <w:r w:rsidRPr="00B72DD4">
        <w:rPr>
          <w:szCs w:val="18"/>
        </w:rPr>
        <w:t>ia and of Viet Nam utilize the expression “confidential invention” and “confidential patent”.</w:t>
      </w:r>
    </w:p>
  </w:footnote>
  <w:footnote w:id="71">
    <w:p w:rsidR="00D318C5" w:rsidRPr="00C119A0" w:rsidRDefault="00D318C5" w:rsidP="0063518F">
      <w:pPr>
        <w:pStyle w:val="FootnoteText"/>
        <w:tabs>
          <w:tab w:val="left" w:pos="567"/>
        </w:tabs>
        <w:ind w:left="567" w:hanging="567"/>
        <w:rPr>
          <w:szCs w:val="18"/>
        </w:rPr>
      </w:pPr>
      <w:r w:rsidRPr="00C119A0">
        <w:rPr>
          <w:rStyle w:val="FootnoteReference"/>
          <w:szCs w:val="18"/>
        </w:rPr>
        <w:footnoteRef/>
      </w:r>
      <w:r w:rsidRPr="00C119A0">
        <w:rPr>
          <w:szCs w:val="18"/>
        </w:rPr>
        <w:t xml:space="preserve"> </w:t>
      </w:r>
      <w:r>
        <w:rPr>
          <w:szCs w:val="18"/>
        </w:rPr>
        <w:tab/>
      </w:r>
      <w:r w:rsidRPr="00C119A0">
        <w:rPr>
          <w:szCs w:val="18"/>
        </w:rPr>
        <w:t>Section 15 of the Patents Act No. 2 of 2003</w:t>
      </w:r>
      <w:r>
        <w:t xml:space="preserve"> of Vanuatu provides that “[</w:t>
      </w:r>
      <w:proofErr w:type="spellStart"/>
      <w:r>
        <w:t>i</w:t>
      </w:r>
      <w:proofErr w:type="spellEnd"/>
      <w:r>
        <w:t>]f it appears to the Registrar that an application (…) contains information that might be prejudicial to: (a) the defense of Vanuatu; or (b) the safety of the public; the Registrar may prohibit or restrict the publication of that information”</w:t>
      </w:r>
      <w:r w:rsidR="00D807B8">
        <w:rPr>
          <w:szCs w:val="18"/>
        </w:rPr>
        <w:t>.</w:t>
      </w:r>
    </w:p>
  </w:footnote>
  <w:footnote w:id="72">
    <w:p w:rsidR="00D318C5" w:rsidRPr="0091753C" w:rsidRDefault="00D318C5" w:rsidP="00041791">
      <w:pPr>
        <w:pStyle w:val="FootnoteText"/>
        <w:tabs>
          <w:tab w:val="left" w:pos="567"/>
        </w:tabs>
        <w:ind w:left="567" w:hanging="567"/>
        <w:rPr>
          <w:szCs w:val="18"/>
        </w:rPr>
      </w:pPr>
      <w:r w:rsidRPr="00CE1653">
        <w:rPr>
          <w:szCs w:val="18"/>
          <w:vertAlign w:val="superscript"/>
        </w:rPr>
        <w:footnoteRef/>
      </w:r>
      <w:r w:rsidRPr="00CE1653">
        <w:rPr>
          <w:szCs w:val="18"/>
          <w:vertAlign w:val="superscript"/>
        </w:rPr>
        <w:t xml:space="preserve"> </w:t>
      </w:r>
      <w:r>
        <w:rPr>
          <w:szCs w:val="18"/>
          <w:vertAlign w:val="superscript"/>
        </w:rPr>
        <w:tab/>
      </w:r>
      <w:r w:rsidRPr="00C119A0">
        <w:rPr>
          <w:szCs w:val="18"/>
        </w:rPr>
        <w:t xml:space="preserve">Egypt, </w:t>
      </w:r>
      <w:r>
        <w:rPr>
          <w:szCs w:val="18"/>
        </w:rPr>
        <w:t>Article</w:t>
      </w:r>
      <w:r w:rsidRPr="00C119A0">
        <w:rPr>
          <w:szCs w:val="18"/>
        </w:rPr>
        <w:t xml:space="preserve"> 17 of the Law No. 82 of 2002 establishes that “the patent office shall deliver to the ministry of D</w:t>
      </w:r>
      <w:r w:rsidRPr="00B72DD4">
        <w:rPr>
          <w:szCs w:val="18"/>
        </w:rPr>
        <w:t xml:space="preserve">efense, the Ministry of Military production, the Ministry of Interior or the Ministry of Health, as necessary, copies of the applications for patents pertaining to defense, military production, or public security or patents of military, security or health </w:t>
      </w:r>
      <w:r w:rsidRPr="000A3F33">
        <w:rPr>
          <w:szCs w:val="18"/>
        </w:rPr>
        <w:t>value; together with the attachments to such application, within ten days after the date of completion of the examination” and that “</w:t>
      </w:r>
      <w:r w:rsidRPr="00D93529">
        <w:rPr>
          <w:szCs w:val="18"/>
        </w:rPr>
        <w:t>the Competent Minister, as the case requires, may oppose, after announcing the acceptance of the patent application, against proceeding with the issuance of the patent, if it appears to the Minister that the application relates to defense, military production or public security affairs; or that the application has military, security or health value”.</w:t>
      </w:r>
    </w:p>
  </w:footnote>
  <w:footnote w:id="73">
    <w:p w:rsidR="00D318C5" w:rsidRPr="00C119A0" w:rsidRDefault="00D318C5" w:rsidP="0063518F">
      <w:pPr>
        <w:pStyle w:val="FootnoteText"/>
        <w:tabs>
          <w:tab w:val="left" w:pos="567"/>
        </w:tabs>
        <w:ind w:left="567" w:hanging="567"/>
        <w:rPr>
          <w:szCs w:val="18"/>
        </w:rPr>
      </w:pPr>
      <w:r w:rsidRPr="000E1A2A">
        <w:rPr>
          <w:szCs w:val="18"/>
          <w:vertAlign w:val="superscript"/>
        </w:rPr>
        <w:footnoteRef/>
      </w:r>
      <w:r w:rsidRPr="000E1A2A">
        <w:rPr>
          <w:szCs w:val="18"/>
          <w:vertAlign w:val="superscript"/>
        </w:rPr>
        <w:t xml:space="preserve"> </w:t>
      </w:r>
      <w:r>
        <w:rPr>
          <w:szCs w:val="18"/>
          <w:vertAlign w:val="superscript"/>
        </w:rPr>
        <w:tab/>
      </w:r>
      <w:r w:rsidRPr="000F4C97">
        <w:rPr>
          <w:szCs w:val="18"/>
        </w:rPr>
        <w:t>Additionally</w:t>
      </w:r>
      <w:r>
        <w:rPr>
          <w:szCs w:val="18"/>
        </w:rPr>
        <w:t>,</w:t>
      </w:r>
      <w:r w:rsidRPr="000F4C97">
        <w:rPr>
          <w:szCs w:val="18"/>
        </w:rPr>
        <w:t xml:space="preserve"> in Russia</w:t>
      </w:r>
      <w:r>
        <w:rPr>
          <w:szCs w:val="18"/>
        </w:rPr>
        <w:t>,</w:t>
      </w:r>
      <w:r w:rsidRPr="000F4C97">
        <w:rPr>
          <w:szCs w:val="18"/>
        </w:rPr>
        <w:t xml:space="preserve"> a distinction is made between secret inventions for which a patent application has been filed and secret inventions for which a utility model or industrial design application has been presented:  in fact Russian legislation on patents acknowledges the poss</w:t>
      </w:r>
      <w:r w:rsidRPr="000A3F33">
        <w:rPr>
          <w:szCs w:val="18"/>
        </w:rPr>
        <w:t xml:space="preserve">ibility only to obtain secret patents, but not secret utility models or secret industrial designs.  However, </w:t>
      </w:r>
      <w:r w:rsidRPr="00734828">
        <w:rPr>
          <w:szCs w:val="18"/>
        </w:rPr>
        <w:t>Art</w:t>
      </w:r>
      <w:r w:rsidRPr="000F4C97">
        <w:rPr>
          <w:szCs w:val="18"/>
        </w:rPr>
        <w:t>icle 1390 (5) of the Russian Civil Code, Chapter 72 provides that “</w:t>
      </w:r>
      <w:r>
        <w:rPr>
          <w:szCs w:val="18"/>
        </w:rPr>
        <w:t>[</w:t>
      </w:r>
      <w:proofErr w:type="spellStart"/>
      <w:r>
        <w:rPr>
          <w:szCs w:val="18"/>
        </w:rPr>
        <w:t>i</w:t>
      </w:r>
      <w:proofErr w:type="spellEnd"/>
      <w:r>
        <w:rPr>
          <w:szCs w:val="18"/>
        </w:rPr>
        <w:t>]</w:t>
      </w:r>
      <w:r w:rsidRPr="000F4C97">
        <w:rPr>
          <w:szCs w:val="18"/>
        </w:rPr>
        <w:t>n the case when, in the process of examination of an applicatio</w:t>
      </w:r>
      <w:r w:rsidRPr="000A3F33">
        <w:rPr>
          <w:szCs w:val="18"/>
        </w:rPr>
        <w:t xml:space="preserve">n for a utility model the federal executive authority for intellectual property finds that the information contained in it constitutes a state secret, the documents of the application shall be classified as secret by the procedure provided for by the </w:t>
      </w:r>
      <w:r w:rsidRPr="00D93529">
        <w:rPr>
          <w:szCs w:val="18"/>
        </w:rPr>
        <w:t>official secrets legislation. In this case the applicant shall be notified of the possibility of withdrawal of the application for a utility model or of conversion into an application for a secret invention”</w:t>
      </w:r>
      <w:r>
        <w:rPr>
          <w:szCs w:val="18"/>
        </w:rPr>
        <w:t>.</w:t>
      </w:r>
    </w:p>
  </w:footnote>
  <w:footnote w:id="74">
    <w:p w:rsidR="00D318C5" w:rsidRPr="00DC0278" w:rsidRDefault="00D318C5" w:rsidP="0063518F">
      <w:pPr>
        <w:pStyle w:val="FootnoteText"/>
        <w:tabs>
          <w:tab w:val="left" w:pos="567"/>
        </w:tabs>
        <w:ind w:left="567" w:hanging="567"/>
        <w:rPr>
          <w:szCs w:val="18"/>
        </w:rPr>
      </w:pPr>
      <w:r w:rsidRPr="00C119A0">
        <w:rPr>
          <w:rStyle w:val="FootnoteReference"/>
          <w:szCs w:val="18"/>
        </w:rPr>
        <w:footnoteRef/>
      </w:r>
      <w:r w:rsidRPr="00C119A0">
        <w:rPr>
          <w:szCs w:val="18"/>
        </w:rPr>
        <w:t xml:space="preserve"> </w:t>
      </w:r>
      <w:r>
        <w:rPr>
          <w:szCs w:val="18"/>
        </w:rPr>
        <w:tab/>
      </w:r>
      <w:r w:rsidRPr="00C119A0">
        <w:rPr>
          <w:szCs w:val="18"/>
        </w:rPr>
        <w:t xml:space="preserve">Are part of this group, </w:t>
      </w:r>
      <w:r>
        <w:rPr>
          <w:szCs w:val="18"/>
        </w:rPr>
        <w:t>f</w:t>
      </w:r>
      <w:r w:rsidRPr="00C119A0">
        <w:rPr>
          <w:szCs w:val="18"/>
        </w:rPr>
        <w:t>or instance, Brazil</w:t>
      </w:r>
      <w:r>
        <w:rPr>
          <w:szCs w:val="18"/>
        </w:rPr>
        <w:t xml:space="preserve"> and </w:t>
      </w:r>
      <w:proofErr w:type="gramStart"/>
      <w:r w:rsidRPr="00C119A0">
        <w:rPr>
          <w:szCs w:val="18"/>
        </w:rPr>
        <w:t>Chi</w:t>
      </w:r>
      <w:r w:rsidRPr="00DC0278">
        <w:rPr>
          <w:szCs w:val="18"/>
        </w:rPr>
        <w:t>na</w:t>
      </w:r>
      <w:r>
        <w:rPr>
          <w:szCs w:val="18"/>
        </w:rPr>
        <w:t>.</w:t>
      </w:r>
      <w:proofErr w:type="gramEnd"/>
    </w:p>
  </w:footnote>
  <w:footnote w:id="75">
    <w:p w:rsidR="00D318C5" w:rsidRPr="00C119A0" w:rsidRDefault="00D318C5" w:rsidP="0063518F">
      <w:pPr>
        <w:pStyle w:val="FootnoteText"/>
        <w:tabs>
          <w:tab w:val="left" w:pos="567"/>
        </w:tabs>
        <w:ind w:left="567" w:hanging="567"/>
        <w:rPr>
          <w:szCs w:val="18"/>
        </w:rPr>
      </w:pPr>
      <w:r w:rsidRPr="00C119A0">
        <w:rPr>
          <w:rStyle w:val="FootnoteReference"/>
          <w:szCs w:val="18"/>
        </w:rPr>
        <w:footnoteRef/>
      </w:r>
      <w:r w:rsidRPr="00C119A0">
        <w:rPr>
          <w:szCs w:val="18"/>
        </w:rPr>
        <w:t xml:space="preserve"> </w:t>
      </w:r>
      <w:r>
        <w:rPr>
          <w:szCs w:val="18"/>
        </w:rPr>
        <w:tab/>
      </w:r>
      <w:r w:rsidR="00F93C3B">
        <w:rPr>
          <w:szCs w:val="18"/>
        </w:rPr>
        <w:t xml:space="preserve">For instance see: </w:t>
      </w:r>
      <w:r w:rsidRPr="007006B9">
        <w:rPr>
          <w:szCs w:val="18"/>
        </w:rPr>
        <w:t xml:space="preserve"> </w:t>
      </w:r>
      <w:r w:rsidRPr="00C119A0">
        <w:rPr>
          <w:szCs w:val="18"/>
        </w:rPr>
        <w:t>Latvia</w:t>
      </w:r>
      <w:r>
        <w:rPr>
          <w:szCs w:val="18"/>
        </w:rPr>
        <w:t xml:space="preserve">, </w:t>
      </w:r>
      <w:r w:rsidRPr="007006B9">
        <w:rPr>
          <w:szCs w:val="18"/>
        </w:rPr>
        <w:t>Section 11 of the Patent Law of 15/02/2007</w:t>
      </w:r>
      <w:r>
        <w:rPr>
          <w:szCs w:val="18"/>
        </w:rPr>
        <w:t>.</w:t>
      </w:r>
    </w:p>
  </w:footnote>
  <w:footnote w:id="76">
    <w:p w:rsidR="00D318C5" w:rsidRPr="00C119A0" w:rsidRDefault="00D318C5" w:rsidP="0063518F">
      <w:pPr>
        <w:pStyle w:val="FootnoteText"/>
        <w:tabs>
          <w:tab w:val="left" w:pos="567"/>
        </w:tabs>
        <w:ind w:left="567" w:hanging="567"/>
        <w:rPr>
          <w:szCs w:val="18"/>
        </w:rPr>
      </w:pPr>
      <w:r w:rsidRPr="00C119A0">
        <w:rPr>
          <w:rStyle w:val="FootnoteReference"/>
          <w:szCs w:val="18"/>
        </w:rPr>
        <w:footnoteRef/>
      </w:r>
      <w:r w:rsidRPr="00C119A0">
        <w:rPr>
          <w:szCs w:val="18"/>
        </w:rPr>
        <w:t xml:space="preserve"> </w:t>
      </w:r>
      <w:r w:rsidR="00F93C3B">
        <w:rPr>
          <w:szCs w:val="18"/>
        </w:rPr>
        <w:tab/>
        <w:t xml:space="preserve">For instance see: </w:t>
      </w:r>
      <w:r w:rsidRPr="00C119A0">
        <w:rPr>
          <w:szCs w:val="18"/>
        </w:rPr>
        <w:t xml:space="preserve"> </w:t>
      </w:r>
      <w:r>
        <w:rPr>
          <w:szCs w:val="18"/>
        </w:rPr>
        <w:t>India, Section 35</w:t>
      </w:r>
      <w:r w:rsidRPr="007006B9">
        <w:rPr>
          <w:szCs w:val="18"/>
        </w:rPr>
        <w:t xml:space="preserve"> of the Patents Act of 1970 as last amended by Act no. 15 of 2005</w:t>
      </w:r>
      <w:r>
        <w:rPr>
          <w:szCs w:val="18"/>
        </w:rPr>
        <w:t xml:space="preserve">. </w:t>
      </w:r>
    </w:p>
  </w:footnote>
  <w:footnote w:id="77">
    <w:p w:rsidR="00D318C5" w:rsidRPr="00C119A0" w:rsidRDefault="00D318C5" w:rsidP="0063518F">
      <w:pPr>
        <w:pStyle w:val="FootnoteText"/>
        <w:tabs>
          <w:tab w:val="left" w:pos="567"/>
        </w:tabs>
        <w:ind w:left="567" w:hanging="567"/>
        <w:rPr>
          <w:szCs w:val="18"/>
        </w:rPr>
      </w:pPr>
      <w:r w:rsidRPr="00C119A0">
        <w:rPr>
          <w:rStyle w:val="FootnoteReference"/>
          <w:szCs w:val="18"/>
        </w:rPr>
        <w:footnoteRef/>
      </w:r>
      <w:r w:rsidRPr="00C119A0">
        <w:rPr>
          <w:szCs w:val="18"/>
        </w:rPr>
        <w:t xml:space="preserve"> </w:t>
      </w:r>
      <w:r>
        <w:rPr>
          <w:szCs w:val="18"/>
        </w:rPr>
        <w:tab/>
      </w:r>
      <w:r w:rsidRPr="00C119A0">
        <w:rPr>
          <w:szCs w:val="18"/>
        </w:rPr>
        <w:t>Article 56 of the Industrial Property Law of 30/06/2000 as last amended by act of 29 June 2007</w:t>
      </w:r>
      <w:r>
        <w:rPr>
          <w:szCs w:val="18"/>
        </w:rPr>
        <w:t>:</w:t>
      </w:r>
    </w:p>
    <w:p w:rsidR="00D318C5" w:rsidRPr="0091753C" w:rsidRDefault="00D318C5" w:rsidP="007006B9">
      <w:pPr>
        <w:pStyle w:val="FootnoteText"/>
        <w:tabs>
          <w:tab w:val="left" w:pos="567"/>
        </w:tabs>
        <w:ind w:left="567" w:hanging="567"/>
        <w:rPr>
          <w:szCs w:val="18"/>
        </w:rPr>
      </w:pPr>
      <w:r>
        <w:rPr>
          <w:szCs w:val="18"/>
        </w:rPr>
        <w:tab/>
        <w:t>“</w:t>
      </w:r>
      <w:r w:rsidRPr="000A3F33">
        <w:rPr>
          <w:szCs w:val="18"/>
        </w:rPr>
        <w:t xml:space="preserve">1. An invention made by a Polish national may be considered to be a secret invention, if it concerns national </w:t>
      </w:r>
      <w:proofErr w:type="spellStart"/>
      <w:r w:rsidRPr="000A3F33">
        <w:rPr>
          <w:szCs w:val="18"/>
        </w:rPr>
        <w:t>defence</w:t>
      </w:r>
      <w:proofErr w:type="spellEnd"/>
      <w:r w:rsidRPr="000A3F33">
        <w:rPr>
          <w:szCs w:val="18"/>
        </w:rPr>
        <w:t xml:space="preserve"> or the security of the State.</w:t>
      </w:r>
      <w:r>
        <w:rPr>
          <w:szCs w:val="18"/>
        </w:rPr>
        <w:t xml:space="preserve"> </w:t>
      </w:r>
      <w:r w:rsidRPr="00D93529">
        <w:rPr>
          <w:szCs w:val="18"/>
        </w:rPr>
        <w:t xml:space="preserve">2. The following, in particular, are inventions concerning national </w:t>
      </w:r>
      <w:proofErr w:type="spellStart"/>
      <w:r w:rsidRPr="00D93529">
        <w:rPr>
          <w:szCs w:val="18"/>
        </w:rPr>
        <w:t>defence</w:t>
      </w:r>
      <w:proofErr w:type="spellEnd"/>
      <w:r w:rsidRPr="00D93529">
        <w:rPr>
          <w:szCs w:val="18"/>
        </w:rPr>
        <w:t>: new categories of weapons or military equipment and methods of combat.</w:t>
      </w:r>
      <w:r>
        <w:rPr>
          <w:szCs w:val="18"/>
        </w:rPr>
        <w:t xml:space="preserve"> </w:t>
      </w:r>
      <w:r w:rsidRPr="0091753C">
        <w:rPr>
          <w:szCs w:val="18"/>
        </w:rPr>
        <w:t>3. The following, in particular, are inventions concerning the security of the State: technical means applied by civil services authorized to carrying out actions and reconnoitering operations, as well as new categories of equipment and materiel, and methods of use thereof by the said services.</w:t>
      </w:r>
      <w:r>
        <w:rPr>
          <w:szCs w:val="18"/>
        </w:rPr>
        <w:t>”</w:t>
      </w:r>
    </w:p>
  </w:footnote>
  <w:footnote w:id="78">
    <w:p w:rsidR="00D318C5" w:rsidRPr="00C119A0" w:rsidRDefault="00D318C5" w:rsidP="0063518F">
      <w:pPr>
        <w:pStyle w:val="FootnoteText"/>
        <w:tabs>
          <w:tab w:val="left" w:pos="567"/>
        </w:tabs>
        <w:ind w:left="567" w:hanging="567"/>
        <w:rPr>
          <w:szCs w:val="18"/>
        </w:rPr>
      </w:pPr>
      <w:r w:rsidRPr="00C119A0">
        <w:rPr>
          <w:rStyle w:val="FootnoteReference"/>
          <w:szCs w:val="18"/>
        </w:rPr>
        <w:footnoteRef/>
      </w:r>
      <w:r w:rsidRPr="00C119A0">
        <w:rPr>
          <w:szCs w:val="18"/>
        </w:rPr>
        <w:t xml:space="preserve"> </w:t>
      </w:r>
      <w:r>
        <w:rPr>
          <w:szCs w:val="18"/>
        </w:rPr>
        <w:tab/>
        <w:t>For instance</w:t>
      </w:r>
      <w:r w:rsidR="00F93C3B">
        <w:rPr>
          <w:szCs w:val="18"/>
        </w:rPr>
        <w:t xml:space="preserve"> see:</w:t>
      </w:r>
      <w:r>
        <w:rPr>
          <w:szCs w:val="18"/>
        </w:rPr>
        <w:t xml:space="preserve">  </w:t>
      </w:r>
      <w:r w:rsidRPr="00C119A0">
        <w:rPr>
          <w:szCs w:val="18"/>
        </w:rPr>
        <w:t>Brunei Darussalam, Singapore, United Kingdom, among others.</w:t>
      </w:r>
    </w:p>
  </w:footnote>
  <w:footnote w:id="79">
    <w:p w:rsidR="00D318C5" w:rsidRPr="00C119A0" w:rsidRDefault="00D318C5" w:rsidP="0063518F">
      <w:pPr>
        <w:pStyle w:val="FootnoteText"/>
        <w:tabs>
          <w:tab w:val="left" w:pos="567"/>
        </w:tabs>
        <w:ind w:left="567" w:hanging="567"/>
        <w:rPr>
          <w:szCs w:val="18"/>
        </w:rPr>
      </w:pPr>
      <w:r w:rsidRPr="00C119A0">
        <w:rPr>
          <w:rStyle w:val="FootnoteReference"/>
          <w:szCs w:val="18"/>
        </w:rPr>
        <w:footnoteRef/>
      </w:r>
      <w:r w:rsidRPr="00C119A0">
        <w:rPr>
          <w:szCs w:val="18"/>
        </w:rPr>
        <w:t xml:space="preserve"> </w:t>
      </w:r>
      <w:r>
        <w:rPr>
          <w:szCs w:val="18"/>
        </w:rPr>
        <w:tab/>
        <w:t xml:space="preserve">For instance see: </w:t>
      </w:r>
      <w:r w:rsidRPr="00C119A0">
        <w:rPr>
          <w:szCs w:val="18"/>
        </w:rPr>
        <w:t>United States of America</w:t>
      </w:r>
      <w:r>
        <w:rPr>
          <w:szCs w:val="18"/>
        </w:rPr>
        <w:t xml:space="preserve">, </w:t>
      </w:r>
      <w:r w:rsidRPr="00F605C8">
        <w:rPr>
          <w:szCs w:val="18"/>
        </w:rPr>
        <w:t>Section 181 of the U.S. Patent Law, 35 U.S.C. (Consolida</w:t>
      </w:r>
      <w:r>
        <w:rPr>
          <w:szCs w:val="18"/>
        </w:rPr>
        <w:t>ted Patent Laws as of May 2014).</w:t>
      </w:r>
    </w:p>
  </w:footnote>
  <w:footnote w:id="80">
    <w:p w:rsidR="00D318C5" w:rsidRPr="00D93529" w:rsidRDefault="00D318C5" w:rsidP="007351F4">
      <w:pPr>
        <w:pStyle w:val="FootnoteText"/>
        <w:tabs>
          <w:tab w:val="left" w:pos="567"/>
        </w:tabs>
        <w:ind w:left="567" w:hanging="567"/>
        <w:rPr>
          <w:szCs w:val="18"/>
        </w:rPr>
      </w:pPr>
      <w:r w:rsidRPr="00C119A0">
        <w:rPr>
          <w:rStyle w:val="FootnoteReference"/>
          <w:szCs w:val="18"/>
        </w:rPr>
        <w:footnoteRef/>
      </w:r>
      <w:r w:rsidRPr="00C119A0">
        <w:rPr>
          <w:szCs w:val="18"/>
        </w:rPr>
        <w:t xml:space="preserve"> </w:t>
      </w:r>
      <w:r>
        <w:rPr>
          <w:szCs w:val="18"/>
        </w:rPr>
        <w:tab/>
      </w:r>
      <w:r w:rsidRPr="00C119A0">
        <w:rPr>
          <w:szCs w:val="18"/>
        </w:rPr>
        <w:t>Schedule No 1 to Article 25</w:t>
      </w:r>
      <w:r w:rsidRPr="00951A12">
        <w:rPr>
          <w:szCs w:val="18"/>
        </w:rPr>
        <w:t xml:space="preserve"> include</w:t>
      </w:r>
      <w:r>
        <w:rPr>
          <w:szCs w:val="18"/>
        </w:rPr>
        <w:t>s</w:t>
      </w:r>
      <w:r w:rsidRPr="00951A12">
        <w:rPr>
          <w:szCs w:val="18"/>
        </w:rPr>
        <w:t xml:space="preserve"> a long list of </w:t>
      </w:r>
      <w:r>
        <w:rPr>
          <w:szCs w:val="18"/>
        </w:rPr>
        <w:t>“</w:t>
      </w:r>
      <w:r w:rsidRPr="00951A12">
        <w:rPr>
          <w:szCs w:val="18"/>
        </w:rPr>
        <w:t>Categories of Information Classified as a State Secret</w:t>
      </w:r>
      <w:r>
        <w:rPr>
          <w:szCs w:val="18"/>
        </w:rPr>
        <w:t>”</w:t>
      </w:r>
      <w:r w:rsidRPr="00951A12">
        <w:rPr>
          <w:szCs w:val="18"/>
        </w:rPr>
        <w:t xml:space="preserve"> (more than 64 items grouped in three categories:</w:t>
      </w:r>
      <w:r>
        <w:rPr>
          <w:szCs w:val="18"/>
        </w:rPr>
        <w:t xml:space="preserve"> </w:t>
      </w:r>
      <w:r w:rsidRPr="00951A12">
        <w:rPr>
          <w:szCs w:val="18"/>
        </w:rPr>
        <w:t xml:space="preserve"> I. Information Relating to the Country's Defense; II. </w:t>
      </w:r>
      <w:proofErr w:type="gramStart"/>
      <w:r w:rsidRPr="00951A12">
        <w:rPr>
          <w:szCs w:val="18"/>
        </w:rPr>
        <w:t>Information Relating to The Country</w:t>
      </w:r>
      <w:r>
        <w:rPr>
          <w:szCs w:val="18"/>
        </w:rPr>
        <w:t>’</w:t>
      </w:r>
      <w:r w:rsidRPr="00951A12">
        <w:rPr>
          <w:szCs w:val="18"/>
        </w:rPr>
        <w:t>s Foreign Policy and Domestic Security and III.</w:t>
      </w:r>
      <w:proofErr w:type="gramEnd"/>
      <w:r w:rsidRPr="00951A12">
        <w:rPr>
          <w:szCs w:val="18"/>
        </w:rPr>
        <w:t xml:space="preserve"> Information </w:t>
      </w:r>
      <w:proofErr w:type="gramStart"/>
      <w:r w:rsidRPr="00951A12">
        <w:rPr>
          <w:szCs w:val="18"/>
        </w:rPr>
        <w:t>Relating</w:t>
      </w:r>
      <w:proofErr w:type="gramEnd"/>
      <w:r w:rsidRPr="00951A12">
        <w:rPr>
          <w:szCs w:val="18"/>
        </w:rPr>
        <w:t xml:space="preserve"> to the Country</w:t>
      </w:r>
      <w:r>
        <w:rPr>
          <w:szCs w:val="18"/>
        </w:rPr>
        <w:t>’</w:t>
      </w:r>
      <w:r w:rsidRPr="00951A12">
        <w:rPr>
          <w:szCs w:val="18"/>
        </w:rPr>
        <w:t>s Economic Security</w:t>
      </w:r>
      <w:r>
        <w:rPr>
          <w:szCs w:val="18"/>
        </w:rPr>
        <w:t>).</w:t>
      </w:r>
    </w:p>
  </w:footnote>
  <w:footnote w:id="81">
    <w:p w:rsidR="00D318C5" w:rsidRPr="00B84098" w:rsidRDefault="00D318C5" w:rsidP="0063518F">
      <w:pPr>
        <w:pStyle w:val="FootnoteText"/>
        <w:tabs>
          <w:tab w:val="left" w:pos="567"/>
        </w:tabs>
        <w:ind w:left="567" w:hanging="567"/>
      </w:pPr>
      <w:r>
        <w:rPr>
          <w:rStyle w:val="FootnoteReference"/>
        </w:rPr>
        <w:footnoteRef/>
      </w:r>
      <w:r>
        <w:t xml:space="preserve"> </w:t>
      </w:r>
      <w:r>
        <w:tab/>
        <w:t>For instance:  Australia, Belgium, Brazil, Cuba, and United States of America among others.</w:t>
      </w:r>
    </w:p>
  </w:footnote>
  <w:footnote w:id="82">
    <w:p w:rsidR="00D318C5" w:rsidRPr="00B84098" w:rsidRDefault="00D318C5" w:rsidP="0063518F">
      <w:pPr>
        <w:pStyle w:val="FootnoteText"/>
        <w:tabs>
          <w:tab w:val="left" w:pos="567"/>
        </w:tabs>
        <w:ind w:left="567" w:hanging="567"/>
      </w:pPr>
      <w:r>
        <w:rPr>
          <w:rStyle w:val="FootnoteReference"/>
        </w:rPr>
        <w:footnoteRef/>
      </w:r>
      <w:r>
        <w:t xml:space="preserve"> </w:t>
      </w:r>
      <w:r>
        <w:tab/>
      </w:r>
      <w:r w:rsidRPr="00F605C8">
        <w:t xml:space="preserve">For instance see: </w:t>
      </w:r>
      <w:r>
        <w:t xml:space="preserve">Vanuatu, </w:t>
      </w:r>
      <w:r w:rsidRPr="00F605C8">
        <w:t>Section 15 of the Patents Act No. 2 of 2003</w:t>
      </w:r>
      <w:r>
        <w:t>.</w:t>
      </w:r>
    </w:p>
  </w:footnote>
  <w:footnote w:id="83">
    <w:p w:rsidR="00D318C5" w:rsidRPr="00C119A0" w:rsidRDefault="00D318C5" w:rsidP="0063518F">
      <w:pPr>
        <w:pStyle w:val="FootnoteText"/>
        <w:tabs>
          <w:tab w:val="left" w:pos="567"/>
        </w:tabs>
        <w:ind w:left="567" w:hanging="567"/>
        <w:rPr>
          <w:szCs w:val="18"/>
        </w:rPr>
      </w:pPr>
      <w:r w:rsidRPr="00C119A0">
        <w:rPr>
          <w:rStyle w:val="FootnoteReference"/>
          <w:szCs w:val="18"/>
        </w:rPr>
        <w:footnoteRef/>
      </w:r>
      <w:r w:rsidRPr="00C119A0">
        <w:rPr>
          <w:szCs w:val="18"/>
        </w:rPr>
        <w:t xml:space="preserve"> </w:t>
      </w:r>
      <w:r>
        <w:rPr>
          <w:szCs w:val="18"/>
        </w:rPr>
        <w:tab/>
        <w:t xml:space="preserve">Section </w:t>
      </w:r>
      <w:r w:rsidRPr="00F605C8">
        <w:rPr>
          <w:szCs w:val="18"/>
        </w:rPr>
        <w:t>181</w:t>
      </w:r>
      <w:r>
        <w:rPr>
          <w:szCs w:val="18"/>
        </w:rPr>
        <w:t xml:space="preserve"> of the U.S. Patent Law, 35 U.S.C. </w:t>
      </w:r>
      <w:r w:rsidRPr="005A2160">
        <w:rPr>
          <w:szCs w:val="18"/>
        </w:rPr>
        <w:t>(Consolidated Patent Laws as of May 2014)</w:t>
      </w:r>
      <w:r>
        <w:rPr>
          <w:szCs w:val="18"/>
        </w:rPr>
        <w:t>.</w:t>
      </w:r>
    </w:p>
  </w:footnote>
  <w:footnote w:id="84">
    <w:p w:rsidR="00D318C5" w:rsidRPr="00734828" w:rsidRDefault="00D318C5" w:rsidP="0063518F">
      <w:pPr>
        <w:pStyle w:val="FootnoteText"/>
        <w:tabs>
          <w:tab w:val="left" w:pos="567"/>
        </w:tabs>
        <w:ind w:left="567" w:hanging="567"/>
        <w:rPr>
          <w:szCs w:val="18"/>
        </w:rPr>
      </w:pPr>
      <w:r w:rsidRPr="00C119A0">
        <w:rPr>
          <w:rStyle w:val="FootnoteReference"/>
          <w:szCs w:val="18"/>
        </w:rPr>
        <w:footnoteRef/>
      </w:r>
      <w:r w:rsidRPr="00C119A0">
        <w:rPr>
          <w:szCs w:val="18"/>
        </w:rPr>
        <w:t xml:space="preserve"> </w:t>
      </w:r>
      <w:r>
        <w:rPr>
          <w:szCs w:val="18"/>
        </w:rPr>
        <w:tab/>
      </w:r>
      <w:r w:rsidRPr="00F605C8">
        <w:rPr>
          <w:szCs w:val="18"/>
        </w:rPr>
        <w:t>For instance see</w:t>
      </w:r>
      <w:r>
        <w:rPr>
          <w:szCs w:val="18"/>
        </w:rPr>
        <w:t xml:space="preserve">:  </w:t>
      </w:r>
      <w:r w:rsidRPr="000A3F33">
        <w:rPr>
          <w:szCs w:val="18"/>
        </w:rPr>
        <w:t>South Africa</w:t>
      </w:r>
      <w:r>
        <w:rPr>
          <w:szCs w:val="18"/>
        </w:rPr>
        <w:t>, Section</w:t>
      </w:r>
      <w:r w:rsidRPr="00F605C8">
        <w:rPr>
          <w:szCs w:val="18"/>
        </w:rPr>
        <w:t xml:space="preserve"> 7</w:t>
      </w:r>
      <w:r>
        <w:rPr>
          <w:szCs w:val="18"/>
        </w:rPr>
        <w:t>8</w:t>
      </w:r>
      <w:r w:rsidRPr="00F605C8">
        <w:rPr>
          <w:szCs w:val="18"/>
        </w:rPr>
        <w:t xml:space="preserve"> of the Patents Act, Act No. 57 of 1978, as last amended by Act No. 20 of 2005</w:t>
      </w:r>
      <w:r w:rsidRPr="000A3F33">
        <w:rPr>
          <w:szCs w:val="18"/>
        </w:rPr>
        <w:t>.</w:t>
      </w:r>
    </w:p>
  </w:footnote>
  <w:footnote w:id="85">
    <w:p w:rsidR="00D318C5" w:rsidRPr="00C119A0" w:rsidRDefault="00D318C5" w:rsidP="0063518F">
      <w:pPr>
        <w:pStyle w:val="FootnoteText"/>
        <w:tabs>
          <w:tab w:val="left" w:pos="567"/>
        </w:tabs>
        <w:ind w:left="567" w:hanging="567"/>
        <w:rPr>
          <w:szCs w:val="18"/>
        </w:rPr>
      </w:pPr>
      <w:r w:rsidRPr="00C119A0">
        <w:rPr>
          <w:rStyle w:val="FootnoteReference"/>
          <w:szCs w:val="18"/>
        </w:rPr>
        <w:footnoteRef/>
      </w:r>
      <w:r w:rsidRPr="00C119A0">
        <w:rPr>
          <w:szCs w:val="18"/>
        </w:rPr>
        <w:t xml:space="preserve"> </w:t>
      </w:r>
      <w:r>
        <w:rPr>
          <w:szCs w:val="18"/>
        </w:rPr>
        <w:tab/>
      </w:r>
      <w:r w:rsidR="000E4203">
        <w:rPr>
          <w:szCs w:val="18"/>
        </w:rPr>
        <w:t xml:space="preserve">See </w:t>
      </w:r>
      <w:r w:rsidRPr="00C119A0">
        <w:rPr>
          <w:szCs w:val="18"/>
        </w:rPr>
        <w:t>Republic of Korea</w:t>
      </w:r>
      <w:r w:rsidR="000E4203">
        <w:rPr>
          <w:szCs w:val="18"/>
        </w:rPr>
        <w:t xml:space="preserve">, </w:t>
      </w:r>
      <w:r w:rsidR="000E4203" w:rsidRPr="000E4203">
        <w:rPr>
          <w:szCs w:val="18"/>
        </w:rPr>
        <w:t>Article 41 of the Patent Act No. 950 of 31/12/1961 as last amended by Act No. 11690 of 2013</w:t>
      </w:r>
      <w:r w:rsidRPr="00C119A0">
        <w:rPr>
          <w:szCs w:val="18"/>
        </w:rPr>
        <w:t>.</w:t>
      </w:r>
    </w:p>
  </w:footnote>
  <w:footnote w:id="86">
    <w:p w:rsidR="00D318C5" w:rsidRPr="00734828" w:rsidRDefault="00D318C5" w:rsidP="0063518F">
      <w:pPr>
        <w:pStyle w:val="FootnoteText"/>
        <w:tabs>
          <w:tab w:val="left" w:pos="567"/>
        </w:tabs>
        <w:ind w:left="567" w:hanging="567"/>
        <w:rPr>
          <w:szCs w:val="18"/>
        </w:rPr>
      </w:pPr>
      <w:r w:rsidRPr="00C119A0">
        <w:rPr>
          <w:rStyle w:val="FootnoteReference"/>
          <w:szCs w:val="18"/>
        </w:rPr>
        <w:footnoteRef/>
      </w:r>
      <w:r w:rsidRPr="00C119A0">
        <w:rPr>
          <w:szCs w:val="18"/>
        </w:rPr>
        <w:t xml:space="preserve"> </w:t>
      </w:r>
      <w:r>
        <w:rPr>
          <w:szCs w:val="18"/>
        </w:rPr>
        <w:tab/>
      </w:r>
      <w:r w:rsidRPr="00C119A0">
        <w:rPr>
          <w:szCs w:val="18"/>
        </w:rPr>
        <w:t>For instance</w:t>
      </w:r>
      <w:r>
        <w:rPr>
          <w:szCs w:val="18"/>
        </w:rPr>
        <w:t xml:space="preserve"> see: </w:t>
      </w:r>
      <w:r w:rsidRPr="00C119A0">
        <w:rPr>
          <w:szCs w:val="18"/>
        </w:rPr>
        <w:t xml:space="preserve"> Saudi Arabia, Article 49 (2) of the implementing regulations of Law of Patents, Layout-Designs of Integrated Circuits, Plant Varieties</w:t>
      </w:r>
      <w:r w:rsidRPr="000A3F33">
        <w:rPr>
          <w:szCs w:val="18"/>
        </w:rPr>
        <w:t>, and Industrial Designs of 26/12/2004.</w:t>
      </w:r>
    </w:p>
  </w:footnote>
  <w:footnote w:id="87">
    <w:p w:rsidR="00D318C5" w:rsidRPr="00C119A0" w:rsidRDefault="00D318C5" w:rsidP="0063518F">
      <w:pPr>
        <w:pStyle w:val="FootnoteText"/>
        <w:tabs>
          <w:tab w:val="left" w:pos="567"/>
        </w:tabs>
        <w:ind w:left="567" w:hanging="567"/>
        <w:rPr>
          <w:szCs w:val="18"/>
        </w:rPr>
      </w:pPr>
      <w:r w:rsidRPr="00C119A0">
        <w:rPr>
          <w:rStyle w:val="FootnoteReference"/>
          <w:szCs w:val="18"/>
        </w:rPr>
        <w:footnoteRef/>
      </w:r>
      <w:r w:rsidRPr="00C119A0">
        <w:rPr>
          <w:szCs w:val="18"/>
        </w:rPr>
        <w:t xml:space="preserve"> </w:t>
      </w:r>
      <w:r>
        <w:rPr>
          <w:szCs w:val="18"/>
        </w:rPr>
        <w:tab/>
      </w:r>
      <w:r w:rsidRPr="00C119A0">
        <w:rPr>
          <w:szCs w:val="18"/>
        </w:rPr>
        <w:t>Article 59(2) of the Polish Industrial Property Law of 30/06/2000 as last amended by act of 29 June 2007</w:t>
      </w:r>
      <w:r>
        <w:rPr>
          <w:szCs w:val="18"/>
        </w:rPr>
        <w:t>.</w:t>
      </w:r>
    </w:p>
  </w:footnote>
  <w:footnote w:id="88">
    <w:p w:rsidR="00D318C5" w:rsidRPr="00C119A0" w:rsidRDefault="00D318C5" w:rsidP="0063518F">
      <w:pPr>
        <w:pStyle w:val="FootnoteText"/>
        <w:tabs>
          <w:tab w:val="left" w:pos="567"/>
        </w:tabs>
        <w:ind w:left="567" w:hanging="567"/>
        <w:rPr>
          <w:szCs w:val="18"/>
        </w:rPr>
      </w:pPr>
      <w:r w:rsidRPr="00C119A0">
        <w:rPr>
          <w:rStyle w:val="FootnoteReference"/>
          <w:szCs w:val="18"/>
        </w:rPr>
        <w:footnoteRef/>
      </w:r>
      <w:r w:rsidRPr="00C119A0">
        <w:rPr>
          <w:szCs w:val="18"/>
        </w:rPr>
        <w:t xml:space="preserve"> </w:t>
      </w:r>
      <w:r>
        <w:rPr>
          <w:szCs w:val="18"/>
        </w:rPr>
        <w:tab/>
      </w:r>
      <w:r w:rsidRPr="005A2160">
        <w:rPr>
          <w:szCs w:val="18"/>
        </w:rPr>
        <w:t>U.S. Patent Law, 35 U.S.C. 18</w:t>
      </w:r>
      <w:r>
        <w:rPr>
          <w:szCs w:val="18"/>
        </w:rPr>
        <w:t>3</w:t>
      </w:r>
      <w:r w:rsidRPr="005A2160">
        <w:rPr>
          <w:szCs w:val="18"/>
        </w:rPr>
        <w:t xml:space="preserve"> (Consolidated Patent Laws as of May 2014)</w:t>
      </w:r>
      <w:r>
        <w:rPr>
          <w:szCs w:val="18"/>
        </w:rPr>
        <w:t>.</w:t>
      </w:r>
    </w:p>
  </w:footnote>
  <w:footnote w:id="89">
    <w:p w:rsidR="00D318C5" w:rsidRPr="005F3D87" w:rsidRDefault="00D318C5" w:rsidP="0063518F">
      <w:pPr>
        <w:pStyle w:val="FootnoteText"/>
        <w:tabs>
          <w:tab w:val="left" w:pos="567"/>
        </w:tabs>
        <w:ind w:left="567" w:hanging="567"/>
        <w:rPr>
          <w:szCs w:val="18"/>
        </w:rPr>
      </w:pPr>
      <w:r w:rsidRPr="00C119A0">
        <w:rPr>
          <w:rStyle w:val="FootnoteReference"/>
          <w:szCs w:val="18"/>
        </w:rPr>
        <w:footnoteRef/>
      </w:r>
      <w:r w:rsidRPr="00C119A0">
        <w:rPr>
          <w:szCs w:val="18"/>
        </w:rPr>
        <w:t xml:space="preserve"> </w:t>
      </w:r>
      <w:r>
        <w:rPr>
          <w:szCs w:val="18"/>
        </w:rPr>
        <w:tab/>
      </w:r>
      <w:r w:rsidR="000E4203">
        <w:rPr>
          <w:szCs w:val="18"/>
        </w:rPr>
        <w:t>For instance</w:t>
      </w:r>
      <w:r w:rsidR="001155DC">
        <w:rPr>
          <w:szCs w:val="18"/>
        </w:rPr>
        <w:t xml:space="preserve"> see: </w:t>
      </w:r>
      <w:r w:rsidR="000E4203">
        <w:rPr>
          <w:szCs w:val="18"/>
        </w:rPr>
        <w:t xml:space="preserve"> </w:t>
      </w:r>
      <w:r w:rsidRPr="00C119A0">
        <w:rPr>
          <w:szCs w:val="18"/>
        </w:rPr>
        <w:t xml:space="preserve">Brazil, Italy and France. </w:t>
      </w:r>
      <w:r>
        <w:rPr>
          <w:szCs w:val="18"/>
        </w:rPr>
        <w:t xml:space="preserve"> </w:t>
      </w:r>
      <w:r w:rsidRPr="00C119A0">
        <w:rPr>
          <w:szCs w:val="18"/>
        </w:rPr>
        <w:t>In the latter</w:t>
      </w:r>
      <w:r>
        <w:rPr>
          <w:szCs w:val="18"/>
        </w:rPr>
        <w:t>,</w:t>
      </w:r>
      <w:r w:rsidRPr="00C119A0">
        <w:rPr>
          <w:szCs w:val="18"/>
        </w:rPr>
        <w:t xml:space="preserve"> the amount of the “</w:t>
      </w:r>
      <w:proofErr w:type="spellStart"/>
      <w:r w:rsidRPr="00C119A0">
        <w:rPr>
          <w:szCs w:val="18"/>
        </w:rPr>
        <w:t>in</w:t>
      </w:r>
      <w:r w:rsidRPr="005F3D87">
        <w:rPr>
          <w:szCs w:val="18"/>
        </w:rPr>
        <w:t>demnité</w:t>
      </w:r>
      <w:proofErr w:type="spellEnd"/>
      <w:r w:rsidRPr="005F3D87">
        <w:rPr>
          <w:szCs w:val="18"/>
        </w:rPr>
        <w:t>” is established by the Tribunal de Grande Instance.</w:t>
      </w:r>
      <w:r w:rsidR="000E4203">
        <w:rPr>
          <w:szCs w:val="18"/>
        </w:rPr>
        <w:t xml:space="preserve">  See Annex I to this document.</w:t>
      </w:r>
    </w:p>
  </w:footnote>
  <w:footnote w:id="90">
    <w:p w:rsidR="00D318C5" w:rsidRDefault="00D318C5" w:rsidP="000E4203">
      <w:pPr>
        <w:pStyle w:val="FootnoteText"/>
        <w:ind w:left="540" w:hanging="540"/>
      </w:pPr>
      <w:r>
        <w:rPr>
          <w:rStyle w:val="FootnoteReference"/>
        </w:rPr>
        <w:footnoteRef/>
      </w:r>
      <w:r>
        <w:t xml:space="preserve"> </w:t>
      </w:r>
      <w:r>
        <w:tab/>
        <w:t>For instance</w:t>
      </w:r>
      <w:r w:rsidR="000E4203">
        <w:t xml:space="preserve"> see: </w:t>
      </w:r>
      <w:r>
        <w:t xml:space="preserve"> Brazil</w:t>
      </w:r>
      <w:r w:rsidR="000E4203">
        <w:t>,</w:t>
      </w:r>
      <w:r w:rsidR="000E4203" w:rsidRPr="000E4203">
        <w:t xml:space="preserve"> Article 75 of the Industrial Property Law No. 9.279 of 14/05/1996, as last amended by Law No. 10.196 of 14/02/2001</w:t>
      </w:r>
      <w:r>
        <w:t>.</w:t>
      </w:r>
    </w:p>
  </w:footnote>
  <w:footnote w:id="91">
    <w:p w:rsidR="00D318C5" w:rsidRPr="00C119A0" w:rsidRDefault="00D318C5" w:rsidP="0063518F">
      <w:pPr>
        <w:pStyle w:val="FootnoteText"/>
        <w:tabs>
          <w:tab w:val="left" w:pos="567"/>
        </w:tabs>
        <w:ind w:left="567" w:hanging="567"/>
        <w:rPr>
          <w:szCs w:val="18"/>
        </w:rPr>
      </w:pPr>
      <w:r w:rsidRPr="00C119A0">
        <w:rPr>
          <w:rStyle w:val="FootnoteReference"/>
          <w:szCs w:val="18"/>
        </w:rPr>
        <w:footnoteRef/>
      </w:r>
      <w:r w:rsidRPr="00C119A0">
        <w:rPr>
          <w:szCs w:val="18"/>
        </w:rPr>
        <w:t xml:space="preserve"> </w:t>
      </w:r>
      <w:r>
        <w:rPr>
          <w:szCs w:val="18"/>
        </w:rPr>
        <w:tab/>
      </w:r>
      <w:r w:rsidR="000E4203">
        <w:rPr>
          <w:szCs w:val="18"/>
        </w:rPr>
        <w:t xml:space="preserve">See </w:t>
      </w:r>
      <w:r w:rsidRPr="00C119A0">
        <w:rPr>
          <w:szCs w:val="18"/>
        </w:rPr>
        <w:t>Article 24 (8) of the Law on Patents and Utility Model Registration No. 27/2 of 1993 as last amended on 20/07/2007</w:t>
      </w:r>
      <w:r w:rsidR="000E4203">
        <w:rPr>
          <w:szCs w:val="18"/>
        </w:rPr>
        <w:t xml:space="preserve"> of Bulgaria</w:t>
      </w:r>
      <w:r>
        <w:rPr>
          <w:szCs w:val="18"/>
        </w:rPr>
        <w:t>.</w:t>
      </w:r>
    </w:p>
  </w:footnote>
  <w:footnote w:id="92">
    <w:p w:rsidR="00D318C5" w:rsidRPr="00C119A0" w:rsidRDefault="00D318C5" w:rsidP="00AE511B">
      <w:pPr>
        <w:pStyle w:val="FootnoteText"/>
        <w:tabs>
          <w:tab w:val="left" w:pos="567"/>
        </w:tabs>
        <w:ind w:left="567" w:hanging="567"/>
        <w:rPr>
          <w:szCs w:val="18"/>
        </w:rPr>
      </w:pPr>
      <w:r w:rsidRPr="00C119A0">
        <w:rPr>
          <w:rStyle w:val="FootnoteReference"/>
          <w:szCs w:val="18"/>
        </w:rPr>
        <w:footnoteRef/>
      </w:r>
      <w:r w:rsidRPr="00C119A0">
        <w:rPr>
          <w:szCs w:val="18"/>
        </w:rPr>
        <w:t xml:space="preserve"> </w:t>
      </w:r>
      <w:r>
        <w:rPr>
          <w:szCs w:val="18"/>
        </w:rPr>
        <w:tab/>
      </w:r>
      <w:r w:rsidRPr="00C119A0">
        <w:rPr>
          <w:szCs w:val="18"/>
        </w:rPr>
        <w:t>For instance Singapore, United Kingdom, United States of America</w:t>
      </w:r>
      <w:r w:rsidR="000E4203">
        <w:rPr>
          <w:szCs w:val="18"/>
        </w:rPr>
        <w:t>, among others</w:t>
      </w:r>
      <w:r w:rsidRPr="00C119A0">
        <w:rPr>
          <w:szCs w:val="18"/>
        </w:rPr>
        <w:t>.</w:t>
      </w:r>
    </w:p>
  </w:footnote>
  <w:footnote w:id="93">
    <w:p w:rsidR="00D318C5" w:rsidRPr="00734828" w:rsidRDefault="00D318C5" w:rsidP="00AE511B">
      <w:pPr>
        <w:pStyle w:val="FootnoteText"/>
        <w:tabs>
          <w:tab w:val="left" w:pos="567"/>
        </w:tabs>
        <w:ind w:left="567" w:hanging="567"/>
        <w:rPr>
          <w:szCs w:val="18"/>
        </w:rPr>
      </w:pPr>
      <w:r w:rsidRPr="00C119A0">
        <w:rPr>
          <w:rStyle w:val="FootnoteReference"/>
          <w:szCs w:val="18"/>
        </w:rPr>
        <w:footnoteRef/>
      </w:r>
      <w:r w:rsidRPr="00C119A0">
        <w:rPr>
          <w:szCs w:val="18"/>
        </w:rPr>
        <w:t xml:space="preserve"> </w:t>
      </w:r>
      <w:r>
        <w:rPr>
          <w:szCs w:val="18"/>
        </w:rPr>
        <w:tab/>
        <w:t>F</w:t>
      </w:r>
      <w:r w:rsidRPr="000A3F33">
        <w:rPr>
          <w:szCs w:val="18"/>
        </w:rPr>
        <w:t>or instance</w:t>
      </w:r>
      <w:r w:rsidR="007539BF">
        <w:rPr>
          <w:szCs w:val="18"/>
        </w:rPr>
        <w:t xml:space="preserve"> see</w:t>
      </w:r>
      <w:r w:rsidR="000E4203">
        <w:rPr>
          <w:szCs w:val="18"/>
        </w:rPr>
        <w:t xml:space="preserve">: </w:t>
      </w:r>
      <w:r>
        <w:rPr>
          <w:szCs w:val="18"/>
        </w:rPr>
        <w:t xml:space="preserve"> </w:t>
      </w:r>
      <w:r w:rsidR="007539BF">
        <w:rPr>
          <w:szCs w:val="18"/>
        </w:rPr>
        <w:t xml:space="preserve">Brazil, </w:t>
      </w:r>
      <w:r w:rsidR="007539BF" w:rsidRPr="007539BF">
        <w:rPr>
          <w:szCs w:val="18"/>
        </w:rPr>
        <w:t>Article 75 of the Industrial Property Law No. 9.279 of 14/05/1996, as last amended by Law No. 10.196 of 14/02/2001</w:t>
      </w:r>
      <w:r w:rsidR="001155DC">
        <w:rPr>
          <w:szCs w:val="18"/>
        </w:rPr>
        <w:t>;</w:t>
      </w:r>
      <w:r w:rsidR="007539BF">
        <w:rPr>
          <w:szCs w:val="18"/>
        </w:rPr>
        <w:t xml:space="preserve"> </w:t>
      </w:r>
      <w:r w:rsidRPr="000A3F33">
        <w:rPr>
          <w:szCs w:val="18"/>
        </w:rPr>
        <w:t>Bulgaria</w:t>
      </w:r>
      <w:r w:rsidR="000E4203">
        <w:rPr>
          <w:szCs w:val="18"/>
        </w:rPr>
        <w:t xml:space="preserve">, </w:t>
      </w:r>
      <w:r w:rsidR="007539BF">
        <w:rPr>
          <w:szCs w:val="18"/>
        </w:rPr>
        <w:t xml:space="preserve">Article </w:t>
      </w:r>
      <w:r w:rsidR="007539BF" w:rsidRPr="007539BF">
        <w:rPr>
          <w:szCs w:val="18"/>
        </w:rPr>
        <w:t>25 of the Law on Patents and Utility Model Registration No. 27/2 of 1993 as last amended on 20/07/2007</w:t>
      </w:r>
      <w:r w:rsidR="001155DC">
        <w:rPr>
          <w:szCs w:val="18"/>
        </w:rPr>
        <w:t>;</w:t>
      </w:r>
      <w:r w:rsidR="007539BF">
        <w:rPr>
          <w:szCs w:val="18"/>
        </w:rPr>
        <w:t xml:space="preserve"> Cuba, Article 88</w:t>
      </w:r>
      <w:r w:rsidR="007539BF" w:rsidRPr="007539BF">
        <w:rPr>
          <w:szCs w:val="18"/>
        </w:rPr>
        <w:t xml:space="preserve"> of the Decree-Law No. 290 of November 20, 2011 on Inventions and Industrial Designs and Models</w:t>
      </w:r>
      <w:r w:rsidRPr="000A3F33">
        <w:rPr>
          <w:szCs w:val="18"/>
        </w:rPr>
        <w:t>.</w:t>
      </w:r>
    </w:p>
  </w:footnote>
  <w:footnote w:id="94">
    <w:p w:rsidR="007539BF" w:rsidRPr="007539BF" w:rsidRDefault="007539BF" w:rsidP="001155DC">
      <w:pPr>
        <w:pStyle w:val="FootnoteText"/>
        <w:ind w:left="540" w:hanging="540"/>
      </w:pPr>
      <w:r>
        <w:rPr>
          <w:rStyle w:val="FootnoteReference"/>
        </w:rPr>
        <w:footnoteRef/>
      </w:r>
      <w:r>
        <w:t xml:space="preserve"> </w:t>
      </w:r>
      <w:r>
        <w:tab/>
        <w:t xml:space="preserve">For instance see:  Albania, </w:t>
      </w:r>
      <w:r w:rsidRPr="007539BF">
        <w:t>Article 31 of the Industrial Property Law No. 9977 of 07/07/2008</w:t>
      </w:r>
      <w:r>
        <w:t>; Denmark,</w:t>
      </w:r>
      <w:r w:rsidRPr="007539BF">
        <w:t xml:space="preserve"> Section 70 of the Consolidated Patents Act No. 108 of 24/01/2012</w:t>
      </w:r>
      <w:r w:rsidR="001155DC">
        <w:t xml:space="preserve">; India, Section 39 </w:t>
      </w:r>
      <w:r w:rsidR="001155DC" w:rsidRPr="001155DC">
        <w:t>of the Patents Act of 1970 as last amended by Act no. 15 of 2005</w:t>
      </w:r>
      <w:r w:rsidR="001155DC">
        <w:t xml:space="preserve">; Kenya, Article </w:t>
      </w:r>
      <w:r w:rsidR="001155DC" w:rsidRPr="001155DC">
        <w:t>28 of the Industrial Property Act of 27/07/2001</w:t>
      </w:r>
      <w:r w:rsidR="001155DC">
        <w:t>; and Pakistan, Section</w:t>
      </w:r>
      <w:r w:rsidR="001155DC" w:rsidRPr="001155DC">
        <w:t xml:space="preserve"> 26 of the Patents Ordinance No. </w:t>
      </w:r>
      <w:proofErr w:type="gramStart"/>
      <w:r w:rsidR="001155DC" w:rsidRPr="001155DC">
        <w:t>LXI of 2000</w:t>
      </w:r>
      <w:r w:rsidR="001155DC">
        <w:t>.</w:t>
      </w:r>
      <w:proofErr w:type="gramEnd"/>
    </w:p>
  </w:footnote>
  <w:footnote w:id="95">
    <w:p w:rsidR="006651E9" w:rsidRPr="006651E9" w:rsidRDefault="006651E9">
      <w:pPr>
        <w:pStyle w:val="FootnoteText"/>
      </w:pPr>
      <w:r>
        <w:rPr>
          <w:rStyle w:val="FootnoteReference"/>
        </w:rPr>
        <w:footnoteRef/>
      </w:r>
      <w:r>
        <w:t xml:space="preserve"> </w:t>
      </w:r>
      <w:r>
        <w:tab/>
      </w:r>
      <w:proofErr w:type="gramStart"/>
      <w:r>
        <w:t>Malaysia, M</w:t>
      </w:r>
      <w:r w:rsidR="00496CD1">
        <w:t>orocco, New Zealand and</w:t>
      </w:r>
      <w:r>
        <w:t xml:space="preserve"> Poland.</w:t>
      </w:r>
      <w:proofErr w:type="gramEnd"/>
    </w:p>
  </w:footnote>
  <w:footnote w:id="96">
    <w:p w:rsidR="00496CD1" w:rsidRPr="00496CD1" w:rsidRDefault="00496CD1">
      <w:pPr>
        <w:pStyle w:val="FootnoteText"/>
      </w:pPr>
      <w:r>
        <w:rPr>
          <w:rStyle w:val="FootnoteReference"/>
        </w:rPr>
        <w:footnoteRef/>
      </w:r>
      <w:r>
        <w:t xml:space="preserve"> </w:t>
      </w:r>
      <w:r>
        <w:tab/>
      </w:r>
      <w:proofErr w:type="gramStart"/>
      <w:r>
        <w:t xml:space="preserve">Section 132 </w:t>
      </w:r>
      <w:r w:rsidRPr="00496CD1">
        <w:t xml:space="preserve">of the </w:t>
      </w:r>
      <w:r>
        <w:t xml:space="preserve">New Zealand </w:t>
      </w:r>
      <w:r w:rsidRPr="00496CD1">
        <w:t>Patents Act No. 68 of 2013</w:t>
      </w:r>
      <w:r>
        <w:t>.</w:t>
      </w:r>
      <w:proofErr w:type="gramEnd"/>
    </w:p>
  </w:footnote>
  <w:footnote w:id="97">
    <w:p w:rsidR="00496CD1" w:rsidRPr="00496CD1" w:rsidRDefault="00496CD1">
      <w:pPr>
        <w:pStyle w:val="FootnoteText"/>
      </w:pPr>
      <w:r>
        <w:rPr>
          <w:rStyle w:val="FootnoteReference"/>
        </w:rPr>
        <w:footnoteRef/>
      </w:r>
      <w:r>
        <w:t xml:space="preserve"> </w:t>
      </w:r>
      <w:r>
        <w:tab/>
        <w:t xml:space="preserve">See Article </w:t>
      </w:r>
      <w:r w:rsidR="002F65E0" w:rsidRPr="002F65E0">
        <w:t xml:space="preserve">Articles 1349 </w:t>
      </w:r>
      <w:r w:rsidR="002F65E0">
        <w:t xml:space="preserve">(3) </w:t>
      </w:r>
      <w:r w:rsidR="002F65E0" w:rsidRPr="002F65E0">
        <w:t>of the Civil Code, Chapter 72</w:t>
      </w:r>
      <w:r w:rsidR="002F65E0">
        <w:t xml:space="preserve"> of the Russian Federation.</w:t>
      </w:r>
    </w:p>
  </w:footnote>
  <w:footnote w:id="98">
    <w:p w:rsidR="00D318C5" w:rsidRPr="00C119A0" w:rsidRDefault="00D318C5" w:rsidP="00BA39D6">
      <w:pPr>
        <w:pStyle w:val="FootnoteText"/>
        <w:tabs>
          <w:tab w:val="left" w:pos="567"/>
        </w:tabs>
        <w:ind w:left="567" w:hanging="567"/>
        <w:rPr>
          <w:szCs w:val="18"/>
        </w:rPr>
      </w:pPr>
      <w:r w:rsidRPr="00C119A0">
        <w:rPr>
          <w:rStyle w:val="FootnoteReference"/>
          <w:szCs w:val="18"/>
        </w:rPr>
        <w:footnoteRef/>
      </w:r>
      <w:r w:rsidRPr="00C119A0">
        <w:rPr>
          <w:szCs w:val="18"/>
        </w:rPr>
        <w:t xml:space="preserve"> </w:t>
      </w:r>
      <w:r>
        <w:rPr>
          <w:szCs w:val="18"/>
        </w:rPr>
        <w:tab/>
        <w:t xml:space="preserve">Some legislation on this matter </w:t>
      </w:r>
      <w:r w:rsidRPr="00C119A0">
        <w:rPr>
          <w:szCs w:val="18"/>
        </w:rPr>
        <w:t xml:space="preserve">also </w:t>
      </w:r>
      <w:r>
        <w:rPr>
          <w:szCs w:val="18"/>
        </w:rPr>
        <w:t xml:space="preserve">refers </w:t>
      </w:r>
      <w:r w:rsidRPr="00C119A0">
        <w:rPr>
          <w:szCs w:val="18"/>
        </w:rPr>
        <w:t xml:space="preserve">to nuclear energy.  The difference resides in the fact that while atomic energy deals with the atom in its </w:t>
      </w:r>
      <w:proofErr w:type="gramStart"/>
      <w:r w:rsidRPr="00C119A0">
        <w:rPr>
          <w:szCs w:val="18"/>
        </w:rPr>
        <w:t>entirety,</w:t>
      </w:r>
      <w:proofErr w:type="gramEnd"/>
      <w:r w:rsidRPr="00C119A0">
        <w:rPr>
          <w:szCs w:val="18"/>
        </w:rPr>
        <w:t xml:space="preserve"> nuclear energy deals only with the nucleus of the atom. </w:t>
      </w:r>
      <w:r>
        <w:rPr>
          <w:szCs w:val="18"/>
        </w:rPr>
        <w:t xml:space="preserve"> </w:t>
      </w:r>
      <w:r w:rsidRPr="00C119A0">
        <w:rPr>
          <w:szCs w:val="18"/>
        </w:rPr>
        <w:t>“The atom is the sm</w:t>
      </w:r>
      <w:r w:rsidRPr="00950F3B">
        <w:rPr>
          <w:szCs w:val="18"/>
        </w:rPr>
        <w:t xml:space="preserve">allest identifiable unit of matter. It has a nucleus which contains one or more protons and then one or more electrons orbiting in outer layers. </w:t>
      </w:r>
      <w:proofErr w:type="gramStart"/>
      <w:r w:rsidRPr="00950F3B">
        <w:rPr>
          <w:szCs w:val="18"/>
        </w:rPr>
        <w:t xml:space="preserve">The word nuclear in the phrase </w:t>
      </w:r>
      <w:r>
        <w:rPr>
          <w:szCs w:val="18"/>
        </w:rPr>
        <w:t>‘</w:t>
      </w:r>
      <w:r w:rsidRPr="00950F3B">
        <w:rPr>
          <w:szCs w:val="18"/>
        </w:rPr>
        <w:t>nuclear bomb</w:t>
      </w:r>
      <w:r>
        <w:rPr>
          <w:szCs w:val="18"/>
        </w:rPr>
        <w:t>’</w:t>
      </w:r>
      <w:r w:rsidRPr="00950F3B">
        <w:rPr>
          <w:szCs w:val="18"/>
        </w:rPr>
        <w:t xml:space="preserve"> means </w:t>
      </w:r>
      <w:r>
        <w:rPr>
          <w:szCs w:val="18"/>
        </w:rPr>
        <w:t>‘</w:t>
      </w:r>
      <w:r w:rsidRPr="00950F3B">
        <w:rPr>
          <w:szCs w:val="18"/>
        </w:rPr>
        <w:t>involving or related to atomic nuclei or an atomic nucleus</w:t>
      </w:r>
      <w:r>
        <w:rPr>
          <w:szCs w:val="18"/>
        </w:rPr>
        <w:t>’”</w:t>
      </w:r>
      <w:r w:rsidRPr="000A3F33">
        <w:rPr>
          <w:szCs w:val="18"/>
        </w:rPr>
        <w:t>.</w:t>
      </w:r>
      <w:proofErr w:type="gramEnd"/>
      <w:r w:rsidRPr="000A3F33">
        <w:rPr>
          <w:szCs w:val="18"/>
        </w:rPr>
        <w:t xml:space="preserve"> </w:t>
      </w:r>
      <w:r>
        <w:rPr>
          <w:szCs w:val="18"/>
        </w:rPr>
        <w:t xml:space="preserve"> </w:t>
      </w:r>
      <w:r w:rsidRPr="000A3F33">
        <w:rPr>
          <w:szCs w:val="18"/>
        </w:rPr>
        <w:t xml:space="preserve">See </w:t>
      </w:r>
      <w:hyperlink r:id="rId2" w:history="1">
        <w:r w:rsidR="00BA39D6" w:rsidRPr="000A3F33">
          <w:rPr>
            <w:rStyle w:val="Hyperlink"/>
            <w:szCs w:val="18"/>
          </w:rPr>
          <w:t>http://dictionary.reference.com/help/faq/language/d39.html</w:t>
        </w:r>
      </w:hyperlink>
      <w:r w:rsidR="00BA39D6">
        <w:rPr>
          <w:rStyle w:val="Hyperlink"/>
          <w:szCs w:val="18"/>
        </w:rPr>
        <w:t>.</w:t>
      </w:r>
    </w:p>
  </w:footnote>
  <w:footnote w:id="99">
    <w:p w:rsidR="00D318C5" w:rsidRPr="00C119A0" w:rsidRDefault="00D318C5" w:rsidP="00D37487">
      <w:pPr>
        <w:pStyle w:val="FootnoteText"/>
        <w:tabs>
          <w:tab w:val="left" w:pos="567"/>
        </w:tabs>
        <w:ind w:left="567" w:hanging="567"/>
        <w:rPr>
          <w:szCs w:val="18"/>
        </w:rPr>
      </w:pPr>
      <w:r w:rsidRPr="00C119A0">
        <w:rPr>
          <w:rStyle w:val="FootnoteReference"/>
          <w:szCs w:val="18"/>
        </w:rPr>
        <w:footnoteRef/>
      </w:r>
      <w:r w:rsidRPr="00C119A0">
        <w:rPr>
          <w:szCs w:val="18"/>
        </w:rPr>
        <w:t xml:space="preserve"> </w:t>
      </w:r>
      <w:r>
        <w:rPr>
          <w:szCs w:val="18"/>
        </w:rPr>
        <w:tab/>
      </w:r>
      <w:proofErr w:type="gramStart"/>
      <w:r w:rsidRPr="00C119A0">
        <w:rPr>
          <w:szCs w:val="18"/>
        </w:rPr>
        <w:t>Section 62 (3) (e) of the Intellectual Property Act No. 36 of 2003.</w:t>
      </w:r>
      <w:proofErr w:type="gramEnd"/>
    </w:p>
  </w:footnote>
  <w:footnote w:id="100">
    <w:p w:rsidR="00D318C5" w:rsidRPr="00C830EE" w:rsidRDefault="00D318C5" w:rsidP="00AE511B">
      <w:pPr>
        <w:pStyle w:val="FootnoteText"/>
        <w:tabs>
          <w:tab w:val="left" w:pos="567"/>
        </w:tabs>
        <w:ind w:left="567" w:hanging="567"/>
        <w:rPr>
          <w:szCs w:val="18"/>
        </w:rPr>
      </w:pPr>
      <w:r w:rsidRPr="00C119A0">
        <w:rPr>
          <w:rStyle w:val="FootnoteReference"/>
          <w:szCs w:val="18"/>
        </w:rPr>
        <w:footnoteRef/>
      </w:r>
      <w:r w:rsidRPr="00C119A0">
        <w:rPr>
          <w:szCs w:val="18"/>
        </w:rPr>
        <w:t xml:space="preserve"> </w:t>
      </w:r>
      <w:r>
        <w:rPr>
          <w:szCs w:val="18"/>
        </w:rPr>
        <w:tab/>
      </w:r>
      <w:r w:rsidRPr="00C119A0">
        <w:rPr>
          <w:szCs w:val="18"/>
        </w:rPr>
        <w:t>Section 22 of the Patent Act (R.S.</w:t>
      </w:r>
      <w:r w:rsidRPr="000A3F33">
        <w:rPr>
          <w:szCs w:val="18"/>
        </w:rPr>
        <w:t>C., 1985, c. P-4), as last amended on 21/09/2006</w:t>
      </w:r>
      <w:r>
        <w:rPr>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793" w:rsidRDefault="003967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8C5" w:rsidRDefault="00D318C5" w:rsidP="006A28E7">
    <w:pPr>
      <w:jc w:val="right"/>
    </w:pPr>
    <w:bookmarkStart w:id="20" w:name="Code2"/>
    <w:bookmarkEnd w:id="20"/>
    <w:r>
      <w:t>C</w:t>
    </w:r>
    <w:r w:rsidR="000042CF">
      <w:t>DIP/15/6</w:t>
    </w:r>
    <w:r w:rsidR="004E46C6">
      <w:t xml:space="preserve"> Corr.</w:t>
    </w:r>
  </w:p>
  <w:p w:rsidR="00D318C5" w:rsidRDefault="00D318C5" w:rsidP="00477D6B">
    <w:pPr>
      <w:jc w:val="right"/>
    </w:pPr>
    <w:proofErr w:type="gramStart"/>
    <w:r>
      <w:t>page</w:t>
    </w:r>
    <w:proofErr w:type="gramEnd"/>
    <w:r>
      <w:t xml:space="preserve"> </w:t>
    </w:r>
    <w:r>
      <w:fldChar w:fldCharType="begin"/>
    </w:r>
    <w:r>
      <w:instrText xml:space="preserve"> PAGE  \* MERGEFORMAT </w:instrText>
    </w:r>
    <w:r>
      <w:fldChar w:fldCharType="separate"/>
    </w:r>
    <w:r w:rsidR="002C1F33">
      <w:rPr>
        <w:noProof/>
      </w:rPr>
      <w:t>16</w:t>
    </w:r>
    <w:r>
      <w:fldChar w:fldCharType="end"/>
    </w:r>
  </w:p>
  <w:p w:rsidR="00D318C5" w:rsidRDefault="00D318C5"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793" w:rsidRDefault="003967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20D5331"/>
    <w:multiLevelType w:val="hybridMultilevel"/>
    <w:tmpl w:val="85348158"/>
    <w:lvl w:ilvl="0" w:tplc="DDC684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5C719FC"/>
    <w:multiLevelType w:val="hybridMultilevel"/>
    <w:tmpl w:val="1BB088C8"/>
    <w:lvl w:ilvl="0" w:tplc="F836BE5E">
      <w:start w:val="3"/>
      <w:numFmt w:val="lowerLetter"/>
      <w:lvlText w:val="%1)"/>
      <w:lvlJc w:val="left"/>
      <w:pPr>
        <w:ind w:left="2346"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4F5577"/>
    <w:multiLevelType w:val="hybridMultilevel"/>
    <w:tmpl w:val="20165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AA067A6"/>
    <w:multiLevelType w:val="hybridMultilevel"/>
    <w:tmpl w:val="9C2273D4"/>
    <w:lvl w:ilvl="0" w:tplc="F836BE5E">
      <w:start w:val="3"/>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nsid w:val="2EFB227C"/>
    <w:multiLevelType w:val="hybridMultilevel"/>
    <w:tmpl w:val="436C0436"/>
    <w:lvl w:ilvl="0" w:tplc="C4629B2C">
      <w:start w:val="1"/>
      <w:numFmt w:val="lowerRoman"/>
      <w:lvlText w:val="(%1)"/>
      <w:lvlJc w:val="left"/>
      <w:pPr>
        <w:ind w:left="1713" w:hanging="7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
    <w:nsid w:val="34A96AA1"/>
    <w:multiLevelType w:val="hybridMultilevel"/>
    <w:tmpl w:val="317007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901BA1"/>
    <w:multiLevelType w:val="hybridMultilevel"/>
    <w:tmpl w:val="76B0DC7A"/>
    <w:lvl w:ilvl="0" w:tplc="F5A0ADF6">
      <w:start w:val="1"/>
      <w:numFmt w:val="lowerLetter"/>
      <w:lvlText w:val="%1)"/>
      <w:lvlJc w:val="right"/>
      <w:pPr>
        <w:ind w:left="1800" w:hanging="360"/>
      </w:pPr>
      <w:rPr>
        <w:rFonts w:ascii="Arial" w:eastAsia="SimSu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A526E50"/>
    <w:multiLevelType w:val="hybridMultilevel"/>
    <w:tmpl w:val="FAD41B50"/>
    <w:lvl w:ilvl="0" w:tplc="E544246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8057DCE"/>
    <w:multiLevelType w:val="hybridMultilevel"/>
    <w:tmpl w:val="43349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3637A4"/>
    <w:multiLevelType w:val="hybridMultilevel"/>
    <w:tmpl w:val="B2806592"/>
    <w:lvl w:ilvl="0" w:tplc="8570BDDC">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AB06810"/>
    <w:multiLevelType w:val="hybridMultilevel"/>
    <w:tmpl w:val="3C9A4182"/>
    <w:lvl w:ilvl="0" w:tplc="CAEC6C32">
      <w:start w:val="1"/>
      <w:numFmt w:val="upp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B92445"/>
    <w:multiLevelType w:val="hybridMultilevel"/>
    <w:tmpl w:val="5A90A1A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DE377CE"/>
    <w:multiLevelType w:val="hybridMultilevel"/>
    <w:tmpl w:val="F1166B62"/>
    <w:lvl w:ilvl="0" w:tplc="F06AA1AC">
      <w:start w:val="1"/>
      <w:numFmt w:val="lowerRoman"/>
      <w:lvlText w:val="%1)"/>
      <w:lvlJc w:val="left"/>
      <w:pPr>
        <w:ind w:left="1857" w:hanging="720"/>
      </w:pPr>
      <w:rPr>
        <w:rFonts w:hint="default"/>
      </w:rPr>
    </w:lvl>
    <w:lvl w:ilvl="1" w:tplc="04090019" w:tentative="1">
      <w:start w:val="1"/>
      <w:numFmt w:val="lowerLetter"/>
      <w:lvlText w:val="%2."/>
      <w:lvlJc w:val="left"/>
      <w:pPr>
        <w:ind w:left="2217" w:hanging="360"/>
      </w:pPr>
    </w:lvl>
    <w:lvl w:ilvl="2" w:tplc="0409001B" w:tentative="1">
      <w:start w:val="1"/>
      <w:numFmt w:val="lowerRoman"/>
      <w:lvlText w:val="%3."/>
      <w:lvlJc w:val="right"/>
      <w:pPr>
        <w:ind w:left="2937" w:hanging="180"/>
      </w:pPr>
    </w:lvl>
    <w:lvl w:ilvl="3" w:tplc="0409000F" w:tentative="1">
      <w:start w:val="1"/>
      <w:numFmt w:val="decimal"/>
      <w:lvlText w:val="%4."/>
      <w:lvlJc w:val="left"/>
      <w:pPr>
        <w:ind w:left="3657" w:hanging="360"/>
      </w:pPr>
    </w:lvl>
    <w:lvl w:ilvl="4" w:tplc="04090019" w:tentative="1">
      <w:start w:val="1"/>
      <w:numFmt w:val="lowerLetter"/>
      <w:lvlText w:val="%5."/>
      <w:lvlJc w:val="left"/>
      <w:pPr>
        <w:ind w:left="4377" w:hanging="360"/>
      </w:pPr>
    </w:lvl>
    <w:lvl w:ilvl="5" w:tplc="0409001B" w:tentative="1">
      <w:start w:val="1"/>
      <w:numFmt w:val="lowerRoman"/>
      <w:lvlText w:val="%6."/>
      <w:lvlJc w:val="right"/>
      <w:pPr>
        <w:ind w:left="5097" w:hanging="180"/>
      </w:pPr>
    </w:lvl>
    <w:lvl w:ilvl="6" w:tplc="0409000F" w:tentative="1">
      <w:start w:val="1"/>
      <w:numFmt w:val="decimal"/>
      <w:lvlText w:val="%7."/>
      <w:lvlJc w:val="left"/>
      <w:pPr>
        <w:ind w:left="5817" w:hanging="360"/>
      </w:pPr>
    </w:lvl>
    <w:lvl w:ilvl="7" w:tplc="04090019" w:tentative="1">
      <w:start w:val="1"/>
      <w:numFmt w:val="lowerLetter"/>
      <w:lvlText w:val="%8."/>
      <w:lvlJc w:val="left"/>
      <w:pPr>
        <w:ind w:left="6537" w:hanging="360"/>
      </w:pPr>
    </w:lvl>
    <w:lvl w:ilvl="8" w:tplc="0409001B" w:tentative="1">
      <w:start w:val="1"/>
      <w:numFmt w:val="lowerRoman"/>
      <w:lvlText w:val="%9."/>
      <w:lvlJc w:val="right"/>
      <w:pPr>
        <w:ind w:left="7257" w:hanging="180"/>
      </w:pPr>
    </w:lvl>
  </w:abstractNum>
  <w:abstractNum w:abstractNumId="19">
    <w:nsid w:val="7C9A7022"/>
    <w:multiLevelType w:val="hybridMultilevel"/>
    <w:tmpl w:val="F140EDCA"/>
    <w:lvl w:ilvl="0" w:tplc="DE7CC4A8">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F31F09"/>
    <w:multiLevelType w:val="hybridMultilevel"/>
    <w:tmpl w:val="DCC89624"/>
    <w:lvl w:ilvl="0" w:tplc="C5F4C9B6">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0"/>
  </w:num>
  <w:num w:numId="4">
    <w:abstractNumId w:val="13"/>
  </w:num>
  <w:num w:numId="5">
    <w:abstractNumId w:val="2"/>
  </w:num>
  <w:num w:numId="6">
    <w:abstractNumId w:val="6"/>
  </w:num>
  <w:num w:numId="7">
    <w:abstractNumId w:val="20"/>
  </w:num>
  <w:num w:numId="8">
    <w:abstractNumId w:val="5"/>
  </w:num>
  <w:num w:numId="9">
    <w:abstractNumId w:val="18"/>
  </w:num>
  <w:num w:numId="10">
    <w:abstractNumId w:val="16"/>
  </w:num>
  <w:num w:numId="11">
    <w:abstractNumId w:val="15"/>
  </w:num>
  <w:num w:numId="12">
    <w:abstractNumId w:val="19"/>
  </w:num>
  <w:num w:numId="13">
    <w:abstractNumId w:val="14"/>
  </w:num>
  <w:num w:numId="14">
    <w:abstractNumId w:val="10"/>
  </w:num>
  <w:num w:numId="15">
    <w:abstractNumId w:val="1"/>
  </w:num>
  <w:num w:numId="16">
    <w:abstractNumId w:val="9"/>
  </w:num>
  <w:num w:numId="17">
    <w:abstractNumId w:val="7"/>
  </w:num>
  <w:num w:numId="18">
    <w:abstractNumId w:val="12"/>
  </w:num>
  <w:num w:numId="19">
    <w:abstractNumId w:val="17"/>
  </w:num>
  <w:num w:numId="20">
    <w:abstractNumId w:val="3"/>
  </w:num>
  <w:num w:numId="21">
    <w:abstractNumId w:val="8"/>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EF3"/>
    <w:rsid w:val="000016E8"/>
    <w:rsid w:val="00002C44"/>
    <w:rsid w:val="000042CF"/>
    <w:rsid w:val="00011C8B"/>
    <w:rsid w:val="00016EE2"/>
    <w:rsid w:val="000178F1"/>
    <w:rsid w:val="00020852"/>
    <w:rsid w:val="0002367C"/>
    <w:rsid w:val="00023D50"/>
    <w:rsid w:val="00024C2E"/>
    <w:rsid w:val="000309BD"/>
    <w:rsid w:val="00030B96"/>
    <w:rsid w:val="0003115B"/>
    <w:rsid w:val="00031B0D"/>
    <w:rsid w:val="000322AE"/>
    <w:rsid w:val="00033889"/>
    <w:rsid w:val="00040DFA"/>
    <w:rsid w:val="00041791"/>
    <w:rsid w:val="000421DF"/>
    <w:rsid w:val="0004329E"/>
    <w:rsid w:val="00043CAA"/>
    <w:rsid w:val="00050231"/>
    <w:rsid w:val="00051F24"/>
    <w:rsid w:val="000535B5"/>
    <w:rsid w:val="00053FE1"/>
    <w:rsid w:val="000554A3"/>
    <w:rsid w:val="00056B76"/>
    <w:rsid w:val="000571AE"/>
    <w:rsid w:val="000650EF"/>
    <w:rsid w:val="00065F47"/>
    <w:rsid w:val="00067054"/>
    <w:rsid w:val="00072AA5"/>
    <w:rsid w:val="00075114"/>
    <w:rsid w:val="00075432"/>
    <w:rsid w:val="00082130"/>
    <w:rsid w:val="0008457D"/>
    <w:rsid w:val="00087485"/>
    <w:rsid w:val="00087900"/>
    <w:rsid w:val="00094577"/>
    <w:rsid w:val="000948F1"/>
    <w:rsid w:val="000968ED"/>
    <w:rsid w:val="000A061F"/>
    <w:rsid w:val="000A075C"/>
    <w:rsid w:val="000A12C2"/>
    <w:rsid w:val="000A179E"/>
    <w:rsid w:val="000A3F18"/>
    <w:rsid w:val="000A3F33"/>
    <w:rsid w:val="000A487F"/>
    <w:rsid w:val="000A5320"/>
    <w:rsid w:val="000B2093"/>
    <w:rsid w:val="000B49E7"/>
    <w:rsid w:val="000B6B56"/>
    <w:rsid w:val="000B6D50"/>
    <w:rsid w:val="000C0C11"/>
    <w:rsid w:val="000C0CD7"/>
    <w:rsid w:val="000C3D56"/>
    <w:rsid w:val="000C4109"/>
    <w:rsid w:val="000C5176"/>
    <w:rsid w:val="000C770A"/>
    <w:rsid w:val="000D2AF6"/>
    <w:rsid w:val="000E0392"/>
    <w:rsid w:val="000E13DB"/>
    <w:rsid w:val="000E1A2A"/>
    <w:rsid w:val="000E2056"/>
    <w:rsid w:val="000E4203"/>
    <w:rsid w:val="000E4562"/>
    <w:rsid w:val="000E5185"/>
    <w:rsid w:val="000E5898"/>
    <w:rsid w:val="000F01F3"/>
    <w:rsid w:val="000F4C97"/>
    <w:rsid w:val="000F5E56"/>
    <w:rsid w:val="000F6401"/>
    <w:rsid w:val="001021BF"/>
    <w:rsid w:val="001021F6"/>
    <w:rsid w:val="001052F2"/>
    <w:rsid w:val="00105524"/>
    <w:rsid w:val="00106287"/>
    <w:rsid w:val="001103C8"/>
    <w:rsid w:val="0011258A"/>
    <w:rsid w:val="001155DC"/>
    <w:rsid w:val="0012181A"/>
    <w:rsid w:val="001240B3"/>
    <w:rsid w:val="001350E3"/>
    <w:rsid w:val="001362EE"/>
    <w:rsid w:val="001373D6"/>
    <w:rsid w:val="0013745F"/>
    <w:rsid w:val="001408CC"/>
    <w:rsid w:val="00147881"/>
    <w:rsid w:val="00152E0B"/>
    <w:rsid w:val="001549E4"/>
    <w:rsid w:val="00157E3C"/>
    <w:rsid w:val="00162DFB"/>
    <w:rsid w:val="001677A2"/>
    <w:rsid w:val="00170AF9"/>
    <w:rsid w:val="0017176F"/>
    <w:rsid w:val="00171D7D"/>
    <w:rsid w:val="00172156"/>
    <w:rsid w:val="001752FF"/>
    <w:rsid w:val="00175522"/>
    <w:rsid w:val="00176236"/>
    <w:rsid w:val="001771C7"/>
    <w:rsid w:val="00177D2E"/>
    <w:rsid w:val="001803B3"/>
    <w:rsid w:val="001832A6"/>
    <w:rsid w:val="00183592"/>
    <w:rsid w:val="001843EF"/>
    <w:rsid w:val="001844AB"/>
    <w:rsid w:val="00184849"/>
    <w:rsid w:val="00184BE9"/>
    <w:rsid w:val="001860EB"/>
    <w:rsid w:val="00187D6C"/>
    <w:rsid w:val="00192C69"/>
    <w:rsid w:val="001938DF"/>
    <w:rsid w:val="0019398F"/>
    <w:rsid w:val="001B0676"/>
    <w:rsid w:val="001B0BFD"/>
    <w:rsid w:val="001B47EE"/>
    <w:rsid w:val="001B5CD8"/>
    <w:rsid w:val="001B756C"/>
    <w:rsid w:val="001C0905"/>
    <w:rsid w:val="001C0E19"/>
    <w:rsid w:val="001C3FFB"/>
    <w:rsid w:val="001C7A8F"/>
    <w:rsid w:val="001D0678"/>
    <w:rsid w:val="001D48A5"/>
    <w:rsid w:val="001D50BB"/>
    <w:rsid w:val="001D63AB"/>
    <w:rsid w:val="001D7BCE"/>
    <w:rsid w:val="001E151A"/>
    <w:rsid w:val="001E3214"/>
    <w:rsid w:val="001E34DF"/>
    <w:rsid w:val="001E7D0F"/>
    <w:rsid w:val="001F1B78"/>
    <w:rsid w:val="001F24CB"/>
    <w:rsid w:val="001F29ED"/>
    <w:rsid w:val="001F2D8A"/>
    <w:rsid w:val="001F3CC6"/>
    <w:rsid w:val="001F5692"/>
    <w:rsid w:val="00210DAD"/>
    <w:rsid w:val="00214659"/>
    <w:rsid w:val="00220A46"/>
    <w:rsid w:val="00222C25"/>
    <w:rsid w:val="00226A9C"/>
    <w:rsid w:val="002328C4"/>
    <w:rsid w:val="00236BE5"/>
    <w:rsid w:val="00237161"/>
    <w:rsid w:val="00246C1E"/>
    <w:rsid w:val="00247460"/>
    <w:rsid w:val="002477AB"/>
    <w:rsid w:val="00247975"/>
    <w:rsid w:val="00251B91"/>
    <w:rsid w:val="002539A0"/>
    <w:rsid w:val="00257FE0"/>
    <w:rsid w:val="00260851"/>
    <w:rsid w:val="00260AA2"/>
    <w:rsid w:val="00261777"/>
    <w:rsid w:val="002634C4"/>
    <w:rsid w:val="002728FB"/>
    <w:rsid w:val="00272B35"/>
    <w:rsid w:val="00273322"/>
    <w:rsid w:val="00273CA5"/>
    <w:rsid w:val="002774C5"/>
    <w:rsid w:val="00284DB5"/>
    <w:rsid w:val="002865F5"/>
    <w:rsid w:val="0028729F"/>
    <w:rsid w:val="00287BD7"/>
    <w:rsid w:val="00287C3A"/>
    <w:rsid w:val="002928D3"/>
    <w:rsid w:val="00293CCC"/>
    <w:rsid w:val="002A0BFC"/>
    <w:rsid w:val="002A15D7"/>
    <w:rsid w:val="002A40CF"/>
    <w:rsid w:val="002A4EF3"/>
    <w:rsid w:val="002B15B3"/>
    <w:rsid w:val="002B2839"/>
    <w:rsid w:val="002B2906"/>
    <w:rsid w:val="002B3B82"/>
    <w:rsid w:val="002B3CF0"/>
    <w:rsid w:val="002B5D60"/>
    <w:rsid w:val="002C0B19"/>
    <w:rsid w:val="002C1623"/>
    <w:rsid w:val="002C1926"/>
    <w:rsid w:val="002C1F33"/>
    <w:rsid w:val="002C22B3"/>
    <w:rsid w:val="002C3EB7"/>
    <w:rsid w:val="002D203A"/>
    <w:rsid w:val="002D231B"/>
    <w:rsid w:val="002D3908"/>
    <w:rsid w:val="002D5DB8"/>
    <w:rsid w:val="002D5FD7"/>
    <w:rsid w:val="002D6C21"/>
    <w:rsid w:val="002E08B8"/>
    <w:rsid w:val="002E327F"/>
    <w:rsid w:val="002E7F1D"/>
    <w:rsid w:val="002F0B1D"/>
    <w:rsid w:val="002F148D"/>
    <w:rsid w:val="002F1FE6"/>
    <w:rsid w:val="002F27CB"/>
    <w:rsid w:val="002F37A8"/>
    <w:rsid w:val="002F46A9"/>
    <w:rsid w:val="002F4E68"/>
    <w:rsid w:val="002F65E0"/>
    <w:rsid w:val="002F6F0B"/>
    <w:rsid w:val="00303E8B"/>
    <w:rsid w:val="00305BA9"/>
    <w:rsid w:val="003070A4"/>
    <w:rsid w:val="00312F7F"/>
    <w:rsid w:val="00313171"/>
    <w:rsid w:val="00313268"/>
    <w:rsid w:val="00314EEA"/>
    <w:rsid w:val="0032074B"/>
    <w:rsid w:val="00322A75"/>
    <w:rsid w:val="00325C96"/>
    <w:rsid w:val="003346CB"/>
    <w:rsid w:val="00343BC7"/>
    <w:rsid w:val="00343E9E"/>
    <w:rsid w:val="003448DF"/>
    <w:rsid w:val="00347BF8"/>
    <w:rsid w:val="00350563"/>
    <w:rsid w:val="003512C8"/>
    <w:rsid w:val="003515FD"/>
    <w:rsid w:val="00356F33"/>
    <w:rsid w:val="00360095"/>
    <w:rsid w:val="00361450"/>
    <w:rsid w:val="00362298"/>
    <w:rsid w:val="00363AFD"/>
    <w:rsid w:val="003649A8"/>
    <w:rsid w:val="0036548F"/>
    <w:rsid w:val="003673CF"/>
    <w:rsid w:val="0037004D"/>
    <w:rsid w:val="00371A7F"/>
    <w:rsid w:val="00374147"/>
    <w:rsid w:val="00376A33"/>
    <w:rsid w:val="00380E56"/>
    <w:rsid w:val="0038371F"/>
    <w:rsid w:val="003845C1"/>
    <w:rsid w:val="00385748"/>
    <w:rsid w:val="00386F69"/>
    <w:rsid w:val="003941B5"/>
    <w:rsid w:val="00396793"/>
    <w:rsid w:val="00397183"/>
    <w:rsid w:val="003A1B22"/>
    <w:rsid w:val="003A6F89"/>
    <w:rsid w:val="003B28AF"/>
    <w:rsid w:val="003B38C1"/>
    <w:rsid w:val="003B4ED5"/>
    <w:rsid w:val="003C43CE"/>
    <w:rsid w:val="003D34C9"/>
    <w:rsid w:val="003D6C08"/>
    <w:rsid w:val="003E5EDB"/>
    <w:rsid w:val="003E63B0"/>
    <w:rsid w:val="003F1974"/>
    <w:rsid w:val="003F2E31"/>
    <w:rsid w:val="003F3739"/>
    <w:rsid w:val="003F3D53"/>
    <w:rsid w:val="003F4C6F"/>
    <w:rsid w:val="003F5B85"/>
    <w:rsid w:val="003F6B3E"/>
    <w:rsid w:val="004008E9"/>
    <w:rsid w:val="0040245C"/>
    <w:rsid w:val="0040645C"/>
    <w:rsid w:val="00412F25"/>
    <w:rsid w:val="004139F0"/>
    <w:rsid w:val="004148F1"/>
    <w:rsid w:val="0042029B"/>
    <w:rsid w:val="00421144"/>
    <w:rsid w:val="00423E3E"/>
    <w:rsid w:val="0042724B"/>
    <w:rsid w:val="00427AF4"/>
    <w:rsid w:val="004303B4"/>
    <w:rsid w:val="00435BE5"/>
    <w:rsid w:val="0044058B"/>
    <w:rsid w:val="00442BDF"/>
    <w:rsid w:val="00443F6E"/>
    <w:rsid w:val="0044651A"/>
    <w:rsid w:val="00446F7B"/>
    <w:rsid w:val="00450B3D"/>
    <w:rsid w:val="004555B4"/>
    <w:rsid w:val="004647DA"/>
    <w:rsid w:val="00473D2C"/>
    <w:rsid w:val="00473DDC"/>
    <w:rsid w:val="00474062"/>
    <w:rsid w:val="004743B7"/>
    <w:rsid w:val="00475045"/>
    <w:rsid w:val="0047595A"/>
    <w:rsid w:val="00477D6B"/>
    <w:rsid w:val="004819E4"/>
    <w:rsid w:val="0048243D"/>
    <w:rsid w:val="00483A2E"/>
    <w:rsid w:val="00485C47"/>
    <w:rsid w:val="00490697"/>
    <w:rsid w:val="004911A6"/>
    <w:rsid w:val="00491E8B"/>
    <w:rsid w:val="00493148"/>
    <w:rsid w:val="004960F7"/>
    <w:rsid w:val="00496B01"/>
    <w:rsid w:val="00496CD1"/>
    <w:rsid w:val="00496D26"/>
    <w:rsid w:val="004A058C"/>
    <w:rsid w:val="004A5654"/>
    <w:rsid w:val="004A5CEE"/>
    <w:rsid w:val="004A76B1"/>
    <w:rsid w:val="004B0678"/>
    <w:rsid w:val="004B18CC"/>
    <w:rsid w:val="004B24EC"/>
    <w:rsid w:val="004B5705"/>
    <w:rsid w:val="004B6F2C"/>
    <w:rsid w:val="004B77EE"/>
    <w:rsid w:val="004C266E"/>
    <w:rsid w:val="004C6B1F"/>
    <w:rsid w:val="004C6B9B"/>
    <w:rsid w:val="004C703A"/>
    <w:rsid w:val="004D62FD"/>
    <w:rsid w:val="004D7810"/>
    <w:rsid w:val="004E2703"/>
    <w:rsid w:val="004E33E0"/>
    <w:rsid w:val="004E46C6"/>
    <w:rsid w:val="004E5499"/>
    <w:rsid w:val="004E7B84"/>
    <w:rsid w:val="004F1E76"/>
    <w:rsid w:val="004F6A2B"/>
    <w:rsid w:val="004F7FCA"/>
    <w:rsid w:val="00500285"/>
    <w:rsid w:val="005019FF"/>
    <w:rsid w:val="00503139"/>
    <w:rsid w:val="0050646B"/>
    <w:rsid w:val="00506A59"/>
    <w:rsid w:val="005071C3"/>
    <w:rsid w:val="0051339D"/>
    <w:rsid w:val="00513B5D"/>
    <w:rsid w:val="0051544B"/>
    <w:rsid w:val="00515512"/>
    <w:rsid w:val="005164B6"/>
    <w:rsid w:val="00516FAD"/>
    <w:rsid w:val="00517281"/>
    <w:rsid w:val="00517770"/>
    <w:rsid w:val="00520F57"/>
    <w:rsid w:val="00522A44"/>
    <w:rsid w:val="00522C56"/>
    <w:rsid w:val="005246CC"/>
    <w:rsid w:val="0052473B"/>
    <w:rsid w:val="005258B1"/>
    <w:rsid w:val="005273D2"/>
    <w:rsid w:val="005279AD"/>
    <w:rsid w:val="0053057A"/>
    <w:rsid w:val="005322A4"/>
    <w:rsid w:val="0053368C"/>
    <w:rsid w:val="00543531"/>
    <w:rsid w:val="00545D80"/>
    <w:rsid w:val="00547F46"/>
    <w:rsid w:val="00554861"/>
    <w:rsid w:val="00560A29"/>
    <w:rsid w:val="0056134D"/>
    <w:rsid w:val="00561742"/>
    <w:rsid w:val="005617F1"/>
    <w:rsid w:val="00561B0C"/>
    <w:rsid w:val="00561C41"/>
    <w:rsid w:val="00562497"/>
    <w:rsid w:val="00567F59"/>
    <w:rsid w:val="00571630"/>
    <w:rsid w:val="0057392E"/>
    <w:rsid w:val="005776A1"/>
    <w:rsid w:val="00594A18"/>
    <w:rsid w:val="005953FB"/>
    <w:rsid w:val="00597406"/>
    <w:rsid w:val="00597A7B"/>
    <w:rsid w:val="005A2160"/>
    <w:rsid w:val="005A4248"/>
    <w:rsid w:val="005A4945"/>
    <w:rsid w:val="005B3174"/>
    <w:rsid w:val="005B36C9"/>
    <w:rsid w:val="005C11D8"/>
    <w:rsid w:val="005C2F64"/>
    <w:rsid w:val="005C3780"/>
    <w:rsid w:val="005C5AB0"/>
    <w:rsid w:val="005C5E4C"/>
    <w:rsid w:val="005C6649"/>
    <w:rsid w:val="005C739C"/>
    <w:rsid w:val="005D0927"/>
    <w:rsid w:val="005D43D1"/>
    <w:rsid w:val="005D6879"/>
    <w:rsid w:val="005D794C"/>
    <w:rsid w:val="005D7AF6"/>
    <w:rsid w:val="005E13DA"/>
    <w:rsid w:val="005F0CF0"/>
    <w:rsid w:val="005F2331"/>
    <w:rsid w:val="005F3D87"/>
    <w:rsid w:val="00602C5A"/>
    <w:rsid w:val="00604121"/>
    <w:rsid w:val="00604674"/>
    <w:rsid w:val="00604E17"/>
    <w:rsid w:val="00605827"/>
    <w:rsid w:val="00605DA7"/>
    <w:rsid w:val="006107B4"/>
    <w:rsid w:val="006121C0"/>
    <w:rsid w:val="00614A5F"/>
    <w:rsid w:val="00617DD1"/>
    <w:rsid w:val="006200E0"/>
    <w:rsid w:val="006240A2"/>
    <w:rsid w:val="00625543"/>
    <w:rsid w:val="00626E18"/>
    <w:rsid w:val="00630650"/>
    <w:rsid w:val="00631D12"/>
    <w:rsid w:val="006340D7"/>
    <w:rsid w:val="0063518F"/>
    <w:rsid w:val="00635B55"/>
    <w:rsid w:val="00635C09"/>
    <w:rsid w:val="006425BC"/>
    <w:rsid w:val="0064287D"/>
    <w:rsid w:val="00644E93"/>
    <w:rsid w:val="0064559F"/>
    <w:rsid w:val="00646050"/>
    <w:rsid w:val="00651667"/>
    <w:rsid w:val="006620BA"/>
    <w:rsid w:val="00662619"/>
    <w:rsid w:val="00662B48"/>
    <w:rsid w:val="006651E9"/>
    <w:rsid w:val="0066695D"/>
    <w:rsid w:val="00670F8B"/>
    <w:rsid w:val="006713CA"/>
    <w:rsid w:val="00676C5C"/>
    <w:rsid w:val="00676EAC"/>
    <w:rsid w:val="00681115"/>
    <w:rsid w:val="006834B7"/>
    <w:rsid w:val="00693F70"/>
    <w:rsid w:val="00694ED7"/>
    <w:rsid w:val="00694F7A"/>
    <w:rsid w:val="00696C3A"/>
    <w:rsid w:val="006970C7"/>
    <w:rsid w:val="006A086E"/>
    <w:rsid w:val="006A123F"/>
    <w:rsid w:val="006A158B"/>
    <w:rsid w:val="006A28E7"/>
    <w:rsid w:val="006B07C5"/>
    <w:rsid w:val="006B4535"/>
    <w:rsid w:val="006B4ECC"/>
    <w:rsid w:val="006B7B13"/>
    <w:rsid w:val="006C172D"/>
    <w:rsid w:val="006C20B0"/>
    <w:rsid w:val="006C23B4"/>
    <w:rsid w:val="006C3AAC"/>
    <w:rsid w:val="006C5D38"/>
    <w:rsid w:val="006C6374"/>
    <w:rsid w:val="006C7473"/>
    <w:rsid w:val="006D18B1"/>
    <w:rsid w:val="006D2219"/>
    <w:rsid w:val="006D660A"/>
    <w:rsid w:val="006D6635"/>
    <w:rsid w:val="006E3C74"/>
    <w:rsid w:val="006E3D2B"/>
    <w:rsid w:val="006F4EB2"/>
    <w:rsid w:val="006F69E0"/>
    <w:rsid w:val="006F69F5"/>
    <w:rsid w:val="007006B9"/>
    <w:rsid w:val="00701071"/>
    <w:rsid w:val="0070163A"/>
    <w:rsid w:val="00707823"/>
    <w:rsid w:val="0071210A"/>
    <w:rsid w:val="007131FA"/>
    <w:rsid w:val="00724B9E"/>
    <w:rsid w:val="00725AC6"/>
    <w:rsid w:val="00726F33"/>
    <w:rsid w:val="007324A7"/>
    <w:rsid w:val="00734828"/>
    <w:rsid w:val="007351F4"/>
    <w:rsid w:val="00736C4F"/>
    <w:rsid w:val="0073724C"/>
    <w:rsid w:val="007372BF"/>
    <w:rsid w:val="007376F8"/>
    <w:rsid w:val="007403DF"/>
    <w:rsid w:val="00742E45"/>
    <w:rsid w:val="0074565A"/>
    <w:rsid w:val="007460C2"/>
    <w:rsid w:val="00752229"/>
    <w:rsid w:val="007524B7"/>
    <w:rsid w:val="007538DB"/>
    <w:rsid w:val="007539BF"/>
    <w:rsid w:val="00754FD4"/>
    <w:rsid w:val="0075539F"/>
    <w:rsid w:val="00757DA0"/>
    <w:rsid w:val="00762FB0"/>
    <w:rsid w:val="0076523C"/>
    <w:rsid w:val="00765423"/>
    <w:rsid w:val="00766C0E"/>
    <w:rsid w:val="00773755"/>
    <w:rsid w:val="007762DA"/>
    <w:rsid w:val="007770DD"/>
    <w:rsid w:val="007773D0"/>
    <w:rsid w:val="00780F87"/>
    <w:rsid w:val="007811E2"/>
    <w:rsid w:val="00781962"/>
    <w:rsid w:val="00787A5A"/>
    <w:rsid w:val="007900C3"/>
    <w:rsid w:val="007913A8"/>
    <w:rsid w:val="00796369"/>
    <w:rsid w:val="00797497"/>
    <w:rsid w:val="00797FF0"/>
    <w:rsid w:val="007A23C6"/>
    <w:rsid w:val="007A31C7"/>
    <w:rsid w:val="007A3882"/>
    <w:rsid w:val="007A41DA"/>
    <w:rsid w:val="007A580F"/>
    <w:rsid w:val="007A60FC"/>
    <w:rsid w:val="007A7A40"/>
    <w:rsid w:val="007B0F79"/>
    <w:rsid w:val="007B3BFF"/>
    <w:rsid w:val="007B429D"/>
    <w:rsid w:val="007B757B"/>
    <w:rsid w:val="007C07B5"/>
    <w:rsid w:val="007C3DCF"/>
    <w:rsid w:val="007C457E"/>
    <w:rsid w:val="007C7143"/>
    <w:rsid w:val="007D14DA"/>
    <w:rsid w:val="007D1613"/>
    <w:rsid w:val="007D36AC"/>
    <w:rsid w:val="007D5CE6"/>
    <w:rsid w:val="007D7EFF"/>
    <w:rsid w:val="007E21AF"/>
    <w:rsid w:val="007F04AD"/>
    <w:rsid w:val="007F2829"/>
    <w:rsid w:val="007F3317"/>
    <w:rsid w:val="00800834"/>
    <w:rsid w:val="0080214E"/>
    <w:rsid w:val="0080490A"/>
    <w:rsid w:val="00807DE6"/>
    <w:rsid w:val="00807E56"/>
    <w:rsid w:val="0081013D"/>
    <w:rsid w:val="00810879"/>
    <w:rsid w:val="00811C6C"/>
    <w:rsid w:val="00816237"/>
    <w:rsid w:val="00822654"/>
    <w:rsid w:val="008242AE"/>
    <w:rsid w:val="0082514B"/>
    <w:rsid w:val="008255EA"/>
    <w:rsid w:val="00830B8F"/>
    <w:rsid w:val="00830C20"/>
    <w:rsid w:val="00832BA8"/>
    <w:rsid w:val="00834DBC"/>
    <w:rsid w:val="00837299"/>
    <w:rsid w:val="00837575"/>
    <w:rsid w:val="0084010B"/>
    <w:rsid w:val="00843858"/>
    <w:rsid w:val="00846A19"/>
    <w:rsid w:val="00852E36"/>
    <w:rsid w:val="008534D6"/>
    <w:rsid w:val="0085725C"/>
    <w:rsid w:val="00860E02"/>
    <w:rsid w:val="00861C00"/>
    <w:rsid w:val="008642C8"/>
    <w:rsid w:val="00866795"/>
    <w:rsid w:val="008672A5"/>
    <w:rsid w:val="008677F1"/>
    <w:rsid w:val="008733A1"/>
    <w:rsid w:val="00874E32"/>
    <w:rsid w:val="00881879"/>
    <w:rsid w:val="00885C87"/>
    <w:rsid w:val="00885D9A"/>
    <w:rsid w:val="0089276C"/>
    <w:rsid w:val="0089411C"/>
    <w:rsid w:val="00894EE8"/>
    <w:rsid w:val="00896BCD"/>
    <w:rsid w:val="008A3D9C"/>
    <w:rsid w:val="008A4EAE"/>
    <w:rsid w:val="008A60B6"/>
    <w:rsid w:val="008B11FA"/>
    <w:rsid w:val="008B22B8"/>
    <w:rsid w:val="008B2CC1"/>
    <w:rsid w:val="008B534C"/>
    <w:rsid w:val="008B60B2"/>
    <w:rsid w:val="008C0589"/>
    <w:rsid w:val="008C3EE7"/>
    <w:rsid w:val="008C5F01"/>
    <w:rsid w:val="008D049E"/>
    <w:rsid w:val="008D04EA"/>
    <w:rsid w:val="008D38C4"/>
    <w:rsid w:val="008D5154"/>
    <w:rsid w:val="008D6E7A"/>
    <w:rsid w:val="008D7964"/>
    <w:rsid w:val="008D7D78"/>
    <w:rsid w:val="008E04ED"/>
    <w:rsid w:val="008E2B2E"/>
    <w:rsid w:val="008F1588"/>
    <w:rsid w:val="008F3127"/>
    <w:rsid w:val="008F4D43"/>
    <w:rsid w:val="008F4D9E"/>
    <w:rsid w:val="008F5483"/>
    <w:rsid w:val="008F5765"/>
    <w:rsid w:val="008F7EBC"/>
    <w:rsid w:val="00902EB1"/>
    <w:rsid w:val="00903C21"/>
    <w:rsid w:val="00904414"/>
    <w:rsid w:val="00905FA2"/>
    <w:rsid w:val="0090731E"/>
    <w:rsid w:val="0091124D"/>
    <w:rsid w:val="0091399A"/>
    <w:rsid w:val="009157AB"/>
    <w:rsid w:val="00916CE3"/>
    <w:rsid w:val="00916EE2"/>
    <w:rsid w:val="0091753C"/>
    <w:rsid w:val="00922455"/>
    <w:rsid w:val="009232FC"/>
    <w:rsid w:val="00924F63"/>
    <w:rsid w:val="0093158E"/>
    <w:rsid w:val="00934FFA"/>
    <w:rsid w:val="0093503E"/>
    <w:rsid w:val="00940154"/>
    <w:rsid w:val="00944BB1"/>
    <w:rsid w:val="0095012D"/>
    <w:rsid w:val="00950E2E"/>
    <w:rsid w:val="00950F3B"/>
    <w:rsid w:val="00951A12"/>
    <w:rsid w:val="00953C9C"/>
    <w:rsid w:val="0095624F"/>
    <w:rsid w:val="009568DF"/>
    <w:rsid w:val="0096029E"/>
    <w:rsid w:val="00964776"/>
    <w:rsid w:val="009656CA"/>
    <w:rsid w:val="0096602B"/>
    <w:rsid w:val="00966A22"/>
    <w:rsid w:val="009671BF"/>
    <w:rsid w:val="0096722F"/>
    <w:rsid w:val="009718A5"/>
    <w:rsid w:val="0097584A"/>
    <w:rsid w:val="00980843"/>
    <w:rsid w:val="00980F81"/>
    <w:rsid w:val="00993443"/>
    <w:rsid w:val="0099519C"/>
    <w:rsid w:val="0099546F"/>
    <w:rsid w:val="0099734A"/>
    <w:rsid w:val="00997577"/>
    <w:rsid w:val="00997A6B"/>
    <w:rsid w:val="009A0302"/>
    <w:rsid w:val="009A240A"/>
    <w:rsid w:val="009A2807"/>
    <w:rsid w:val="009A581D"/>
    <w:rsid w:val="009B0698"/>
    <w:rsid w:val="009B0E36"/>
    <w:rsid w:val="009B5772"/>
    <w:rsid w:val="009C1E3F"/>
    <w:rsid w:val="009C24C7"/>
    <w:rsid w:val="009C4BDA"/>
    <w:rsid w:val="009C68C9"/>
    <w:rsid w:val="009D064C"/>
    <w:rsid w:val="009D0A5A"/>
    <w:rsid w:val="009D1C69"/>
    <w:rsid w:val="009D3F4F"/>
    <w:rsid w:val="009D4F14"/>
    <w:rsid w:val="009D6BA5"/>
    <w:rsid w:val="009D7DEF"/>
    <w:rsid w:val="009E105C"/>
    <w:rsid w:val="009E2398"/>
    <w:rsid w:val="009E2791"/>
    <w:rsid w:val="009E3F6F"/>
    <w:rsid w:val="009E46EF"/>
    <w:rsid w:val="009E4D86"/>
    <w:rsid w:val="009E592D"/>
    <w:rsid w:val="009E6BD3"/>
    <w:rsid w:val="009E6F26"/>
    <w:rsid w:val="009E76CD"/>
    <w:rsid w:val="009F2935"/>
    <w:rsid w:val="009F499F"/>
    <w:rsid w:val="009F5A4D"/>
    <w:rsid w:val="009F72D6"/>
    <w:rsid w:val="009F7BD7"/>
    <w:rsid w:val="00A04DFD"/>
    <w:rsid w:val="00A05982"/>
    <w:rsid w:val="00A06B9A"/>
    <w:rsid w:val="00A11986"/>
    <w:rsid w:val="00A11EEF"/>
    <w:rsid w:val="00A16A3C"/>
    <w:rsid w:val="00A17C79"/>
    <w:rsid w:val="00A21C25"/>
    <w:rsid w:val="00A22EC1"/>
    <w:rsid w:val="00A25155"/>
    <w:rsid w:val="00A25868"/>
    <w:rsid w:val="00A30069"/>
    <w:rsid w:val="00A30741"/>
    <w:rsid w:val="00A30EBA"/>
    <w:rsid w:val="00A42DAF"/>
    <w:rsid w:val="00A45BD8"/>
    <w:rsid w:val="00A463C2"/>
    <w:rsid w:val="00A51DAB"/>
    <w:rsid w:val="00A53AE6"/>
    <w:rsid w:val="00A55C51"/>
    <w:rsid w:val="00A61A55"/>
    <w:rsid w:val="00A62571"/>
    <w:rsid w:val="00A64086"/>
    <w:rsid w:val="00A7104F"/>
    <w:rsid w:val="00A76863"/>
    <w:rsid w:val="00A77253"/>
    <w:rsid w:val="00A8132E"/>
    <w:rsid w:val="00A821AF"/>
    <w:rsid w:val="00A83020"/>
    <w:rsid w:val="00A834E6"/>
    <w:rsid w:val="00A852DB"/>
    <w:rsid w:val="00A85D91"/>
    <w:rsid w:val="00A86780"/>
    <w:rsid w:val="00A869B7"/>
    <w:rsid w:val="00A9051E"/>
    <w:rsid w:val="00A95D60"/>
    <w:rsid w:val="00AA099B"/>
    <w:rsid w:val="00AA0D3C"/>
    <w:rsid w:val="00AA36D4"/>
    <w:rsid w:val="00AA38F0"/>
    <w:rsid w:val="00AB01CF"/>
    <w:rsid w:val="00AB13A3"/>
    <w:rsid w:val="00AB2829"/>
    <w:rsid w:val="00AB5ABB"/>
    <w:rsid w:val="00AC1B29"/>
    <w:rsid w:val="00AC205C"/>
    <w:rsid w:val="00AC291B"/>
    <w:rsid w:val="00AC2EDD"/>
    <w:rsid w:val="00AC307F"/>
    <w:rsid w:val="00AC6370"/>
    <w:rsid w:val="00AC6DB6"/>
    <w:rsid w:val="00AC6F98"/>
    <w:rsid w:val="00AC77E5"/>
    <w:rsid w:val="00AD1F14"/>
    <w:rsid w:val="00AD3949"/>
    <w:rsid w:val="00AD5129"/>
    <w:rsid w:val="00AD7424"/>
    <w:rsid w:val="00AE3026"/>
    <w:rsid w:val="00AE511B"/>
    <w:rsid w:val="00AE572A"/>
    <w:rsid w:val="00AE6819"/>
    <w:rsid w:val="00AF0A6B"/>
    <w:rsid w:val="00AF1A04"/>
    <w:rsid w:val="00AF204E"/>
    <w:rsid w:val="00AF5B31"/>
    <w:rsid w:val="00AF5C38"/>
    <w:rsid w:val="00AF60F1"/>
    <w:rsid w:val="00AF7EDD"/>
    <w:rsid w:val="00B007D7"/>
    <w:rsid w:val="00B03247"/>
    <w:rsid w:val="00B0472F"/>
    <w:rsid w:val="00B0549D"/>
    <w:rsid w:val="00B05A69"/>
    <w:rsid w:val="00B07D01"/>
    <w:rsid w:val="00B10766"/>
    <w:rsid w:val="00B11746"/>
    <w:rsid w:val="00B11FF5"/>
    <w:rsid w:val="00B1420B"/>
    <w:rsid w:val="00B1589E"/>
    <w:rsid w:val="00B25B8C"/>
    <w:rsid w:val="00B30353"/>
    <w:rsid w:val="00B31F80"/>
    <w:rsid w:val="00B32671"/>
    <w:rsid w:val="00B35C01"/>
    <w:rsid w:val="00B373B1"/>
    <w:rsid w:val="00B40558"/>
    <w:rsid w:val="00B40BF5"/>
    <w:rsid w:val="00B46F9C"/>
    <w:rsid w:val="00B47B38"/>
    <w:rsid w:val="00B537FA"/>
    <w:rsid w:val="00B554CE"/>
    <w:rsid w:val="00B563A9"/>
    <w:rsid w:val="00B57AA8"/>
    <w:rsid w:val="00B57E9F"/>
    <w:rsid w:val="00B64E45"/>
    <w:rsid w:val="00B655EB"/>
    <w:rsid w:val="00B666D0"/>
    <w:rsid w:val="00B668DF"/>
    <w:rsid w:val="00B71A54"/>
    <w:rsid w:val="00B71FDC"/>
    <w:rsid w:val="00B72DD4"/>
    <w:rsid w:val="00B73691"/>
    <w:rsid w:val="00B73A1D"/>
    <w:rsid w:val="00B84098"/>
    <w:rsid w:val="00B858BA"/>
    <w:rsid w:val="00B8787F"/>
    <w:rsid w:val="00B902FE"/>
    <w:rsid w:val="00B92244"/>
    <w:rsid w:val="00B9728F"/>
    <w:rsid w:val="00B9734B"/>
    <w:rsid w:val="00BA2C31"/>
    <w:rsid w:val="00BA39D6"/>
    <w:rsid w:val="00BA57CD"/>
    <w:rsid w:val="00BB20D0"/>
    <w:rsid w:val="00BB3D2D"/>
    <w:rsid w:val="00BB4AF2"/>
    <w:rsid w:val="00BB5194"/>
    <w:rsid w:val="00BB5AD2"/>
    <w:rsid w:val="00BB7505"/>
    <w:rsid w:val="00BC14DE"/>
    <w:rsid w:val="00BC1DCE"/>
    <w:rsid w:val="00BC3227"/>
    <w:rsid w:val="00BC65B1"/>
    <w:rsid w:val="00BD204B"/>
    <w:rsid w:val="00BD3FDB"/>
    <w:rsid w:val="00BD7151"/>
    <w:rsid w:val="00BD768D"/>
    <w:rsid w:val="00BE12D3"/>
    <w:rsid w:val="00BE327E"/>
    <w:rsid w:val="00BE38C8"/>
    <w:rsid w:val="00BE4D22"/>
    <w:rsid w:val="00BF106D"/>
    <w:rsid w:val="00BF1A3C"/>
    <w:rsid w:val="00BF37D6"/>
    <w:rsid w:val="00BF5D35"/>
    <w:rsid w:val="00BF678D"/>
    <w:rsid w:val="00BF6FDE"/>
    <w:rsid w:val="00C06FDC"/>
    <w:rsid w:val="00C112C0"/>
    <w:rsid w:val="00C1134A"/>
    <w:rsid w:val="00C119A0"/>
    <w:rsid w:val="00C11BFE"/>
    <w:rsid w:val="00C14D0D"/>
    <w:rsid w:val="00C2035E"/>
    <w:rsid w:val="00C23748"/>
    <w:rsid w:val="00C25956"/>
    <w:rsid w:val="00C273F1"/>
    <w:rsid w:val="00C31B33"/>
    <w:rsid w:val="00C337A1"/>
    <w:rsid w:val="00C40328"/>
    <w:rsid w:val="00C46734"/>
    <w:rsid w:val="00C50634"/>
    <w:rsid w:val="00C50837"/>
    <w:rsid w:val="00C51786"/>
    <w:rsid w:val="00C525BF"/>
    <w:rsid w:val="00C52900"/>
    <w:rsid w:val="00C52FB9"/>
    <w:rsid w:val="00C54AEE"/>
    <w:rsid w:val="00C566C9"/>
    <w:rsid w:val="00C56B9E"/>
    <w:rsid w:val="00C573D2"/>
    <w:rsid w:val="00C60F01"/>
    <w:rsid w:val="00C61740"/>
    <w:rsid w:val="00C63950"/>
    <w:rsid w:val="00C67B00"/>
    <w:rsid w:val="00C700E3"/>
    <w:rsid w:val="00C709BD"/>
    <w:rsid w:val="00C7176F"/>
    <w:rsid w:val="00C72B48"/>
    <w:rsid w:val="00C72B66"/>
    <w:rsid w:val="00C75ACD"/>
    <w:rsid w:val="00C7641F"/>
    <w:rsid w:val="00C800BE"/>
    <w:rsid w:val="00C82C0E"/>
    <w:rsid w:val="00C830EE"/>
    <w:rsid w:val="00C87270"/>
    <w:rsid w:val="00C90118"/>
    <w:rsid w:val="00C902AF"/>
    <w:rsid w:val="00C91850"/>
    <w:rsid w:val="00C918C1"/>
    <w:rsid w:val="00C950CC"/>
    <w:rsid w:val="00C9591D"/>
    <w:rsid w:val="00C96F04"/>
    <w:rsid w:val="00C97785"/>
    <w:rsid w:val="00CA605C"/>
    <w:rsid w:val="00CB0A43"/>
    <w:rsid w:val="00CB7A4A"/>
    <w:rsid w:val="00CD0FA7"/>
    <w:rsid w:val="00CD10B2"/>
    <w:rsid w:val="00CD1B09"/>
    <w:rsid w:val="00CD1E22"/>
    <w:rsid w:val="00CE1653"/>
    <w:rsid w:val="00CE7246"/>
    <w:rsid w:val="00CF0D05"/>
    <w:rsid w:val="00CF1419"/>
    <w:rsid w:val="00CF16DE"/>
    <w:rsid w:val="00CF2189"/>
    <w:rsid w:val="00CF2DDF"/>
    <w:rsid w:val="00CF5C35"/>
    <w:rsid w:val="00D017EC"/>
    <w:rsid w:val="00D02659"/>
    <w:rsid w:val="00D02BBC"/>
    <w:rsid w:val="00D04AC0"/>
    <w:rsid w:val="00D06C8D"/>
    <w:rsid w:val="00D0724A"/>
    <w:rsid w:val="00D1084E"/>
    <w:rsid w:val="00D1738E"/>
    <w:rsid w:val="00D174F5"/>
    <w:rsid w:val="00D2186E"/>
    <w:rsid w:val="00D24A51"/>
    <w:rsid w:val="00D262F7"/>
    <w:rsid w:val="00D26D10"/>
    <w:rsid w:val="00D318C5"/>
    <w:rsid w:val="00D33171"/>
    <w:rsid w:val="00D33418"/>
    <w:rsid w:val="00D33FB4"/>
    <w:rsid w:val="00D344C1"/>
    <w:rsid w:val="00D37487"/>
    <w:rsid w:val="00D414EC"/>
    <w:rsid w:val="00D4167F"/>
    <w:rsid w:val="00D41780"/>
    <w:rsid w:val="00D41EDF"/>
    <w:rsid w:val="00D45252"/>
    <w:rsid w:val="00D4632E"/>
    <w:rsid w:val="00D51179"/>
    <w:rsid w:val="00D51421"/>
    <w:rsid w:val="00D53BC5"/>
    <w:rsid w:val="00D55719"/>
    <w:rsid w:val="00D56994"/>
    <w:rsid w:val="00D6378D"/>
    <w:rsid w:val="00D66581"/>
    <w:rsid w:val="00D67402"/>
    <w:rsid w:val="00D70813"/>
    <w:rsid w:val="00D71B4D"/>
    <w:rsid w:val="00D75D39"/>
    <w:rsid w:val="00D807B8"/>
    <w:rsid w:val="00D80C0C"/>
    <w:rsid w:val="00D83251"/>
    <w:rsid w:val="00D843CA"/>
    <w:rsid w:val="00D910A0"/>
    <w:rsid w:val="00D93529"/>
    <w:rsid w:val="00D93A73"/>
    <w:rsid w:val="00D93D55"/>
    <w:rsid w:val="00D976F9"/>
    <w:rsid w:val="00DA040E"/>
    <w:rsid w:val="00DA0CA2"/>
    <w:rsid w:val="00DA12BA"/>
    <w:rsid w:val="00DA65C4"/>
    <w:rsid w:val="00DB0911"/>
    <w:rsid w:val="00DB0CA4"/>
    <w:rsid w:val="00DB22E2"/>
    <w:rsid w:val="00DB5349"/>
    <w:rsid w:val="00DB6190"/>
    <w:rsid w:val="00DB7DF8"/>
    <w:rsid w:val="00DB7FB6"/>
    <w:rsid w:val="00DC0278"/>
    <w:rsid w:val="00DC26C0"/>
    <w:rsid w:val="00DC3D35"/>
    <w:rsid w:val="00DC47AC"/>
    <w:rsid w:val="00DC6921"/>
    <w:rsid w:val="00DD4A38"/>
    <w:rsid w:val="00DD547B"/>
    <w:rsid w:val="00DE0E94"/>
    <w:rsid w:val="00DE34F9"/>
    <w:rsid w:val="00DF14BE"/>
    <w:rsid w:val="00DF5F65"/>
    <w:rsid w:val="00DF6BA9"/>
    <w:rsid w:val="00E03C71"/>
    <w:rsid w:val="00E04B4B"/>
    <w:rsid w:val="00E05C69"/>
    <w:rsid w:val="00E11CE6"/>
    <w:rsid w:val="00E1222D"/>
    <w:rsid w:val="00E128F9"/>
    <w:rsid w:val="00E15D65"/>
    <w:rsid w:val="00E226E8"/>
    <w:rsid w:val="00E2422D"/>
    <w:rsid w:val="00E24932"/>
    <w:rsid w:val="00E257B2"/>
    <w:rsid w:val="00E27633"/>
    <w:rsid w:val="00E335FE"/>
    <w:rsid w:val="00E40980"/>
    <w:rsid w:val="00E43877"/>
    <w:rsid w:val="00E451C4"/>
    <w:rsid w:val="00E50188"/>
    <w:rsid w:val="00E5597B"/>
    <w:rsid w:val="00E565E9"/>
    <w:rsid w:val="00E5702D"/>
    <w:rsid w:val="00E61550"/>
    <w:rsid w:val="00E67E54"/>
    <w:rsid w:val="00E71425"/>
    <w:rsid w:val="00E75257"/>
    <w:rsid w:val="00E84AD8"/>
    <w:rsid w:val="00E870B2"/>
    <w:rsid w:val="00E871CD"/>
    <w:rsid w:val="00E93D05"/>
    <w:rsid w:val="00E95752"/>
    <w:rsid w:val="00E95C74"/>
    <w:rsid w:val="00E96135"/>
    <w:rsid w:val="00E972F9"/>
    <w:rsid w:val="00E97882"/>
    <w:rsid w:val="00EA0480"/>
    <w:rsid w:val="00EA19F7"/>
    <w:rsid w:val="00EA2333"/>
    <w:rsid w:val="00EA4182"/>
    <w:rsid w:val="00EA4C94"/>
    <w:rsid w:val="00EA6D76"/>
    <w:rsid w:val="00EB08B2"/>
    <w:rsid w:val="00EB2BCD"/>
    <w:rsid w:val="00EB4D17"/>
    <w:rsid w:val="00EB5431"/>
    <w:rsid w:val="00EB54DC"/>
    <w:rsid w:val="00EB6238"/>
    <w:rsid w:val="00EC0937"/>
    <w:rsid w:val="00EC1ACF"/>
    <w:rsid w:val="00EC4E49"/>
    <w:rsid w:val="00EC72A6"/>
    <w:rsid w:val="00EC79A5"/>
    <w:rsid w:val="00ED0BFD"/>
    <w:rsid w:val="00ED3DD3"/>
    <w:rsid w:val="00ED5C48"/>
    <w:rsid w:val="00ED77FB"/>
    <w:rsid w:val="00EE26A3"/>
    <w:rsid w:val="00EE28A0"/>
    <w:rsid w:val="00EE34C7"/>
    <w:rsid w:val="00EE45FA"/>
    <w:rsid w:val="00EE7292"/>
    <w:rsid w:val="00EF6244"/>
    <w:rsid w:val="00EF7AF4"/>
    <w:rsid w:val="00F01FB6"/>
    <w:rsid w:val="00F11C20"/>
    <w:rsid w:val="00F1354C"/>
    <w:rsid w:val="00F154B7"/>
    <w:rsid w:val="00F174E8"/>
    <w:rsid w:val="00F258F4"/>
    <w:rsid w:val="00F32066"/>
    <w:rsid w:val="00F3256E"/>
    <w:rsid w:val="00F341B7"/>
    <w:rsid w:val="00F35244"/>
    <w:rsid w:val="00F3588A"/>
    <w:rsid w:val="00F407B9"/>
    <w:rsid w:val="00F40E20"/>
    <w:rsid w:val="00F41AB0"/>
    <w:rsid w:val="00F41EA5"/>
    <w:rsid w:val="00F439CC"/>
    <w:rsid w:val="00F44C7D"/>
    <w:rsid w:val="00F45255"/>
    <w:rsid w:val="00F45F27"/>
    <w:rsid w:val="00F503D3"/>
    <w:rsid w:val="00F525A2"/>
    <w:rsid w:val="00F5419F"/>
    <w:rsid w:val="00F54C7D"/>
    <w:rsid w:val="00F55081"/>
    <w:rsid w:val="00F55CAF"/>
    <w:rsid w:val="00F605C8"/>
    <w:rsid w:val="00F6126B"/>
    <w:rsid w:val="00F65AD9"/>
    <w:rsid w:val="00F65FFF"/>
    <w:rsid w:val="00F66152"/>
    <w:rsid w:val="00F6701F"/>
    <w:rsid w:val="00F823F5"/>
    <w:rsid w:val="00F833C7"/>
    <w:rsid w:val="00F90A92"/>
    <w:rsid w:val="00F93401"/>
    <w:rsid w:val="00F93C3B"/>
    <w:rsid w:val="00F96CA6"/>
    <w:rsid w:val="00FA03E0"/>
    <w:rsid w:val="00FA08B0"/>
    <w:rsid w:val="00FA6565"/>
    <w:rsid w:val="00FA68A7"/>
    <w:rsid w:val="00FB03E4"/>
    <w:rsid w:val="00FB33EB"/>
    <w:rsid w:val="00FB4746"/>
    <w:rsid w:val="00FC334D"/>
    <w:rsid w:val="00FC35B2"/>
    <w:rsid w:val="00FC572F"/>
    <w:rsid w:val="00FC620B"/>
    <w:rsid w:val="00FC767F"/>
    <w:rsid w:val="00FC76ED"/>
    <w:rsid w:val="00FD0860"/>
    <w:rsid w:val="00FD1742"/>
    <w:rsid w:val="00FE1919"/>
    <w:rsid w:val="00FE460B"/>
    <w:rsid w:val="00FE4803"/>
    <w:rsid w:val="00FE55B5"/>
    <w:rsid w:val="00FE617E"/>
    <w:rsid w:val="00FF2074"/>
    <w:rsid w:val="00FF579B"/>
    <w:rsid w:val="00FF7B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91753C"/>
    <w:pPr>
      <w:keepNext/>
      <w:spacing w:before="240" w:after="60"/>
      <w:outlineLvl w:val="1"/>
    </w:pPr>
    <w:rPr>
      <w:bCs/>
      <w:iCs/>
      <w:caps/>
      <w:szCs w:val="28"/>
    </w:rPr>
  </w:style>
  <w:style w:type="paragraph" w:styleId="Heading3">
    <w:name w:val="heading 3"/>
    <w:basedOn w:val="Normal"/>
    <w:next w:val="Normal"/>
    <w:qFormat/>
    <w:rsid w:val="00172156"/>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72AA5"/>
    <w:rPr>
      <w:rFonts w:ascii="Tahoma" w:hAnsi="Tahoma" w:cs="Tahoma"/>
      <w:sz w:val="16"/>
      <w:szCs w:val="16"/>
    </w:rPr>
  </w:style>
  <w:style w:type="character" w:customStyle="1" w:styleId="BalloonTextChar">
    <w:name w:val="Balloon Text Char"/>
    <w:basedOn w:val="DefaultParagraphFont"/>
    <w:link w:val="BalloonText"/>
    <w:rsid w:val="00072AA5"/>
    <w:rPr>
      <w:rFonts w:ascii="Tahoma" w:eastAsia="SimSun" w:hAnsi="Tahoma" w:cs="Tahoma"/>
      <w:sz w:val="16"/>
      <w:szCs w:val="16"/>
      <w:lang w:eastAsia="zh-CN"/>
    </w:rPr>
  </w:style>
  <w:style w:type="paragraph" w:styleId="ListParagraph">
    <w:name w:val="List Paragraph"/>
    <w:basedOn w:val="Normal"/>
    <w:uiPriority w:val="34"/>
    <w:qFormat/>
    <w:rsid w:val="003D6C08"/>
    <w:pPr>
      <w:ind w:left="720"/>
      <w:contextualSpacing/>
    </w:pPr>
  </w:style>
  <w:style w:type="character" w:styleId="EndnoteReference">
    <w:name w:val="endnote reference"/>
    <w:basedOn w:val="DefaultParagraphFont"/>
    <w:rsid w:val="002774C5"/>
    <w:rPr>
      <w:vertAlign w:val="superscript"/>
    </w:rPr>
  </w:style>
  <w:style w:type="character" w:styleId="FootnoteReference">
    <w:name w:val="footnote reference"/>
    <w:basedOn w:val="DefaultParagraphFont"/>
    <w:rsid w:val="0099519C"/>
    <w:rPr>
      <w:vertAlign w:val="superscript"/>
    </w:rPr>
  </w:style>
  <w:style w:type="character" w:styleId="Hyperlink">
    <w:name w:val="Hyperlink"/>
    <w:basedOn w:val="DefaultParagraphFont"/>
    <w:uiPriority w:val="99"/>
    <w:rsid w:val="001B756C"/>
    <w:rPr>
      <w:color w:val="0000FF" w:themeColor="hyperlink"/>
      <w:u w:val="single"/>
    </w:rPr>
  </w:style>
  <w:style w:type="character" w:styleId="CommentReference">
    <w:name w:val="annotation reference"/>
    <w:basedOn w:val="DefaultParagraphFont"/>
    <w:rsid w:val="00E43877"/>
    <w:rPr>
      <w:sz w:val="16"/>
      <w:szCs w:val="16"/>
    </w:rPr>
  </w:style>
  <w:style w:type="paragraph" w:styleId="CommentSubject">
    <w:name w:val="annotation subject"/>
    <w:basedOn w:val="CommentText"/>
    <w:next w:val="CommentText"/>
    <w:link w:val="CommentSubjectChar"/>
    <w:rsid w:val="00E43877"/>
    <w:rPr>
      <w:b/>
      <w:bCs/>
      <w:sz w:val="20"/>
    </w:rPr>
  </w:style>
  <w:style w:type="character" w:customStyle="1" w:styleId="CommentTextChar">
    <w:name w:val="Comment Text Char"/>
    <w:basedOn w:val="DefaultParagraphFont"/>
    <w:link w:val="CommentText"/>
    <w:semiHidden/>
    <w:rsid w:val="00E43877"/>
    <w:rPr>
      <w:rFonts w:ascii="Arial" w:eastAsia="SimSun" w:hAnsi="Arial" w:cs="Arial"/>
      <w:sz w:val="18"/>
      <w:lang w:eastAsia="zh-CN"/>
    </w:rPr>
  </w:style>
  <w:style w:type="character" w:customStyle="1" w:styleId="CommentSubjectChar">
    <w:name w:val="Comment Subject Char"/>
    <w:basedOn w:val="CommentTextChar"/>
    <w:link w:val="CommentSubject"/>
    <w:rsid w:val="00E43877"/>
    <w:rPr>
      <w:rFonts w:ascii="Arial" w:eastAsia="SimSun" w:hAnsi="Arial" w:cs="Arial"/>
      <w:b/>
      <w:bCs/>
      <w:sz w:val="18"/>
      <w:lang w:eastAsia="zh-CN"/>
    </w:rPr>
  </w:style>
  <w:style w:type="paragraph" w:styleId="TOCHeading">
    <w:name w:val="TOC Heading"/>
    <w:basedOn w:val="Heading1"/>
    <w:next w:val="Normal"/>
    <w:uiPriority w:val="39"/>
    <w:semiHidden/>
    <w:unhideWhenUsed/>
    <w:qFormat/>
    <w:rsid w:val="00A51DAB"/>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rsid w:val="00651667"/>
    <w:pPr>
      <w:tabs>
        <w:tab w:val="left" w:pos="426"/>
        <w:tab w:val="right" w:leader="dot" w:pos="9345"/>
      </w:tabs>
      <w:spacing w:after="100"/>
    </w:pPr>
    <w:rPr>
      <w:b/>
      <w:noProof/>
    </w:rPr>
  </w:style>
  <w:style w:type="paragraph" w:styleId="TOC2">
    <w:name w:val="toc 2"/>
    <w:basedOn w:val="Normal"/>
    <w:next w:val="Normal"/>
    <w:autoRedefine/>
    <w:uiPriority w:val="39"/>
    <w:rsid w:val="00905FA2"/>
    <w:pPr>
      <w:tabs>
        <w:tab w:val="left" w:pos="1134"/>
        <w:tab w:val="right" w:leader="dot" w:pos="9345"/>
      </w:tabs>
      <w:spacing w:after="100"/>
      <w:ind w:left="426"/>
    </w:pPr>
  </w:style>
  <w:style w:type="paragraph" w:styleId="TOC3">
    <w:name w:val="toc 3"/>
    <w:basedOn w:val="Normal"/>
    <w:next w:val="Normal"/>
    <w:autoRedefine/>
    <w:uiPriority w:val="39"/>
    <w:rsid w:val="00FC35B2"/>
    <w:pPr>
      <w:tabs>
        <w:tab w:val="left" w:pos="851"/>
        <w:tab w:val="left" w:pos="1701"/>
        <w:tab w:val="right" w:leader="dot" w:pos="9345"/>
      </w:tabs>
      <w:spacing w:after="100"/>
      <w:ind w:left="1134"/>
    </w:pPr>
  </w:style>
  <w:style w:type="character" w:styleId="FollowedHyperlink">
    <w:name w:val="FollowedHyperlink"/>
    <w:basedOn w:val="DefaultParagraphFont"/>
    <w:rsid w:val="009D4F14"/>
    <w:rPr>
      <w:color w:val="800080" w:themeColor="followedHyperlink"/>
      <w:u w:val="single"/>
    </w:rPr>
  </w:style>
  <w:style w:type="paragraph" w:customStyle="1" w:styleId="DecisionInvitingPara">
    <w:name w:val="Decision Inviting Para."/>
    <w:basedOn w:val="Normal"/>
    <w:rsid w:val="00C61740"/>
    <w:pPr>
      <w:spacing w:after="120" w:line="260" w:lineRule="atLeast"/>
      <w:ind w:left="5534"/>
      <w:contextualSpacing/>
    </w:pPr>
    <w:rPr>
      <w:rFonts w:eastAsia="Times New Roman" w:cs="Times New Roman"/>
      <w:i/>
      <w:sz w:val="20"/>
      <w:lang w:eastAsia="en-US"/>
    </w:rPr>
  </w:style>
  <w:style w:type="paragraph" w:customStyle="1" w:styleId="Default">
    <w:name w:val="Default"/>
    <w:rsid w:val="00A85D91"/>
    <w:pPr>
      <w:autoSpaceDE w:val="0"/>
      <w:autoSpaceDN w:val="0"/>
      <w:adjustRightInd w:val="0"/>
    </w:pPr>
    <w:rPr>
      <w:color w:val="000000"/>
      <w:sz w:val="24"/>
      <w:szCs w:val="24"/>
    </w:rPr>
  </w:style>
  <w:style w:type="paragraph" w:styleId="Revision">
    <w:name w:val="Revision"/>
    <w:hidden/>
    <w:uiPriority w:val="99"/>
    <w:semiHidden/>
    <w:rsid w:val="00B25B8C"/>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91753C"/>
    <w:pPr>
      <w:keepNext/>
      <w:spacing w:before="240" w:after="60"/>
      <w:outlineLvl w:val="1"/>
    </w:pPr>
    <w:rPr>
      <w:bCs/>
      <w:iCs/>
      <w:caps/>
      <w:szCs w:val="28"/>
    </w:rPr>
  </w:style>
  <w:style w:type="paragraph" w:styleId="Heading3">
    <w:name w:val="heading 3"/>
    <w:basedOn w:val="Normal"/>
    <w:next w:val="Normal"/>
    <w:qFormat/>
    <w:rsid w:val="00172156"/>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72AA5"/>
    <w:rPr>
      <w:rFonts w:ascii="Tahoma" w:hAnsi="Tahoma" w:cs="Tahoma"/>
      <w:sz w:val="16"/>
      <w:szCs w:val="16"/>
    </w:rPr>
  </w:style>
  <w:style w:type="character" w:customStyle="1" w:styleId="BalloonTextChar">
    <w:name w:val="Balloon Text Char"/>
    <w:basedOn w:val="DefaultParagraphFont"/>
    <w:link w:val="BalloonText"/>
    <w:rsid w:val="00072AA5"/>
    <w:rPr>
      <w:rFonts w:ascii="Tahoma" w:eastAsia="SimSun" w:hAnsi="Tahoma" w:cs="Tahoma"/>
      <w:sz w:val="16"/>
      <w:szCs w:val="16"/>
      <w:lang w:eastAsia="zh-CN"/>
    </w:rPr>
  </w:style>
  <w:style w:type="paragraph" w:styleId="ListParagraph">
    <w:name w:val="List Paragraph"/>
    <w:basedOn w:val="Normal"/>
    <w:uiPriority w:val="34"/>
    <w:qFormat/>
    <w:rsid w:val="003D6C08"/>
    <w:pPr>
      <w:ind w:left="720"/>
      <w:contextualSpacing/>
    </w:pPr>
  </w:style>
  <w:style w:type="character" w:styleId="EndnoteReference">
    <w:name w:val="endnote reference"/>
    <w:basedOn w:val="DefaultParagraphFont"/>
    <w:rsid w:val="002774C5"/>
    <w:rPr>
      <w:vertAlign w:val="superscript"/>
    </w:rPr>
  </w:style>
  <w:style w:type="character" w:styleId="FootnoteReference">
    <w:name w:val="footnote reference"/>
    <w:basedOn w:val="DefaultParagraphFont"/>
    <w:rsid w:val="0099519C"/>
    <w:rPr>
      <w:vertAlign w:val="superscript"/>
    </w:rPr>
  </w:style>
  <w:style w:type="character" w:styleId="Hyperlink">
    <w:name w:val="Hyperlink"/>
    <w:basedOn w:val="DefaultParagraphFont"/>
    <w:uiPriority w:val="99"/>
    <w:rsid w:val="001B756C"/>
    <w:rPr>
      <w:color w:val="0000FF" w:themeColor="hyperlink"/>
      <w:u w:val="single"/>
    </w:rPr>
  </w:style>
  <w:style w:type="character" w:styleId="CommentReference">
    <w:name w:val="annotation reference"/>
    <w:basedOn w:val="DefaultParagraphFont"/>
    <w:rsid w:val="00E43877"/>
    <w:rPr>
      <w:sz w:val="16"/>
      <w:szCs w:val="16"/>
    </w:rPr>
  </w:style>
  <w:style w:type="paragraph" w:styleId="CommentSubject">
    <w:name w:val="annotation subject"/>
    <w:basedOn w:val="CommentText"/>
    <w:next w:val="CommentText"/>
    <w:link w:val="CommentSubjectChar"/>
    <w:rsid w:val="00E43877"/>
    <w:rPr>
      <w:b/>
      <w:bCs/>
      <w:sz w:val="20"/>
    </w:rPr>
  </w:style>
  <w:style w:type="character" w:customStyle="1" w:styleId="CommentTextChar">
    <w:name w:val="Comment Text Char"/>
    <w:basedOn w:val="DefaultParagraphFont"/>
    <w:link w:val="CommentText"/>
    <w:semiHidden/>
    <w:rsid w:val="00E43877"/>
    <w:rPr>
      <w:rFonts w:ascii="Arial" w:eastAsia="SimSun" w:hAnsi="Arial" w:cs="Arial"/>
      <w:sz w:val="18"/>
      <w:lang w:eastAsia="zh-CN"/>
    </w:rPr>
  </w:style>
  <w:style w:type="character" w:customStyle="1" w:styleId="CommentSubjectChar">
    <w:name w:val="Comment Subject Char"/>
    <w:basedOn w:val="CommentTextChar"/>
    <w:link w:val="CommentSubject"/>
    <w:rsid w:val="00E43877"/>
    <w:rPr>
      <w:rFonts w:ascii="Arial" w:eastAsia="SimSun" w:hAnsi="Arial" w:cs="Arial"/>
      <w:b/>
      <w:bCs/>
      <w:sz w:val="18"/>
      <w:lang w:eastAsia="zh-CN"/>
    </w:rPr>
  </w:style>
  <w:style w:type="paragraph" w:styleId="TOCHeading">
    <w:name w:val="TOC Heading"/>
    <w:basedOn w:val="Heading1"/>
    <w:next w:val="Normal"/>
    <w:uiPriority w:val="39"/>
    <w:semiHidden/>
    <w:unhideWhenUsed/>
    <w:qFormat/>
    <w:rsid w:val="00A51DAB"/>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rsid w:val="00651667"/>
    <w:pPr>
      <w:tabs>
        <w:tab w:val="left" w:pos="426"/>
        <w:tab w:val="right" w:leader="dot" w:pos="9345"/>
      </w:tabs>
      <w:spacing w:after="100"/>
    </w:pPr>
    <w:rPr>
      <w:b/>
      <w:noProof/>
    </w:rPr>
  </w:style>
  <w:style w:type="paragraph" w:styleId="TOC2">
    <w:name w:val="toc 2"/>
    <w:basedOn w:val="Normal"/>
    <w:next w:val="Normal"/>
    <w:autoRedefine/>
    <w:uiPriority w:val="39"/>
    <w:rsid w:val="00905FA2"/>
    <w:pPr>
      <w:tabs>
        <w:tab w:val="left" w:pos="1134"/>
        <w:tab w:val="right" w:leader="dot" w:pos="9345"/>
      </w:tabs>
      <w:spacing w:after="100"/>
      <w:ind w:left="426"/>
    </w:pPr>
  </w:style>
  <w:style w:type="paragraph" w:styleId="TOC3">
    <w:name w:val="toc 3"/>
    <w:basedOn w:val="Normal"/>
    <w:next w:val="Normal"/>
    <w:autoRedefine/>
    <w:uiPriority w:val="39"/>
    <w:rsid w:val="00FC35B2"/>
    <w:pPr>
      <w:tabs>
        <w:tab w:val="left" w:pos="851"/>
        <w:tab w:val="left" w:pos="1701"/>
        <w:tab w:val="right" w:leader="dot" w:pos="9345"/>
      </w:tabs>
      <w:spacing w:after="100"/>
      <w:ind w:left="1134"/>
    </w:pPr>
  </w:style>
  <w:style w:type="character" w:styleId="FollowedHyperlink">
    <w:name w:val="FollowedHyperlink"/>
    <w:basedOn w:val="DefaultParagraphFont"/>
    <w:rsid w:val="009D4F14"/>
    <w:rPr>
      <w:color w:val="800080" w:themeColor="followedHyperlink"/>
      <w:u w:val="single"/>
    </w:rPr>
  </w:style>
  <w:style w:type="paragraph" w:customStyle="1" w:styleId="DecisionInvitingPara">
    <w:name w:val="Decision Inviting Para."/>
    <w:basedOn w:val="Normal"/>
    <w:rsid w:val="00C61740"/>
    <w:pPr>
      <w:spacing w:after="120" w:line="260" w:lineRule="atLeast"/>
      <w:ind w:left="5534"/>
      <w:contextualSpacing/>
    </w:pPr>
    <w:rPr>
      <w:rFonts w:eastAsia="Times New Roman" w:cs="Times New Roman"/>
      <w:i/>
      <w:sz w:val="20"/>
      <w:lang w:eastAsia="en-US"/>
    </w:rPr>
  </w:style>
  <w:style w:type="paragraph" w:customStyle="1" w:styleId="Default">
    <w:name w:val="Default"/>
    <w:rsid w:val="00A85D91"/>
    <w:pPr>
      <w:autoSpaceDE w:val="0"/>
      <w:autoSpaceDN w:val="0"/>
      <w:adjustRightInd w:val="0"/>
    </w:pPr>
    <w:rPr>
      <w:color w:val="000000"/>
      <w:sz w:val="24"/>
      <w:szCs w:val="24"/>
    </w:rPr>
  </w:style>
  <w:style w:type="paragraph" w:styleId="Revision">
    <w:name w:val="Revision"/>
    <w:hidden/>
    <w:uiPriority w:val="99"/>
    <w:semiHidden/>
    <w:rsid w:val="00B25B8C"/>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dictionary.reference.com/help/faq/language/d39.html" TargetMode="External"/><Relationship Id="rId1" Type="http://schemas.openxmlformats.org/officeDocument/2006/relationships/hyperlink" Target="https://faculty.washington.edu/karyiu/confer/sea05/papers/sohn_ye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16373-19FF-4BED-8842-F20776A0A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5040</Words>
  <Characters>29053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2015-10-15T12:32:00Z</dcterms:created>
  <dcterms:modified xsi:type="dcterms:W3CDTF">2015-10-19T15:00:00Z</dcterms:modified>
</cp:coreProperties>
</file>