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456" w:type="dxa"/>
        <w:tblInd w:w="108" w:type="dxa"/>
        <w:tblLayout w:type="fixed"/>
        <w:tblLook w:val="01E0" w:firstRow="1" w:lastRow="1" w:firstColumn="1" w:lastColumn="1" w:noHBand="0" w:noVBand="0"/>
      </w:tblPr>
      <w:tblGrid>
        <w:gridCol w:w="4513"/>
        <w:gridCol w:w="4337"/>
        <w:gridCol w:w="606"/>
      </w:tblGrid>
      <w:tr w:rsidR="00EC4E49" w:rsidRPr="008B2CC1" w:rsidTr="00D37420">
        <w:tc>
          <w:tcPr>
            <w:tcW w:w="4513" w:type="dxa"/>
            <w:tcBorders>
              <w:bottom w:val="single" w:sz="4" w:space="0" w:color="auto"/>
            </w:tcBorders>
            <w:tcMar>
              <w:bottom w:w="170" w:type="dxa"/>
            </w:tcMar>
          </w:tcPr>
          <w:p w:rsidR="00EC4E49" w:rsidRPr="008B2CC1" w:rsidRDefault="00EC4E49" w:rsidP="00916EE2"/>
        </w:tc>
        <w:tc>
          <w:tcPr>
            <w:tcW w:w="4337" w:type="dxa"/>
            <w:tcBorders>
              <w:bottom w:val="single" w:sz="4" w:space="0" w:color="auto"/>
            </w:tcBorders>
            <w:tcMar>
              <w:left w:w="0" w:type="dxa"/>
              <w:right w:w="0" w:type="dxa"/>
            </w:tcMar>
          </w:tcPr>
          <w:p w:rsidR="00EC4E49" w:rsidRPr="008B2CC1" w:rsidRDefault="00341012" w:rsidP="00916EE2">
            <w:r>
              <w:rPr>
                <w:noProof/>
                <w:lang w:eastAsia="en-US"/>
              </w:rPr>
              <w:drawing>
                <wp:inline distT="0" distB="0" distL="0" distR="0" wp14:anchorId="07478E3D" wp14:editId="5F288191">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606" w:type="dxa"/>
            <w:tcBorders>
              <w:bottom w:val="single" w:sz="4" w:space="0" w:color="auto"/>
            </w:tcBorders>
            <w:tcMar>
              <w:left w:w="0" w:type="dxa"/>
              <w:right w:w="0" w:type="dxa"/>
            </w:tcMar>
          </w:tcPr>
          <w:p w:rsidR="00EC4E49" w:rsidRPr="008B2CC1" w:rsidRDefault="00EC4E49" w:rsidP="00916EE2">
            <w:pPr>
              <w:jc w:val="right"/>
            </w:pPr>
            <w:r w:rsidRPr="00605827">
              <w:rPr>
                <w:b/>
                <w:sz w:val="40"/>
                <w:szCs w:val="40"/>
              </w:rPr>
              <w:t>E</w:t>
            </w:r>
          </w:p>
        </w:tc>
      </w:tr>
      <w:tr w:rsidR="008B2CC1" w:rsidRPr="001832A6" w:rsidTr="00252076">
        <w:tc>
          <w:tcPr>
            <w:tcW w:w="9456" w:type="dxa"/>
            <w:gridSpan w:val="3"/>
            <w:tcBorders>
              <w:top w:val="single" w:sz="4" w:space="0" w:color="auto"/>
            </w:tcBorders>
            <w:tcMar>
              <w:top w:w="170" w:type="dxa"/>
              <w:left w:w="0" w:type="dxa"/>
              <w:right w:w="0" w:type="dxa"/>
            </w:tcMar>
            <w:vAlign w:val="bottom"/>
          </w:tcPr>
          <w:p w:rsidR="008B2CC1" w:rsidRPr="0090731E" w:rsidRDefault="00252823" w:rsidP="00BF7F01">
            <w:pPr>
              <w:jc w:val="right"/>
              <w:rPr>
                <w:rFonts w:ascii="Arial Black" w:hAnsi="Arial Black"/>
                <w:caps/>
                <w:sz w:val="15"/>
              </w:rPr>
            </w:pPr>
            <w:r>
              <w:rPr>
                <w:rFonts w:ascii="Arial Black" w:hAnsi="Arial Black"/>
                <w:caps/>
                <w:sz w:val="15"/>
              </w:rPr>
              <w:t>CDIP/2</w:t>
            </w:r>
            <w:r w:rsidR="00126C5B">
              <w:rPr>
                <w:rFonts w:ascii="Arial Black" w:hAnsi="Arial Black"/>
                <w:caps/>
                <w:sz w:val="15"/>
              </w:rPr>
              <w:t>2</w:t>
            </w:r>
            <w:r w:rsidR="00341012">
              <w:rPr>
                <w:rFonts w:ascii="Arial Black" w:hAnsi="Arial Black"/>
                <w:caps/>
                <w:sz w:val="15"/>
              </w:rPr>
              <w:t>/</w:t>
            </w:r>
            <w:bookmarkStart w:id="0" w:name="Code"/>
            <w:bookmarkEnd w:id="0"/>
            <w:r w:rsidR="00BF7F01">
              <w:rPr>
                <w:rFonts w:ascii="Arial Black" w:hAnsi="Arial Black"/>
                <w:caps/>
                <w:sz w:val="15"/>
              </w:rPr>
              <w:t>7</w:t>
            </w:r>
            <w:r w:rsidR="00A42DAF">
              <w:rPr>
                <w:rFonts w:ascii="Arial Black" w:hAnsi="Arial Black"/>
                <w:caps/>
                <w:sz w:val="15"/>
              </w:rPr>
              <w:t xml:space="preserve"> </w:t>
            </w:r>
            <w:r w:rsidR="008B2CC1" w:rsidRPr="0090731E">
              <w:rPr>
                <w:rFonts w:ascii="Arial Black" w:hAnsi="Arial Black"/>
                <w:caps/>
                <w:sz w:val="15"/>
              </w:rPr>
              <w:t xml:space="preserve">   </w:t>
            </w:r>
          </w:p>
        </w:tc>
      </w:tr>
      <w:tr w:rsidR="008B2CC1" w:rsidRPr="001832A6" w:rsidTr="00D37420">
        <w:trPr>
          <w:trHeight w:hRule="exact" w:val="170"/>
        </w:trPr>
        <w:tc>
          <w:tcPr>
            <w:tcW w:w="9456" w:type="dxa"/>
            <w:gridSpan w:val="3"/>
            <w:noWrap/>
            <w:tcMar>
              <w:left w:w="0" w:type="dxa"/>
              <w:right w:w="0" w:type="dxa"/>
            </w:tcMar>
            <w:vAlign w:val="bottom"/>
          </w:tcPr>
          <w:p w:rsidR="008B2CC1" w:rsidRPr="0090731E" w:rsidRDefault="008B2CC1" w:rsidP="00CD04F1">
            <w:pPr>
              <w:jc w:val="right"/>
              <w:rPr>
                <w:rFonts w:ascii="Arial Black" w:hAnsi="Arial Black"/>
                <w:caps/>
                <w:sz w:val="15"/>
              </w:rPr>
            </w:pPr>
            <w:r w:rsidRPr="0090731E">
              <w:rPr>
                <w:rFonts w:ascii="Arial Black" w:hAnsi="Arial Black"/>
                <w:caps/>
                <w:sz w:val="15"/>
              </w:rPr>
              <w:t xml:space="preserve">ORIGINAL: </w:t>
            </w:r>
            <w:bookmarkStart w:id="1" w:name="Original"/>
            <w:bookmarkEnd w:id="1"/>
            <w:r w:rsidR="00996BC6">
              <w:rPr>
                <w:rFonts w:ascii="Arial Black" w:hAnsi="Arial Black"/>
                <w:caps/>
                <w:sz w:val="15"/>
              </w:rPr>
              <w:t>English</w:t>
            </w:r>
          </w:p>
        </w:tc>
      </w:tr>
      <w:tr w:rsidR="008B2CC1" w:rsidRPr="001832A6" w:rsidTr="00D37420">
        <w:trPr>
          <w:trHeight w:hRule="exact" w:val="198"/>
        </w:trPr>
        <w:tc>
          <w:tcPr>
            <w:tcW w:w="9456" w:type="dxa"/>
            <w:gridSpan w:val="3"/>
            <w:tcMar>
              <w:left w:w="0" w:type="dxa"/>
              <w:right w:w="0" w:type="dxa"/>
            </w:tcMar>
            <w:vAlign w:val="bottom"/>
          </w:tcPr>
          <w:p w:rsidR="008B2CC1" w:rsidRPr="0090731E" w:rsidRDefault="008B2CC1" w:rsidP="00BF7F01">
            <w:pPr>
              <w:jc w:val="right"/>
              <w:rPr>
                <w:rFonts w:ascii="Arial Black" w:hAnsi="Arial Black"/>
                <w:caps/>
                <w:sz w:val="15"/>
              </w:rPr>
            </w:pPr>
            <w:r w:rsidRPr="0090731E">
              <w:rPr>
                <w:rFonts w:ascii="Arial Black" w:hAnsi="Arial Black"/>
                <w:caps/>
                <w:sz w:val="15"/>
              </w:rPr>
              <w:t xml:space="preserve">DATE: </w:t>
            </w:r>
            <w:bookmarkStart w:id="2" w:name="Date"/>
            <w:bookmarkEnd w:id="2"/>
            <w:r w:rsidR="00680D6F">
              <w:rPr>
                <w:rFonts w:ascii="Arial Black" w:hAnsi="Arial Black"/>
                <w:caps/>
                <w:sz w:val="15"/>
              </w:rPr>
              <w:t>september 26</w:t>
            </w:r>
            <w:r w:rsidR="00996BC6">
              <w:rPr>
                <w:rFonts w:ascii="Arial Black" w:hAnsi="Arial Black"/>
                <w:caps/>
                <w:sz w:val="15"/>
              </w:rPr>
              <w:t>, 201</w:t>
            </w:r>
            <w:r w:rsidR="00252823">
              <w:rPr>
                <w:rFonts w:ascii="Arial Black" w:hAnsi="Arial Black"/>
                <w:caps/>
                <w:sz w:val="15"/>
              </w:rPr>
              <w:t>8</w:t>
            </w:r>
          </w:p>
        </w:tc>
      </w:tr>
    </w:tbl>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8B2CC1" w:rsidRDefault="008B2CC1" w:rsidP="008B2CC1"/>
    <w:p w:rsidR="008B2CC1" w:rsidRPr="003845C1" w:rsidRDefault="00341012" w:rsidP="008B2CC1">
      <w:pPr>
        <w:rPr>
          <w:b/>
          <w:sz w:val="28"/>
          <w:szCs w:val="28"/>
        </w:rPr>
      </w:pPr>
      <w:r>
        <w:rPr>
          <w:b/>
          <w:sz w:val="28"/>
          <w:szCs w:val="28"/>
        </w:rPr>
        <w:t>Committee on Development and Intellectual Property (CDIP)</w:t>
      </w:r>
    </w:p>
    <w:p w:rsidR="003845C1" w:rsidRDefault="003845C1" w:rsidP="003845C1"/>
    <w:p w:rsidR="003845C1" w:rsidRDefault="003845C1" w:rsidP="003845C1"/>
    <w:p w:rsidR="00252823" w:rsidRPr="003845C1" w:rsidRDefault="00126C5B" w:rsidP="00252823">
      <w:pPr>
        <w:rPr>
          <w:b/>
          <w:sz w:val="24"/>
          <w:szCs w:val="24"/>
        </w:rPr>
      </w:pPr>
      <w:r>
        <w:rPr>
          <w:b/>
          <w:sz w:val="24"/>
          <w:szCs w:val="24"/>
        </w:rPr>
        <w:t>Twenty-Second</w:t>
      </w:r>
      <w:r w:rsidR="00252823">
        <w:rPr>
          <w:b/>
          <w:sz w:val="24"/>
          <w:szCs w:val="24"/>
        </w:rPr>
        <w:t xml:space="preserve"> Session</w:t>
      </w:r>
    </w:p>
    <w:p w:rsidR="00252823" w:rsidRPr="003845C1" w:rsidRDefault="00126C5B" w:rsidP="00252823">
      <w:pPr>
        <w:rPr>
          <w:b/>
          <w:sz w:val="24"/>
          <w:szCs w:val="24"/>
        </w:rPr>
      </w:pPr>
      <w:r>
        <w:rPr>
          <w:b/>
          <w:sz w:val="24"/>
          <w:szCs w:val="24"/>
        </w:rPr>
        <w:t>Geneva, November 19 to 23</w:t>
      </w:r>
      <w:r w:rsidR="00252823">
        <w:rPr>
          <w:b/>
          <w:sz w:val="24"/>
          <w:szCs w:val="24"/>
        </w:rPr>
        <w:t>, 2018</w:t>
      </w:r>
    </w:p>
    <w:p w:rsidR="00252823" w:rsidRPr="008B2CC1" w:rsidRDefault="00252823" w:rsidP="00252823"/>
    <w:p w:rsidR="008B2CC1" w:rsidRPr="008B2CC1" w:rsidRDefault="008B2CC1" w:rsidP="008B2CC1"/>
    <w:p w:rsidR="008B2CC1" w:rsidRPr="008B2CC1" w:rsidRDefault="008B2CC1" w:rsidP="008B2CC1"/>
    <w:p w:rsidR="008B2CC1" w:rsidRPr="00223119" w:rsidRDefault="00577DBA" w:rsidP="00982293">
      <w:pPr>
        <w:rPr>
          <w:caps/>
          <w:sz w:val="24"/>
        </w:rPr>
      </w:pPr>
      <w:bookmarkStart w:id="3" w:name="TitleOfDoc"/>
      <w:bookmarkEnd w:id="3"/>
      <w:r>
        <w:rPr>
          <w:sz w:val="24"/>
        </w:rPr>
        <w:t>LIST OF INDICATORS TO ASSESS WIPO’S TECHNOLOGY TRANSFER SERVICES AND ACTIVITIES</w:t>
      </w:r>
    </w:p>
    <w:p w:rsidR="00D37420" w:rsidRPr="008B2CC1" w:rsidRDefault="00D37420" w:rsidP="008B2CC1"/>
    <w:p w:rsidR="008B2CC1" w:rsidRPr="008B2CC1" w:rsidRDefault="00996BC6" w:rsidP="008B2CC1">
      <w:pPr>
        <w:rPr>
          <w:i/>
        </w:rPr>
      </w:pPr>
      <w:bookmarkStart w:id="4" w:name="Prepared"/>
      <w:bookmarkEnd w:id="4"/>
      <w:proofErr w:type="gramStart"/>
      <w:r>
        <w:rPr>
          <w:i/>
        </w:rPr>
        <w:t>prepared</w:t>
      </w:r>
      <w:proofErr w:type="gramEnd"/>
      <w:r>
        <w:rPr>
          <w:i/>
        </w:rPr>
        <w:t xml:space="preserve"> by the Secretariat</w:t>
      </w:r>
    </w:p>
    <w:p w:rsidR="00AC205C" w:rsidRDefault="00AC205C"/>
    <w:p w:rsidR="000F5E56" w:rsidRDefault="000F5E56"/>
    <w:p w:rsidR="002928D3" w:rsidRDefault="002928D3"/>
    <w:p w:rsidR="002928D3" w:rsidRDefault="002928D3" w:rsidP="0053057A"/>
    <w:p w:rsidR="00D37420" w:rsidRDefault="00996BC6" w:rsidP="00FA0C6F">
      <w:r w:rsidRPr="000B69AA">
        <w:fldChar w:fldCharType="begin"/>
      </w:r>
      <w:r w:rsidRPr="000B69AA">
        <w:instrText xml:space="preserve"> AUTONUM  </w:instrText>
      </w:r>
      <w:r w:rsidRPr="000B69AA">
        <w:fldChar w:fldCharType="end"/>
      </w:r>
      <w:r w:rsidR="00C72070" w:rsidRPr="000B69AA">
        <w:tab/>
      </w:r>
      <w:proofErr w:type="gramStart"/>
      <w:r w:rsidR="00D85F69" w:rsidRPr="000B69AA">
        <w:t>The Committee on Development and Intellectual Property (CDIP)</w:t>
      </w:r>
      <w:r w:rsidR="00D85F69" w:rsidRPr="000B69AA">
        <w:rPr>
          <w:bCs/>
        </w:rPr>
        <w:t xml:space="preserve"> at </w:t>
      </w:r>
      <w:r w:rsidR="00252823" w:rsidRPr="000B69AA">
        <w:t xml:space="preserve">its </w:t>
      </w:r>
      <w:r w:rsidR="00126C5B">
        <w:t>21</w:t>
      </w:r>
      <w:r w:rsidR="00126C5B" w:rsidRPr="00126C5B">
        <w:rPr>
          <w:vertAlign w:val="superscript"/>
        </w:rPr>
        <w:t>st</w:t>
      </w:r>
      <w:r w:rsidR="00D85F69" w:rsidRPr="000B69AA">
        <w:t xml:space="preserve"> session, </w:t>
      </w:r>
      <w:r w:rsidR="000B69AA" w:rsidRPr="000B69AA">
        <w:t>while discussing</w:t>
      </w:r>
      <w:r w:rsidR="00234105">
        <w:t xml:space="preserve"> the</w:t>
      </w:r>
      <w:r w:rsidR="000B69AA" w:rsidRPr="000B69AA">
        <w:t xml:space="preserve"> </w:t>
      </w:r>
      <w:r w:rsidR="00BF7F01" w:rsidRPr="00BF7F01">
        <w:t>Gap Analysis of WIPO</w:t>
      </w:r>
      <w:r w:rsidR="001B1BC2">
        <w:t>’</w:t>
      </w:r>
      <w:r w:rsidR="00BF7F01" w:rsidRPr="00BF7F01">
        <w:t xml:space="preserve">s Existing Technology Transfer Services and Activities in Respect of the WIPO Development Agenda </w:t>
      </w:r>
      <w:r w:rsidR="001B1BC2">
        <w:t>“</w:t>
      </w:r>
      <w:r w:rsidR="00BF7F01" w:rsidRPr="00BF7F01">
        <w:t>Cluster C</w:t>
      </w:r>
      <w:r w:rsidR="001B1BC2">
        <w:t>”</w:t>
      </w:r>
      <w:r w:rsidR="00BF7F01" w:rsidRPr="00BF7F01">
        <w:t xml:space="preserve"> Recommendations contained in document CDIP/21/5</w:t>
      </w:r>
      <w:r w:rsidR="00126C5B">
        <w:t xml:space="preserve">, </w:t>
      </w:r>
      <w:r w:rsidR="00223119">
        <w:t>decided</w:t>
      </w:r>
      <w:r w:rsidR="00BE5536">
        <w:t xml:space="preserve"> that</w:t>
      </w:r>
      <w:r w:rsidR="00D37420">
        <w:t xml:space="preserve"> </w:t>
      </w:r>
      <w:r w:rsidR="001B1BC2">
        <w:t>“</w:t>
      </w:r>
      <w:r w:rsidR="00BF7F01" w:rsidRPr="00BF7F01">
        <w:t>interested delegations should submit to the Secretariat a list of indicators to assess the activities contained in the document for consolidation and presentation at the next session of the Committee.</w:t>
      </w:r>
      <w:proofErr w:type="gramEnd"/>
      <w:r w:rsidR="00234105">
        <w:t xml:space="preserve"> </w:t>
      </w:r>
      <w:r w:rsidR="00BF7F01" w:rsidRPr="00BF7F01">
        <w:t xml:space="preserve"> Member States</w:t>
      </w:r>
      <w:r w:rsidR="001B1BC2">
        <w:t>’</w:t>
      </w:r>
      <w:r w:rsidR="00BF7F01" w:rsidRPr="00BF7F01">
        <w:t xml:space="preserve"> input should reach the Secretariat before September 10, 2018.</w:t>
      </w:r>
      <w:r w:rsidR="001B1BC2">
        <w:t>”</w:t>
      </w:r>
      <w:r w:rsidR="00D00FBA">
        <w:t xml:space="preserve"> </w:t>
      </w:r>
    </w:p>
    <w:p w:rsidR="00337F4F" w:rsidRPr="000B69AA" w:rsidRDefault="00337F4F" w:rsidP="00337F4F">
      <w:pPr>
        <w:rPr>
          <w:bCs/>
          <w:szCs w:val="22"/>
        </w:rPr>
      </w:pPr>
    </w:p>
    <w:p w:rsidR="00927250" w:rsidRPr="00927250" w:rsidRDefault="00337F4F" w:rsidP="00927250">
      <w:r w:rsidRPr="000B69AA">
        <w:fldChar w:fldCharType="begin"/>
      </w:r>
      <w:r w:rsidRPr="000B69AA">
        <w:instrText xml:space="preserve"> AUTONUM  </w:instrText>
      </w:r>
      <w:r w:rsidRPr="000B69AA">
        <w:fldChar w:fldCharType="end"/>
      </w:r>
      <w:r w:rsidRPr="000B69AA">
        <w:tab/>
      </w:r>
      <w:r w:rsidR="00E8159B">
        <w:t>T</w:t>
      </w:r>
      <w:r w:rsidR="00ED0E6E">
        <w:t>he A</w:t>
      </w:r>
      <w:r w:rsidR="00927250">
        <w:t>nnex</w:t>
      </w:r>
      <w:r w:rsidR="005A6E50">
        <w:t>es</w:t>
      </w:r>
      <w:r w:rsidR="00D85F69" w:rsidRPr="000B69AA">
        <w:t xml:space="preserve"> to this document contain </w:t>
      </w:r>
      <w:r w:rsidR="00234105">
        <w:t>the</w:t>
      </w:r>
      <w:r w:rsidR="00D85F69" w:rsidRPr="000B69AA">
        <w:t xml:space="preserve"> submission</w:t>
      </w:r>
      <w:r w:rsidR="00234105">
        <w:t>s</w:t>
      </w:r>
      <w:r w:rsidR="00927250">
        <w:t xml:space="preserve"> on the above-mentioned subject from</w:t>
      </w:r>
      <w:r w:rsidR="008D1D00">
        <w:t xml:space="preserve"> the Delegation </w:t>
      </w:r>
      <w:r w:rsidR="00E8159B">
        <w:t xml:space="preserve">of Switzerland on behalf of </w:t>
      </w:r>
      <w:r w:rsidR="008D1D00">
        <w:t>Group B</w:t>
      </w:r>
      <w:r w:rsidR="00FF0DA8">
        <w:t xml:space="preserve">, </w:t>
      </w:r>
      <w:r w:rsidR="00BF7F01">
        <w:t>the Delegation of Ecuador</w:t>
      </w:r>
      <w:r w:rsidR="00FF0DA8">
        <w:t xml:space="preserve"> and the Delegation of South Africa</w:t>
      </w:r>
      <w:r w:rsidR="00927250" w:rsidRPr="00927250">
        <w:rPr>
          <w:lang w:val="en-GB"/>
        </w:rPr>
        <w:t xml:space="preserve">.  </w:t>
      </w:r>
    </w:p>
    <w:p w:rsidR="00D85F69" w:rsidRDefault="00D85F69" w:rsidP="00337F4F"/>
    <w:p w:rsidR="00C5216C" w:rsidRPr="00C5216C" w:rsidRDefault="00337F4F" w:rsidP="006E76B4">
      <w:pPr>
        <w:tabs>
          <w:tab w:val="left" w:pos="567"/>
        </w:tabs>
        <w:ind w:left="5534"/>
        <w:rPr>
          <w:rStyle w:val="ONUMFSChar"/>
          <w:i/>
        </w:rPr>
      </w:pPr>
      <w:r w:rsidRPr="00C5216C">
        <w:rPr>
          <w:i/>
        </w:rPr>
        <w:fldChar w:fldCharType="begin"/>
      </w:r>
      <w:r w:rsidRPr="00C5216C">
        <w:rPr>
          <w:i/>
        </w:rPr>
        <w:instrText xml:space="preserve"> AUTONUM  </w:instrText>
      </w:r>
      <w:r w:rsidRPr="00C5216C">
        <w:rPr>
          <w:i/>
        </w:rPr>
        <w:fldChar w:fldCharType="end"/>
      </w:r>
      <w:r w:rsidRPr="00C5216C">
        <w:rPr>
          <w:i/>
        </w:rPr>
        <w:tab/>
      </w:r>
      <w:r w:rsidR="00C5216C" w:rsidRPr="00C5216C">
        <w:rPr>
          <w:i/>
        </w:rPr>
        <w:t xml:space="preserve">The Committee </w:t>
      </w:r>
      <w:proofErr w:type="gramStart"/>
      <w:r w:rsidR="00C5216C" w:rsidRPr="00C5216C">
        <w:rPr>
          <w:i/>
        </w:rPr>
        <w:t>is requested</w:t>
      </w:r>
      <w:proofErr w:type="gramEnd"/>
      <w:r w:rsidR="00C5216C" w:rsidRPr="00C5216C">
        <w:rPr>
          <w:i/>
        </w:rPr>
        <w:t xml:space="preserve"> to consider </w:t>
      </w:r>
      <w:r w:rsidR="00C5216C" w:rsidRPr="00C5216C">
        <w:rPr>
          <w:i/>
          <w:iCs/>
          <w:szCs w:val="22"/>
        </w:rPr>
        <w:t>the info</w:t>
      </w:r>
      <w:r w:rsidR="00ED0E6E">
        <w:rPr>
          <w:i/>
          <w:iCs/>
          <w:szCs w:val="22"/>
        </w:rPr>
        <w:t>rmation contained in the A</w:t>
      </w:r>
      <w:r w:rsidR="00BA5CE5">
        <w:rPr>
          <w:i/>
          <w:iCs/>
          <w:szCs w:val="22"/>
        </w:rPr>
        <w:t>nnex</w:t>
      </w:r>
      <w:r w:rsidR="00ED0E6E">
        <w:rPr>
          <w:i/>
          <w:iCs/>
          <w:szCs w:val="22"/>
        </w:rPr>
        <w:t>es</w:t>
      </w:r>
      <w:r w:rsidR="00C5216C" w:rsidRPr="00C5216C">
        <w:rPr>
          <w:i/>
          <w:iCs/>
          <w:szCs w:val="22"/>
        </w:rPr>
        <w:t xml:space="preserve"> </w:t>
      </w:r>
      <w:r w:rsidR="00C5216C" w:rsidRPr="00C5216C">
        <w:rPr>
          <w:rStyle w:val="ONUMFSChar"/>
          <w:i/>
        </w:rPr>
        <w:t>to the present document.</w:t>
      </w:r>
    </w:p>
    <w:p w:rsidR="00C5216C" w:rsidRPr="00E812E9" w:rsidRDefault="00C5216C" w:rsidP="00C5216C"/>
    <w:p w:rsidR="00C5216C" w:rsidRPr="00E812E9" w:rsidRDefault="00C5216C" w:rsidP="00C5216C"/>
    <w:p w:rsidR="00C5216C" w:rsidRPr="00E812E9" w:rsidRDefault="00C5216C" w:rsidP="00C5216C"/>
    <w:p w:rsidR="007E760A" w:rsidRDefault="00C5216C" w:rsidP="00FA0C6F">
      <w:pPr>
        <w:pStyle w:val="Endofdocument-Annex"/>
        <w:sectPr w:rsidR="007E760A" w:rsidSect="00FE63AC">
          <w:headerReference w:type="default" r:id="rId9"/>
          <w:endnotePr>
            <w:numFmt w:val="decimal"/>
          </w:endnotePr>
          <w:pgSz w:w="11907" w:h="16840" w:code="9"/>
          <w:pgMar w:top="567" w:right="1134" w:bottom="1418" w:left="1418" w:header="510" w:footer="1021" w:gutter="0"/>
          <w:cols w:space="720"/>
          <w:titlePg/>
          <w:docGrid w:linePitch="299"/>
        </w:sectPr>
      </w:pPr>
      <w:r w:rsidRPr="00E812E9">
        <w:t>[</w:t>
      </w:r>
      <w:r w:rsidR="00FA0C6F" w:rsidRPr="00FA0C6F">
        <w:t>Annexes follow</w:t>
      </w:r>
      <w:r w:rsidRPr="00FA0C6F">
        <w:t>]</w:t>
      </w:r>
    </w:p>
    <w:p w:rsidR="003334E4" w:rsidRDefault="00F5047F" w:rsidP="00657EE9">
      <w:pPr>
        <w:pStyle w:val="Heading1"/>
        <w:rPr>
          <w:b w:val="0"/>
          <w:szCs w:val="22"/>
        </w:rPr>
      </w:pPr>
      <w:r w:rsidRPr="00432E03">
        <w:rPr>
          <w:b w:val="0"/>
          <w:szCs w:val="22"/>
        </w:rPr>
        <w:lastRenderedPageBreak/>
        <w:t>Input rec</w:t>
      </w:r>
      <w:r w:rsidR="00165EE7" w:rsidRPr="00432E03">
        <w:rPr>
          <w:b w:val="0"/>
          <w:szCs w:val="22"/>
        </w:rPr>
        <w:t>e</w:t>
      </w:r>
      <w:r w:rsidRPr="00432E03">
        <w:rPr>
          <w:b w:val="0"/>
          <w:szCs w:val="22"/>
        </w:rPr>
        <w:t xml:space="preserve">ived </w:t>
      </w:r>
      <w:r w:rsidR="00E8159B">
        <w:rPr>
          <w:b w:val="0"/>
          <w:szCs w:val="22"/>
        </w:rPr>
        <w:t xml:space="preserve">by the secretariat </w:t>
      </w:r>
      <w:r w:rsidRPr="00432E03">
        <w:rPr>
          <w:b w:val="0"/>
          <w:szCs w:val="22"/>
        </w:rPr>
        <w:t xml:space="preserve">from </w:t>
      </w:r>
      <w:r w:rsidR="00E8159B">
        <w:rPr>
          <w:b w:val="0"/>
          <w:szCs w:val="22"/>
        </w:rPr>
        <w:t xml:space="preserve">the delegation of switzerland on behalf </w:t>
      </w:r>
      <w:r w:rsidR="00252823" w:rsidRPr="00432E03">
        <w:rPr>
          <w:b w:val="0"/>
          <w:szCs w:val="22"/>
        </w:rPr>
        <w:t>group b</w:t>
      </w:r>
    </w:p>
    <w:p w:rsidR="00E8159B" w:rsidRDefault="00E8159B" w:rsidP="00E8159B"/>
    <w:p w:rsidR="00BF7F01" w:rsidRPr="00BF7F01" w:rsidRDefault="00BF7F01" w:rsidP="00BF7F01">
      <w:pPr>
        <w:spacing w:after="200" w:line="276" w:lineRule="auto"/>
        <w:jc w:val="center"/>
        <w:rPr>
          <w:rFonts w:eastAsiaTheme="minorHAnsi"/>
          <w:b/>
          <w:szCs w:val="22"/>
          <w:lang w:val="en-CA" w:eastAsia="en-US"/>
        </w:rPr>
      </w:pPr>
      <w:r w:rsidRPr="00BF7F01">
        <w:rPr>
          <w:rFonts w:eastAsiaTheme="minorHAnsi"/>
          <w:b/>
          <w:sz w:val="28"/>
          <w:szCs w:val="28"/>
          <w:lang w:val="en-CA" w:eastAsia="en-US"/>
        </w:rPr>
        <w:t>List of Indicators to Assess WIPO</w:t>
      </w:r>
      <w:r w:rsidR="001B1BC2">
        <w:rPr>
          <w:rFonts w:eastAsiaTheme="minorHAnsi"/>
          <w:b/>
          <w:sz w:val="28"/>
          <w:szCs w:val="28"/>
          <w:lang w:val="en-CA" w:eastAsia="en-US"/>
        </w:rPr>
        <w:t>’</w:t>
      </w:r>
      <w:r w:rsidRPr="00BF7F01">
        <w:rPr>
          <w:rFonts w:eastAsiaTheme="minorHAnsi"/>
          <w:b/>
          <w:sz w:val="28"/>
          <w:szCs w:val="28"/>
          <w:lang w:val="en-CA" w:eastAsia="en-US"/>
        </w:rPr>
        <w:t>s Technology Transfer Services and Activities</w:t>
      </w:r>
      <w:r w:rsidRPr="00BF7F01">
        <w:rPr>
          <w:rFonts w:eastAsiaTheme="minorHAnsi"/>
          <w:b/>
          <w:szCs w:val="22"/>
          <w:lang w:val="en-CA" w:eastAsia="en-US"/>
        </w:rPr>
        <w:t xml:space="preserve"> </w:t>
      </w:r>
    </w:p>
    <w:p w:rsidR="00BF7F01" w:rsidRPr="00BF7F01" w:rsidRDefault="00BF7F01" w:rsidP="00BF7F01">
      <w:pPr>
        <w:spacing w:after="200" w:line="276" w:lineRule="auto"/>
        <w:jc w:val="center"/>
        <w:rPr>
          <w:rFonts w:eastAsiaTheme="minorHAnsi"/>
          <w:b/>
          <w:sz w:val="28"/>
          <w:szCs w:val="28"/>
          <w:lang w:val="en-CA" w:eastAsia="en-US"/>
        </w:rPr>
      </w:pPr>
      <w:r w:rsidRPr="00BF7F01">
        <w:rPr>
          <w:rFonts w:eastAsiaTheme="minorHAnsi"/>
          <w:b/>
          <w:sz w:val="28"/>
          <w:szCs w:val="28"/>
          <w:lang w:val="en-CA" w:eastAsia="en-US"/>
        </w:rPr>
        <w:t>Group B Submission</w:t>
      </w:r>
    </w:p>
    <w:p w:rsidR="00BF7F01" w:rsidRPr="00BF7F01" w:rsidRDefault="00BF7F01" w:rsidP="00BF7F01">
      <w:pPr>
        <w:spacing w:after="200" w:line="276" w:lineRule="auto"/>
        <w:rPr>
          <w:rFonts w:eastAsiaTheme="minorHAnsi"/>
          <w:szCs w:val="22"/>
          <w:lang w:val="en-CA" w:eastAsia="en-US"/>
        </w:rPr>
      </w:pPr>
    </w:p>
    <w:p w:rsidR="00BF7F01" w:rsidRPr="00BF7F01" w:rsidRDefault="00BF7F01" w:rsidP="001B1BC2">
      <w:pPr>
        <w:spacing w:after="200" w:line="276" w:lineRule="auto"/>
        <w:rPr>
          <w:rFonts w:eastAsiaTheme="minorHAnsi"/>
          <w:szCs w:val="22"/>
          <w:lang w:val="en-CA" w:eastAsia="en-US"/>
        </w:rPr>
      </w:pPr>
      <w:r w:rsidRPr="00BF7F01">
        <w:rPr>
          <w:rFonts w:eastAsiaTheme="minorHAnsi"/>
          <w:szCs w:val="22"/>
          <w:lang w:val="en-CA" w:eastAsia="en-US"/>
        </w:rPr>
        <w:t>During its 21</w:t>
      </w:r>
      <w:r w:rsidRPr="00BF7F01">
        <w:rPr>
          <w:rFonts w:eastAsiaTheme="minorHAnsi"/>
          <w:szCs w:val="22"/>
          <w:vertAlign w:val="superscript"/>
          <w:lang w:val="en-CA" w:eastAsia="en-US"/>
        </w:rPr>
        <w:t>st</w:t>
      </w:r>
      <w:r w:rsidRPr="00BF7F01">
        <w:rPr>
          <w:rFonts w:eastAsiaTheme="minorHAnsi"/>
          <w:szCs w:val="22"/>
          <w:lang w:val="en-CA" w:eastAsia="en-US"/>
        </w:rPr>
        <w:t xml:space="preserve"> session, the Committee discussed the document CDIP/21/5, </w:t>
      </w:r>
      <w:r w:rsidR="001B1BC2">
        <w:rPr>
          <w:rFonts w:eastAsiaTheme="minorHAnsi"/>
          <w:szCs w:val="22"/>
          <w:lang w:val="en-CA" w:eastAsia="en-US"/>
        </w:rPr>
        <w:t>“</w:t>
      </w:r>
      <w:r w:rsidRPr="00BF7F01">
        <w:rPr>
          <w:rFonts w:eastAsiaTheme="minorHAnsi"/>
          <w:szCs w:val="22"/>
          <w:lang w:val="en-CA" w:eastAsia="en-US"/>
        </w:rPr>
        <w:t>Gap Analysis of WIPO</w:t>
      </w:r>
      <w:r w:rsidR="001B1BC2">
        <w:rPr>
          <w:rFonts w:eastAsiaTheme="minorHAnsi"/>
          <w:szCs w:val="22"/>
          <w:lang w:val="en-CA" w:eastAsia="en-US"/>
        </w:rPr>
        <w:t>’</w:t>
      </w:r>
      <w:r w:rsidRPr="00BF7F01">
        <w:rPr>
          <w:rFonts w:eastAsiaTheme="minorHAnsi"/>
          <w:szCs w:val="22"/>
          <w:lang w:val="en-CA" w:eastAsia="en-US"/>
        </w:rPr>
        <w:t xml:space="preserve">s Existing Technology Transfer Services and Activities in Respect of the WIPO Development Agenda </w:t>
      </w:r>
      <w:r w:rsidR="001B1BC2">
        <w:rPr>
          <w:rFonts w:eastAsiaTheme="minorHAnsi"/>
          <w:szCs w:val="22"/>
          <w:lang w:val="en-CA" w:eastAsia="en-US"/>
        </w:rPr>
        <w:t>“</w:t>
      </w:r>
      <w:r w:rsidRPr="00BF7F01">
        <w:rPr>
          <w:rFonts w:eastAsiaTheme="minorHAnsi"/>
          <w:szCs w:val="22"/>
          <w:lang w:val="en-CA" w:eastAsia="en-US"/>
        </w:rPr>
        <w:t>Cluster C</w:t>
      </w:r>
      <w:r w:rsidR="001B1BC2">
        <w:rPr>
          <w:rFonts w:eastAsiaTheme="minorHAnsi"/>
          <w:szCs w:val="22"/>
          <w:lang w:val="en-CA" w:eastAsia="en-US"/>
        </w:rPr>
        <w:t>”</w:t>
      </w:r>
      <w:r w:rsidRPr="00BF7F01">
        <w:rPr>
          <w:rFonts w:eastAsiaTheme="minorHAnsi"/>
          <w:szCs w:val="22"/>
          <w:lang w:val="en-CA" w:eastAsia="en-US"/>
        </w:rPr>
        <w:t xml:space="preserve"> Recommendations</w:t>
      </w:r>
      <w:r w:rsidR="001B1BC2">
        <w:rPr>
          <w:rFonts w:eastAsiaTheme="minorHAnsi"/>
          <w:szCs w:val="22"/>
          <w:lang w:val="en-CA" w:eastAsia="en-US"/>
        </w:rPr>
        <w:t>”</w:t>
      </w:r>
      <w:r w:rsidRPr="00BF7F01">
        <w:rPr>
          <w:rFonts w:eastAsiaTheme="minorHAnsi"/>
          <w:szCs w:val="22"/>
          <w:lang w:val="en-CA" w:eastAsia="en-US"/>
        </w:rPr>
        <w:t>.</w:t>
      </w:r>
      <w:r w:rsidR="001B1BC2">
        <w:rPr>
          <w:rFonts w:eastAsiaTheme="minorHAnsi"/>
          <w:szCs w:val="22"/>
          <w:lang w:val="en-CA" w:eastAsia="en-US"/>
        </w:rPr>
        <w:t xml:space="preserve"> </w:t>
      </w:r>
      <w:r w:rsidRPr="00BF7F01">
        <w:rPr>
          <w:rFonts w:eastAsiaTheme="minorHAnsi"/>
          <w:szCs w:val="22"/>
          <w:lang w:val="en-CA" w:eastAsia="en-US"/>
        </w:rPr>
        <w:t xml:space="preserve"> </w:t>
      </w:r>
      <w:proofErr w:type="gramStart"/>
      <w:r w:rsidRPr="00BF7F01">
        <w:rPr>
          <w:rFonts w:eastAsiaTheme="minorHAnsi"/>
          <w:szCs w:val="22"/>
          <w:lang w:val="en-CA" w:eastAsia="en-US"/>
        </w:rPr>
        <w:t xml:space="preserve">It was noted by the Secretariat that the document provides a general analysis, rather than a specific gap analysis of activities indicated for each of the Cluster C recommendations, since no </w:t>
      </w:r>
      <w:r w:rsidR="001B1BC2">
        <w:rPr>
          <w:rFonts w:eastAsiaTheme="minorHAnsi"/>
          <w:szCs w:val="22"/>
          <w:lang w:val="en-CA" w:eastAsia="en-US"/>
        </w:rPr>
        <w:t>“</w:t>
      </w:r>
      <w:r w:rsidRPr="00BF7F01">
        <w:rPr>
          <w:rFonts w:eastAsiaTheme="minorHAnsi"/>
          <w:szCs w:val="22"/>
          <w:lang w:val="en-CA" w:eastAsia="en-US"/>
        </w:rPr>
        <w:t>indicators or benchmarks have been defined so as to allow an objective gap analysis of how and by how much the activities undertaken by WIPO within specific recommendations have contributed to achieving</w:t>
      </w:r>
      <w:r w:rsidR="001B1BC2">
        <w:rPr>
          <w:rFonts w:eastAsiaTheme="minorHAnsi"/>
          <w:szCs w:val="22"/>
          <w:lang w:val="en-CA" w:eastAsia="en-US"/>
        </w:rPr>
        <w:t>”</w:t>
      </w:r>
      <w:r w:rsidRPr="00BF7F01">
        <w:rPr>
          <w:rFonts w:eastAsiaTheme="minorHAnsi"/>
          <w:szCs w:val="22"/>
          <w:lang w:val="en-CA" w:eastAsia="en-US"/>
        </w:rPr>
        <w:t xml:space="preserve"> those recommendations.</w:t>
      </w:r>
      <w:proofErr w:type="gramEnd"/>
      <w:r w:rsidRPr="00BF7F01">
        <w:rPr>
          <w:rFonts w:eastAsiaTheme="minorHAnsi"/>
          <w:szCs w:val="22"/>
          <w:lang w:val="en-CA" w:eastAsia="en-US"/>
        </w:rPr>
        <w:t xml:space="preserve"> </w:t>
      </w:r>
      <w:r w:rsidR="001B1BC2">
        <w:rPr>
          <w:rFonts w:eastAsiaTheme="minorHAnsi"/>
          <w:szCs w:val="22"/>
          <w:lang w:val="en-CA" w:eastAsia="en-US"/>
        </w:rPr>
        <w:t xml:space="preserve"> </w:t>
      </w:r>
      <w:r w:rsidRPr="00BF7F01">
        <w:rPr>
          <w:rFonts w:eastAsiaTheme="minorHAnsi"/>
          <w:szCs w:val="22"/>
          <w:lang w:val="en-CA" w:eastAsia="en-US"/>
        </w:rPr>
        <w:t xml:space="preserve">Therefore, the Committee </w:t>
      </w:r>
      <w:proofErr w:type="gramStart"/>
      <w:r w:rsidRPr="00BF7F01">
        <w:rPr>
          <w:rFonts w:eastAsiaTheme="minorHAnsi"/>
          <w:szCs w:val="22"/>
          <w:lang w:val="en-CA" w:eastAsia="en-US"/>
        </w:rPr>
        <w:t>decided that</w:t>
      </w:r>
      <w:proofErr w:type="gramEnd"/>
      <w:r w:rsidRPr="00BF7F01">
        <w:rPr>
          <w:rFonts w:eastAsiaTheme="minorHAnsi"/>
          <w:szCs w:val="22"/>
          <w:lang w:val="en-CA" w:eastAsia="en-US"/>
        </w:rPr>
        <w:t xml:space="preserve"> </w:t>
      </w:r>
      <w:r w:rsidR="001B1BC2">
        <w:rPr>
          <w:rFonts w:eastAsiaTheme="minorHAnsi"/>
          <w:szCs w:val="22"/>
          <w:lang w:val="en-CA" w:eastAsia="en-US"/>
        </w:rPr>
        <w:t>“</w:t>
      </w:r>
      <w:r w:rsidRPr="00BF7F01">
        <w:rPr>
          <w:rFonts w:eastAsiaTheme="minorHAnsi"/>
          <w:szCs w:val="22"/>
          <w:lang w:val="en-CA" w:eastAsia="en-US"/>
        </w:rPr>
        <w:t>interested delegations should submit to the Secretariat a list of indicators to assess the activities contained in the document for consolidation and presentation at the next session of the Committee.</w:t>
      </w:r>
      <w:r w:rsidR="001B1BC2">
        <w:rPr>
          <w:rFonts w:eastAsiaTheme="minorHAnsi"/>
          <w:szCs w:val="22"/>
          <w:lang w:val="en-CA" w:eastAsia="en-US"/>
        </w:rPr>
        <w:t>”</w:t>
      </w:r>
      <w:r w:rsidRPr="00BF7F01">
        <w:rPr>
          <w:rFonts w:eastAsiaTheme="minorHAnsi"/>
          <w:szCs w:val="22"/>
          <w:lang w:val="en-CA" w:eastAsia="en-US"/>
        </w:rPr>
        <w:t xml:space="preserve"> </w:t>
      </w:r>
    </w:p>
    <w:p w:rsidR="00BF7F01" w:rsidRPr="00BF7F01" w:rsidRDefault="00BF7F01" w:rsidP="001B1BC2">
      <w:pPr>
        <w:spacing w:after="200" w:line="276" w:lineRule="auto"/>
        <w:rPr>
          <w:rFonts w:eastAsiaTheme="minorHAnsi"/>
          <w:szCs w:val="22"/>
          <w:lang w:val="en-CA" w:eastAsia="en-US"/>
        </w:rPr>
      </w:pPr>
      <w:r w:rsidRPr="00BF7F01">
        <w:rPr>
          <w:rFonts w:eastAsiaTheme="minorHAnsi"/>
          <w:szCs w:val="22"/>
          <w:lang w:val="en-CA" w:eastAsia="en-US"/>
        </w:rPr>
        <w:t xml:space="preserve">Good Results-Based Management (RBM) practices require linking objectives at all levels to objectively verifiable indicators, which should be </w:t>
      </w:r>
      <w:r w:rsidRPr="00BF7F01">
        <w:rPr>
          <w:rFonts w:eastAsiaTheme="minorHAnsi"/>
          <w:b/>
          <w:szCs w:val="22"/>
          <w:lang w:val="en-CA" w:eastAsia="en-US"/>
        </w:rPr>
        <w:t>Specific</w:t>
      </w:r>
      <w:r w:rsidRPr="00BF7F01">
        <w:rPr>
          <w:rFonts w:eastAsiaTheme="minorHAnsi"/>
          <w:szCs w:val="22"/>
          <w:lang w:val="en-CA" w:eastAsia="en-US"/>
        </w:rPr>
        <w:t xml:space="preserve">, </w:t>
      </w:r>
      <w:r w:rsidRPr="00BF7F01">
        <w:rPr>
          <w:rFonts w:eastAsiaTheme="minorHAnsi"/>
          <w:b/>
          <w:szCs w:val="22"/>
          <w:lang w:val="en-CA" w:eastAsia="en-US"/>
        </w:rPr>
        <w:t>Measurable</w:t>
      </w:r>
      <w:r w:rsidRPr="00BF7F01">
        <w:rPr>
          <w:rFonts w:eastAsiaTheme="minorHAnsi"/>
          <w:szCs w:val="22"/>
          <w:lang w:val="en-CA" w:eastAsia="en-US"/>
        </w:rPr>
        <w:t xml:space="preserve">, </w:t>
      </w:r>
      <w:r w:rsidRPr="00BF7F01">
        <w:rPr>
          <w:rFonts w:eastAsiaTheme="minorHAnsi"/>
          <w:b/>
          <w:szCs w:val="22"/>
          <w:lang w:val="en-CA" w:eastAsia="en-US"/>
        </w:rPr>
        <w:t>Achievable</w:t>
      </w:r>
      <w:r w:rsidRPr="00BF7F01">
        <w:rPr>
          <w:rFonts w:eastAsiaTheme="minorHAnsi"/>
          <w:szCs w:val="22"/>
          <w:lang w:val="en-CA" w:eastAsia="en-US"/>
        </w:rPr>
        <w:t xml:space="preserve">, </w:t>
      </w:r>
      <w:r w:rsidRPr="00BF7F01">
        <w:rPr>
          <w:rFonts w:eastAsiaTheme="minorHAnsi"/>
          <w:b/>
          <w:szCs w:val="22"/>
          <w:lang w:val="en-CA" w:eastAsia="en-US"/>
        </w:rPr>
        <w:t>Relevant</w:t>
      </w:r>
      <w:r w:rsidRPr="00BF7F01">
        <w:rPr>
          <w:rFonts w:eastAsiaTheme="minorHAnsi"/>
          <w:szCs w:val="22"/>
          <w:lang w:val="en-CA" w:eastAsia="en-US"/>
        </w:rPr>
        <w:t xml:space="preserve"> and </w:t>
      </w:r>
      <w:r w:rsidRPr="00BF7F01">
        <w:rPr>
          <w:rFonts w:eastAsiaTheme="minorHAnsi"/>
          <w:b/>
          <w:szCs w:val="22"/>
          <w:lang w:val="en-CA" w:eastAsia="en-US"/>
        </w:rPr>
        <w:t>Time-bound (SMART)</w:t>
      </w:r>
      <w:r w:rsidRPr="00BF7F01">
        <w:rPr>
          <w:rFonts w:eastAsiaTheme="minorHAnsi"/>
          <w:szCs w:val="22"/>
          <w:lang w:val="en-CA" w:eastAsia="en-US"/>
        </w:rPr>
        <w:t xml:space="preserve">.  </w:t>
      </w:r>
    </w:p>
    <w:p w:rsidR="00BF7F01" w:rsidRPr="002C15D4" w:rsidRDefault="00CB7290" w:rsidP="00CB7290">
      <w:pPr>
        <w:spacing w:after="200" w:line="276" w:lineRule="auto"/>
        <w:rPr>
          <w:rFonts w:eastAsiaTheme="minorHAnsi"/>
          <w:bCs/>
          <w:szCs w:val="22"/>
          <w:lang w:val="en" w:eastAsia="en-US"/>
        </w:rPr>
      </w:pPr>
      <w:r>
        <w:rPr>
          <w:rFonts w:eastAsiaTheme="minorHAnsi"/>
          <w:bCs/>
          <w:szCs w:val="22"/>
          <w:lang w:val="en" w:eastAsia="en-US"/>
        </w:rPr>
        <w:t>Attached as Appendix</w:t>
      </w:r>
      <w:r w:rsidR="00BF7F01" w:rsidRPr="00BF7F01">
        <w:rPr>
          <w:rFonts w:eastAsiaTheme="minorHAnsi"/>
          <w:bCs/>
          <w:szCs w:val="22"/>
          <w:lang w:val="en" w:eastAsia="en-US"/>
        </w:rPr>
        <w:t xml:space="preserve"> I is a non-exhaustive list of </w:t>
      </w:r>
      <w:proofErr w:type="gramStart"/>
      <w:r w:rsidR="00BF7F01" w:rsidRPr="00BF7F01">
        <w:rPr>
          <w:rFonts w:eastAsiaTheme="minorHAnsi"/>
          <w:bCs/>
          <w:szCs w:val="22"/>
          <w:lang w:val="en" w:eastAsia="en-US"/>
        </w:rPr>
        <w:t>indicators which</w:t>
      </w:r>
      <w:proofErr w:type="gramEnd"/>
      <w:r w:rsidR="00BF7F01" w:rsidRPr="00BF7F01">
        <w:rPr>
          <w:rFonts w:eastAsiaTheme="minorHAnsi"/>
          <w:bCs/>
          <w:szCs w:val="22"/>
          <w:lang w:val="en" w:eastAsia="en-US"/>
        </w:rPr>
        <w:t xml:space="preserve"> Group B would propose to assess the extent to which WIPO</w:t>
      </w:r>
      <w:r w:rsidR="001B1BC2">
        <w:rPr>
          <w:rFonts w:eastAsiaTheme="minorHAnsi"/>
          <w:bCs/>
          <w:szCs w:val="22"/>
          <w:lang w:val="en" w:eastAsia="en-US"/>
        </w:rPr>
        <w:t>’</w:t>
      </w:r>
      <w:r w:rsidR="00BF7F01" w:rsidRPr="00BF7F01">
        <w:rPr>
          <w:rFonts w:eastAsiaTheme="minorHAnsi"/>
          <w:bCs/>
          <w:szCs w:val="22"/>
          <w:lang w:val="en" w:eastAsia="en-US"/>
        </w:rPr>
        <w:t xml:space="preserve">s technology transfer services and activities contribute to the implementation of those </w:t>
      </w:r>
      <w:r w:rsidR="001B1BC2">
        <w:rPr>
          <w:rFonts w:eastAsiaTheme="minorHAnsi"/>
          <w:bCs/>
          <w:szCs w:val="22"/>
          <w:lang w:val="en" w:eastAsia="en-US"/>
        </w:rPr>
        <w:t>“</w:t>
      </w:r>
      <w:r w:rsidR="00BF7F01" w:rsidRPr="00BF7F01">
        <w:rPr>
          <w:rFonts w:eastAsiaTheme="minorHAnsi"/>
          <w:bCs/>
          <w:szCs w:val="22"/>
          <w:lang w:val="en" w:eastAsia="en-US"/>
        </w:rPr>
        <w:t>Cluster C</w:t>
      </w:r>
      <w:r w:rsidR="001B1BC2">
        <w:rPr>
          <w:rFonts w:eastAsiaTheme="minorHAnsi"/>
          <w:bCs/>
          <w:szCs w:val="22"/>
          <w:lang w:val="en" w:eastAsia="en-US"/>
        </w:rPr>
        <w:t>”</w:t>
      </w:r>
      <w:r w:rsidR="00BF7F01" w:rsidRPr="00BF7F01">
        <w:rPr>
          <w:rFonts w:eastAsiaTheme="minorHAnsi"/>
          <w:bCs/>
          <w:szCs w:val="22"/>
          <w:lang w:val="en" w:eastAsia="en-US"/>
        </w:rPr>
        <w:t xml:space="preserve"> recommendations that relate to technology transfer.</w:t>
      </w:r>
    </w:p>
    <w:p w:rsidR="00BF7F01" w:rsidRDefault="002C15D4" w:rsidP="002C15D4">
      <w:pPr>
        <w:rPr>
          <w:rFonts w:eastAsiaTheme="minorHAnsi"/>
          <w:bCs/>
          <w:sz w:val="24"/>
          <w:szCs w:val="24"/>
          <w:lang w:val="en" w:eastAsia="en-US"/>
        </w:rPr>
      </w:pPr>
      <w:r>
        <w:rPr>
          <w:rFonts w:eastAsiaTheme="minorHAnsi"/>
          <w:bCs/>
          <w:sz w:val="24"/>
          <w:szCs w:val="24"/>
          <w:lang w:val="en" w:eastAsia="en-US"/>
        </w:rPr>
        <w:br w:type="page"/>
      </w:r>
    </w:p>
    <w:p w:rsidR="002C15D4" w:rsidRDefault="002C15D4" w:rsidP="002C15D4">
      <w:pPr>
        <w:rPr>
          <w:rFonts w:eastAsiaTheme="minorHAnsi"/>
          <w:bCs/>
          <w:sz w:val="24"/>
          <w:szCs w:val="24"/>
          <w:lang w:val="en" w:eastAsia="en-US"/>
        </w:rPr>
        <w:sectPr w:rsidR="002C15D4" w:rsidSect="002C15D4">
          <w:headerReference w:type="default" r:id="rId10"/>
          <w:headerReference w:type="first" r:id="rId11"/>
          <w:footerReference w:type="first" r:id="rId12"/>
          <w:endnotePr>
            <w:numFmt w:val="decimal"/>
          </w:endnotePr>
          <w:pgSz w:w="11907" w:h="16840" w:code="9"/>
          <w:pgMar w:top="562" w:right="1138" w:bottom="1411" w:left="1411" w:header="504" w:footer="1022" w:gutter="0"/>
          <w:pgNumType w:start="1"/>
          <w:cols w:space="720"/>
          <w:titlePg/>
          <w:docGrid w:linePitch="299"/>
        </w:sectPr>
      </w:pPr>
    </w:p>
    <w:p w:rsidR="002C15D4" w:rsidRPr="00BF7F01" w:rsidRDefault="002C15D4" w:rsidP="002C15D4">
      <w:pPr>
        <w:rPr>
          <w:rFonts w:eastAsiaTheme="minorHAnsi"/>
          <w:bCs/>
          <w:sz w:val="24"/>
          <w:szCs w:val="24"/>
          <w:lang w:val="en" w:eastAsia="en-US"/>
        </w:rPr>
      </w:pPr>
    </w:p>
    <w:p w:rsidR="00BF7F01" w:rsidRPr="00BF7F01" w:rsidRDefault="00812B4C" w:rsidP="00BF7F01">
      <w:pPr>
        <w:jc w:val="center"/>
        <w:rPr>
          <w:rFonts w:eastAsiaTheme="minorHAnsi" w:cstheme="minorBidi"/>
          <w:b/>
          <w:szCs w:val="22"/>
          <w:lang w:val="en-CA" w:eastAsia="en-US"/>
        </w:rPr>
      </w:pPr>
      <w:r>
        <w:rPr>
          <w:rFonts w:eastAsiaTheme="minorHAnsi" w:cstheme="minorBidi"/>
          <w:b/>
          <w:szCs w:val="22"/>
          <w:lang w:val="en-CA" w:eastAsia="en-US"/>
        </w:rPr>
        <w:t>APPENDIX</w:t>
      </w:r>
      <w:r w:rsidR="00BF7F01" w:rsidRPr="00BF7F01">
        <w:rPr>
          <w:rFonts w:eastAsiaTheme="minorHAnsi" w:cstheme="minorBidi"/>
          <w:b/>
          <w:szCs w:val="22"/>
          <w:lang w:val="en-CA" w:eastAsia="en-US"/>
        </w:rPr>
        <w:t xml:space="preserve"> I:</w:t>
      </w:r>
      <w:r w:rsidR="001B1BC2">
        <w:rPr>
          <w:rFonts w:eastAsiaTheme="minorHAnsi" w:cstheme="minorBidi"/>
          <w:b/>
          <w:szCs w:val="22"/>
          <w:lang w:val="en-CA" w:eastAsia="en-US"/>
        </w:rPr>
        <w:t xml:space="preserve"> </w:t>
      </w:r>
      <w:r w:rsidR="00BF7F01" w:rsidRPr="00BF7F01">
        <w:rPr>
          <w:rFonts w:eastAsiaTheme="minorHAnsi" w:cstheme="minorBidi"/>
          <w:b/>
          <w:szCs w:val="22"/>
          <w:lang w:val="en-CA" w:eastAsia="en-US"/>
        </w:rPr>
        <w:t xml:space="preserve"> </w:t>
      </w:r>
      <w:r w:rsidR="001B1BC2">
        <w:rPr>
          <w:rFonts w:eastAsiaTheme="minorHAnsi" w:cstheme="minorBidi"/>
          <w:b/>
          <w:szCs w:val="22"/>
          <w:lang w:val="en-CA" w:eastAsia="en-US"/>
        </w:rPr>
        <w:t>“</w:t>
      </w:r>
      <w:r w:rsidR="00BF7F01" w:rsidRPr="00BF7F01">
        <w:rPr>
          <w:rFonts w:eastAsiaTheme="minorHAnsi" w:cstheme="minorBidi"/>
          <w:b/>
          <w:szCs w:val="22"/>
          <w:lang w:val="en-CA" w:eastAsia="en-US"/>
        </w:rPr>
        <w:t>Cluster C</w:t>
      </w:r>
      <w:r w:rsidR="001B1BC2">
        <w:rPr>
          <w:rFonts w:eastAsiaTheme="minorHAnsi" w:cstheme="minorBidi"/>
          <w:b/>
          <w:szCs w:val="22"/>
          <w:lang w:val="en-CA" w:eastAsia="en-US"/>
        </w:rPr>
        <w:t>”</w:t>
      </w:r>
      <w:r w:rsidR="00BF7F01" w:rsidRPr="00BF7F01">
        <w:rPr>
          <w:rFonts w:eastAsiaTheme="minorHAnsi" w:cstheme="minorBidi"/>
          <w:b/>
          <w:szCs w:val="22"/>
          <w:lang w:val="en-CA" w:eastAsia="en-US"/>
        </w:rPr>
        <w:t xml:space="preserve"> DA Recommendations – RBM – Proposed Methodology</w:t>
      </w:r>
    </w:p>
    <w:p w:rsidR="00BF7F01" w:rsidRPr="00BF7F01" w:rsidRDefault="00BF7F01" w:rsidP="00BF7F01">
      <w:pPr>
        <w:rPr>
          <w:rFonts w:eastAsiaTheme="minorHAnsi" w:cstheme="minorBidi"/>
          <w:szCs w:val="22"/>
          <w:lang w:val="en-CA" w:eastAsia="en-US"/>
        </w:rPr>
      </w:pPr>
    </w:p>
    <w:tbl>
      <w:tblPr>
        <w:tblStyle w:val="TableGrid2"/>
        <w:tblW w:w="13163" w:type="dxa"/>
        <w:tblInd w:w="985" w:type="dxa"/>
        <w:tblLook w:val="04A0" w:firstRow="1" w:lastRow="0" w:firstColumn="1" w:lastColumn="0" w:noHBand="0" w:noVBand="1"/>
      </w:tblPr>
      <w:tblGrid>
        <w:gridCol w:w="7544"/>
        <w:gridCol w:w="5619"/>
      </w:tblGrid>
      <w:tr w:rsidR="00BF7F01" w:rsidRPr="00BF7F01" w:rsidTr="00BF7F01">
        <w:trPr>
          <w:cantSplit/>
          <w:trHeight w:val="447"/>
          <w:tblHeader/>
        </w:trPr>
        <w:tc>
          <w:tcPr>
            <w:tcW w:w="7544" w:type="dxa"/>
            <w:shd w:val="clear" w:color="auto" w:fill="F2F2F2" w:themeFill="background1" w:themeFillShade="F2"/>
            <w:vAlign w:val="center"/>
          </w:tcPr>
          <w:p w:rsidR="00BF7F01" w:rsidRPr="00BF7F01" w:rsidRDefault="00BF7F01" w:rsidP="00BF7F01">
            <w:pPr>
              <w:jc w:val="center"/>
              <w:rPr>
                <w:rFonts w:eastAsiaTheme="minorHAnsi" w:cstheme="minorBidi"/>
                <w:b/>
                <w:lang w:eastAsia="en-US"/>
              </w:rPr>
            </w:pPr>
            <w:r w:rsidRPr="00BF7F01">
              <w:rPr>
                <w:rFonts w:eastAsiaTheme="minorHAnsi" w:cstheme="minorBidi"/>
                <w:b/>
                <w:lang w:eastAsia="en-US"/>
              </w:rPr>
              <w:t>Cluster C Recommendation</w:t>
            </w:r>
          </w:p>
        </w:tc>
        <w:tc>
          <w:tcPr>
            <w:tcW w:w="5619" w:type="dxa"/>
            <w:shd w:val="clear" w:color="auto" w:fill="F2F2F2" w:themeFill="background1" w:themeFillShade="F2"/>
            <w:vAlign w:val="center"/>
          </w:tcPr>
          <w:p w:rsidR="00BF7F01" w:rsidRPr="00BF7F01" w:rsidRDefault="00BF7F01" w:rsidP="00BF7F01">
            <w:pPr>
              <w:jc w:val="center"/>
              <w:rPr>
                <w:rFonts w:eastAsiaTheme="minorHAnsi" w:cstheme="minorBidi"/>
                <w:b/>
                <w:lang w:eastAsia="en-US"/>
              </w:rPr>
            </w:pPr>
            <w:r w:rsidRPr="00BF7F01">
              <w:rPr>
                <w:rFonts w:eastAsiaTheme="minorHAnsi" w:cstheme="minorBidi"/>
                <w:b/>
                <w:lang w:eastAsia="en-US"/>
              </w:rPr>
              <w:t>Performance Indicators</w:t>
            </w:r>
          </w:p>
        </w:tc>
      </w:tr>
      <w:tr w:rsidR="00BF7F01" w:rsidRPr="00BF7F01" w:rsidTr="00BF7F01">
        <w:trPr>
          <w:cantSplit/>
          <w:trHeight w:val="1410"/>
        </w:trPr>
        <w:tc>
          <w:tcPr>
            <w:tcW w:w="7544" w:type="dxa"/>
            <w:vMerge w:val="restart"/>
          </w:tcPr>
          <w:p w:rsidR="00BF7F01" w:rsidRPr="00BF7F01" w:rsidRDefault="00BF7F01" w:rsidP="00BF7F01">
            <w:pPr>
              <w:rPr>
                <w:rFonts w:eastAsiaTheme="minorHAnsi" w:cstheme="minorBidi"/>
                <w:lang w:eastAsia="en-US"/>
              </w:rPr>
            </w:pPr>
            <w:r w:rsidRPr="00BF7F01">
              <w:rPr>
                <w:rFonts w:eastAsiaTheme="minorHAnsi" w:cstheme="minorBidi"/>
                <w:b/>
                <w:lang w:eastAsia="en-US"/>
              </w:rPr>
              <w:t>25.</w:t>
            </w:r>
            <w:r w:rsidRPr="00BF7F01">
              <w:rPr>
                <w:rFonts w:eastAsiaTheme="minorHAnsi" w:cstheme="minorBidi"/>
                <w:lang w:eastAsia="en-US"/>
              </w:rPr>
              <w:t xml:space="preserve"> To explore intellectual property-related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tc>
        <w:tc>
          <w:tcPr>
            <w:tcW w:w="5619" w:type="dxa"/>
            <w:tcBorders>
              <w:bottom w:val="dotted" w:sz="4" w:space="0" w:color="auto"/>
            </w:tcBorders>
          </w:tcPr>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 xml:space="preserve">Number and satisfaction rating of training programs and events on IP-related policies and initiatives to promote tech transfer, as well as IP-related flexibilities, conducted in or for developing country Member States </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Usage and uptake of databases compiled by WIPO on tech transfer-related policies and flexibilities, and that are available to Member States</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 xml:space="preserve">Number of quality publications, studies and other resources commissioned, conducted or compiled by WIPO on tech transfer-related policies and flexibilities, that have been peer reviewed and are available to Member States </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Number of fellowships, Master</w:t>
            </w:r>
            <w:r w:rsidR="001B1BC2">
              <w:rPr>
                <w:rFonts w:eastAsiaTheme="minorHAnsi" w:cstheme="minorBidi"/>
                <w:lang w:eastAsia="en-US"/>
              </w:rPr>
              <w:t>’</w:t>
            </w:r>
            <w:r w:rsidRPr="00BF7F01">
              <w:rPr>
                <w:rFonts w:eastAsiaTheme="minorHAnsi" w:cstheme="minorBidi"/>
                <w:lang w:eastAsia="en-US"/>
              </w:rPr>
              <w:t xml:space="preserve">s programs, summer school courses, and distance learning courses on IP-related policies and initiatives to promote tech transfer offered, arranged or conducted by WIPO for developing country Member States  </w:t>
            </w:r>
          </w:p>
          <w:p w:rsidR="00BF7F01" w:rsidRPr="00BF7F01" w:rsidRDefault="00BF7F01" w:rsidP="00BF7F01">
            <w:pPr>
              <w:ind w:left="175"/>
              <w:rPr>
                <w:rFonts w:eastAsiaTheme="minorHAnsi" w:cstheme="minorBidi"/>
                <w:lang w:eastAsia="en-US"/>
              </w:rPr>
            </w:pPr>
          </w:p>
        </w:tc>
      </w:tr>
      <w:tr w:rsidR="00BF7F01" w:rsidRPr="00BF7F01" w:rsidTr="00BF7F01">
        <w:trPr>
          <w:cantSplit/>
          <w:trHeight w:val="1630"/>
        </w:trPr>
        <w:tc>
          <w:tcPr>
            <w:tcW w:w="7544" w:type="dxa"/>
            <w:vMerge/>
          </w:tcPr>
          <w:p w:rsidR="00BF7F01" w:rsidRPr="00BF7F01" w:rsidRDefault="00BF7F01" w:rsidP="00BF7F01">
            <w:pPr>
              <w:rPr>
                <w:rFonts w:eastAsiaTheme="minorHAnsi" w:cstheme="minorBidi"/>
                <w:b/>
                <w:lang w:eastAsia="en-US"/>
              </w:rPr>
            </w:pPr>
          </w:p>
        </w:tc>
        <w:tc>
          <w:tcPr>
            <w:tcW w:w="5619" w:type="dxa"/>
            <w:tcBorders>
              <w:top w:val="dotted" w:sz="4" w:space="0" w:color="auto"/>
            </w:tcBorders>
          </w:tcPr>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Number/total of CDIP meetings or other WIPO committee meetings during which tech transfer-related issues or studies were formally* discussed</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 xml:space="preserve">Number of UN events related to tech transfer to which WIPO participated </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Number/total and satisfaction rating of technology transfer-related projects delivered to developing countries by WIPO</w:t>
            </w:r>
          </w:p>
          <w:p w:rsidR="00BF7F01" w:rsidRPr="00BF7F01" w:rsidRDefault="00BF7F01" w:rsidP="00BF7F01">
            <w:pPr>
              <w:ind w:left="-43"/>
              <w:rPr>
                <w:rFonts w:eastAsiaTheme="minorHAnsi" w:cstheme="minorBidi"/>
                <w:lang w:eastAsia="en-US"/>
              </w:rPr>
            </w:pPr>
          </w:p>
          <w:p w:rsidR="00BF7F01" w:rsidRPr="00BF7F01" w:rsidRDefault="00BF7F01" w:rsidP="00BF7F01">
            <w:pPr>
              <w:ind w:left="-43"/>
              <w:rPr>
                <w:rFonts w:eastAsiaTheme="minorHAnsi" w:cstheme="minorBidi"/>
                <w:lang w:eastAsia="en-US"/>
              </w:rPr>
            </w:pPr>
            <w:r w:rsidRPr="00BF7F01">
              <w:rPr>
                <w:rFonts w:eastAsiaTheme="minorHAnsi" w:cstheme="minorBidi"/>
                <w:lang w:eastAsia="en-US"/>
              </w:rPr>
              <w:t>*Formally: as reflected on the meeting agenda or on the Chair</w:t>
            </w:r>
            <w:r w:rsidR="001B1BC2">
              <w:rPr>
                <w:rFonts w:eastAsiaTheme="minorHAnsi" w:cstheme="minorBidi"/>
                <w:lang w:eastAsia="en-US"/>
              </w:rPr>
              <w:t>’</w:t>
            </w:r>
            <w:r w:rsidRPr="00BF7F01">
              <w:rPr>
                <w:rFonts w:eastAsiaTheme="minorHAnsi" w:cstheme="minorBidi"/>
                <w:lang w:eastAsia="en-US"/>
              </w:rPr>
              <w:t xml:space="preserve">s Summary. </w:t>
            </w:r>
          </w:p>
          <w:p w:rsidR="00BF7F01" w:rsidRPr="00BF7F01" w:rsidRDefault="00BF7F01" w:rsidP="00BF7F01">
            <w:pPr>
              <w:ind w:left="-43"/>
              <w:rPr>
                <w:rFonts w:eastAsiaTheme="minorHAnsi" w:cstheme="minorBidi"/>
                <w:lang w:eastAsia="en-US"/>
              </w:rPr>
            </w:pPr>
          </w:p>
        </w:tc>
      </w:tr>
      <w:tr w:rsidR="00BF7F01" w:rsidRPr="00BF7F01" w:rsidTr="00BF7F01">
        <w:trPr>
          <w:cantSplit/>
          <w:trHeight w:val="1080"/>
        </w:trPr>
        <w:tc>
          <w:tcPr>
            <w:tcW w:w="7544" w:type="dxa"/>
            <w:vMerge w:val="restart"/>
          </w:tcPr>
          <w:p w:rsidR="00BF7F01" w:rsidRPr="00BF7F01" w:rsidRDefault="00BF7F01" w:rsidP="00BF7F01">
            <w:pPr>
              <w:rPr>
                <w:rFonts w:eastAsiaTheme="minorHAnsi" w:cstheme="minorBidi"/>
                <w:lang w:eastAsia="en-US"/>
              </w:rPr>
            </w:pPr>
            <w:r w:rsidRPr="00BF7F01">
              <w:rPr>
                <w:rFonts w:eastAsiaTheme="minorHAnsi" w:cstheme="minorBidi"/>
                <w:b/>
                <w:lang w:eastAsia="en-US"/>
              </w:rPr>
              <w:t>26.</w:t>
            </w:r>
            <w:r w:rsidRPr="00BF7F01">
              <w:rPr>
                <w:rFonts w:eastAsiaTheme="minorHAnsi" w:cstheme="minorBidi"/>
                <w:lang w:eastAsia="en-US"/>
              </w:rPr>
              <w:t xml:space="preserve"> To encourage Member States, especially developed countries, to urge their research and scientific institutions to enhance cooperation and exchange with research and development institutions in developing countries, especially LDCs.</w:t>
            </w:r>
          </w:p>
          <w:p w:rsidR="00BF7F01" w:rsidRPr="00BF7F01" w:rsidRDefault="00BF7F01" w:rsidP="00BF7F01">
            <w:pPr>
              <w:rPr>
                <w:rFonts w:eastAsiaTheme="minorHAnsi" w:cstheme="minorBidi"/>
                <w:lang w:eastAsia="en-US"/>
              </w:rPr>
            </w:pPr>
          </w:p>
        </w:tc>
        <w:tc>
          <w:tcPr>
            <w:tcW w:w="5619" w:type="dxa"/>
            <w:tcBorders>
              <w:bottom w:val="dotted" w:sz="4" w:space="0" w:color="auto"/>
            </w:tcBorders>
          </w:tcPr>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Number and satisfaction rating of awareness-raising and training programs or events on tech transfer, commercialization or licensing conducted in or for developing country Member States</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Number of quality publications, studies and other resources commissioned, conducted or compiled by WIPO on tech transfer, commercialization or licensing, that have been peer reviewed and are available to Member States</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Number of experts from developed countries that participated in WIPO programs related to tech transfer</w:t>
            </w:r>
          </w:p>
        </w:tc>
      </w:tr>
      <w:tr w:rsidR="00BF7F01" w:rsidRPr="00BF7F01" w:rsidTr="00BF7F01">
        <w:trPr>
          <w:cantSplit/>
          <w:trHeight w:val="1200"/>
        </w:trPr>
        <w:tc>
          <w:tcPr>
            <w:tcW w:w="7544" w:type="dxa"/>
            <w:vMerge/>
          </w:tcPr>
          <w:p w:rsidR="00BF7F01" w:rsidRPr="00BF7F01" w:rsidRDefault="00BF7F01" w:rsidP="00BF7F01">
            <w:pPr>
              <w:rPr>
                <w:rFonts w:eastAsiaTheme="minorHAnsi" w:cstheme="minorBidi"/>
                <w:b/>
                <w:lang w:eastAsia="en-US"/>
              </w:rPr>
            </w:pPr>
          </w:p>
        </w:tc>
        <w:tc>
          <w:tcPr>
            <w:tcW w:w="5619" w:type="dxa"/>
            <w:tcBorders>
              <w:top w:val="dotted" w:sz="4" w:space="0" w:color="auto"/>
            </w:tcBorders>
          </w:tcPr>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 xml:space="preserve">Number of partnerships entered into by research and scientific institutions that relate to tech transfer, commercialization or licensing facilitated by WIPO (through e.g. WIPO GREEN, WIPO </w:t>
            </w:r>
            <w:proofErr w:type="spellStart"/>
            <w:r w:rsidRPr="00BF7F01">
              <w:rPr>
                <w:rFonts w:eastAsiaTheme="minorHAnsi" w:cstheme="minorBidi"/>
                <w:lang w:eastAsia="en-US"/>
              </w:rPr>
              <w:t>Re:Search</w:t>
            </w:r>
            <w:proofErr w:type="spellEnd"/>
            <w:r w:rsidRPr="00BF7F01">
              <w:rPr>
                <w:rFonts w:eastAsiaTheme="minorHAnsi" w:cstheme="minorBidi"/>
                <w:lang w:eastAsia="en-US"/>
              </w:rPr>
              <w:t>, WIPO Match or any other platforms)</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 xml:space="preserve">Usage and uptake of databases compiled by WIPO on tech transfer, commercialization or licensing, and that are available to Member States  </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Number, usage and uptake of databases compiled by Member States on tech transfer, commercialization or licensing, and that have been notified to and publicized through WIPO</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Number of promotional activities conducted by WIPO to increase the usage and uptake of databases on tech transfer, commercialization or licensing</w:t>
            </w:r>
          </w:p>
          <w:p w:rsidR="00BF7F01" w:rsidRPr="00BF7F01" w:rsidRDefault="00BF7F01" w:rsidP="00BF7F01">
            <w:pPr>
              <w:ind w:left="175"/>
              <w:rPr>
                <w:rFonts w:eastAsiaTheme="minorHAnsi" w:cstheme="minorBidi"/>
                <w:lang w:eastAsia="en-US"/>
              </w:rPr>
            </w:pPr>
          </w:p>
        </w:tc>
      </w:tr>
      <w:tr w:rsidR="00BF7F01" w:rsidRPr="00BF7F01" w:rsidTr="00BF7F01">
        <w:trPr>
          <w:cantSplit/>
          <w:trHeight w:val="1040"/>
        </w:trPr>
        <w:tc>
          <w:tcPr>
            <w:tcW w:w="7544" w:type="dxa"/>
            <w:vMerge w:val="restart"/>
          </w:tcPr>
          <w:p w:rsidR="00BF7F01" w:rsidRPr="00BF7F01" w:rsidRDefault="00BF7F01" w:rsidP="00BF7F01">
            <w:pPr>
              <w:rPr>
                <w:rFonts w:eastAsiaTheme="minorHAnsi" w:cstheme="minorBidi"/>
                <w:lang w:eastAsia="en-US"/>
              </w:rPr>
            </w:pPr>
            <w:r w:rsidRPr="00BF7F01">
              <w:rPr>
                <w:rFonts w:eastAsiaTheme="minorHAnsi" w:cstheme="minorBidi"/>
                <w:b/>
                <w:lang w:eastAsia="en-US"/>
              </w:rPr>
              <w:lastRenderedPageBreak/>
              <w:t>28.</w:t>
            </w:r>
            <w:r w:rsidRPr="00BF7F01">
              <w:rPr>
                <w:rFonts w:eastAsiaTheme="minorHAnsi" w:cstheme="minorBidi"/>
                <w:lang w:eastAsia="en-US"/>
              </w:rPr>
              <w:t xml:space="preserve"> To explore supportive intellectual property-related policies and measures Member States, especially developed countries, could adopt for promoting transfer and dissemination of technology to developing countries.</w:t>
            </w:r>
          </w:p>
          <w:p w:rsidR="00BF7F01" w:rsidRPr="00BF7F01" w:rsidRDefault="00BF7F01" w:rsidP="00BF7F01">
            <w:pPr>
              <w:rPr>
                <w:rFonts w:eastAsiaTheme="minorHAnsi" w:cstheme="minorBidi"/>
                <w:lang w:eastAsia="en-US"/>
              </w:rPr>
            </w:pPr>
          </w:p>
        </w:tc>
        <w:tc>
          <w:tcPr>
            <w:tcW w:w="5619" w:type="dxa"/>
            <w:tcBorders>
              <w:bottom w:val="dotted" w:sz="4" w:space="0" w:color="auto"/>
            </w:tcBorders>
          </w:tcPr>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 xml:space="preserve">Number and satisfaction rating of training programs and events on IP-related policies and initiatives to promote tech transfer conducted in or for developed country Member States </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Usage and uptake of databases compiled by WIPO on tech transfer-related policies and initiatives, and that are available to Member States</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 xml:space="preserve">Number of quality publications, studies and other resources commissioned, conducted or compiled by WIPO on tech transfer-related policies and initiatives, that have been peer reviewed and are available to Member States </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Number of fellowships, Master</w:t>
            </w:r>
            <w:r w:rsidR="001B1BC2">
              <w:rPr>
                <w:rFonts w:eastAsiaTheme="minorHAnsi" w:cstheme="minorBidi"/>
                <w:lang w:eastAsia="en-US"/>
              </w:rPr>
              <w:t>’</w:t>
            </w:r>
            <w:r w:rsidRPr="00BF7F01">
              <w:rPr>
                <w:rFonts w:eastAsiaTheme="minorHAnsi" w:cstheme="minorBidi"/>
                <w:lang w:eastAsia="en-US"/>
              </w:rPr>
              <w:t xml:space="preserve">s programs, summer school courses, and distance learning courses on IP-related policies and initiatives to promote tech transfer offered, arranged or conducted by WIPO for developed country Member States  </w:t>
            </w:r>
          </w:p>
          <w:p w:rsidR="00BF7F01" w:rsidRPr="00BF7F01" w:rsidRDefault="00BF7F01" w:rsidP="00BF7F01">
            <w:pPr>
              <w:rPr>
                <w:rFonts w:eastAsiaTheme="minorHAnsi" w:cstheme="minorBidi"/>
                <w:lang w:eastAsia="en-US"/>
              </w:rPr>
            </w:pPr>
          </w:p>
        </w:tc>
      </w:tr>
      <w:tr w:rsidR="00BF7F01" w:rsidRPr="00BF7F01" w:rsidTr="00BF7F01">
        <w:trPr>
          <w:cantSplit/>
          <w:trHeight w:val="980"/>
        </w:trPr>
        <w:tc>
          <w:tcPr>
            <w:tcW w:w="7544" w:type="dxa"/>
            <w:vMerge/>
          </w:tcPr>
          <w:p w:rsidR="00BF7F01" w:rsidRPr="00BF7F01" w:rsidRDefault="00BF7F01" w:rsidP="00BF7F01">
            <w:pPr>
              <w:rPr>
                <w:rFonts w:eastAsiaTheme="minorHAnsi" w:cstheme="minorBidi"/>
                <w:b/>
                <w:lang w:eastAsia="en-US"/>
              </w:rPr>
            </w:pPr>
          </w:p>
        </w:tc>
        <w:tc>
          <w:tcPr>
            <w:tcW w:w="5619" w:type="dxa"/>
            <w:tcBorders>
              <w:top w:val="dotted" w:sz="4" w:space="0" w:color="auto"/>
            </w:tcBorders>
          </w:tcPr>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Number/total of CDIP meetings or other WIPO committee meetings during which tech transfer-related issues or studies were formally* discussed</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 xml:space="preserve">Number of UN events related to tech transfer to which WIPO participated </w:t>
            </w:r>
          </w:p>
          <w:p w:rsidR="00BF7F01" w:rsidRPr="00BF7F01" w:rsidRDefault="00BF7F01" w:rsidP="00BF7F01">
            <w:pPr>
              <w:ind w:left="175"/>
              <w:rPr>
                <w:rFonts w:eastAsiaTheme="minorHAnsi" w:cstheme="minorBidi"/>
                <w:lang w:eastAsia="en-US"/>
              </w:rPr>
            </w:pPr>
            <w:r w:rsidRPr="00BF7F01">
              <w:rPr>
                <w:rFonts w:eastAsiaTheme="minorHAnsi" w:cstheme="minorBidi"/>
                <w:lang w:eastAsia="en-US"/>
              </w:rPr>
              <w:t xml:space="preserve"> </w:t>
            </w:r>
          </w:p>
          <w:p w:rsidR="00BF7F01" w:rsidRPr="00BF7F01" w:rsidRDefault="00BF7F01" w:rsidP="00BF7F01">
            <w:pPr>
              <w:ind w:left="-43"/>
              <w:rPr>
                <w:rFonts w:eastAsiaTheme="minorHAnsi" w:cstheme="minorBidi"/>
                <w:lang w:eastAsia="en-US"/>
              </w:rPr>
            </w:pPr>
            <w:r w:rsidRPr="00BF7F01">
              <w:rPr>
                <w:rFonts w:eastAsiaTheme="minorHAnsi" w:cstheme="minorBidi"/>
                <w:lang w:eastAsia="en-US"/>
              </w:rPr>
              <w:t>*Formally: as reflected on the meeting agenda or on the Chair</w:t>
            </w:r>
            <w:r w:rsidR="001B1BC2">
              <w:rPr>
                <w:rFonts w:eastAsiaTheme="minorHAnsi" w:cstheme="minorBidi"/>
                <w:lang w:eastAsia="en-US"/>
              </w:rPr>
              <w:t>’</w:t>
            </w:r>
            <w:r w:rsidRPr="00BF7F01">
              <w:rPr>
                <w:rFonts w:eastAsiaTheme="minorHAnsi" w:cstheme="minorBidi"/>
                <w:lang w:eastAsia="en-US"/>
              </w:rPr>
              <w:t xml:space="preserve">s Summary. </w:t>
            </w:r>
          </w:p>
          <w:p w:rsidR="00BF7F01" w:rsidRPr="00BF7F01" w:rsidRDefault="00BF7F01" w:rsidP="00BF7F01">
            <w:pPr>
              <w:rPr>
                <w:rFonts w:eastAsiaTheme="minorHAnsi" w:cstheme="minorBidi"/>
                <w:lang w:eastAsia="en-US"/>
              </w:rPr>
            </w:pPr>
          </w:p>
        </w:tc>
      </w:tr>
      <w:tr w:rsidR="00BF7F01" w:rsidRPr="00BF7F01" w:rsidTr="00BF7F01">
        <w:trPr>
          <w:cantSplit/>
        </w:trPr>
        <w:tc>
          <w:tcPr>
            <w:tcW w:w="7544" w:type="dxa"/>
          </w:tcPr>
          <w:p w:rsidR="00BF7F01" w:rsidRPr="00BF7F01" w:rsidRDefault="00BF7F01" w:rsidP="00BF7F01">
            <w:pPr>
              <w:rPr>
                <w:rFonts w:eastAsiaTheme="minorHAnsi" w:cstheme="minorBidi"/>
                <w:lang w:eastAsia="en-US"/>
              </w:rPr>
            </w:pPr>
            <w:r w:rsidRPr="00BF7F01">
              <w:rPr>
                <w:rFonts w:eastAsiaTheme="minorHAnsi" w:cstheme="minorBidi"/>
                <w:b/>
                <w:lang w:eastAsia="en-US"/>
              </w:rPr>
              <w:lastRenderedPageBreak/>
              <w:t>29.</w:t>
            </w:r>
            <w:r w:rsidRPr="00BF7F01">
              <w:rPr>
                <w:rFonts w:eastAsiaTheme="minorHAnsi" w:cstheme="minorBidi"/>
                <w:lang w:eastAsia="en-US"/>
              </w:rPr>
              <w:t xml:space="preserve"> To include discussions on intellectual property-related technology transfer issues within the mandate of an appropriate WIPO body.</w:t>
            </w:r>
          </w:p>
          <w:p w:rsidR="00BF7F01" w:rsidRPr="00BF7F01" w:rsidRDefault="00BF7F01" w:rsidP="00BF7F01">
            <w:pPr>
              <w:rPr>
                <w:rFonts w:eastAsiaTheme="minorHAnsi" w:cstheme="minorBidi"/>
                <w:lang w:eastAsia="en-US"/>
              </w:rPr>
            </w:pPr>
          </w:p>
        </w:tc>
        <w:tc>
          <w:tcPr>
            <w:tcW w:w="5619" w:type="dxa"/>
          </w:tcPr>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Number/total of CDIP meetings or other WIPO committee meetings during which tech transfer-related projects, issues or studies were formally* discussed</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 xml:space="preserve">Number of UN events related to tech transfer to which WIPO participated </w:t>
            </w:r>
          </w:p>
          <w:p w:rsidR="00BF7F01" w:rsidRPr="00BF7F01" w:rsidRDefault="00BF7F01" w:rsidP="00BF7F01">
            <w:pPr>
              <w:rPr>
                <w:rFonts w:eastAsiaTheme="minorHAnsi" w:cstheme="minorBidi"/>
                <w:lang w:eastAsia="en-US"/>
              </w:rPr>
            </w:pPr>
          </w:p>
          <w:p w:rsidR="00BF7F01" w:rsidRPr="00BF7F01" w:rsidRDefault="00BF7F01" w:rsidP="00BF7F01">
            <w:pPr>
              <w:ind w:left="-43"/>
              <w:rPr>
                <w:rFonts w:eastAsiaTheme="minorHAnsi" w:cstheme="minorBidi"/>
                <w:lang w:eastAsia="en-US"/>
              </w:rPr>
            </w:pPr>
            <w:r w:rsidRPr="00BF7F01">
              <w:rPr>
                <w:rFonts w:eastAsiaTheme="minorHAnsi" w:cstheme="minorBidi"/>
                <w:lang w:eastAsia="en-US"/>
              </w:rPr>
              <w:t>*Formally: as reflected on the meeting agenda or on the Chair</w:t>
            </w:r>
            <w:r w:rsidR="001B1BC2">
              <w:rPr>
                <w:rFonts w:eastAsiaTheme="minorHAnsi" w:cstheme="minorBidi"/>
                <w:lang w:eastAsia="en-US"/>
              </w:rPr>
              <w:t>’</w:t>
            </w:r>
            <w:r w:rsidRPr="00BF7F01">
              <w:rPr>
                <w:rFonts w:eastAsiaTheme="minorHAnsi" w:cstheme="minorBidi"/>
                <w:lang w:eastAsia="en-US"/>
              </w:rPr>
              <w:t xml:space="preserve">s Summary. </w:t>
            </w:r>
          </w:p>
          <w:p w:rsidR="00BF7F01" w:rsidRPr="00BF7F01" w:rsidRDefault="00BF7F01" w:rsidP="00BF7F01">
            <w:pPr>
              <w:rPr>
                <w:rFonts w:eastAsiaTheme="minorHAnsi" w:cstheme="minorBidi"/>
                <w:lang w:eastAsia="en-US"/>
              </w:rPr>
            </w:pPr>
          </w:p>
        </w:tc>
      </w:tr>
      <w:tr w:rsidR="00BF7F01" w:rsidRPr="00BF7F01" w:rsidTr="00BF7F01">
        <w:trPr>
          <w:cantSplit/>
          <w:trHeight w:val="950"/>
        </w:trPr>
        <w:tc>
          <w:tcPr>
            <w:tcW w:w="7544" w:type="dxa"/>
            <w:vMerge w:val="restart"/>
          </w:tcPr>
          <w:p w:rsidR="00BF7F01" w:rsidRPr="00BF7F01" w:rsidRDefault="00BF7F01" w:rsidP="00BF7F01">
            <w:pPr>
              <w:rPr>
                <w:rFonts w:eastAsiaTheme="minorHAnsi" w:cstheme="minorBidi"/>
                <w:lang w:eastAsia="en-US"/>
              </w:rPr>
            </w:pPr>
            <w:r w:rsidRPr="00BF7F01">
              <w:rPr>
                <w:rFonts w:eastAsiaTheme="minorHAnsi" w:cstheme="minorBidi"/>
                <w:b/>
                <w:lang w:eastAsia="en-US"/>
              </w:rPr>
              <w:t>31.</w:t>
            </w:r>
            <w:r w:rsidRPr="00BF7F01">
              <w:rPr>
                <w:rFonts w:eastAsiaTheme="minorHAnsi" w:cstheme="minorBidi"/>
                <w:lang w:eastAsia="en-US"/>
              </w:rPr>
              <w:t xml:space="preserve"> To undertake initiatives agreed by Member States, which contribute to transfer of technology to developing countries, such as requesting WIPO to facilitate better access to publicly available patent information.</w:t>
            </w:r>
          </w:p>
          <w:p w:rsidR="00BF7F01" w:rsidRPr="00BF7F01" w:rsidRDefault="00BF7F01" w:rsidP="00BF7F01">
            <w:pPr>
              <w:rPr>
                <w:rFonts w:eastAsiaTheme="minorHAnsi" w:cstheme="minorBidi"/>
                <w:lang w:eastAsia="en-US"/>
              </w:rPr>
            </w:pPr>
          </w:p>
        </w:tc>
        <w:tc>
          <w:tcPr>
            <w:tcW w:w="5619" w:type="dxa"/>
            <w:tcBorders>
              <w:bottom w:val="dotted" w:sz="4" w:space="0" w:color="auto"/>
            </w:tcBorders>
          </w:tcPr>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Number/total of tech transfer-related DA projects formally* discussed and approved by CDIP</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 xml:space="preserve">Number/total of CDIP meetings during which tech transfer-related projects were formally* discussed </w:t>
            </w:r>
          </w:p>
          <w:p w:rsidR="00BF7F01" w:rsidRPr="00BF7F01" w:rsidRDefault="00BF7F01" w:rsidP="00BF7F01">
            <w:pPr>
              <w:rPr>
                <w:rFonts w:eastAsiaTheme="minorHAnsi" w:cstheme="minorBidi"/>
                <w:lang w:eastAsia="en-US"/>
              </w:rPr>
            </w:pPr>
          </w:p>
          <w:p w:rsidR="00BF7F01" w:rsidRPr="00BF7F01" w:rsidRDefault="00BF7F01" w:rsidP="00BF7F01">
            <w:pPr>
              <w:ind w:left="-43"/>
              <w:rPr>
                <w:rFonts w:eastAsiaTheme="minorHAnsi" w:cstheme="minorBidi"/>
                <w:lang w:eastAsia="en-US"/>
              </w:rPr>
            </w:pPr>
            <w:r w:rsidRPr="00BF7F01">
              <w:rPr>
                <w:rFonts w:eastAsiaTheme="minorHAnsi" w:cstheme="minorBidi"/>
                <w:lang w:eastAsia="en-US"/>
              </w:rPr>
              <w:t>*Formally: as reflected on the meeting agenda or on the Chair</w:t>
            </w:r>
            <w:r w:rsidR="001B1BC2">
              <w:rPr>
                <w:rFonts w:eastAsiaTheme="minorHAnsi" w:cstheme="minorBidi"/>
                <w:lang w:eastAsia="en-US"/>
              </w:rPr>
              <w:t>’</w:t>
            </w:r>
            <w:r w:rsidRPr="00BF7F01">
              <w:rPr>
                <w:rFonts w:eastAsiaTheme="minorHAnsi" w:cstheme="minorBidi"/>
                <w:lang w:eastAsia="en-US"/>
              </w:rPr>
              <w:t xml:space="preserve">s Summary. </w:t>
            </w:r>
          </w:p>
          <w:p w:rsidR="00BF7F01" w:rsidRPr="00BF7F01" w:rsidRDefault="00BF7F01" w:rsidP="00BF7F01">
            <w:pPr>
              <w:rPr>
                <w:rFonts w:eastAsiaTheme="minorHAnsi" w:cstheme="minorBidi"/>
                <w:lang w:eastAsia="en-US"/>
              </w:rPr>
            </w:pPr>
          </w:p>
        </w:tc>
      </w:tr>
      <w:tr w:rsidR="00BF7F01" w:rsidRPr="00BF7F01" w:rsidTr="00BF7F01">
        <w:trPr>
          <w:cantSplit/>
          <w:trHeight w:val="820"/>
        </w:trPr>
        <w:tc>
          <w:tcPr>
            <w:tcW w:w="7544" w:type="dxa"/>
            <w:vMerge/>
          </w:tcPr>
          <w:p w:rsidR="00BF7F01" w:rsidRPr="00BF7F01" w:rsidRDefault="00BF7F01" w:rsidP="00BF7F01">
            <w:pPr>
              <w:rPr>
                <w:rFonts w:eastAsiaTheme="minorHAnsi" w:cstheme="minorBidi"/>
                <w:b/>
                <w:lang w:eastAsia="en-US"/>
              </w:rPr>
            </w:pPr>
          </w:p>
        </w:tc>
        <w:tc>
          <w:tcPr>
            <w:tcW w:w="5619" w:type="dxa"/>
            <w:tcBorders>
              <w:top w:val="dotted" w:sz="4" w:space="0" w:color="auto"/>
            </w:tcBorders>
          </w:tcPr>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 xml:space="preserve">Number of TISCs in developing country Member States </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Number and satisfaction rating of training programs, events or services administered and delivered by TISCs</w:t>
            </w:r>
          </w:p>
          <w:p w:rsidR="00BF7F01" w:rsidRPr="00BF7F01" w:rsidRDefault="00BF7F01" w:rsidP="00BF7F01">
            <w:pPr>
              <w:numPr>
                <w:ilvl w:val="0"/>
                <w:numId w:val="12"/>
              </w:numPr>
              <w:ind w:left="175" w:hanging="218"/>
              <w:rPr>
                <w:rFonts w:eastAsiaTheme="minorHAnsi" w:cstheme="minorBidi"/>
                <w:lang w:eastAsia="en-US"/>
              </w:rPr>
            </w:pPr>
            <w:r w:rsidRPr="00BF7F01">
              <w:rPr>
                <w:rFonts w:eastAsiaTheme="minorHAnsi" w:cstheme="minorBidi"/>
                <w:lang w:eastAsia="en-US"/>
              </w:rPr>
              <w:t>Number and satisfaction rating of training programs and capacity building events conducted by WIPO for TISCs to improve their services and increase capacity of the personnel</w:t>
            </w:r>
          </w:p>
          <w:p w:rsidR="00BF7F01" w:rsidRPr="00BF7F01" w:rsidRDefault="00BF7F01" w:rsidP="00BF7F01">
            <w:pPr>
              <w:ind w:left="175"/>
              <w:rPr>
                <w:rFonts w:eastAsiaTheme="minorHAnsi" w:cstheme="minorBidi"/>
                <w:lang w:eastAsia="en-US"/>
              </w:rPr>
            </w:pPr>
          </w:p>
        </w:tc>
      </w:tr>
    </w:tbl>
    <w:p w:rsidR="00BF7F01" w:rsidRPr="00BF7F01" w:rsidRDefault="00BF7F01" w:rsidP="00BF7F01">
      <w:pPr>
        <w:rPr>
          <w:rFonts w:eastAsiaTheme="minorHAnsi" w:cstheme="minorBidi"/>
          <w:szCs w:val="22"/>
          <w:lang w:val="en-CA" w:eastAsia="en-US"/>
        </w:rPr>
      </w:pPr>
    </w:p>
    <w:p w:rsidR="00BF7F01" w:rsidRPr="00BF7F01" w:rsidRDefault="00BF7F01" w:rsidP="00BF7F01">
      <w:pPr>
        <w:rPr>
          <w:rFonts w:eastAsiaTheme="minorHAnsi" w:cstheme="minorBidi"/>
          <w:szCs w:val="22"/>
          <w:lang w:val="en-CA" w:eastAsia="en-US"/>
        </w:rPr>
      </w:pPr>
    </w:p>
    <w:p w:rsidR="009503C3" w:rsidRPr="00BF7F01" w:rsidRDefault="009503C3" w:rsidP="00EB16EE">
      <w:pPr>
        <w:jc w:val="both"/>
        <w:rPr>
          <w:lang w:val="en-CA"/>
        </w:rPr>
      </w:pPr>
    </w:p>
    <w:p w:rsidR="00C36BEA" w:rsidRPr="00432E03" w:rsidRDefault="00ED0E6E" w:rsidP="00D10829">
      <w:pPr>
        <w:pStyle w:val="Endofdocument-Annex"/>
        <w:jc w:val="center"/>
        <w:rPr>
          <w:szCs w:val="22"/>
        </w:rPr>
        <w:sectPr w:rsidR="00C36BEA" w:rsidRPr="00432E03" w:rsidSect="00BF7F01">
          <w:headerReference w:type="default" r:id="rId13"/>
          <w:footerReference w:type="default" r:id="rId14"/>
          <w:headerReference w:type="first" r:id="rId15"/>
          <w:footerReference w:type="first" r:id="rId16"/>
          <w:endnotePr>
            <w:numFmt w:val="decimal"/>
          </w:endnotePr>
          <w:pgSz w:w="16840" w:h="11907" w:orient="landscape" w:code="9"/>
          <w:pgMar w:top="1411" w:right="562" w:bottom="1138" w:left="1411" w:header="504" w:footer="1022" w:gutter="0"/>
          <w:pgNumType w:start="1"/>
          <w:cols w:space="720"/>
          <w:titlePg/>
          <w:docGrid w:linePitch="299"/>
        </w:sectPr>
      </w:pPr>
      <w:r>
        <w:rPr>
          <w:szCs w:val="22"/>
        </w:rPr>
        <w:t>[</w:t>
      </w:r>
      <w:r w:rsidR="00D10829">
        <w:rPr>
          <w:szCs w:val="22"/>
        </w:rPr>
        <w:t>Annex</w:t>
      </w:r>
      <w:r w:rsidR="003D09A1">
        <w:rPr>
          <w:szCs w:val="22"/>
        </w:rPr>
        <w:t xml:space="preserve"> II follows</w:t>
      </w:r>
      <w:r w:rsidR="00657EE9" w:rsidRPr="00432E03">
        <w:rPr>
          <w:szCs w:val="22"/>
        </w:rPr>
        <w:t>]</w:t>
      </w:r>
    </w:p>
    <w:p w:rsidR="005A6E50" w:rsidRDefault="003D09A1" w:rsidP="003D09A1">
      <w:pPr>
        <w:pStyle w:val="Heading1"/>
        <w:rPr>
          <w:b w:val="0"/>
          <w:szCs w:val="22"/>
        </w:rPr>
      </w:pPr>
      <w:r w:rsidRPr="00432E03">
        <w:rPr>
          <w:b w:val="0"/>
          <w:szCs w:val="22"/>
        </w:rPr>
        <w:lastRenderedPageBreak/>
        <w:t xml:space="preserve">Input received </w:t>
      </w:r>
      <w:r>
        <w:rPr>
          <w:b w:val="0"/>
          <w:szCs w:val="22"/>
        </w:rPr>
        <w:t xml:space="preserve">by the secretariat </w:t>
      </w:r>
      <w:r w:rsidRPr="00432E03">
        <w:rPr>
          <w:b w:val="0"/>
          <w:szCs w:val="22"/>
        </w:rPr>
        <w:t xml:space="preserve">from </w:t>
      </w:r>
      <w:r>
        <w:rPr>
          <w:b w:val="0"/>
          <w:szCs w:val="22"/>
        </w:rPr>
        <w:t xml:space="preserve">the delegation of Ecuador </w:t>
      </w:r>
    </w:p>
    <w:p w:rsidR="003D09A1" w:rsidRDefault="003D09A1" w:rsidP="003D09A1">
      <w:pPr>
        <w:pStyle w:val="Heading1"/>
        <w:rPr>
          <w:b w:val="0"/>
          <w:szCs w:val="22"/>
        </w:rPr>
      </w:pPr>
      <w:r>
        <w:rPr>
          <w:b w:val="0"/>
          <w:szCs w:val="22"/>
        </w:rPr>
        <w:t>translation (O</w:t>
      </w:r>
      <w:r>
        <w:rPr>
          <w:b w:val="0"/>
          <w:caps w:val="0"/>
          <w:szCs w:val="22"/>
        </w:rPr>
        <w:t>riginal text in Spanish</w:t>
      </w:r>
      <w:r>
        <w:rPr>
          <w:b w:val="0"/>
          <w:szCs w:val="22"/>
        </w:rPr>
        <w:t>)</w:t>
      </w:r>
    </w:p>
    <w:p w:rsidR="005A6E50" w:rsidRDefault="005A6E50" w:rsidP="003D09A1"/>
    <w:p w:rsidR="005A6E50" w:rsidRDefault="005A6E50" w:rsidP="003D09A1"/>
    <w:p w:rsidR="003D09A1" w:rsidRDefault="005A6E50" w:rsidP="003D09A1">
      <w:r>
        <w:rPr>
          <w:noProof/>
          <w:sz w:val="17"/>
          <w:szCs w:val="17"/>
          <w:lang w:eastAsia="en-US"/>
        </w:rPr>
        <w:drawing>
          <wp:anchor distT="0" distB="0" distL="114300" distR="114300" simplePos="0" relativeHeight="251660288" behindDoc="0" locked="0" layoutInCell="1" allowOverlap="1" wp14:anchorId="0E27564E" wp14:editId="1626B0F3">
            <wp:simplePos x="0" y="0"/>
            <wp:positionH relativeFrom="column">
              <wp:posOffset>-389255</wp:posOffset>
            </wp:positionH>
            <wp:positionV relativeFrom="paragraph">
              <wp:posOffset>184785</wp:posOffset>
            </wp:positionV>
            <wp:extent cx="1650530" cy="644055"/>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50530" cy="6440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09A1" w:rsidRPr="003D09A1" w:rsidRDefault="003D09A1" w:rsidP="003D09A1">
      <w:r>
        <w:rPr>
          <w:noProof/>
          <w:lang w:eastAsia="en-US"/>
        </w:rPr>
        <mc:AlternateContent>
          <mc:Choice Requires="wps">
            <w:drawing>
              <wp:anchor distT="0" distB="0" distL="114300" distR="114300" simplePos="0" relativeHeight="251656192" behindDoc="0" locked="0" layoutInCell="1" allowOverlap="1" wp14:anchorId="23B7F668" wp14:editId="6374AD40">
                <wp:simplePos x="0" y="0"/>
                <wp:positionH relativeFrom="column">
                  <wp:posOffset>4874895</wp:posOffset>
                </wp:positionH>
                <wp:positionV relativeFrom="paragraph">
                  <wp:posOffset>79375</wp:posOffset>
                </wp:positionV>
                <wp:extent cx="1785620" cy="548640"/>
                <wp:effectExtent l="0" t="4445" r="0" b="0"/>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548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9A1" w:rsidRPr="000B2665" w:rsidRDefault="003D09A1" w:rsidP="003D09A1">
                            <w:pPr>
                              <w:rPr>
                                <w:b/>
                                <w:color w:val="595959" w:themeColor="text1" w:themeTint="A6"/>
                                <w:sz w:val="16"/>
                                <w:szCs w:val="16"/>
                              </w:rPr>
                            </w:pPr>
                            <w:r w:rsidRPr="000B2665">
                              <w:rPr>
                                <w:color w:val="595959" w:themeColor="text1" w:themeTint="A6"/>
                                <w:sz w:val="16"/>
                                <w:szCs w:val="16"/>
                              </w:rPr>
                              <w:t xml:space="preserve">MINISTRY </w:t>
                            </w:r>
                            <w:r w:rsidRPr="000B2665">
                              <w:rPr>
                                <w:color w:val="595959" w:themeColor="text1" w:themeTint="A6"/>
                                <w:sz w:val="16"/>
                                <w:szCs w:val="16"/>
                              </w:rPr>
                              <w:br/>
                              <w:t>OF</w:t>
                            </w:r>
                            <w:r w:rsidRPr="000B2665">
                              <w:rPr>
                                <w:b/>
                                <w:color w:val="595959" w:themeColor="text1" w:themeTint="A6"/>
                                <w:sz w:val="16"/>
                                <w:szCs w:val="16"/>
                              </w:rPr>
                              <w:t xml:space="preserve"> EXTERNAL RELATIONS </w:t>
                            </w:r>
                            <w:r>
                              <w:rPr>
                                <w:b/>
                                <w:color w:val="595959" w:themeColor="text1" w:themeTint="A6"/>
                                <w:sz w:val="16"/>
                                <w:szCs w:val="16"/>
                              </w:rPr>
                              <w:br/>
                            </w:r>
                            <w:r w:rsidRPr="000B2665">
                              <w:rPr>
                                <w:b/>
                                <w:color w:val="595959" w:themeColor="text1" w:themeTint="A6"/>
                                <w:sz w:val="16"/>
                                <w:szCs w:val="16"/>
                              </w:rPr>
                              <w:t xml:space="preserve">AND HUMAN MOBILITY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3B7F668" id="_x0000_t202" coordsize="21600,21600" o:spt="202" path="m,l,21600r21600,l21600,xe">
                <v:stroke joinstyle="miter"/>
                <v:path gradientshapeok="t" o:connecttype="rect"/>
              </v:shapetype>
              <v:shape id="Text Box 2" o:spid="_x0000_s1026" type="#_x0000_t202" style="position:absolute;margin-left:383.85pt;margin-top:6.25pt;width:140.6pt;height:43.2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" filled="f" stroked="f">
                <v:textbox>
                  <w:txbxContent>
                    <w:p w:rsidR="003D09A1" w:rsidRPr="000B2665" w:rsidRDefault="003D09A1" w:rsidP="003D09A1">
                      <w:pPr>
                        <w:rPr>
                          <w:b/>
                          <w:color w:val="595959" w:themeColor="text1" w:themeTint="A6"/>
                          <w:sz w:val="16"/>
                          <w:szCs w:val="16"/>
                        </w:rPr>
                      </w:pPr>
                      <w:r w:rsidRPr="000B2665">
                        <w:rPr>
                          <w:color w:val="595959" w:themeColor="text1" w:themeTint="A6"/>
                          <w:sz w:val="16"/>
                          <w:szCs w:val="16"/>
                        </w:rPr>
                        <w:t xml:space="preserve">MINISTRY </w:t>
                      </w:r>
                      <w:r w:rsidRPr="000B2665">
                        <w:rPr>
                          <w:color w:val="595959" w:themeColor="text1" w:themeTint="A6"/>
                          <w:sz w:val="16"/>
                          <w:szCs w:val="16"/>
                        </w:rPr>
                        <w:br/>
                        <w:t>OF</w:t>
                      </w:r>
                      <w:r w:rsidRPr="000B2665">
                        <w:rPr>
                          <w:b/>
                          <w:color w:val="595959" w:themeColor="text1" w:themeTint="A6"/>
                          <w:sz w:val="16"/>
                          <w:szCs w:val="16"/>
                        </w:rPr>
                        <w:t xml:space="preserve"> EXTERNAL RELATIONS </w:t>
                      </w:r>
                      <w:r>
                        <w:rPr>
                          <w:b/>
                          <w:color w:val="595959" w:themeColor="text1" w:themeTint="A6"/>
                          <w:sz w:val="16"/>
                          <w:szCs w:val="16"/>
                        </w:rPr>
                        <w:br/>
                      </w:r>
                      <w:r w:rsidRPr="000B2665">
                        <w:rPr>
                          <w:b/>
                          <w:color w:val="595959" w:themeColor="text1" w:themeTint="A6"/>
                          <w:sz w:val="16"/>
                          <w:szCs w:val="16"/>
                        </w:rPr>
                        <w:t xml:space="preserve">AND HUMAN MOBILITY </w:t>
                      </w:r>
                    </w:p>
                  </w:txbxContent>
                </v:textbox>
              </v:shape>
            </w:pict>
          </mc:Fallback>
        </mc:AlternateContent>
      </w:r>
      <w:r>
        <w:rPr>
          <w:noProof/>
          <w:lang w:eastAsia="en-US"/>
        </w:rPr>
        <w:drawing>
          <wp:anchor distT="0" distB="0" distL="114300" distR="114300" simplePos="0" relativeHeight="251664384" behindDoc="0" locked="0" layoutInCell="1" allowOverlap="1" wp14:anchorId="5117156C" wp14:editId="7D9DA460">
            <wp:simplePos x="0" y="0"/>
            <wp:positionH relativeFrom="column">
              <wp:posOffset>3987800</wp:posOffset>
            </wp:positionH>
            <wp:positionV relativeFrom="paragraph">
              <wp:posOffset>13335</wp:posOffset>
            </wp:positionV>
            <wp:extent cx="695960" cy="588010"/>
            <wp:effectExtent l="0" t="0" r="0" b="0"/>
            <wp:wrapNone/>
            <wp:docPr id="3" name="Picture 3" descr="Image result for ministerio de relaciones exteriores Y MOVILIDAD HUMA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result for ministerio de relaciones exteriores Y MOVILIDAD HUMAN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95960" cy="58801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3D09A1" w:rsidRPr="00205ADB" w:rsidRDefault="003D09A1" w:rsidP="003D09A1">
      <w:pPr>
        <w:spacing w:before="9" w:line="170" w:lineRule="exact"/>
        <w:ind w:left="1701"/>
        <w:rPr>
          <w:sz w:val="17"/>
          <w:szCs w:val="17"/>
        </w:rPr>
      </w:pPr>
    </w:p>
    <w:p w:rsidR="003D09A1" w:rsidRPr="00205ADB" w:rsidRDefault="003D09A1" w:rsidP="003D09A1">
      <w:pPr>
        <w:spacing w:line="200" w:lineRule="exact"/>
        <w:rPr>
          <w:sz w:val="20"/>
        </w:rPr>
      </w:pPr>
      <w:r>
        <w:rPr>
          <w:noProof/>
          <w:sz w:val="20"/>
          <w:lang w:eastAsia="en-US"/>
        </w:rPr>
        <w:drawing>
          <wp:inline distT="0" distB="0" distL="0" distR="0" wp14:anchorId="655F201C" wp14:editId="0D5FB71B">
            <wp:extent cx="2321560" cy="229806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21560" cy="2298065"/>
                    </a:xfrm>
                    <a:prstGeom prst="rect">
                      <a:avLst/>
                    </a:prstGeom>
                    <a:noFill/>
                    <a:ln>
                      <a:noFill/>
                    </a:ln>
                  </pic:spPr>
                </pic:pic>
              </a:graphicData>
            </a:graphic>
          </wp:inline>
        </w:drawing>
      </w:r>
    </w:p>
    <w:p w:rsidR="003D09A1" w:rsidRDefault="003D09A1" w:rsidP="003D09A1">
      <w:pPr>
        <w:spacing w:line="200" w:lineRule="exact"/>
        <w:rPr>
          <w:sz w:val="20"/>
        </w:rPr>
      </w:pPr>
    </w:p>
    <w:p w:rsidR="003D09A1" w:rsidRDefault="003D09A1" w:rsidP="003D09A1">
      <w:pPr>
        <w:spacing w:line="200" w:lineRule="exact"/>
        <w:rPr>
          <w:sz w:val="20"/>
        </w:rPr>
      </w:pPr>
    </w:p>
    <w:p w:rsidR="003D09A1" w:rsidRDefault="003D09A1" w:rsidP="003D09A1">
      <w:pPr>
        <w:spacing w:line="200" w:lineRule="exact"/>
        <w:rPr>
          <w:sz w:val="20"/>
        </w:rPr>
      </w:pPr>
      <w:r>
        <w:rPr>
          <w:rFonts w:ascii="Times New Roman" w:eastAsia="Times New Roman" w:hAnsi="Times New Roman" w:cs="Times New Roman"/>
          <w:noProof/>
          <w:color w:val="313131"/>
          <w:lang w:eastAsia="en-US"/>
        </w:rPr>
        <mc:AlternateContent>
          <mc:Choice Requires="wps">
            <w:drawing>
              <wp:anchor distT="0" distB="0" distL="114300" distR="114300" simplePos="0" relativeHeight="251658240" behindDoc="0" locked="0" layoutInCell="1" allowOverlap="1" wp14:anchorId="2C002D9F" wp14:editId="1DE30A0D">
                <wp:simplePos x="0" y="0"/>
                <wp:positionH relativeFrom="column">
                  <wp:posOffset>-227330</wp:posOffset>
                </wp:positionH>
                <wp:positionV relativeFrom="paragraph">
                  <wp:posOffset>182245</wp:posOffset>
                </wp:positionV>
                <wp:extent cx="1433830" cy="365760"/>
                <wp:effectExtent l="1270" t="635" r="3175" b="0"/>
                <wp:wrapNone/>
                <wp:docPr id="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3830" cy="3657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D09A1" w:rsidRPr="009E7C9E" w:rsidRDefault="003D09A1" w:rsidP="003D09A1">
                            <w:pPr>
                              <w:spacing w:before="9" w:line="170" w:lineRule="exact"/>
                              <w:ind w:left="-142"/>
                              <w:jc w:val="center"/>
                              <w:rPr>
                                <w:rFonts w:ascii="Times New Roman" w:hAnsi="Times New Roman" w:cs="Times New Roman"/>
                                <w:b/>
                                <w:color w:val="595959" w:themeColor="text1" w:themeTint="A6"/>
                                <w:sz w:val="18"/>
                                <w:szCs w:val="18"/>
                              </w:rPr>
                            </w:pPr>
                            <w:r w:rsidRPr="009E7C9E">
                              <w:rPr>
                                <w:rFonts w:ascii="Times New Roman" w:eastAsia="Times New Roman" w:hAnsi="Times New Roman" w:cs="Times New Roman"/>
                                <w:b/>
                                <w:color w:val="595959" w:themeColor="text1" w:themeTint="A6"/>
                                <w:w w:val="106"/>
                                <w:sz w:val="18"/>
                                <w:szCs w:val="18"/>
                              </w:rPr>
                              <w:t xml:space="preserve">Permanent Mission </w:t>
                            </w:r>
                            <w:r w:rsidRPr="009E7C9E">
                              <w:rPr>
                                <w:rFonts w:ascii="Times New Roman" w:eastAsia="Times New Roman" w:hAnsi="Times New Roman" w:cs="Times New Roman"/>
                                <w:b/>
                                <w:color w:val="595959" w:themeColor="text1" w:themeTint="A6"/>
                                <w:w w:val="106"/>
                                <w:sz w:val="18"/>
                                <w:szCs w:val="18"/>
                              </w:rPr>
                              <w:br/>
                              <w:t>to WTO-Geneva</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C002D9F" id="Text Box 6" o:spid="_x0000_s1027" type="#_x0000_t202" style="position:absolute;margin-left:-17.9pt;margin-top:14.35pt;width:112.9pt;height:28.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" filled="f" stroked="f">
                <v:textbox>
                  <w:txbxContent>
                    <w:p w:rsidR="003D09A1" w:rsidRPr="009E7C9E" w:rsidRDefault="003D09A1" w:rsidP="003D09A1">
                      <w:pPr>
                        <w:spacing w:before="9" w:line="170" w:lineRule="exact"/>
                        <w:ind w:left="-142"/>
                        <w:jc w:val="center"/>
                        <w:rPr>
                          <w:rFonts w:ascii="Times New Roman" w:hAnsi="Times New Roman" w:cs="Times New Roman"/>
                          <w:b/>
                          <w:color w:val="595959" w:themeColor="text1" w:themeTint="A6"/>
                          <w:sz w:val="18"/>
                          <w:szCs w:val="18"/>
                        </w:rPr>
                      </w:pPr>
                      <w:r w:rsidRPr="009E7C9E">
                        <w:rPr>
                          <w:rFonts w:ascii="Times New Roman" w:eastAsia="Times New Roman" w:hAnsi="Times New Roman" w:cs="Times New Roman"/>
                          <w:b/>
                          <w:color w:val="595959" w:themeColor="text1" w:themeTint="A6"/>
                          <w:w w:val="106"/>
                          <w:sz w:val="18"/>
                          <w:szCs w:val="18"/>
                        </w:rPr>
                        <w:t xml:space="preserve">Permanent Mission </w:t>
                      </w:r>
                      <w:r w:rsidRPr="009E7C9E">
                        <w:rPr>
                          <w:rFonts w:ascii="Times New Roman" w:eastAsia="Times New Roman" w:hAnsi="Times New Roman" w:cs="Times New Roman"/>
                          <w:b/>
                          <w:color w:val="595959" w:themeColor="text1" w:themeTint="A6"/>
                          <w:w w:val="106"/>
                          <w:sz w:val="18"/>
                          <w:szCs w:val="18"/>
                        </w:rPr>
                        <w:br/>
                        <w:t>to WTO-Geneva</w:t>
                      </w:r>
                    </w:p>
                  </w:txbxContent>
                </v:textbox>
              </v:shape>
            </w:pict>
          </mc:Fallback>
        </mc:AlternateContent>
      </w:r>
    </w:p>
    <w:p w:rsidR="003D09A1" w:rsidRPr="00205ADB" w:rsidRDefault="003D09A1" w:rsidP="003D09A1">
      <w:pPr>
        <w:spacing w:line="200" w:lineRule="exact"/>
        <w:rPr>
          <w:sz w:val="20"/>
        </w:rPr>
      </w:pPr>
    </w:p>
    <w:p w:rsidR="003D09A1" w:rsidRPr="00205ADB" w:rsidRDefault="003D09A1" w:rsidP="003D09A1">
      <w:pPr>
        <w:spacing w:line="200" w:lineRule="exact"/>
        <w:rPr>
          <w:sz w:val="20"/>
        </w:rPr>
      </w:pPr>
    </w:p>
    <w:p w:rsidR="003D09A1" w:rsidRPr="00205ADB" w:rsidRDefault="003D09A1" w:rsidP="003D09A1">
      <w:pPr>
        <w:spacing w:before="31"/>
        <w:ind w:right="357"/>
        <w:jc w:val="right"/>
        <w:rPr>
          <w:rFonts w:ascii="Times New Roman" w:eastAsia="Times New Roman" w:hAnsi="Times New Roman" w:cs="Times New Roman"/>
          <w:color w:val="313131"/>
        </w:rPr>
      </w:pPr>
    </w:p>
    <w:p w:rsidR="005A6E50" w:rsidRDefault="005A6E50" w:rsidP="003D09A1">
      <w:pPr>
        <w:spacing w:before="31"/>
        <w:ind w:right="357"/>
        <w:jc w:val="right"/>
        <w:rPr>
          <w:rFonts w:eastAsia="Times New Roman"/>
          <w:color w:val="313131"/>
        </w:rPr>
      </w:pPr>
    </w:p>
    <w:p w:rsidR="005A6E50" w:rsidRDefault="005A6E50" w:rsidP="003D09A1">
      <w:pPr>
        <w:spacing w:before="31"/>
        <w:ind w:right="357"/>
        <w:jc w:val="right"/>
        <w:rPr>
          <w:rFonts w:eastAsia="Times New Roman"/>
          <w:color w:val="313131"/>
        </w:rPr>
      </w:pPr>
    </w:p>
    <w:p w:rsidR="003D09A1" w:rsidRPr="00783725" w:rsidRDefault="003D09A1" w:rsidP="003D09A1">
      <w:pPr>
        <w:spacing w:before="31"/>
        <w:ind w:right="357"/>
        <w:jc w:val="right"/>
        <w:rPr>
          <w:rFonts w:eastAsia="Times New Roman"/>
        </w:rPr>
      </w:pPr>
      <w:r w:rsidRPr="00783725">
        <w:rPr>
          <w:rFonts w:eastAsia="Times New Roman"/>
          <w:color w:val="313131"/>
        </w:rPr>
        <w:t>Note-</w:t>
      </w:r>
      <w:r w:rsidRPr="00783725">
        <w:rPr>
          <w:rFonts w:eastAsia="Times New Roman"/>
          <w:color w:val="313131"/>
          <w:spacing w:val="30"/>
        </w:rPr>
        <w:t xml:space="preserve"> </w:t>
      </w:r>
      <w:r w:rsidRPr="00783725">
        <w:rPr>
          <w:rFonts w:eastAsia="Times New Roman"/>
          <w:color w:val="313131"/>
        </w:rPr>
        <w:t>4-7-</w:t>
      </w:r>
      <w:r w:rsidRPr="00783725">
        <w:rPr>
          <w:rFonts w:eastAsia="Times New Roman"/>
          <w:color w:val="313131"/>
          <w:spacing w:val="33"/>
        </w:rPr>
        <w:t xml:space="preserve"> </w:t>
      </w:r>
      <w:r w:rsidRPr="00783725">
        <w:rPr>
          <w:rFonts w:eastAsia="Times New Roman"/>
          <w:color w:val="313131"/>
          <w:w w:val="105"/>
        </w:rPr>
        <w:t>100/2018</w:t>
      </w:r>
    </w:p>
    <w:p w:rsidR="003D09A1" w:rsidRDefault="003D09A1" w:rsidP="003D09A1">
      <w:pPr>
        <w:jc w:val="both"/>
      </w:pPr>
    </w:p>
    <w:p w:rsidR="005A6E50" w:rsidRPr="00783725" w:rsidRDefault="005A6E50" w:rsidP="003D09A1">
      <w:pPr>
        <w:jc w:val="both"/>
      </w:pPr>
    </w:p>
    <w:p w:rsidR="003D09A1" w:rsidRPr="00783725" w:rsidRDefault="003D09A1" w:rsidP="003D09A1">
      <w:pPr>
        <w:jc w:val="both"/>
      </w:pPr>
      <w:proofErr w:type="gramStart"/>
      <w:r w:rsidRPr="00783725">
        <w:rPr>
          <w:rFonts w:eastAsia="Times New Roman"/>
          <w:color w:val="000000"/>
        </w:rPr>
        <w:t>The Permanent Mission of Ecuador to the World Trade Organization and the other Economic Organizations in Geneva presents its compliments to the World Intellectual Property Organization (WIPO/Development Sector) and has the honor to refer to the decision adopted at the twenty-first session of the Committee on Development and Intellectual Property Committee, held on May 14 to 18, 2018, on the gap analysis of WIPO</w:t>
      </w:r>
      <w:r w:rsidR="001B1BC2">
        <w:rPr>
          <w:rFonts w:eastAsia="Times New Roman"/>
          <w:color w:val="000000"/>
        </w:rPr>
        <w:t>’</w:t>
      </w:r>
      <w:r w:rsidRPr="00783725">
        <w:rPr>
          <w:rFonts w:eastAsia="Times New Roman"/>
          <w:color w:val="000000"/>
        </w:rPr>
        <w:t>s existing technology transfer services and activities in respect of the WIPO Development Agenda Cluster C recommendations contained in</w:t>
      </w:r>
      <w:r w:rsidRPr="00783725">
        <w:t xml:space="preserve"> document CDIP/21/5.</w:t>
      </w:r>
      <w:proofErr w:type="gramEnd"/>
    </w:p>
    <w:p w:rsidR="003D09A1" w:rsidRPr="00783725" w:rsidRDefault="003D09A1" w:rsidP="003D09A1">
      <w:pPr>
        <w:jc w:val="both"/>
        <w:rPr>
          <w:rFonts w:eastAsia="Times New Roman"/>
          <w:color w:val="000000"/>
          <w:bdr w:val="none" w:sz="0" w:space="0" w:color="auto" w:frame="1"/>
          <w:shd w:val="clear" w:color="auto" w:fill="FFFFFF"/>
        </w:rPr>
      </w:pPr>
    </w:p>
    <w:p w:rsidR="003D09A1" w:rsidRPr="00783725" w:rsidRDefault="003D09A1" w:rsidP="003D09A1">
      <w:pPr>
        <w:jc w:val="both"/>
      </w:pPr>
      <w:r w:rsidRPr="00783725">
        <w:rPr>
          <w:rFonts w:eastAsia="Times New Roman"/>
          <w:color w:val="000000"/>
          <w:bdr w:val="none" w:sz="0" w:space="0" w:color="auto" w:frame="1"/>
          <w:shd w:val="clear" w:color="auto" w:fill="FFFFFF"/>
        </w:rPr>
        <w:t>The Permanent Mission of Ecuador to the World Trade Organization and the other Economic Organizations in Geneva transmits for information the following contributions forwarded by the National Service of Intellectual Rights.</w:t>
      </w:r>
    </w:p>
    <w:p w:rsidR="003D09A1" w:rsidRPr="00783725" w:rsidRDefault="003D09A1" w:rsidP="003D09A1">
      <w:pPr>
        <w:jc w:val="both"/>
        <w:rPr>
          <w:rFonts w:eastAsia="Times New Roman"/>
          <w:color w:val="000000"/>
          <w:bdr w:val="none" w:sz="0" w:space="0" w:color="auto" w:frame="1"/>
          <w:shd w:val="clear" w:color="auto" w:fill="FFFFFF"/>
        </w:rPr>
      </w:pPr>
    </w:p>
    <w:p w:rsidR="003D09A1" w:rsidRDefault="003D09A1" w:rsidP="003D09A1">
      <w:pPr>
        <w:jc w:val="both"/>
      </w:pPr>
      <w:r w:rsidRPr="00783725">
        <w:rPr>
          <w:rFonts w:eastAsia="Times New Roman"/>
          <w:color w:val="000000"/>
          <w:bdr w:val="none" w:sz="0" w:space="0" w:color="auto" w:frame="1"/>
          <w:shd w:val="clear" w:color="auto" w:fill="FFFFFF"/>
        </w:rPr>
        <w:t xml:space="preserve">In accordance with </w:t>
      </w:r>
      <w:r w:rsidRPr="00783725">
        <w:rPr>
          <w:rFonts w:eastAsia="Times New Roman"/>
          <w:color w:val="000000"/>
        </w:rPr>
        <w:t>the gap analysis of WIPO</w:t>
      </w:r>
      <w:r w:rsidR="001B1BC2">
        <w:rPr>
          <w:rFonts w:eastAsia="Times New Roman"/>
          <w:color w:val="000000"/>
        </w:rPr>
        <w:t>’</w:t>
      </w:r>
      <w:r w:rsidRPr="00783725">
        <w:rPr>
          <w:rFonts w:eastAsia="Times New Roman"/>
          <w:color w:val="000000"/>
        </w:rPr>
        <w:t>s existing technology transfer services and activities</w:t>
      </w:r>
      <w:r w:rsidRPr="00783725">
        <w:rPr>
          <w:rFonts w:eastAsia="Times New Roman"/>
          <w:color w:val="000000"/>
          <w:bdr w:val="none" w:sz="0" w:space="0" w:color="auto" w:frame="1"/>
          <w:shd w:val="clear" w:color="auto" w:fill="FFFFFF"/>
        </w:rPr>
        <w:t xml:space="preserve"> under the development program, it </w:t>
      </w:r>
      <w:proofErr w:type="gramStart"/>
      <w:r w:rsidRPr="00783725">
        <w:rPr>
          <w:rFonts w:eastAsia="Times New Roman"/>
          <w:color w:val="000000"/>
          <w:bdr w:val="none" w:sz="0" w:space="0" w:color="auto" w:frame="1"/>
          <w:shd w:val="clear" w:color="auto" w:fill="FFFFFF"/>
        </w:rPr>
        <w:t>is recommended</w:t>
      </w:r>
      <w:proofErr w:type="gramEnd"/>
      <w:r w:rsidRPr="00783725">
        <w:rPr>
          <w:rFonts w:eastAsia="Times New Roman"/>
          <w:color w:val="000000"/>
          <w:bdr w:val="none" w:sz="0" w:space="0" w:color="auto" w:frame="1"/>
          <w:shd w:val="clear" w:color="auto" w:fill="FFFFFF"/>
        </w:rPr>
        <w:t xml:space="preserve"> that the following indicators be included in order to evaluate activities conducted to achieve that goal</w:t>
      </w:r>
      <w:r w:rsidRPr="00783725">
        <w:t>:</w:t>
      </w:r>
    </w:p>
    <w:p w:rsidR="005A6E50" w:rsidRPr="00783725" w:rsidRDefault="005A6E50" w:rsidP="003D09A1">
      <w:pPr>
        <w:jc w:val="both"/>
      </w:pPr>
    </w:p>
    <w:p w:rsidR="003D09A1" w:rsidRPr="00783725" w:rsidRDefault="003D09A1" w:rsidP="003D09A1">
      <w:pPr>
        <w:pStyle w:val="ListParagraph"/>
        <w:widowControl w:val="0"/>
        <w:numPr>
          <w:ilvl w:val="0"/>
          <w:numId w:val="14"/>
        </w:numPr>
        <w:spacing w:line="255" w:lineRule="auto"/>
        <w:ind w:right="306"/>
        <w:jc w:val="both"/>
        <w:rPr>
          <w:rFonts w:eastAsia="Times New Roman"/>
        </w:rPr>
      </w:pPr>
      <w:r w:rsidRPr="00783725">
        <w:rPr>
          <w:rFonts w:eastAsia="Times New Roman"/>
          <w:color w:val="000000"/>
          <w:bdr w:val="none" w:sz="0" w:space="0" w:color="auto" w:frame="1"/>
          <w:shd w:val="clear" w:color="auto" w:fill="FFFFFF"/>
        </w:rPr>
        <w:t xml:space="preserve">pre-implementation analysis of the technological status of the country or region targeted for the activity in order to increase the likelihood of success; </w:t>
      </w:r>
    </w:p>
    <w:p w:rsidR="003D09A1" w:rsidRPr="00783725" w:rsidRDefault="003D09A1" w:rsidP="003D09A1">
      <w:pPr>
        <w:pStyle w:val="ListParagraph"/>
        <w:widowControl w:val="0"/>
        <w:numPr>
          <w:ilvl w:val="0"/>
          <w:numId w:val="14"/>
        </w:numPr>
        <w:spacing w:line="255" w:lineRule="auto"/>
        <w:ind w:right="306"/>
        <w:jc w:val="both"/>
        <w:rPr>
          <w:rFonts w:eastAsia="Times New Roman"/>
        </w:rPr>
      </w:pPr>
      <w:r w:rsidRPr="00783725">
        <w:rPr>
          <w:rFonts w:eastAsia="Times New Roman"/>
          <w:color w:val="000000"/>
          <w:bdr w:val="none" w:sz="0" w:space="0" w:color="auto" w:frame="1"/>
          <w:shd w:val="clear" w:color="auto" w:fill="FFFFFF"/>
        </w:rPr>
        <w:t>short-, medium- and long-term national impact of the event;</w:t>
      </w:r>
    </w:p>
    <w:p w:rsidR="003D09A1" w:rsidRPr="00783725" w:rsidRDefault="003D09A1" w:rsidP="003D09A1">
      <w:pPr>
        <w:pStyle w:val="ListParagraph"/>
        <w:widowControl w:val="0"/>
        <w:numPr>
          <w:ilvl w:val="0"/>
          <w:numId w:val="14"/>
        </w:numPr>
        <w:spacing w:line="255" w:lineRule="auto"/>
        <w:ind w:right="306"/>
        <w:jc w:val="both"/>
        <w:rPr>
          <w:rFonts w:eastAsia="Times New Roman"/>
        </w:rPr>
      </w:pPr>
      <w:r w:rsidRPr="00783725">
        <w:rPr>
          <w:rFonts w:eastAsia="Times New Roman"/>
          <w:color w:val="000000"/>
          <w:bdr w:val="none" w:sz="0" w:space="0" w:color="auto" w:frame="1"/>
          <w:shd w:val="clear" w:color="auto" w:fill="FFFFFF"/>
        </w:rPr>
        <w:t>medium- and long-term regional impact of the event;</w:t>
      </w:r>
    </w:p>
    <w:p w:rsidR="003D09A1" w:rsidRPr="00783725" w:rsidRDefault="003D09A1" w:rsidP="003D09A1">
      <w:pPr>
        <w:pStyle w:val="ListParagraph"/>
        <w:widowControl w:val="0"/>
        <w:numPr>
          <w:ilvl w:val="0"/>
          <w:numId w:val="14"/>
        </w:numPr>
        <w:spacing w:line="255" w:lineRule="auto"/>
        <w:ind w:right="306"/>
        <w:jc w:val="both"/>
        <w:rPr>
          <w:rFonts w:eastAsia="Times New Roman"/>
        </w:rPr>
      </w:pPr>
      <w:r w:rsidRPr="00783725">
        <w:rPr>
          <w:rFonts w:eastAsia="Times New Roman"/>
          <w:color w:val="000000"/>
          <w:bdr w:val="none" w:sz="0" w:space="0" w:color="auto" w:frame="1"/>
          <w:shd w:val="clear" w:color="auto" w:fill="FFFFFF"/>
        </w:rPr>
        <w:t xml:space="preserve">utility of the service over time in the light of its territorial objective (developing or developed); </w:t>
      </w:r>
    </w:p>
    <w:p w:rsidR="003D09A1" w:rsidRPr="00783725" w:rsidRDefault="003D09A1" w:rsidP="003D09A1">
      <w:pPr>
        <w:pStyle w:val="ListParagraph"/>
        <w:widowControl w:val="0"/>
        <w:numPr>
          <w:ilvl w:val="0"/>
          <w:numId w:val="14"/>
        </w:numPr>
        <w:spacing w:line="255" w:lineRule="auto"/>
        <w:ind w:right="306"/>
        <w:jc w:val="both"/>
        <w:rPr>
          <w:rFonts w:eastAsia="Times New Roman"/>
        </w:rPr>
      </w:pPr>
      <w:proofErr w:type="gramStart"/>
      <w:r w:rsidRPr="00783725">
        <w:rPr>
          <w:rFonts w:eastAsia="Times New Roman"/>
          <w:color w:val="000000"/>
          <w:bdr w:val="none" w:sz="0" w:space="0" w:color="auto" w:frame="1"/>
          <w:shd w:val="clear" w:color="auto" w:fill="FFFFFF"/>
        </w:rPr>
        <w:t>event</w:t>
      </w:r>
      <w:proofErr w:type="gramEnd"/>
      <w:r w:rsidRPr="00783725">
        <w:rPr>
          <w:rFonts w:eastAsia="Times New Roman"/>
          <w:color w:val="000000"/>
          <w:bdr w:val="none" w:sz="0" w:space="0" w:color="auto" w:frame="1"/>
          <w:shd w:val="clear" w:color="auto" w:fill="FFFFFF"/>
        </w:rPr>
        <w:t xml:space="preserve"> continuity and link to long-term implementation.</w:t>
      </w:r>
    </w:p>
    <w:p w:rsidR="003D09A1" w:rsidRPr="00783725" w:rsidRDefault="003D09A1" w:rsidP="003D09A1">
      <w:pPr>
        <w:spacing w:before="4" w:line="260" w:lineRule="exact"/>
        <w:jc w:val="both"/>
      </w:pPr>
    </w:p>
    <w:p w:rsidR="003D09A1" w:rsidRPr="00783725" w:rsidRDefault="003D09A1" w:rsidP="003D09A1">
      <w:pPr>
        <w:spacing w:line="258" w:lineRule="auto"/>
        <w:ind w:right="295"/>
        <w:jc w:val="both"/>
        <w:rPr>
          <w:rFonts w:eastAsia="Times New Roman"/>
        </w:rPr>
      </w:pPr>
      <w:r w:rsidRPr="00783725">
        <w:rPr>
          <w:rFonts w:eastAsia="Times New Roman"/>
          <w:color w:val="000000"/>
          <w:bdr w:val="none" w:sz="0" w:space="0" w:color="auto" w:frame="1"/>
          <w:shd w:val="clear" w:color="auto" w:fill="FFFFFF"/>
        </w:rPr>
        <w:t xml:space="preserve">These indicators </w:t>
      </w:r>
      <w:proofErr w:type="gramStart"/>
      <w:r w:rsidRPr="00783725">
        <w:rPr>
          <w:rFonts w:eastAsia="Times New Roman"/>
          <w:color w:val="000000"/>
          <w:bdr w:val="none" w:sz="0" w:space="0" w:color="auto" w:frame="1"/>
          <w:shd w:val="clear" w:color="auto" w:fill="FFFFFF"/>
        </w:rPr>
        <w:t>are recommended</w:t>
      </w:r>
      <w:proofErr w:type="gramEnd"/>
      <w:r w:rsidRPr="00783725">
        <w:rPr>
          <w:rFonts w:eastAsia="Times New Roman"/>
          <w:color w:val="000000"/>
          <w:bdr w:val="none" w:sz="0" w:space="0" w:color="auto" w:frame="1"/>
          <w:shd w:val="clear" w:color="auto" w:fill="FFFFFF"/>
        </w:rPr>
        <w:t xml:space="preserve"> to ensure that activities match countries</w:t>
      </w:r>
      <w:r w:rsidR="001B1BC2">
        <w:rPr>
          <w:rFonts w:eastAsia="Times New Roman"/>
          <w:color w:val="000000"/>
          <w:bdr w:val="none" w:sz="0" w:space="0" w:color="auto" w:frame="1"/>
          <w:shd w:val="clear" w:color="auto" w:fill="FFFFFF"/>
        </w:rPr>
        <w:t>’</w:t>
      </w:r>
      <w:r w:rsidRPr="00783725">
        <w:rPr>
          <w:rFonts w:eastAsia="Times New Roman"/>
          <w:color w:val="000000"/>
          <w:bdr w:val="none" w:sz="0" w:space="0" w:color="auto" w:frame="1"/>
          <w:shd w:val="clear" w:color="auto" w:fill="FFFFFF"/>
        </w:rPr>
        <w:t xml:space="preserve"> real-life circumstances and thus positively drive growth in the service of technology transfer</w:t>
      </w:r>
      <w:r w:rsidRPr="00783725">
        <w:rPr>
          <w:rFonts w:eastAsia="Times New Roman"/>
          <w:color w:val="313131"/>
          <w:w w:val="105"/>
        </w:rPr>
        <w:t>.</w:t>
      </w:r>
    </w:p>
    <w:p w:rsidR="003D09A1" w:rsidRPr="00783725" w:rsidRDefault="003D09A1" w:rsidP="003D09A1">
      <w:pPr>
        <w:spacing w:before="8" w:line="240" w:lineRule="exact"/>
        <w:jc w:val="both"/>
      </w:pPr>
    </w:p>
    <w:p w:rsidR="003D09A1" w:rsidRPr="00783725" w:rsidRDefault="003D09A1" w:rsidP="003D09A1">
      <w:pPr>
        <w:spacing w:line="258" w:lineRule="auto"/>
        <w:ind w:right="297"/>
        <w:jc w:val="both"/>
        <w:rPr>
          <w:rFonts w:eastAsia="Times New Roman"/>
        </w:rPr>
      </w:pPr>
      <w:r w:rsidRPr="00783725">
        <w:rPr>
          <w:rFonts w:eastAsia="Times New Roman"/>
          <w:color w:val="000000"/>
          <w:bdr w:val="none" w:sz="0" w:space="0" w:color="auto" w:frame="1"/>
          <w:shd w:val="clear" w:color="auto" w:fill="FFFFFF"/>
        </w:rPr>
        <w:t>The Permanent Mission of Ecuador to the World Trade Organization and the other Economic Organizations in Geneva avails itself of this opportunity to renew to the World Intellectual Property Organization the assurances of its highest consideration</w:t>
      </w:r>
      <w:r w:rsidRPr="00783725">
        <w:rPr>
          <w:rFonts w:eastAsia="Times New Roman"/>
          <w:color w:val="313131"/>
          <w:w w:val="106"/>
        </w:rPr>
        <w:t>.</w:t>
      </w:r>
    </w:p>
    <w:p w:rsidR="003D09A1" w:rsidRDefault="003D09A1" w:rsidP="003D09A1">
      <w:pPr>
        <w:spacing w:line="200" w:lineRule="exact"/>
        <w:rPr>
          <w:sz w:val="20"/>
        </w:rPr>
      </w:pPr>
    </w:p>
    <w:p w:rsidR="005A6E50" w:rsidRDefault="005A6E50" w:rsidP="003D09A1">
      <w:pPr>
        <w:spacing w:line="200" w:lineRule="exact"/>
        <w:rPr>
          <w:sz w:val="20"/>
        </w:rPr>
      </w:pPr>
    </w:p>
    <w:p w:rsidR="005A6E50" w:rsidRDefault="005A6E50" w:rsidP="003D09A1">
      <w:pPr>
        <w:spacing w:line="200" w:lineRule="exact"/>
        <w:rPr>
          <w:sz w:val="20"/>
        </w:rPr>
      </w:pPr>
    </w:p>
    <w:p w:rsidR="005A6E50" w:rsidRDefault="005A6E50" w:rsidP="003D09A1">
      <w:pPr>
        <w:spacing w:line="200" w:lineRule="exact"/>
        <w:rPr>
          <w:sz w:val="20"/>
        </w:rPr>
      </w:pPr>
    </w:p>
    <w:p w:rsidR="005A6E50" w:rsidRPr="00783725" w:rsidRDefault="005A6E50" w:rsidP="003D09A1">
      <w:pPr>
        <w:spacing w:line="200" w:lineRule="exact"/>
        <w:rPr>
          <w:sz w:val="20"/>
        </w:rPr>
      </w:pPr>
    </w:p>
    <w:p w:rsidR="00783725" w:rsidRDefault="00783725" w:rsidP="003D09A1">
      <w:pPr>
        <w:ind w:right="332"/>
        <w:jc w:val="right"/>
        <w:rPr>
          <w:rFonts w:eastAsia="Times New Roman"/>
          <w:color w:val="313131"/>
        </w:rPr>
      </w:pPr>
    </w:p>
    <w:p w:rsidR="003D09A1" w:rsidRPr="00783725" w:rsidRDefault="00783725" w:rsidP="003D09A1">
      <w:pPr>
        <w:ind w:right="332"/>
        <w:jc w:val="right"/>
        <w:rPr>
          <w:rFonts w:eastAsia="Times New Roman"/>
        </w:rPr>
      </w:pPr>
      <w:r w:rsidRPr="00783725">
        <w:rPr>
          <w:rFonts w:eastAsia="Times New Roman"/>
          <w:color w:val="313131"/>
        </w:rPr>
        <w:t>G</w:t>
      </w:r>
      <w:r w:rsidR="003D09A1" w:rsidRPr="00783725">
        <w:rPr>
          <w:rFonts w:eastAsia="Times New Roman"/>
          <w:color w:val="313131"/>
        </w:rPr>
        <w:t xml:space="preserve">eneva, </w:t>
      </w:r>
      <w:r w:rsidR="003D09A1" w:rsidRPr="00783725">
        <w:rPr>
          <w:rFonts w:eastAsia="Times New Roman"/>
          <w:color w:val="313131"/>
          <w:spacing w:val="3"/>
        </w:rPr>
        <w:t>5</w:t>
      </w:r>
      <w:r w:rsidR="003D09A1" w:rsidRPr="00783725">
        <w:rPr>
          <w:rFonts w:eastAsia="Times New Roman"/>
          <w:color w:val="313131"/>
          <w:spacing w:val="11"/>
        </w:rPr>
        <w:t xml:space="preserve"> </w:t>
      </w:r>
      <w:r w:rsidR="003D09A1" w:rsidRPr="00783725">
        <w:rPr>
          <w:rFonts w:eastAsia="Times New Roman"/>
          <w:color w:val="313131"/>
        </w:rPr>
        <w:t>September</w:t>
      </w:r>
      <w:r w:rsidR="003D09A1" w:rsidRPr="00783725">
        <w:rPr>
          <w:rFonts w:eastAsia="Times New Roman"/>
          <w:color w:val="313131"/>
          <w:spacing w:val="16"/>
        </w:rPr>
        <w:t xml:space="preserve"> </w:t>
      </w:r>
      <w:r w:rsidR="003D09A1" w:rsidRPr="00783725">
        <w:rPr>
          <w:rFonts w:eastAsia="Times New Roman"/>
          <w:color w:val="313131"/>
          <w:w w:val="106"/>
        </w:rPr>
        <w:t>2018</w:t>
      </w:r>
    </w:p>
    <w:p w:rsidR="003D09A1" w:rsidRPr="000B2665" w:rsidRDefault="003D09A1" w:rsidP="003D09A1">
      <w:pPr>
        <w:spacing w:line="200" w:lineRule="exact"/>
        <w:rPr>
          <w:rFonts w:ascii="Times New Roman" w:hAnsi="Times New Roman" w:cs="Times New Roman"/>
          <w:sz w:val="20"/>
        </w:rPr>
      </w:pPr>
    </w:p>
    <w:p w:rsidR="005A6E50" w:rsidRDefault="005A6E50" w:rsidP="003D09A1">
      <w:pPr>
        <w:rPr>
          <w:b/>
        </w:rPr>
      </w:pPr>
    </w:p>
    <w:p w:rsidR="005A6E50" w:rsidRDefault="005A6E50" w:rsidP="003D09A1">
      <w:pPr>
        <w:rPr>
          <w:b/>
        </w:rPr>
      </w:pPr>
      <w:r>
        <w:rPr>
          <w:rFonts w:ascii="Times New Roman" w:hAnsi="Times New Roman" w:cs="Times New Roman"/>
          <w:noProof/>
          <w:lang w:eastAsia="en-US"/>
        </w:rPr>
        <w:drawing>
          <wp:anchor distT="0" distB="0" distL="114300" distR="114300" simplePos="0" relativeHeight="251653120" behindDoc="1" locked="0" layoutInCell="1" allowOverlap="1" wp14:anchorId="2A054DAB" wp14:editId="288174C3">
            <wp:simplePos x="0" y="0"/>
            <wp:positionH relativeFrom="page">
              <wp:posOffset>5314950</wp:posOffset>
            </wp:positionH>
            <wp:positionV relativeFrom="paragraph">
              <wp:posOffset>16510</wp:posOffset>
            </wp:positionV>
            <wp:extent cx="1594485" cy="1426210"/>
            <wp:effectExtent l="0" t="0" r="5715" b="254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594485" cy="1426210"/>
                    </a:xfrm>
                    <a:prstGeom prst="rect">
                      <a:avLst/>
                    </a:prstGeom>
                    <a:noFill/>
                  </pic:spPr>
                </pic:pic>
              </a:graphicData>
            </a:graphic>
            <wp14:sizeRelH relativeFrom="page">
              <wp14:pctWidth>0</wp14:pctWidth>
            </wp14:sizeRelH>
            <wp14:sizeRelV relativeFrom="page">
              <wp14:pctHeight>0</wp14:pctHeight>
            </wp14:sizeRelV>
          </wp:anchor>
        </w:drawing>
      </w:r>
    </w:p>
    <w:p w:rsidR="005A6E50" w:rsidRDefault="005A6E50" w:rsidP="003D09A1">
      <w:pPr>
        <w:rPr>
          <w:b/>
        </w:rPr>
      </w:pPr>
    </w:p>
    <w:p w:rsidR="00783725" w:rsidRPr="00783725" w:rsidRDefault="003D09A1" w:rsidP="003D09A1">
      <w:pPr>
        <w:rPr>
          <w:b/>
        </w:rPr>
      </w:pPr>
      <w:r w:rsidRPr="00783725">
        <w:rPr>
          <w:b/>
        </w:rPr>
        <w:t>To the</w:t>
      </w:r>
      <w:r w:rsidRPr="00783725">
        <w:rPr>
          <w:b/>
        </w:rPr>
        <w:br/>
      </w:r>
      <w:r w:rsidRPr="00783725">
        <w:rPr>
          <w:rFonts w:eastAsia="Times New Roman"/>
          <w:b/>
          <w:color w:val="000000"/>
          <w:bdr w:val="none" w:sz="0" w:space="0" w:color="auto" w:frame="1"/>
          <w:shd w:val="clear" w:color="auto" w:fill="FFFFFF"/>
        </w:rPr>
        <w:t>WORLD INTELLECTUAL PROPERTY ORGANIZATION</w:t>
      </w:r>
      <w:r w:rsidRPr="00783725">
        <w:rPr>
          <w:b/>
        </w:rPr>
        <w:br/>
      </w:r>
      <w:r w:rsidRPr="00783725">
        <w:rPr>
          <w:rFonts w:eastAsia="Times New Roman"/>
          <w:b/>
          <w:color w:val="000000"/>
          <w:bdr w:val="none" w:sz="0" w:space="0" w:color="auto" w:frame="1"/>
          <w:shd w:val="clear" w:color="auto" w:fill="FFFFFF"/>
        </w:rPr>
        <w:t>Development </w:t>
      </w:r>
      <w:r w:rsidRPr="00783725">
        <w:rPr>
          <w:rFonts w:eastAsia="Times New Roman"/>
          <w:b/>
          <w:color w:val="000000"/>
          <w:bdr w:val="none" w:sz="0" w:space="0" w:color="auto" w:frame="1"/>
        </w:rPr>
        <w:t>Sector</w:t>
      </w:r>
      <w:r w:rsidRPr="00783725">
        <w:rPr>
          <w:b/>
        </w:rPr>
        <w:br/>
        <w:t>Geneva</w:t>
      </w:r>
    </w:p>
    <w:p w:rsidR="00783725" w:rsidRDefault="005A6E50" w:rsidP="00783725">
      <w:pPr>
        <w:spacing w:line="254" w:lineRule="auto"/>
        <w:ind w:right="332"/>
        <w:rPr>
          <w:rFonts w:eastAsia="Arial"/>
          <w:color w:val="313131"/>
          <w:sz w:val="16"/>
          <w:szCs w:val="16"/>
        </w:rPr>
      </w:pPr>
      <w:r>
        <w:rPr>
          <w:rFonts w:eastAsia="Arial"/>
          <w:color w:val="313131"/>
          <w:sz w:val="16"/>
          <w:szCs w:val="16"/>
        </w:rPr>
        <w:t xml:space="preserve">   </w:t>
      </w:r>
    </w:p>
    <w:p w:rsidR="005A6E50" w:rsidRDefault="005A6E50" w:rsidP="00783725">
      <w:pPr>
        <w:spacing w:line="254" w:lineRule="auto"/>
        <w:ind w:right="332"/>
        <w:rPr>
          <w:rFonts w:eastAsia="Arial"/>
          <w:color w:val="313131"/>
          <w:sz w:val="16"/>
          <w:szCs w:val="16"/>
        </w:rPr>
      </w:pPr>
    </w:p>
    <w:p w:rsidR="005A6E50" w:rsidRDefault="005A6E50" w:rsidP="00783725">
      <w:pPr>
        <w:spacing w:line="254" w:lineRule="auto"/>
        <w:ind w:right="332"/>
        <w:rPr>
          <w:rFonts w:eastAsia="Arial"/>
          <w:color w:val="313131"/>
          <w:sz w:val="16"/>
          <w:szCs w:val="16"/>
        </w:rPr>
      </w:pPr>
    </w:p>
    <w:p w:rsidR="00783725" w:rsidRPr="00680D6F" w:rsidRDefault="003D09A1" w:rsidP="00783725">
      <w:pPr>
        <w:spacing w:line="254" w:lineRule="auto"/>
        <w:ind w:right="332"/>
        <w:rPr>
          <w:rFonts w:eastAsia="Arial"/>
          <w:color w:val="313131"/>
          <w:w w:val="108"/>
          <w:sz w:val="16"/>
          <w:szCs w:val="16"/>
        </w:rPr>
      </w:pPr>
      <w:proofErr w:type="gramStart"/>
      <w:r w:rsidRPr="00680D6F">
        <w:rPr>
          <w:rFonts w:eastAsia="Arial"/>
          <w:color w:val="313131"/>
          <w:sz w:val="16"/>
          <w:szCs w:val="16"/>
        </w:rPr>
        <w:t>15</w:t>
      </w:r>
      <w:proofErr w:type="gramEnd"/>
      <w:r w:rsidRPr="00680D6F">
        <w:rPr>
          <w:rFonts w:eastAsia="Arial"/>
          <w:color w:val="313131"/>
          <w:spacing w:val="17"/>
          <w:sz w:val="16"/>
          <w:szCs w:val="16"/>
        </w:rPr>
        <w:t xml:space="preserve"> </w:t>
      </w:r>
      <w:r w:rsidRPr="00680D6F">
        <w:rPr>
          <w:rFonts w:eastAsia="Arial"/>
          <w:color w:val="313131"/>
          <w:sz w:val="16"/>
          <w:szCs w:val="16"/>
        </w:rPr>
        <w:t xml:space="preserve">Av. </w:t>
      </w:r>
      <w:r w:rsidRPr="00680D6F">
        <w:rPr>
          <w:rFonts w:eastAsia="Arial"/>
          <w:color w:val="313131"/>
          <w:spacing w:val="7"/>
          <w:sz w:val="16"/>
          <w:szCs w:val="16"/>
        </w:rPr>
        <w:t>de</w:t>
      </w:r>
      <w:r w:rsidRPr="00680D6F">
        <w:rPr>
          <w:rFonts w:eastAsia="Arial"/>
          <w:color w:val="313131"/>
          <w:spacing w:val="9"/>
          <w:sz w:val="16"/>
          <w:szCs w:val="16"/>
        </w:rPr>
        <w:t xml:space="preserve"> </w:t>
      </w:r>
      <w:proofErr w:type="spellStart"/>
      <w:r w:rsidRPr="00680D6F">
        <w:rPr>
          <w:rFonts w:eastAsia="Arial"/>
          <w:color w:val="313131"/>
          <w:sz w:val="16"/>
          <w:szCs w:val="16"/>
        </w:rPr>
        <w:t>Secheron</w:t>
      </w:r>
      <w:proofErr w:type="spellEnd"/>
      <w:r w:rsidRPr="00680D6F">
        <w:rPr>
          <w:rFonts w:eastAsia="Arial"/>
          <w:color w:val="313131"/>
          <w:sz w:val="16"/>
          <w:szCs w:val="16"/>
        </w:rPr>
        <w:t>,</w:t>
      </w:r>
      <w:r w:rsidRPr="00680D6F">
        <w:rPr>
          <w:rFonts w:eastAsia="Arial"/>
          <w:color w:val="313131"/>
          <w:spacing w:val="24"/>
          <w:sz w:val="16"/>
          <w:szCs w:val="16"/>
        </w:rPr>
        <w:t xml:space="preserve"> </w:t>
      </w:r>
      <w:r w:rsidRPr="00680D6F">
        <w:rPr>
          <w:rFonts w:eastAsia="Arial"/>
          <w:color w:val="313131"/>
          <w:sz w:val="16"/>
          <w:szCs w:val="16"/>
        </w:rPr>
        <w:t>1202</w:t>
      </w:r>
      <w:r w:rsidRPr="00680D6F">
        <w:rPr>
          <w:rFonts w:eastAsia="Arial"/>
          <w:color w:val="313131"/>
          <w:spacing w:val="15"/>
          <w:sz w:val="16"/>
          <w:szCs w:val="16"/>
        </w:rPr>
        <w:t xml:space="preserve"> </w:t>
      </w:r>
      <w:r w:rsidRPr="00680D6F">
        <w:rPr>
          <w:rFonts w:eastAsia="Arial"/>
          <w:color w:val="313131"/>
          <w:sz w:val="16"/>
          <w:szCs w:val="16"/>
        </w:rPr>
        <w:t>Geneva.</w:t>
      </w:r>
      <w:r w:rsidRPr="00680D6F">
        <w:rPr>
          <w:rFonts w:eastAsia="Arial"/>
          <w:color w:val="313131"/>
          <w:spacing w:val="25"/>
          <w:sz w:val="16"/>
          <w:szCs w:val="16"/>
        </w:rPr>
        <w:t xml:space="preserve"> </w:t>
      </w:r>
      <w:r w:rsidRPr="00680D6F">
        <w:rPr>
          <w:rFonts w:eastAsia="Arial"/>
          <w:color w:val="313131"/>
          <w:sz w:val="16"/>
          <w:szCs w:val="16"/>
        </w:rPr>
        <w:t>Telephone</w:t>
      </w:r>
      <w:r w:rsidRPr="00680D6F">
        <w:rPr>
          <w:rFonts w:eastAsia="Arial"/>
          <w:color w:val="313131"/>
          <w:spacing w:val="21"/>
          <w:sz w:val="16"/>
          <w:szCs w:val="16"/>
        </w:rPr>
        <w:t xml:space="preserve"> </w:t>
      </w:r>
      <w:r w:rsidRPr="00680D6F">
        <w:rPr>
          <w:rFonts w:eastAsia="Arial"/>
          <w:color w:val="313131"/>
          <w:sz w:val="16"/>
          <w:szCs w:val="16"/>
        </w:rPr>
        <w:t>+41</w:t>
      </w:r>
      <w:r w:rsidRPr="00680D6F">
        <w:rPr>
          <w:rFonts w:eastAsia="Arial"/>
          <w:color w:val="313131"/>
          <w:spacing w:val="2"/>
          <w:sz w:val="16"/>
          <w:szCs w:val="16"/>
        </w:rPr>
        <w:t xml:space="preserve"> </w:t>
      </w:r>
      <w:r w:rsidRPr="00680D6F">
        <w:rPr>
          <w:rFonts w:eastAsia="Arial"/>
          <w:color w:val="313131"/>
          <w:sz w:val="16"/>
          <w:szCs w:val="16"/>
        </w:rPr>
        <w:t>(022)</w:t>
      </w:r>
      <w:r w:rsidRPr="00680D6F">
        <w:rPr>
          <w:rFonts w:eastAsia="Arial"/>
          <w:color w:val="313131"/>
          <w:spacing w:val="25"/>
          <w:sz w:val="16"/>
          <w:szCs w:val="16"/>
        </w:rPr>
        <w:t xml:space="preserve"> </w:t>
      </w:r>
      <w:r w:rsidRPr="00680D6F">
        <w:rPr>
          <w:rFonts w:eastAsia="Arial"/>
          <w:color w:val="313131"/>
          <w:w w:val="105"/>
          <w:sz w:val="16"/>
          <w:szCs w:val="16"/>
        </w:rPr>
        <w:t>73</w:t>
      </w:r>
      <w:r w:rsidRPr="00680D6F">
        <w:rPr>
          <w:rFonts w:eastAsia="Arial"/>
          <w:color w:val="313131"/>
          <w:spacing w:val="-7"/>
          <w:w w:val="105"/>
          <w:sz w:val="16"/>
          <w:szCs w:val="16"/>
        </w:rPr>
        <w:t>1</w:t>
      </w:r>
      <w:r w:rsidRPr="00680D6F">
        <w:rPr>
          <w:rFonts w:eastAsia="Arial"/>
          <w:color w:val="828282"/>
          <w:w w:val="110"/>
          <w:sz w:val="16"/>
          <w:szCs w:val="16"/>
        </w:rPr>
        <w:t>.</w:t>
      </w:r>
      <w:r w:rsidRPr="00680D6F">
        <w:rPr>
          <w:rFonts w:eastAsia="Arial"/>
          <w:color w:val="313131"/>
          <w:w w:val="103"/>
          <w:sz w:val="16"/>
          <w:szCs w:val="16"/>
        </w:rPr>
        <w:t>82.5</w:t>
      </w:r>
      <w:r w:rsidRPr="00680D6F">
        <w:rPr>
          <w:rFonts w:eastAsia="Arial"/>
          <w:color w:val="313131"/>
          <w:spacing w:val="-12"/>
          <w:w w:val="104"/>
          <w:sz w:val="16"/>
          <w:szCs w:val="16"/>
        </w:rPr>
        <w:t>1</w:t>
      </w:r>
      <w:r w:rsidRPr="00680D6F">
        <w:rPr>
          <w:rFonts w:eastAsia="Arial"/>
          <w:color w:val="A5A5A5"/>
          <w:spacing w:val="8"/>
          <w:w w:val="221"/>
          <w:sz w:val="16"/>
          <w:szCs w:val="16"/>
        </w:rPr>
        <w:t>.</w:t>
      </w:r>
      <w:r w:rsidRPr="00680D6F">
        <w:rPr>
          <w:rFonts w:eastAsia="Arial"/>
          <w:color w:val="313131"/>
          <w:sz w:val="16"/>
          <w:szCs w:val="16"/>
        </w:rPr>
        <w:t>Fa</w:t>
      </w:r>
      <w:r w:rsidRPr="00680D6F">
        <w:rPr>
          <w:rFonts w:eastAsia="Arial"/>
          <w:color w:val="313131"/>
          <w:w w:val="101"/>
          <w:sz w:val="16"/>
          <w:szCs w:val="16"/>
        </w:rPr>
        <w:t>x</w:t>
      </w:r>
      <w:r w:rsidRPr="00680D6F">
        <w:rPr>
          <w:rFonts w:eastAsia="Arial"/>
          <w:color w:val="313131"/>
          <w:spacing w:val="9"/>
          <w:sz w:val="16"/>
          <w:szCs w:val="16"/>
        </w:rPr>
        <w:t xml:space="preserve"> </w:t>
      </w:r>
      <w:r w:rsidRPr="00680D6F">
        <w:rPr>
          <w:rFonts w:eastAsia="Arial"/>
          <w:color w:val="313131"/>
          <w:sz w:val="16"/>
          <w:szCs w:val="16"/>
        </w:rPr>
        <w:t>+41</w:t>
      </w:r>
      <w:r w:rsidRPr="00680D6F">
        <w:rPr>
          <w:rFonts w:eastAsia="Arial"/>
          <w:color w:val="313131"/>
          <w:spacing w:val="9"/>
          <w:sz w:val="16"/>
          <w:szCs w:val="16"/>
        </w:rPr>
        <w:t xml:space="preserve"> </w:t>
      </w:r>
      <w:r w:rsidRPr="00680D6F">
        <w:rPr>
          <w:rFonts w:eastAsia="Arial"/>
          <w:color w:val="313131"/>
          <w:sz w:val="16"/>
          <w:szCs w:val="16"/>
        </w:rPr>
        <w:t>(022)</w:t>
      </w:r>
      <w:r w:rsidRPr="00680D6F">
        <w:rPr>
          <w:rFonts w:eastAsia="Arial"/>
          <w:color w:val="313131"/>
          <w:spacing w:val="25"/>
          <w:sz w:val="16"/>
          <w:szCs w:val="16"/>
        </w:rPr>
        <w:t xml:space="preserve"> </w:t>
      </w:r>
      <w:r w:rsidRPr="00680D6F">
        <w:rPr>
          <w:rFonts w:eastAsia="Arial"/>
          <w:color w:val="313131"/>
          <w:w w:val="105"/>
          <w:sz w:val="16"/>
          <w:szCs w:val="16"/>
        </w:rPr>
        <w:t>731.8</w:t>
      </w:r>
      <w:r w:rsidRPr="00680D6F">
        <w:rPr>
          <w:rFonts w:eastAsia="Arial"/>
          <w:color w:val="313131"/>
          <w:spacing w:val="-4"/>
          <w:w w:val="106"/>
          <w:sz w:val="16"/>
          <w:szCs w:val="16"/>
        </w:rPr>
        <w:t>3</w:t>
      </w:r>
      <w:r w:rsidRPr="00680D6F">
        <w:rPr>
          <w:rFonts w:eastAsia="Arial"/>
          <w:color w:val="828282"/>
          <w:w w:val="110"/>
          <w:sz w:val="16"/>
          <w:szCs w:val="16"/>
        </w:rPr>
        <w:t>.</w:t>
      </w:r>
      <w:r w:rsidRPr="00680D6F">
        <w:rPr>
          <w:rFonts w:eastAsia="Arial"/>
          <w:color w:val="313131"/>
          <w:w w:val="108"/>
          <w:sz w:val="16"/>
          <w:szCs w:val="16"/>
        </w:rPr>
        <w:t xml:space="preserve">91 </w:t>
      </w:r>
    </w:p>
    <w:p w:rsidR="003D09A1" w:rsidRPr="00680D6F" w:rsidRDefault="003D09A1" w:rsidP="00783725">
      <w:pPr>
        <w:spacing w:line="254" w:lineRule="auto"/>
        <w:ind w:right="332"/>
        <w:jc w:val="center"/>
        <w:rPr>
          <w:rFonts w:eastAsia="Arial"/>
          <w:sz w:val="16"/>
          <w:szCs w:val="16"/>
        </w:rPr>
      </w:pPr>
      <w:r w:rsidRPr="00680D6F">
        <w:rPr>
          <w:sz w:val="16"/>
          <w:szCs w:val="16"/>
        </w:rPr>
        <w:t>omcginebra@mmrree.gob.ec</w:t>
      </w:r>
    </w:p>
    <w:p w:rsidR="005A6E50" w:rsidRPr="00680D6F" w:rsidRDefault="002C15D4" w:rsidP="002C15D4">
      <w:pPr>
        <w:pStyle w:val="Heading1"/>
        <w:jc w:val="center"/>
        <w:rPr>
          <w:b w:val="0"/>
          <w:caps w:val="0"/>
          <w:szCs w:val="22"/>
        </w:rPr>
      </w:pPr>
      <w:r w:rsidRPr="00680D6F">
        <w:rPr>
          <w:b w:val="0"/>
          <w:caps w:val="0"/>
          <w:szCs w:val="22"/>
        </w:rPr>
        <w:t xml:space="preserve">                                </w:t>
      </w:r>
    </w:p>
    <w:p w:rsidR="005A6E50" w:rsidRPr="00680D6F" w:rsidRDefault="005A6E50" w:rsidP="002C15D4">
      <w:pPr>
        <w:pStyle w:val="Heading1"/>
        <w:jc w:val="center"/>
        <w:rPr>
          <w:b w:val="0"/>
          <w:caps w:val="0"/>
          <w:szCs w:val="22"/>
        </w:rPr>
      </w:pPr>
    </w:p>
    <w:p w:rsidR="005A6E50" w:rsidRPr="00680D6F" w:rsidRDefault="005A6E50" w:rsidP="002C15D4">
      <w:pPr>
        <w:pStyle w:val="Heading1"/>
        <w:jc w:val="center"/>
        <w:rPr>
          <w:b w:val="0"/>
          <w:caps w:val="0"/>
          <w:szCs w:val="22"/>
        </w:rPr>
      </w:pPr>
    </w:p>
    <w:p w:rsidR="00A15D36" w:rsidRPr="00680D6F" w:rsidRDefault="005A6E50" w:rsidP="002C15D4">
      <w:pPr>
        <w:pStyle w:val="Heading1"/>
        <w:jc w:val="center"/>
        <w:rPr>
          <w:b w:val="0"/>
          <w:szCs w:val="22"/>
        </w:rPr>
      </w:pPr>
      <w:r w:rsidRPr="00680D6F">
        <w:rPr>
          <w:b w:val="0"/>
          <w:caps w:val="0"/>
          <w:szCs w:val="22"/>
        </w:rPr>
        <w:t xml:space="preserve">                                                        </w:t>
      </w:r>
      <w:r w:rsidR="002C15D4" w:rsidRPr="00680D6F">
        <w:rPr>
          <w:b w:val="0"/>
          <w:caps w:val="0"/>
          <w:szCs w:val="22"/>
        </w:rPr>
        <w:t xml:space="preserve"> </w:t>
      </w:r>
      <w:r w:rsidR="00D03613" w:rsidRPr="00680D6F">
        <w:rPr>
          <w:b w:val="0"/>
          <w:caps w:val="0"/>
          <w:szCs w:val="22"/>
        </w:rPr>
        <w:t>[</w:t>
      </w:r>
      <w:r w:rsidR="00783725" w:rsidRPr="00680D6F">
        <w:rPr>
          <w:b w:val="0"/>
          <w:caps w:val="0"/>
          <w:szCs w:val="22"/>
        </w:rPr>
        <w:t xml:space="preserve">Annex </w:t>
      </w:r>
      <w:r w:rsidR="000915D9" w:rsidRPr="00680D6F">
        <w:rPr>
          <w:b w:val="0"/>
          <w:caps w:val="0"/>
          <w:szCs w:val="22"/>
        </w:rPr>
        <w:t>II</w:t>
      </w:r>
      <w:r w:rsidR="00D03613" w:rsidRPr="00680D6F">
        <w:rPr>
          <w:b w:val="0"/>
          <w:caps w:val="0"/>
          <w:szCs w:val="22"/>
        </w:rPr>
        <w:t>I follows</w:t>
      </w:r>
      <w:r w:rsidR="00783725" w:rsidRPr="00680D6F">
        <w:rPr>
          <w:b w:val="0"/>
          <w:caps w:val="0"/>
          <w:szCs w:val="22"/>
        </w:rPr>
        <w:t>]</w:t>
      </w:r>
    </w:p>
    <w:p w:rsidR="003D09A1" w:rsidRPr="00680D6F" w:rsidRDefault="003D09A1">
      <w:pPr>
        <w:pStyle w:val="Heading1"/>
        <w:rPr>
          <w:szCs w:val="22"/>
        </w:rPr>
      </w:pPr>
    </w:p>
    <w:p w:rsidR="005859EC" w:rsidRPr="00680D6F" w:rsidRDefault="000915D9">
      <w:pPr>
        <w:rPr>
          <w:szCs w:val="22"/>
        </w:rPr>
        <w:sectPr w:rsidR="005859EC" w:rsidRPr="00680D6F" w:rsidSect="00915D05">
          <w:headerReference w:type="default" r:id="rId21"/>
          <w:headerReference w:type="first" r:id="rId22"/>
          <w:endnotePr>
            <w:numFmt w:val="decimal"/>
          </w:endnotePr>
          <w:pgSz w:w="11907" w:h="16840" w:code="9"/>
          <w:pgMar w:top="567" w:right="1134" w:bottom="1418" w:left="1418" w:header="510" w:footer="1021" w:gutter="0"/>
          <w:pgNumType w:start="1"/>
          <w:cols w:space="720"/>
          <w:titlePg/>
          <w:docGrid w:linePitch="299"/>
        </w:sectPr>
      </w:pPr>
      <w:bookmarkStart w:id="6" w:name="_GoBack"/>
      <w:bookmarkEnd w:id="6"/>
      <w:r w:rsidRPr="00680D6F">
        <w:rPr>
          <w:szCs w:val="22"/>
        </w:rPr>
        <w:br w:type="page"/>
      </w:r>
    </w:p>
    <w:p w:rsidR="000915D9" w:rsidRPr="000915D9" w:rsidRDefault="000915D9" w:rsidP="00347620">
      <w:pPr>
        <w:spacing w:line="276" w:lineRule="auto"/>
        <w:rPr>
          <w:rFonts w:eastAsia="Calibri"/>
          <w:b/>
          <w:szCs w:val="22"/>
          <w:lang w:val="en-ZA" w:eastAsia="en-US"/>
        </w:rPr>
      </w:pPr>
      <w:r w:rsidRPr="000915D9">
        <w:rPr>
          <w:rFonts w:eastAsia="Calibri"/>
          <w:b/>
          <w:szCs w:val="22"/>
          <w:lang w:val="en-ZA" w:eastAsia="en-US"/>
        </w:rPr>
        <w:lastRenderedPageBreak/>
        <w:t>INPUT RECEIVED BY THE SECRETARIAT FROM THE DELEGATION OF SOUTH AFRICA</w:t>
      </w:r>
    </w:p>
    <w:p w:rsidR="000915D9" w:rsidRPr="000915D9" w:rsidRDefault="000915D9" w:rsidP="00347620">
      <w:pPr>
        <w:spacing w:before="100" w:beforeAutospacing="1" w:after="100" w:afterAutospacing="1" w:line="276" w:lineRule="auto"/>
        <w:rPr>
          <w:rFonts w:eastAsia="Times New Roman"/>
          <w:color w:val="000000"/>
          <w:szCs w:val="22"/>
          <w:lang w:eastAsia="en-US"/>
        </w:rPr>
      </w:pPr>
      <w:r w:rsidRPr="000915D9">
        <w:rPr>
          <w:rFonts w:eastAsia="Times New Roman"/>
          <w:color w:val="000000"/>
          <w:szCs w:val="22"/>
          <w:lang w:eastAsia="en-US"/>
        </w:rPr>
        <w:t>PROPOSED INDICATORS FOR USE IN THE ANALYSIS OF WIPOS EXISTING TECHNOLOGY TRANSFER SERVICES AND ACTIVITIES IN RESPECT OF THE WIPO DEVELOPMENT AGENDA CLUSTER C RECOMMENDATIONS AS PER CDIP/21/5.</w:t>
      </w:r>
    </w:p>
    <w:p w:rsidR="000915D9" w:rsidRPr="000915D9" w:rsidRDefault="000915D9" w:rsidP="00347620">
      <w:pPr>
        <w:numPr>
          <w:ilvl w:val="0"/>
          <w:numId w:val="15"/>
        </w:numPr>
        <w:spacing w:line="276" w:lineRule="auto"/>
        <w:ind w:left="567" w:hanging="567"/>
        <w:rPr>
          <w:rFonts w:eastAsia="Times New Roman"/>
          <w:color w:val="000000"/>
          <w:szCs w:val="22"/>
          <w:lang w:eastAsia="en-US"/>
        </w:rPr>
      </w:pPr>
      <w:r w:rsidRPr="000915D9">
        <w:rPr>
          <w:rFonts w:eastAsia="Times New Roman"/>
          <w:color w:val="000000"/>
          <w:szCs w:val="22"/>
          <w:lang w:eastAsia="en-US"/>
        </w:rPr>
        <w:t xml:space="preserve"> It </w:t>
      </w:r>
      <w:proofErr w:type="gramStart"/>
      <w:r w:rsidRPr="000915D9">
        <w:rPr>
          <w:rFonts w:eastAsia="Times New Roman"/>
          <w:color w:val="000000"/>
          <w:szCs w:val="22"/>
          <w:lang w:eastAsia="en-US"/>
        </w:rPr>
        <w:t>is recalled</w:t>
      </w:r>
      <w:proofErr w:type="gramEnd"/>
      <w:r w:rsidRPr="000915D9">
        <w:rPr>
          <w:rFonts w:eastAsia="Times New Roman"/>
          <w:color w:val="000000"/>
          <w:szCs w:val="22"/>
          <w:lang w:eastAsia="en-US"/>
        </w:rPr>
        <w:t xml:space="preserve"> from the Summary of the Chair of CDIP/21</w:t>
      </w:r>
      <w:r w:rsidRPr="000915D9">
        <w:rPr>
          <w:rFonts w:eastAsia="Times New Roman"/>
          <w:i/>
          <w:color w:val="000000"/>
          <w:szCs w:val="22"/>
          <w:lang w:eastAsia="en-US"/>
        </w:rPr>
        <w:t xml:space="preserve"> </w:t>
      </w:r>
      <w:r w:rsidR="001B1BC2">
        <w:rPr>
          <w:rFonts w:eastAsia="Times New Roman"/>
          <w:i/>
          <w:color w:val="000000"/>
          <w:szCs w:val="22"/>
          <w:lang w:eastAsia="en-US"/>
        </w:rPr>
        <w:t>“</w:t>
      </w:r>
      <w:r w:rsidRPr="000915D9">
        <w:rPr>
          <w:rFonts w:eastAsia="Times New Roman"/>
          <w:i/>
          <w:color w:val="000000"/>
          <w:szCs w:val="22"/>
          <w:lang w:eastAsia="en-US"/>
        </w:rPr>
        <w:t xml:space="preserve">The Committee considered the information provided in the document.  It </w:t>
      </w:r>
      <w:proofErr w:type="gramStart"/>
      <w:r w:rsidRPr="000915D9">
        <w:rPr>
          <w:rFonts w:eastAsia="Times New Roman"/>
          <w:i/>
          <w:color w:val="000000"/>
          <w:szCs w:val="22"/>
          <w:lang w:eastAsia="en-US"/>
        </w:rPr>
        <w:t>was decided</w:t>
      </w:r>
      <w:proofErr w:type="gramEnd"/>
      <w:r w:rsidRPr="000915D9">
        <w:rPr>
          <w:rFonts w:eastAsia="Times New Roman"/>
          <w:i/>
          <w:color w:val="000000"/>
          <w:szCs w:val="22"/>
          <w:lang w:eastAsia="en-US"/>
        </w:rPr>
        <w:t xml:space="preserve"> that interested delegations should submit to the Secretariat a list of indicators to assess the activities contained in the document for consolidation and presentation at the next session of the Committee.  Member States</w:t>
      </w:r>
      <w:r w:rsidR="001B1BC2">
        <w:rPr>
          <w:rFonts w:eastAsia="Times New Roman"/>
          <w:i/>
          <w:color w:val="000000"/>
          <w:szCs w:val="22"/>
          <w:lang w:eastAsia="en-US"/>
        </w:rPr>
        <w:t>’</w:t>
      </w:r>
      <w:r w:rsidRPr="000915D9">
        <w:rPr>
          <w:rFonts w:eastAsia="Times New Roman"/>
          <w:i/>
          <w:color w:val="000000"/>
          <w:szCs w:val="22"/>
          <w:lang w:eastAsia="en-US"/>
        </w:rPr>
        <w:t xml:space="preserve"> input should reach the Secretariat before September 10, 2018.</w:t>
      </w:r>
      <w:r w:rsidR="001B1BC2">
        <w:rPr>
          <w:rFonts w:eastAsia="Times New Roman"/>
          <w:i/>
          <w:color w:val="000000"/>
          <w:szCs w:val="22"/>
          <w:lang w:eastAsia="en-US"/>
        </w:rPr>
        <w:t>”</w:t>
      </w:r>
    </w:p>
    <w:p w:rsidR="000915D9" w:rsidRPr="000915D9" w:rsidRDefault="000915D9" w:rsidP="00347620">
      <w:pPr>
        <w:spacing w:line="276" w:lineRule="auto"/>
        <w:ind w:left="567"/>
        <w:rPr>
          <w:rFonts w:eastAsia="Times New Roman"/>
          <w:color w:val="000000"/>
          <w:szCs w:val="22"/>
          <w:lang w:eastAsia="en-US"/>
        </w:rPr>
      </w:pPr>
    </w:p>
    <w:p w:rsidR="000915D9" w:rsidRPr="000915D9" w:rsidRDefault="000915D9" w:rsidP="00347620">
      <w:pPr>
        <w:numPr>
          <w:ilvl w:val="0"/>
          <w:numId w:val="15"/>
        </w:numPr>
        <w:spacing w:line="276" w:lineRule="auto"/>
        <w:ind w:left="567" w:hanging="567"/>
        <w:rPr>
          <w:rFonts w:eastAsia="Times New Roman"/>
          <w:color w:val="000000"/>
          <w:szCs w:val="22"/>
          <w:lang w:eastAsia="en-US"/>
        </w:rPr>
      </w:pPr>
      <w:r w:rsidRPr="000915D9">
        <w:rPr>
          <w:rFonts w:eastAsia="Times New Roman"/>
          <w:szCs w:val="22"/>
          <w:lang w:eastAsia="en-US"/>
        </w:rPr>
        <w:t xml:space="preserve">The delegation of South Africa hereby submits the following inputs for consideration noting that Cluster C is </w:t>
      </w:r>
      <w:r w:rsidRPr="000915D9">
        <w:rPr>
          <w:rFonts w:eastAsia="Times New Roman"/>
          <w:color w:val="000000"/>
          <w:szCs w:val="22"/>
          <w:lang w:eastAsia="en-US"/>
        </w:rPr>
        <w:t xml:space="preserve">titled </w:t>
      </w:r>
      <w:r w:rsidR="001B1BC2">
        <w:rPr>
          <w:rFonts w:eastAsia="Times New Roman"/>
          <w:color w:val="000000"/>
          <w:szCs w:val="22"/>
          <w:lang w:eastAsia="en-US"/>
        </w:rPr>
        <w:t>“</w:t>
      </w:r>
      <w:r w:rsidRPr="000915D9">
        <w:rPr>
          <w:rFonts w:eastAsia="Times New Roman"/>
          <w:bCs/>
          <w:color w:val="000000"/>
          <w:szCs w:val="22"/>
          <w:lang w:val="en-ZA" w:eastAsia="en-US"/>
        </w:rPr>
        <w:t>Cluster C: Technology Transfer, Information and Communication Technologies (ICT) and Access to Knowledge</w:t>
      </w:r>
      <w:r w:rsidR="001B1BC2">
        <w:rPr>
          <w:rFonts w:eastAsia="Times New Roman"/>
          <w:bCs/>
          <w:color w:val="000000"/>
          <w:szCs w:val="22"/>
          <w:lang w:val="en-ZA" w:eastAsia="en-US"/>
        </w:rPr>
        <w:t>”</w:t>
      </w:r>
      <w:r w:rsidRPr="000915D9">
        <w:rPr>
          <w:rFonts w:eastAsia="Times New Roman"/>
          <w:bCs/>
          <w:color w:val="000000"/>
          <w:szCs w:val="22"/>
          <w:lang w:val="en-ZA" w:eastAsia="en-US"/>
        </w:rPr>
        <w:t>.</w:t>
      </w:r>
    </w:p>
    <w:p w:rsidR="000915D9" w:rsidRPr="000915D9" w:rsidRDefault="000915D9" w:rsidP="00347620">
      <w:pPr>
        <w:spacing w:line="276" w:lineRule="auto"/>
        <w:rPr>
          <w:rFonts w:eastAsia="Times New Roman"/>
          <w:color w:val="000000"/>
          <w:szCs w:val="22"/>
          <w:lang w:eastAsia="en-US"/>
        </w:rPr>
      </w:pPr>
    </w:p>
    <w:p w:rsidR="000915D9" w:rsidRPr="000915D9" w:rsidRDefault="000915D9" w:rsidP="00347620">
      <w:pPr>
        <w:numPr>
          <w:ilvl w:val="0"/>
          <w:numId w:val="15"/>
        </w:numPr>
        <w:spacing w:line="276" w:lineRule="auto"/>
        <w:ind w:left="567" w:hanging="567"/>
        <w:rPr>
          <w:rFonts w:eastAsia="Times New Roman"/>
          <w:color w:val="000000"/>
          <w:szCs w:val="22"/>
          <w:lang w:eastAsia="en-US"/>
        </w:rPr>
      </w:pPr>
      <w:r w:rsidRPr="000915D9">
        <w:rPr>
          <w:rFonts w:eastAsia="Times New Roman"/>
          <w:color w:val="000000"/>
          <w:szCs w:val="22"/>
          <w:lang w:eastAsia="en-US"/>
        </w:rPr>
        <w:t xml:space="preserve">As a general </w:t>
      </w:r>
      <w:proofErr w:type="gramStart"/>
      <w:r w:rsidRPr="000915D9">
        <w:rPr>
          <w:rFonts w:eastAsia="Times New Roman"/>
          <w:color w:val="000000"/>
          <w:szCs w:val="22"/>
          <w:lang w:eastAsia="en-US"/>
        </w:rPr>
        <w:t>observation</w:t>
      </w:r>
      <w:proofErr w:type="gramEnd"/>
      <w:r w:rsidRPr="000915D9">
        <w:rPr>
          <w:rFonts w:eastAsia="Times New Roman"/>
          <w:color w:val="000000"/>
          <w:szCs w:val="22"/>
          <w:lang w:eastAsia="en-US"/>
        </w:rPr>
        <w:t xml:space="preserve"> it is noted that, barring recommendation 26, most of the interventions for Cluster C Development Agenda Recommendations are event based.  It would thus be fair to conclude that the </w:t>
      </w:r>
      <w:r w:rsidR="001B1BC2">
        <w:rPr>
          <w:rFonts w:eastAsia="Times New Roman"/>
          <w:color w:val="000000"/>
          <w:szCs w:val="22"/>
          <w:lang w:eastAsia="en-US"/>
        </w:rPr>
        <w:t>“</w:t>
      </w:r>
      <w:r w:rsidRPr="000915D9">
        <w:rPr>
          <w:rFonts w:eastAsia="Times New Roman"/>
          <w:color w:val="000000"/>
          <w:szCs w:val="22"/>
          <w:lang w:eastAsia="en-US"/>
        </w:rPr>
        <w:t>gap</w:t>
      </w:r>
      <w:r w:rsidR="001B1BC2">
        <w:rPr>
          <w:rFonts w:eastAsia="Times New Roman"/>
          <w:color w:val="000000"/>
          <w:szCs w:val="22"/>
          <w:lang w:eastAsia="en-US"/>
        </w:rPr>
        <w:t>”</w:t>
      </w:r>
      <w:r w:rsidRPr="000915D9">
        <w:rPr>
          <w:rFonts w:eastAsia="Times New Roman"/>
          <w:color w:val="000000"/>
          <w:szCs w:val="22"/>
          <w:lang w:eastAsia="en-US"/>
        </w:rPr>
        <w:t xml:space="preserve"> in the services and activities of WIPO in this area do not relate to events but instead relate, including but not limited to, technical assistance, projects, partnerships and compilations.  </w:t>
      </w:r>
    </w:p>
    <w:p w:rsidR="000915D9" w:rsidRPr="000915D9" w:rsidRDefault="000915D9" w:rsidP="00347620">
      <w:pPr>
        <w:spacing w:line="276" w:lineRule="auto"/>
        <w:rPr>
          <w:rFonts w:eastAsia="Times New Roman"/>
          <w:color w:val="000000"/>
          <w:szCs w:val="22"/>
          <w:lang w:eastAsia="en-US"/>
        </w:rPr>
      </w:pPr>
    </w:p>
    <w:p w:rsidR="000915D9" w:rsidRPr="000915D9" w:rsidRDefault="000915D9" w:rsidP="00347620">
      <w:pPr>
        <w:numPr>
          <w:ilvl w:val="0"/>
          <w:numId w:val="15"/>
        </w:numPr>
        <w:spacing w:line="276" w:lineRule="auto"/>
        <w:ind w:left="567" w:hanging="567"/>
        <w:rPr>
          <w:rFonts w:eastAsia="Times New Roman"/>
          <w:color w:val="000000"/>
          <w:szCs w:val="22"/>
          <w:lang w:eastAsia="en-US"/>
        </w:rPr>
      </w:pPr>
      <w:r w:rsidRPr="000915D9">
        <w:rPr>
          <w:rFonts w:eastAsia="Times New Roman"/>
          <w:color w:val="000000"/>
          <w:szCs w:val="22"/>
          <w:lang w:eastAsia="en-US"/>
        </w:rPr>
        <w:t>Of particular importance is the notable absence of capacity development.  In this regard, we remind you of South Africa</w:t>
      </w:r>
      <w:r w:rsidR="001B1BC2">
        <w:rPr>
          <w:rFonts w:eastAsia="Times New Roman"/>
          <w:color w:val="000000"/>
          <w:szCs w:val="22"/>
          <w:lang w:eastAsia="en-US"/>
        </w:rPr>
        <w:t>’</w:t>
      </w:r>
      <w:r w:rsidRPr="000915D9">
        <w:rPr>
          <w:rFonts w:eastAsia="Times New Roman"/>
          <w:color w:val="000000"/>
          <w:szCs w:val="22"/>
          <w:lang w:eastAsia="en-US"/>
        </w:rPr>
        <w:t xml:space="preserve">s position of technical assistance in the absence of capacity development.  Without capacity </w:t>
      </w:r>
      <w:proofErr w:type="gramStart"/>
      <w:r w:rsidRPr="000915D9">
        <w:rPr>
          <w:rFonts w:eastAsia="Times New Roman"/>
          <w:color w:val="000000"/>
          <w:szCs w:val="22"/>
          <w:lang w:eastAsia="en-US"/>
        </w:rPr>
        <w:t>development</w:t>
      </w:r>
      <w:proofErr w:type="gramEnd"/>
      <w:r w:rsidRPr="000915D9">
        <w:rPr>
          <w:rFonts w:eastAsia="Times New Roman"/>
          <w:color w:val="000000"/>
          <w:szCs w:val="22"/>
          <w:lang w:eastAsia="en-US"/>
        </w:rPr>
        <w:t xml:space="preserve"> technical assistance can never be effectively deployed.  An indicator </w:t>
      </w:r>
      <w:proofErr w:type="gramStart"/>
      <w:r w:rsidRPr="000915D9">
        <w:rPr>
          <w:rFonts w:eastAsia="Times New Roman"/>
          <w:color w:val="000000"/>
          <w:szCs w:val="22"/>
          <w:lang w:eastAsia="en-US"/>
        </w:rPr>
        <w:t>has thus been crafted</w:t>
      </w:r>
      <w:proofErr w:type="gramEnd"/>
      <w:r w:rsidRPr="000915D9">
        <w:rPr>
          <w:rFonts w:eastAsia="Times New Roman"/>
          <w:color w:val="000000"/>
          <w:szCs w:val="22"/>
          <w:lang w:eastAsia="en-US"/>
        </w:rPr>
        <w:t xml:space="preserve"> for each recommendation to address capacity development.</w:t>
      </w:r>
    </w:p>
    <w:p w:rsidR="000915D9" w:rsidRDefault="000915D9" w:rsidP="00347620">
      <w:pPr>
        <w:spacing w:after="240" w:line="276" w:lineRule="auto"/>
        <w:rPr>
          <w:rFonts w:eastAsia="Times New Roman"/>
          <w:b/>
          <w:color w:val="3B3B3B"/>
          <w:szCs w:val="22"/>
          <w:lang w:val="en-ZA" w:eastAsia="en-US"/>
        </w:rPr>
      </w:pPr>
    </w:p>
    <w:p w:rsidR="000915D9" w:rsidRPr="000915D9" w:rsidRDefault="000915D9" w:rsidP="00347620">
      <w:pPr>
        <w:spacing w:after="240" w:line="276" w:lineRule="auto"/>
        <w:rPr>
          <w:rFonts w:eastAsia="Times New Roman"/>
          <w:b/>
          <w:color w:val="3B3B3B"/>
          <w:szCs w:val="22"/>
          <w:lang w:val="en-ZA" w:eastAsia="en-US"/>
        </w:rPr>
      </w:pPr>
      <w:r w:rsidRPr="000915D9">
        <w:rPr>
          <w:rFonts w:eastAsia="Times New Roman"/>
          <w:b/>
          <w:color w:val="3B3B3B"/>
          <w:szCs w:val="22"/>
          <w:lang w:val="en-ZA" w:eastAsia="en-US"/>
        </w:rPr>
        <w:t>Recommendation 24:</w:t>
      </w:r>
    </w:p>
    <w:p w:rsidR="000915D9" w:rsidRPr="000915D9" w:rsidRDefault="000915D9" w:rsidP="00347620">
      <w:pPr>
        <w:spacing w:after="240" w:line="276" w:lineRule="auto"/>
        <w:rPr>
          <w:rFonts w:eastAsia="Times New Roman"/>
          <w:color w:val="3B3B3B"/>
          <w:szCs w:val="22"/>
          <w:lang w:val="en-ZA" w:eastAsia="en-US"/>
        </w:rPr>
      </w:pPr>
      <w:r w:rsidRPr="000915D9">
        <w:rPr>
          <w:rFonts w:eastAsia="Times New Roman"/>
          <w:color w:val="3B3B3B"/>
          <w:szCs w:val="22"/>
          <w:lang w:val="en-ZA" w:eastAsia="en-US"/>
        </w:rPr>
        <w:t>To request WIPO, within its mandate, to expand the scope of its activities aimed at bridging the digital divide, in accordance with the outcomes of the World Summit on the Information Society (WSIS)</w:t>
      </w:r>
      <w:r w:rsidRPr="000915D9">
        <w:rPr>
          <w:rFonts w:eastAsia="Times New Roman"/>
          <w:color w:val="3B3B3B"/>
          <w:szCs w:val="22"/>
          <w:vertAlign w:val="superscript"/>
          <w:lang w:val="en-ZA" w:eastAsia="en-US"/>
        </w:rPr>
        <w:footnoteReference w:id="2"/>
      </w:r>
      <w:r w:rsidRPr="000915D9">
        <w:rPr>
          <w:rFonts w:eastAsia="Times New Roman"/>
          <w:color w:val="3B3B3B"/>
          <w:szCs w:val="22"/>
          <w:lang w:val="en-ZA" w:eastAsia="en-US"/>
        </w:rPr>
        <w:t xml:space="preserve"> also taking into account the significance of the Digital Solidarity Fund (DSF).</w:t>
      </w:r>
    </w:p>
    <w:p w:rsidR="000915D9" w:rsidRPr="000915D9" w:rsidRDefault="000915D9" w:rsidP="00347620">
      <w:pPr>
        <w:spacing w:after="240" w:line="276" w:lineRule="auto"/>
        <w:rPr>
          <w:rFonts w:eastAsia="Times New Roman"/>
          <w:color w:val="3B3B3B"/>
          <w:szCs w:val="22"/>
          <w:lang w:val="en-ZA" w:eastAsia="en-US"/>
        </w:rPr>
      </w:pPr>
      <w:r w:rsidRPr="000915D9">
        <w:rPr>
          <w:rFonts w:eastAsia="Times New Roman"/>
          <w:color w:val="3B3B3B"/>
          <w:szCs w:val="22"/>
          <w:lang w:val="en-ZA" w:eastAsia="en-US"/>
        </w:rPr>
        <w:t>Proposed indicator(s):</w:t>
      </w:r>
    </w:p>
    <w:p w:rsidR="000915D9" w:rsidRPr="000915D9" w:rsidRDefault="000915D9" w:rsidP="000915D9">
      <w:pPr>
        <w:numPr>
          <w:ilvl w:val="0"/>
          <w:numId w:val="16"/>
        </w:numPr>
        <w:spacing w:after="240" w:line="276" w:lineRule="auto"/>
        <w:jc w:val="both"/>
        <w:rPr>
          <w:rFonts w:eastAsia="Times New Roman"/>
          <w:color w:val="3B3B3B"/>
          <w:szCs w:val="22"/>
          <w:lang w:val="en-ZA" w:eastAsia="en-US"/>
        </w:rPr>
      </w:pPr>
      <w:r w:rsidRPr="000915D9">
        <w:rPr>
          <w:rFonts w:eastAsia="Times New Roman"/>
          <w:color w:val="3B3B3B"/>
          <w:szCs w:val="22"/>
          <w:lang w:val="en-ZA" w:eastAsia="en-US"/>
        </w:rPr>
        <w:t>No. of capacity development initiatives implemented to bridge the digital divide with respect to the implementation of WIPO Standards (Outcome 4 of WSIS)</w:t>
      </w:r>
    </w:p>
    <w:p w:rsidR="000915D9" w:rsidRPr="000915D9" w:rsidRDefault="000915D9" w:rsidP="00584FE6">
      <w:pPr>
        <w:numPr>
          <w:ilvl w:val="0"/>
          <w:numId w:val="16"/>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lastRenderedPageBreak/>
        <w:t>No. of WIPO standards that cannot be implemented by developing countries and least developed countries due to lack of infrastructure (Outcome 4 of WSIS)</w:t>
      </w:r>
      <w:proofErr w:type="gramStart"/>
      <w:r w:rsidRPr="000915D9">
        <w:rPr>
          <w:rFonts w:eastAsia="Times New Roman"/>
          <w:color w:val="3B3B3B"/>
          <w:szCs w:val="22"/>
          <w:lang w:val="en-ZA" w:eastAsia="en-US"/>
        </w:rPr>
        <w:t>?</w:t>
      </w:r>
      <w:proofErr w:type="gramEnd"/>
    </w:p>
    <w:p w:rsidR="000915D9" w:rsidRPr="000915D9" w:rsidRDefault="000915D9" w:rsidP="00584FE6">
      <w:pPr>
        <w:numPr>
          <w:ilvl w:val="0"/>
          <w:numId w:val="16"/>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No. of ICT-based customisations (specialised resource) of the IP4Youth Teaching program designed to empower the youth with innovation and creativity skills for empowerment and opportunities for economic growth (Outcome 1 and 6).</w:t>
      </w:r>
    </w:p>
    <w:p w:rsidR="000915D9" w:rsidRPr="000915D9" w:rsidRDefault="000915D9" w:rsidP="00584FE6">
      <w:pPr>
        <w:spacing w:after="240" w:line="276" w:lineRule="auto"/>
        <w:rPr>
          <w:rFonts w:eastAsia="Times New Roman"/>
          <w:b/>
          <w:color w:val="3B3B3B"/>
          <w:szCs w:val="22"/>
          <w:lang w:val="en-ZA" w:eastAsia="en-US"/>
        </w:rPr>
      </w:pPr>
    </w:p>
    <w:p w:rsidR="000915D9" w:rsidRPr="000915D9" w:rsidRDefault="000915D9" w:rsidP="00584FE6">
      <w:pPr>
        <w:spacing w:after="240" w:line="276" w:lineRule="auto"/>
        <w:rPr>
          <w:rFonts w:eastAsia="Times New Roman"/>
          <w:b/>
          <w:color w:val="3B3B3B"/>
          <w:szCs w:val="22"/>
          <w:lang w:val="en-ZA" w:eastAsia="en-US"/>
        </w:rPr>
      </w:pPr>
      <w:r w:rsidRPr="000915D9">
        <w:rPr>
          <w:rFonts w:eastAsia="Times New Roman"/>
          <w:b/>
          <w:color w:val="3B3B3B"/>
          <w:szCs w:val="22"/>
          <w:lang w:val="en-ZA" w:eastAsia="en-US"/>
        </w:rPr>
        <w:t>Recommendation 25:</w:t>
      </w:r>
    </w:p>
    <w:p w:rsidR="000915D9" w:rsidRPr="000915D9" w:rsidRDefault="000915D9" w:rsidP="00584FE6">
      <w:pPr>
        <w:spacing w:after="240" w:line="276" w:lineRule="auto"/>
        <w:rPr>
          <w:rFonts w:eastAsia="Times New Roman"/>
          <w:color w:val="3B3B3B"/>
          <w:szCs w:val="22"/>
          <w:lang w:val="en-ZA" w:eastAsia="en-US"/>
        </w:rPr>
      </w:pPr>
      <w:r w:rsidRPr="000915D9">
        <w:rPr>
          <w:rFonts w:eastAsia="Times New Roman"/>
          <w:color w:val="3B3B3B"/>
          <w:szCs w:val="22"/>
          <w:lang w:val="en-ZA" w:eastAsia="en-US"/>
        </w:rPr>
        <w:t>To explore intellectual property -related policies and initiatives necessary to promote the transfer and dissemination of technology, to the benefit of developing countries and to take appropriate measures to enable developing countries to fully understand and benefit from different provisions, pertaining to flexibilities provided for in international agreements, as appropriate.</w:t>
      </w:r>
    </w:p>
    <w:p w:rsidR="000915D9" w:rsidRPr="000915D9" w:rsidRDefault="000915D9" w:rsidP="00584FE6">
      <w:pPr>
        <w:spacing w:after="240" w:line="276" w:lineRule="auto"/>
        <w:rPr>
          <w:rFonts w:eastAsia="Times New Roman"/>
          <w:color w:val="3B3B3B"/>
          <w:szCs w:val="22"/>
          <w:lang w:val="en-ZA" w:eastAsia="en-US"/>
        </w:rPr>
      </w:pPr>
      <w:r w:rsidRPr="000915D9">
        <w:rPr>
          <w:rFonts w:eastAsia="Times New Roman"/>
          <w:color w:val="3B3B3B"/>
          <w:szCs w:val="22"/>
          <w:lang w:val="en-ZA" w:eastAsia="en-US"/>
        </w:rPr>
        <w:t>Proposed indicator(s):</w:t>
      </w:r>
    </w:p>
    <w:p w:rsidR="000915D9" w:rsidRPr="000915D9" w:rsidRDefault="000915D9" w:rsidP="00584FE6">
      <w:pPr>
        <w:numPr>
          <w:ilvl w:val="0"/>
          <w:numId w:val="17"/>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Total no. of capacity development initiatives implemented within a financial year and cumulative to date to assist countries to understand the flexibilities available in international law.</w:t>
      </w:r>
    </w:p>
    <w:p w:rsidR="000915D9" w:rsidRPr="000915D9" w:rsidRDefault="000915D9" w:rsidP="00584FE6">
      <w:pPr>
        <w:numPr>
          <w:ilvl w:val="0"/>
          <w:numId w:val="17"/>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No. of countries which have benefited from technical assistance and capacity development initiatives tailor-made to assist the specific country</w:t>
      </w:r>
      <w:r w:rsidR="001B1BC2">
        <w:rPr>
          <w:rFonts w:eastAsia="Times New Roman"/>
          <w:color w:val="3B3B3B"/>
          <w:szCs w:val="22"/>
          <w:lang w:val="en-ZA" w:eastAsia="en-US"/>
        </w:rPr>
        <w:t>’</w:t>
      </w:r>
      <w:r w:rsidRPr="000915D9">
        <w:rPr>
          <w:rFonts w:eastAsia="Times New Roman"/>
          <w:color w:val="3B3B3B"/>
          <w:szCs w:val="22"/>
          <w:lang w:val="en-ZA" w:eastAsia="en-US"/>
        </w:rPr>
        <w:t>s enhanced understanding of available flexibilities to promote transfer and dissemination of technology.</w:t>
      </w:r>
    </w:p>
    <w:p w:rsidR="000915D9" w:rsidRPr="000915D9" w:rsidRDefault="000915D9" w:rsidP="00584FE6">
      <w:pPr>
        <w:numPr>
          <w:ilvl w:val="0"/>
          <w:numId w:val="17"/>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No. of countries which have incorporated specific flexibilities into their policies following WIPO-mediated technical assistance and capacity develop to facilitate transfer and dissemination of technology.</w:t>
      </w:r>
    </w:p>
    <w:p w:rsidR="000915D9" w:rsidRPr="000915D9" w:rsidRDefault="000915D9" w:rsidP="00584FE6">
      <w:pPr>
        <w:numPr>
          <w:ilvl w:val="0"/>
          <w:numId w:val="17"/>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No. of initiatives focussed on capacity development in understanding technology transfer agreements (often model agreements) and pitfalls negotiation tactics.</w:t>
      </w:r>
    </w:p>
    <w:p w:rsidR="000915D9" w:rsidRPr="000915D9" w:rsidRDefault="000915D9" w:rsidP="00584FE6">
      <w:pPr>
        <w:spacing w:after="240" w:line="276" w:lineRule="auto"/>
        <w:rPr>
          <w:rFonts w:eastAsia="Times New Roman"/>
          <w:b/>
          <w:color w:val="3B3B3B"/>
          <w:szCs w:val="22"/>
          <w:lang w:val="en-ZA" w:eastAsia="en-US"/>
        </w:rPr>
      </w:pPr>
      <w:r w:rsidRPr="000915D9">
        <w:rPr>
          <w:rFonts w:eastAsia="Times New Roman"/>
          <w:color w:val="3B3B3B"/>
          <w:szCs w:val="22"/>
          <w:lang w:val="en-ZA" w:eastAsia="en-US"/>
        </w:rPr>
        <w:br/>
      </w:r>
      <w:r w:rsidRPr="000915D9">
        <w:rPr>
          <w:rFonts w:eastAsia="Times New Roman"/>
          <w:b/>
          <w:color w:val="3B3B3B"/>
          <w:szCs w:val="22"/>
          <w:lang w:val="en-ZA" w:eastAsia="en-US"/>
        </w:rPr>
        <w:t>Recommendation 26:</w:t>
      </w:r>
    </w:p>
    <w:p w:rsidR="000915D9" w:rsidRPr="000915D9" w:rsidRDefault="000915D9" w:rsidP="00584FE6">
      <w:pPr>
        <w:spacing w:after="240" w:line="276" w:lineRule="auto"/>
        <w:rPr>
          <w:rFonts w:eastAsia="Times New Roman"/>
          <w:color w:val="3B3B3B"/>
          <w:szCs w:val="22"/>
          <w:lang w:val="en-ZA" w:eastAsia="en-US"/>
        </w:rPr>
      </w:pPr>
      <w:r w:rsidRPr="000915D9">
        <w:rPr>
          <w:rFonts w:eastAsia="Times New Roman"/>
          <w:color w:val="3B3B3B"/>
          <w:szCs w:val="22"/>
          <w:lang w:val="en-ZA" w:eastAsia="en-US"/>
        </w:rPr>
        <w:t>To encourage Member States, especially developed countries, to urge their research and scientific institutions to enhance cooperation and exchange with research and development institutions in developing countries, especially LDCs.</w:t>
      </w:r>
    </w:p>
    <w:p w:rsidR="000915D9" w:rsidRPr="000915D9" w:rsidRDefault="000915D9" w:rsidP="00584FE6">
      <w:pPr>
        <w:spacing w:after="240" w:line="276" w:lineRule="auto"/>
        <w:rPr>
          <w:rFonts w:eastAsia="Times New Roman"/>
          <w:color w:val="3B3B3B"/>
          <w:szCs w:val="22"/>
          <w:lang w:val="en-ZA" w:eastAsia="en-US"/>
        </w:rPr>
      </w:pPr>
      <w:r w:rsidRPr="000915D9">
        <w:rPr>
          <w:rFonts w:eastAsia="Times New Roman"/>
          <w:color w:val="3B3B3B"/>
          <w:szCs w:val="22"/>
          <w:lang w:val="en-ZA" w:eastAsia="en-US"/>
        </w:rPr>
        <w:t>Proposed indicator(s):</w:t>
      </w:r>
    </w:p>
    <w:p w:rsidR="000915D9" w:rsidRPr="000915D9" w:rsidRDefault="000915D9" w:rsidP="00584FE6">
      <w:pPr>
        <w:numPr>
          <w:ilvl w:val="0"/>
          <w:numId w:val="18"/>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No. of PCT applications where the applicants represent one or more research and development institutions from a developed and a developing country (particularly one or more LDCs).</w:t>
      </w:r>
    </w:p>
    <w:p w:rsidR="000915D9" w:rsidRPr="000915D9" w:rsidRDefault="000915D9" w:rsidP="00584FE6">
      <w:pPr>
        <w:numPr>
          <w:ilvl w:val="0"/>
          <w:numId w:val="18"/>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No. of trainings deployed through TISCs focussed on patent analytics to identify opportunities for collaboration with other countries in areas of research and scientific endeavours.</w:t>
      </w:r>
    </w:p>
    <w:p w:rsidR="000915D9" w:rsidRPr="000915D9" w:rsidRDefault="000915D9" w:rsidP="00584FE6">
      <w:pPr>
        <w:spacing w:after="240" w:line="276" w:lineRule="auto"/>
        <w:rPr>
          <w:rFonts w:eastAsia="Times New Roman"/>
          <w:color w:val="3B3B3B"/>
          <w:szCs w:val="22"/>
          <w:lang w:val="en-ZA" w:eastAsia="en-US"/>
        </w:rPr>
      </w:pPr>
    </w:p>
    <w:p w:rsidR="000915D9" w:rsidRPr="000915D9" w:rsidRDefault="000915D9" w:rsidP="000915D9">
      <w:pPr>
        <w:spacing w:after="240" w:line="276" w:lineRule="auto"/>
        <w:jc w:val="both"/>
        <w:rPr>
          <w:rFonts w:eastAsia="Times New Roman"/>
          <w:b/>
          <w:color w:val="3B3B3B"/>
          <w:szCs w:val="22"/>
          <w:lang w:val="en-ZA" w:eastAsia="en-US"/>
        </w:rPr>
      </w:pPr>
      <w:r w:rsidRPr="000915D9">
        <w:rPr>
          <w:rFonts w:eastAsia="Times New Roman"/>
          <w:b/>
          <w:color w:val="3B3B3B"/>
          <w:szCs w:val="22"/>
          <w:lang w:val="en-ZA" w:eastAsia="en-US"/>
        </w:rPr>
        <w:t xml:space="preserve">Recommendation 27: </w:t>
      </w:r>
    </w:p>
    <w:p w:rsidR="000915D9" w:rsidRPr="000915D9" w:rsidRDefault="000915D9" w:rsidP="00584FE6">
      <w:pPr>
        <w:spacing w:line="276" w:lineRule="auto"/>
        <w:rPr>
          <w:rFonts w:eastAsia="Times New Roman"/>
          <w:color w:val="3B3B3B"/>
          <w:szCs w:val="22"/>
          <w:lang w:val="en-ZA" w:eastAsia="en-US"/>
        </w:rPr>
      </w:pPr>
      <w:proofErr w:type="gramStart"/>
      <w:r w:rsidRPr="000915D9">
        <w:rPr>
          <w:rFonts w:eastAsia="Times New Roman"/>
          <w:color w:val="3B3B3B"/>
          <w:szCs w:val="22"/>
          <w:lang w:val="en-ZA" w:eastAsia="en-US"/>
        </w:rPr>
        <w:t>Facilitating intellectual property -related aspects of ICT for growth and development: Provide for, in an appropriate WIPO body, discussions focused on the importance of intellectual property -related aspects of ICT, and its role in economic and cultural development, with specific attention focused on assisting Member States to identify practical intellectual property -related strategies to use ICT for economic, social and cultural development.</w:t>
      </w:r>
      <w:proofErr w:type="gramEnd"/>
    </w:p>
    <w:p w:rsidR="000915D9" w:rsidRPr="000915D9" w:rsidRDefault="000915D9" w:rsidP="00584FE6">
      <w:pPr>
        <w:spacing w:line="276" w:lineRule="auto"/>
        <w:rPr>
          <w:rFonts w:eastAsia="Times New Roman"/>
          <w:b/>
          <w:color w:val="3B3B3B"/>
          <w:szCs w:val="22"/>
          <w:lang w:val="en-ZA" w:eastAsia="en-US"/>
        </w:rPr>
      </w:pPr>
    </w:p>
    <w:p w:rsidR="000915D9" w:rsidRPr="000915D9" w:rsidRDefault="000915D9" w:rsidP="00584FE6">
      <w:pPr>
        <w:spacing w:line="276" w:lineRule="auto"/>
        <w:rPr>
          <w:rFonts w:eastAsia="Times New Roman"/>
          <w:color w:val="3B3B3B"/>
          <w:szCs w:val="22"/>
          <w:lang w:val="en-ZA" w:eastAsia="en-US"/>
        </w:rPr>
      </w:pPr>
      <w:r w:rsidRPr="000915D9">
        <w:rPr>
          <w:rFonts w:eastAsia="Times New Roman"/>
          <w:color w:val="3B3B3B"/>
          <w:szCs w:val="22"/>
          <w:lang w:val="en-ZA" w:eastAsia="en-US"/>
        </w:rPr>
        <w:t>Proposed indicator(s):</w:t>
      </w:r>
    </w:p>
    <w:p w:rsidR="000915D9" w:rsidRPr="000915D9" w:rsidRDefault="000915D9" w:rsidP="00584FE6">
      <w:pPr>
        <w:spacing w:line="276" w:lineRule="auto"/>
        <w:rPr>
          <w:rFonts w:eastAsia="Times New Roman"/>
          <w:color w:val="3B3B3B"/>
          <w:szCs w:val="22"/>
          <w:lang w:val="en-ZA" w:eastAsia="en-US"/>
        </w:rPr>
      </w:pPr>
    </w:p>
    <w:p w:rsidR="000915D9" w:rsidRPr="000915D9" w:rsidRDefault="000915D9" w:rsidP="00584FE6">
      <w:pPr>
        <w:numPr>
          <w:ilvl w:val="0"/>
          <w:numId w:val="19"/>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No. of practical technical assistance and capacity development initiatives on devising intellectual property strategies/ roadmaps for use of intellectual property and hence deployment of new knowledge for economic and /or social and/or cultural development in developing countries.</w:t>
      </w:r>
    </w:p>
    <w:p w:rsidR="000915D9" w:rsidRPr="000915D9" w:rsidRDefault="000915D9" w:rsidP="00584FE6">
      <w:pPr>
        <w:numPr>
          <w:ilvl w:val="0"/>
          <w:numId w:val="19"/>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No. of PCT applications filed by an applicant from a developing country using the IPC Code G06Q,</w:t>
      </w:r>
      <w:r w:rsidRPr="000915D9">
        <w:rPr>
          <w:rFonts w:eastAsia="Times New Roman"/>
          <w:szCs w:val="22"/>
          <w:lang w:val="en-ZA" w:eastAsia="en-US"/>
        </w:rPr>
        <w:t xml:space="preserve"> </w:t>
      </w:r>
      <w:r w:rsidRPr="000915D9">
        <w:rPr>
          <w:rFonts w:eastAsia="Times New Roman"/>
          <w:color w:val="3B3B3B"/>
          <w:szCs w:val="22"/>
          <w:lang w:val="en-ZA" w:eastAsia="en-US"/>
        </w:rPr>
        <w:t>G06F, H04M, H04B, and H04L.</w:t>
      </w:r>
    </w:p>
    <w:p w:rsidR="000915D9" w:rsidRPr="000915D9" w:rsidRDefault="000915D9" w:rsidP="00584FE6">
      <w:pPr>
        <w:spacing w:after="240" w:line="276" w:lineRule="auto"/>
        <w:rPr>
          <w:rFonts w:eastAsia="Times New Roman"/>
          <w:b/>
          <w:color w:val="3B3B3B"/>
          <w:szCs w:val="22"/>
          <w:lang w:val="en-ZA" w:eastAsia="en-US"/>
        </w:rPr>
      </w:pPr>
      <w:r w:rsidRPr="000915D9">
        <w:rPr>
          <w:rFonts w:eastAsia="Times New Roman"/>
          <w:b/>
          <w:color w:val="3B3B3B"/>
          <w:szCs w:val="22"/>
          <w:lang w:val="en-ZA" w:eastAsia="en-US"/>
        </w:rPr>
        <w:t>Recommendation 28:</w:t>
      </w:r>
    </w:p>
    <w:p w:rsidR="000915D9" w:rsidRPr="000915D9" w:rsidRDefault="000915D9" w:rsidP="00584FE6">
      <w:pPr>
        <w:spacing w:line="276" w:lineRule="auto"/>
        <w:rPr>
          <w:rFonts w:eastAsia="Times New Roman"/>
          <w:color w:val="3B3B3B"/>
          <w:szCs w:val="22"/>
          <w:lang w:val="en-ZA" w:eastAsia="en-US"/>
        </w:rPr>
      </w:pPr>
      <w:r w:rsidRPr="000915D9">
        <w:rPr>
          <w:rFonts w:eastAsia="Times New Roman"/>
          <w:color w:val="3B3B3B"/>
          <w:szCs w:val="22"/>
          <w:lang w:val="en-ZA" w:eastAsia="en-US"/>
        </w:rPr>
        <w:t>To explore supportive intellectual property -related policies and measures Member States, especially developed countries, could adopt for promoting transfer and dissemination of technology to developing countries.</w:t>
      </w:r>
    </w:p>
    <w:p w:rsidR="000915D9" w:rsidRPr="000915D9" w:rsidRDefault="000915D9" w:rsidP="00584FE6">
      <w:pPr>
        <w:spacing w:line="276" w:lineRule="auto"/>
        <w:rPr>
          <w:rFonts w:eastAsia="Times New Roman"/>
          <w:color w:val="3B3B3B"/>
          <w:szCs w:val="22"/>
          <w:lang w:val="en-ZA" w:eastAsia="en-US"/>
        </w:rPr>
      </w:pPr>
    </w:p>
    <w:p w:rsidR="000915D9" w:rsidRPr="000915D9" w:rsidRDefault="000915D9" w:rsidP="00584FE6">
      <w:pPr>
        <w:spacing w:after="240" w:line="276" w:lineRule="auto"/>
        <w:rPr>
          <w:rFonts w:eastAsia="Times New Roman"/>
          <w:color w:val="3B3B3B"/>
          <w:szCs w:val="22"/>
          <w:lang w:val="en-ZA" w:eastAsia="en-US"/>
        </w:rPr>
      </w:pPr>
      <w:r w:rsidRPr="000915D9">
        <w:rPr>
          <w:rFonts w:eastAsia="Times New Roman"/>
          <w:color w:val="3B3B3B"/>
          <w:szCs w:val="22"/>
          <w:lang w:val="en-ZA" w:eastAsia="en-US"/>
        </w:rPr>
        <w:t>Proposed indicator(s):</w:t>
      </w:r>
    </w:p>
    <w:p w:rsidR="000915D9" w:rsidRPr="000915D9" w:rsidRDefault="000915D9" w:rsidP="00584FE6">
      <w:pPr>
        <w:numPr>
          <w:ilvl w:val="0"/>
          <w:numId w:val="20"/>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No. of information sharing sessions for developing countries to indicate to developed countries the bottom up needs to receive and disseminate technology being transferred.</w:t>
      </w:r>
    </w:p>
    <w:p w:rsidR="000915D9" w:rsidRPr="000915D9" w:rsidRDefault="000915D9" w:rsidP="00584FE6">
      <w:pPr>
        <w:numPr>
          <w:ilvl w:val="0"/>
          <w:numId w:val="20"/>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No. of best practice guides developed by WIPO, following the information sharing section, on intellectual property-related policies to be developed and implemented by developing countries to optimally promote transfer and dissemination of technology to developing countries.</w:t>
      </w:r>
    </w:p>
    <w:p w:rsidR="000915D9" w:rsidRPr="000915D9" w:rsidRDefault="000915D9" w:rsidP="00584FE6">
      <w:pPr>
        <w:spacing w:after="240" w:line="276" w:lineRule="auto"/>
        <w:ind w:left="720"/>
        <w:rPr>
          <w:rFonts w:eastAsia="Times New Roman"/>
          <w:color w:val="3B3B3B"/>
          <w:szCs w:val="22"/>
          <w:lang w:val="en-ZA" w:eastAsia="en-US"/>
        </w:rPr>
      </w:pPr>
    </w:p>
    <w:p w:rsidR="000915D9" w:rsidRPr="000915D9" w:rsidRDefault="000915D9" w:rsidP="00584FE6">
      <w:pPr>
        <w:spacing w:after="240" w:line="276" w:lineRule="auto"/>
        <w:rPr>
          <w:rFonts w:eastAsia="Times New Roman"/>
          <w:b/>
          <w:color w:val="3B3B3B"/>
          <w:szCs w:val="22"/>
          <w:lang w:val="en-ZA" w:eastAsia="en-US"/>
        </w:rPr>
      </w:pPr>
      <w:r w:rsidRPr="000915D9">
        <w:rPr>
          <w:rFonts w:eastAsia="Times New Roman"/>
          <w:b/>
          <w:color w:val="3B3B3B"/>
          <w:szCs w:val="22"/>
          <w:lang w:val="en-ZA" w:eastAsia="en-US"/>
        </w:rPr>
        <w:t xml:space="preserve">Recommendation 29: </w:t>
      </w:r>
    </w:p>
    <w:p w:rsidR="000915D9" w:rsidRPr="000915D9" w:rsidRDefault="000915D9" w:rsidP="00584FE6">
      <w:pPr>
        <w:spacing w:line="276" w:lineRule="auto"/>
        <w:rPr>
          <w:rFonts w:eastAsia="Times New Roman"/>
          <w:color w:val="3B3B3B"/>
          <w:szCs w:val="22"/>
          <w:lang w:val="en-ZA" w:eastAsia="en-US"/>
        </w:rPr>
      </w:pPr>
      <w:r w:rsidRPr="000915D9">
        <w:rPr>
          <w:rFonts w:eastAsia="Times New Roman"/>
          <w:color w:val="3B3B3B"/>
          <w:szCs w:val="22"/>
          <w:lang w:val="en-ZA" w:eastAsia="en-US"/>
        </w:rPr>
        <w:t>To include discussions on intellectual property -related technology transfer issues within the mandate of an appropriate WIPO body.</w:t>
      </w:r>
    </w:p>
    <w:p w:rsidR="000915D9" w:rsidRPr="000915D9" w:rsidRDefault="000915D9" w:rsidP="00584FE6">
      <w:pPr>
        <w:spacing w:line="276" w:lineRule="auto"/>
        <w:rPr>
          <w:rFonts w:eastAsia="Times New Roman"/>
          <w:color w:val="3B3B3B"/>
          <w:szCs w:val="22"/>
          <w:lang w:val="en-ZA" w:eastAsia="en-US"/>
        </w:rPr>
      </w:pPr>
    </w:p>
    <w:p w:rsidR="000915D9" w:rsidRPr="000915D9" w:rsidRDefault="000915D9" w:rsidP="00302372">
      <w:pPr>
        <w:keepNext/>
        <w:keepLines/>
        <w:spacing w:after="240" w:line="276" w:lineRule="auto"/>
        <w:rPr>
          <w:rFonts w:eastAsia="Times New Roman"/>
          <w:color w:val="3B3B3B"/>
          <w:szCs w:val="22"/>
          <w:lang w:val="en-ZA" w:eastAsia="en-US"/>
        </w:rPr>
      </w:pPr>
      <w:r w:rsidRPr="000915D9">
        <w:rPr>
          <w:rFonts w:eastAsia="Times New Roman"/>
          <w:color w:val="3B3B3B"/>
          <w:szCs w:val="22"/>
          <w:lang w:val="en-ZA" w:eastAsia="en-US"/>
        </w:rPr>
        <w:lastRenderedPageBreak/>
        <w:t>Proposed indicator(s):</w:t>
      </w:r>
    </w:p>
    <w:p w:rsidR="000915D9" w:rsidRPr="000915D9" w:rsidRDefault="000915D9" w:rsidP="00302372">
      <w:pPr>
        <w:keepNext/>
        <w:keepLines/>
        <w:numPr>
          <w:ilvl w:val="0"/>
          <w:numId w:val="21"/>
        </w:numPr>
        <w:spacing w:after="240" w:line="276" w:lineRule="auto"/>
        <w:ind w:left="714" w:hanging="357"/>
        <w:rPr>
          <w:rFonts w:eastAsia="Times New Roman"/>
          <w:color w:val="3B3B3B"/>
          <w:szCs w:val="22"/>
          <w:lang w:val="en-ZA" w:eastAsia="en-US"/>
        </w:rPr>
      </w:pPr>
      <w:r w:rsidRPr="000915D9">
        <w:rPr>
          <w:rFonts w:eastAsia="Times New Roman"/>
          <w:color w:val="3B3B3B"/>
          <w:szCs w:val="22"/>
          <w:lang w:val="en-ZA" w:eastAsia="en-US"/>
        </w:rPr>
        <w:t>No. of substantive</w:t>
      </w:r>
      <w:r w:rsidRPr="000915D9">
        <w:rPr>
          <w:rFonts w:eastAsia="Times New Roman"/>
          <w:color w:val="3B3B3B"/>
          <w:szCs w:val="22"/>
          <w:vertAlign w:val="superscript"/>
          <w:lang w:val="en-ZA" w:eastAsia="en-US"/>
        </w:rPr>
        <w:footnoteReference w:id="3"/>
      </w:r>
      <w:r w:rsidRPr="000915D9">
        <w:rPr>
          <w:rFonts w:eastAsia="Times New Roman"/>
          <w:color w:val="3B3B3B"/>
          <w:szCs w:val="22"/>
          <w:lang w:val="en-ZA" w:eastAsia="en-US"/>
        </w:rPr>
        <w:t xml:space="preserve"> discussions on the use of intellectual property (all forms) in technology transfer under the agenda item IP and Developing in the CDIP.</w:t>
      </w:r>
    </w:p>
    <w:p w:rsidR="000915D9" w:rsidRPr="000915D9" w:rsidRDefault="000915D9" w:rsidP="00302372">
      <w:pPr>
        <w:numPr>
          <w:ilvl w:val="0"/>
          <w:numId w:val="21"/>
        </w:numPr>
        <w:spacing w:after="240" w:line="276" w:lineRule="auto"/>
        <w:ind w:left="714" w:hanging="357"/>
        <w:rPr>
          <w:rFonts w:eastAsia="Times New Roman"/>
          <w:color w:val="3B3B3B"/>
          <w:szCs w:val="22"/>
          <w:lang w:val="en-ZA" w:eastAsia="en-US"/>
        </w:rPr>
      </w:pPr>
      <w:r w:rsidRPr="000915D9">
        <w:rPr>
          <w:rFonts w:eastAsia="Times New Roman"/>
          <w:color w:val="3B3B3B"/>
          <w:szCs w:val="22"/>
          <w:lang w:val="en-ZA" w:eastAsia="en-US"/>
        </w:rPr>
        <w:t>No. of substantive discussions on the use of patents in technology transfer under the agenda item transfer of technology in the SCP.</w:t>
      </w:r>
    </w:p>
    <w:p w:rsidR="000915D9" w:rsidRPr="000915D9" w:rsidRDefault="000915D9" w:rsidP="00302372">
      <w:pPr>
        <w:numPr>
          <w:ilvl w:val="0"/>
          <w:numId w:val="21"/>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No. of substantive discussions on the use of designs in technology transfer under the agenda item transfer of technology in the SCT.</w:t>
      </w:r>
    </w:p>
    <w:p w:rsidR="000915D9" w:rsidRPr="000915D9" w:rsidRDefault="000915D9" w:rsidP="00302372">
      <w:pPr>
        <w:spacing w:after="240" w:line="276" w:lineRule="auto"/>
        <w:ind w:left="360"/>
        <w:rPr>
          <w:rFonts w:eastAsia="Times New Roman"/>
          <w:color w:val="3B3B3B"/>
          <w:szCs w:val="22"/>
          <w:lang w:val="en-ZA" w:eastAsia="en-US"/>
        </w:rPr>
      </w:pPr>
    </w:p>
    <w:p w:rsidR="000915D9" w:rsidRPr="000915D9" w:rsidRDefault="000915D9" w:rsidP="00302372">
      <w:pPr>
        <w:spacing w:after="240" w:line="276" w:lineRule="auto"/>
        <w:rPr>
          <w:rFonts w:eastAsia="Times New Roman"/>
          <w:b/>
          <w:color w:val="3B3B3B"/>
          <w:szCs w:val="22"/>
          <w:lang w:val="en-ZA" w:eastAsia="en-US"/>
        </w:rPr>
      </w:pPr>
      <w:r w:rsidRPr="000915D9">
        <w:rPr>
          <w:rFonts w:eastAsia="Times New Roman"/>
          <w:b/>
          <w:color w:val="3B3B3B"/>
          <w:szCs w:val="22"/>
          <w:lang w:val="en-ZA" w:eastAsia="en-US"/>
        </w:rPr>
        <w:t>Recommendation 30:</w:t>
      </w:r>
    </w:p>
    <w:p w:rsidR="000915D9" w:rsidRPr="000915D9" w:rsidRDefault="000915D9" w:rsidP="00302372">
      <w:pPr>
        <w:spacing w:after="240" w:line="276" w:lineRule="auto"/>
        <w:rPr>
          <w:rFonts w:eastAsia="Times New Roman"/>
          <w:color w:val="3B3B3B"/>
          <w:szCs w:val="22"/>
          <w:lang w:val="en-ZA" w:eastAsia="en-US"/>
        </w:rPr>
      </w:pPr>
      <w:r w:rsidRPr="000915D9">
        <w:rPr>
          <w:rFonts w:eastAsia="Times New Roman"/>
          <w:color w:val="3B3B3B"/>
          <w:szCs w:val="22"/>
          <w:lang w:val="en-ZA" w:eastAsia="en-US"/>
        </w:rPr>
        <w:t>WIPO should cooperate with other IGOs to provide to developing countries, including LDCs, upon request, advice on how to gain access to and make use of intellectual property-related information on technology, particularly in areas of special interest to the requesting parties.</w:t>
      </w:r>
    </w:p>
    <w:p w:rsidR="000915D9" w:rsidRPr="000915D9" w:rsidRDefault="000915D9" w:rsidP="00302372">
      <w:pPr>
        <w:spacing w:after="240" w:line="276" w:lineRule="auto"/>
        <w:rPr>
          <w:rFonts w:eastAsia="Times New Roman"/>
          <w:color w:val="3B3B3B"/>
          <w:szCs w:val="22"/>
          <w:lang w:val="en-ZA" w:eastAsia="en-US"/>
        </w:rPr>
      </w:pPr>
      <w:r w:rsidRPr="000915D9">
        <w:rPr>
          <w:rFonts w:eastAsia="Times New Roman"/>
          <w:color w:val="3B3B3B"/>
          <w:szCs w:val="22"/>
          <w:lang w:val="en-ZA" w:eastAsia="en-US"/>
        </w:rPr>
        <w:t>Proposed indicator(s):</w:t>
      </w:r>
    </w:p>
    <w:p w:rsidR="000915D9" w:rsidRPr="000915D9" w:rsidRDefault="000915D9" w:rsidP="00302372">
      <w:pPr>
        <w:numPr>
          <w:ilvl w:val="0"/>
          <w:numId w:val="24"/>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No. of commercial companies with IP searching engines who provide preferential access/ reduced cost for developing and/or least developed countries.</w:t>
      </w:r>
    </w:p>
    <w:p w:rsidR="000915D9" w:rsidRDefault="000915D9" w:rsidP="000915D9">
      <w:pPr>
        <w:spacing w:after="240" w:line="276" w:lineRule="auto"/>
        <w:jc w:val="both"/>
        <w:rPr>
          <w:rFonts w:eastAsia="Times New Roman"/>
          <w:b/>
          <w:color w:val="3B3B3B"/>
          <w:szCs w:val="22"/>
          <w:lang w:val="en-ZA" w:eastAsia="en-US"/>
        </w:rPr>
      </w:pPr>
    </w:p>
    <w:p w:rsidR="000915D9" w:rsidRPr="000915D9" w:rsidRDefault="000915D9" w:rsidP="000915D9">
      <w:pPr>
        <w:spacing w:after="240" w:line="276" w:lineRule="auto"/>
        <w:jc w:val="both"/>
        <w:rPr>
          <w:rFonts w:eastAsia="Times New Roman"/>
          <w:b/>
          <w:color w:val="3B3B3B"/>
          <w:szCs w:val="22"/>
          <w:lang w:val="en-ZA" w:eastAsia="en-US"/>
        </w:rPr>
      </w:pPr>
      <w:r w:rsidRPr="000915D9">
        <w:rPr>
          <w:rFonts w:eastAsia="Times New Roman"/>
          <w:b/>
          <w:color w:val="3B3B3B"/>
          <w:szCs w:val="22"/>
          <w:lang w:val="en-ZA" w:eastAsia="en-US"/>
        </w:rPr>
        <w:t>Recommendation 31:</w:t>
      </w:r>
    </w:p>
    <w:p w:rsidR="000915D9" w:rsidRPr="000915D9" w:rsidRDefault="000915D9" w:rsidP="00302372">
      <w:pPr>
        <w:spacing w:after="240" w:line="276" w:lineRule="auto"/>
        <w:rPr>
          <w:rFonts w:eastAsia="Times New Roman"/>
          <w:color w:val="3B3B3B"/>
          <w:szCs w:val="22"/>
          <w:lang w:val="en-ZA" w:eastAsia="en-US"/>
        </w:rPr>
      </w:pPr>
      <w:r w:rsidRPr="000915D9">
        <w:rPr>
          <w:rFonts w:eastAsia="Times New Roman"/>
          <w:color w:val="3B3B3B"/>
          <w:szCs w:val="22"/>
          <w:lang w:val="en-ZA" w:eastAsia="en-US"/>
        </w:rPr>
        <w:t>To undertake initiatives agreed by Member States, which contribute to transfer of technology to developing countries, such as requesting WIPO to facilitate better access to publicly available patent information.</w:t>
      </w:r>
    </w:p>
    <w:p w:rsidR="000915D9" w:rsidRPr="000915D9" w:rsidRDefault="000915D9" w:rsidP="00302372">
      <w:pPr>
        <w:spacing w:after="240" w:line="276" w:lineRule="auto"/>
        <w:rPr>
          <w:rFonts w:eastAsia="Times New Roman"/>
          <w:color w:val="3B3B3B"/>
          <w:szCs w:val="22"/>
          <w:lang w:val="en-ZA" w:eastAsia="en-US"/>
        </w:rPr>
      </w:pPr>
      <w:r w:rsidRPr="000915D9">
        <w:rPr>
          <w:rFonts w:eastAsia="Times New Roman"/>
          <w:color w:val="3B3B3B"/>
          <w:szCs w:val="22"/>
          <w:lang w:val="en-ZA" w:eastAsia="en-US"/>
        </w:rPr>
        <w:t>Proposed indicator(s):</w:t>
      </w:r>
    </w:p>
    <w:p w:rsidR="000915D9" w:rsidRPr="000915D9" w:rsidRDefault="000915D9" w:rsidP="00302372">
      <w:pPr>
        <w:numPr>
          <w:ilvl w:val="0"/>
          <w:numId w:val="23"/>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 xml:space="preserve"> No. of patent pools available in the areas of (</w:t>
      </w:r>
      <w:proofErr w:type="spellStart"/>
      <w:r w:rsidRPr="000915D9">
        <w:rPr>
          <w:rFonts w:eastAsia="Times New Roman"/>
          <w:color w:val="3B3B3B"/>
          <w:szCs w:val="22"/>
          <w:lang w:val="en-ZA" w:eastAsia="en-US"/>
        </w:rPr>
        <w:t>i</w:t>
      </w:r>
      <w:proofErr w:type="spellEnd"/>
      <w:r w:rsidRPr="000915D9">
        <w:rPr>
          <w:rFonts w:eastAsia="Times New Roman"/>
          <w:color w:val="3B3B3B"/>
          <w:szCs w:val="22"/>
          <w:lang w:val="en-ZA" w:eastAsia="en-US"/>
        </w:rPr>
        <w:t>) health; (ii) climate change mitigation technologies; and (iii) water and waste remediation technologies.</w:t>
      </w:r>
    </w:p>
    <w:p w:rsidR="000915D9" w:rsidRPr="000915D9" w:rsidRDefault="000915D9" w:rsidP="00302372">
      <w:pPr>
        <w:numPr>
          <w:ilvl w:val="0"/>
          <w:numId w:val="23"/>
        </w:numPr>
        <w:spacing w:after="240" w:line="276" w:lineRule="auto"/>
        <w:rPr>
          <w:rFonts w:eastAsia="Times New Roman"/>
          <w:color w:val="3B3B3B"/>
          <w:szCs w:val="22"/>
          <w:lang w:val="en-ZA" w:eastAsia="en-US"/>
        </w:rPr>
      </w:pPr>
      <w:r w:rsidRPr="000915D9">
        <w:rPr>
          <w:rFonts w:eastAsia="Times New Roman"/>
          <w:color w:val="3B3B3B"/>
          <w:szCs w:val="22"/>
          <w:lang w:val="en-ZA" w:eastAsia="en-US"/>
        </w:rPr>
        <w:t>No. of capacity development initiatives deployed in the use of information in the public domain.</w:t>
      </w:r>
    </w:p>
    <w:p w:rsidR="000915D9" w:rsidRPr="000915D9" w:rsidRDefault="000915D9" w:rsidP="00302372">
      <w:pPr>
        <w:spacing w:after="240" w:line="276" w:lineRule="auto"/>
        <w:ind w:left="720"/>
        <w:rPr>
          <w:rFonts w:eastAsia="Times New Roman"/>
          <w:color w:val="3B3B3B"/>
          <w:szCs w:val="22"/>
          <w:lang w:val="en-ZA" w:eastAsia="en-US"/>
        </w:rPr>
      </w:pPr>
    </w:p>
    <w:p w:rsidR="000915D9" w:rsidRPr="000915D9" w:rsidRDefault="000915D9" w:rsidP="00302372">
      <w:pPr>
        <w:spacing w:after="240" w:line="276" w:lineRule="auto"/>
        <w:rPr>
          <w:rFonts w:eastAsia="Times New Roman"/>
          <w:b/>
          <w:color w:val="3B3B3B"/>
          <w:szCs w:val="22"/>
          <w:lang w:val="en-ZA" w:eastAsia="en-US"/>
        </w:rPr>
      </w:pPr>
      <w:r w:rsidRPr="000915D9">
        <w:rPr>
          <w:rFonts w:eastAsia="Times New Roman"/>
          <w:b/>
          <w:color w:val="3B3B3B"/>
          <w:szCs w:val="22"/>
          <w:lang w:val="en-ZA" w:eastAsia="en-US"/>
        </w:rPr>
        <w:t xml:space="preserve">Recommendation 32: </w:t>
      </w:r>
    </w:p>
    <w:p w:rsidR="000915D9" w:rsidRPr="000915D9" w:rsidRDefault="000915D9" w:rsidP="00302372">
      <w:pPr>
        <w:spacing w:after="240" w:line="276" w:lineRule="auto"/>
        <w:rPr>
          <w:rFonts w:eastAsia="Times New Roman"/>
          <w:color w:val="3B3B3B"/>
          <w:szCs w:val="22"/>
          <w:lang w:val="en-ZA" w:eastAsia="en-US"/>
        </w:rPr>
      </w:pPr>
      <w:r w:rsidRPr="000915D9">
        <w:rPr>
          <w:rFonts w:eastAsia="Times New Roman"/>
          <w:color w:val="3B3B3B"/>
          <w:szCs w:val="22"/>
          <w:lang w:val="en-ZA" w:eastAsia="en-US"/>
        </w:rPr>
        <w:t xml:space="preserve">To have </w:t>
      </w:r>
      <w:r w:rsidRPr="000915D9">
        <w:rPr>
          <w:rFonts w:eastAsia="Times New Roman"/>
          <w:color w:val="3B3B3B"/>
          <w:szCs w:val="22"/>
          <w:u w:val="single"/>
          <w:lang w:val="en-ZA" w:eastAsia="en-US"/>
        </w:rPr>
        <w:t>within WIPO</w:t>
      </w:r>
      <w:r w:rsidRPr="000915D9">
        <w:rPr>
          <w:rFonts w:eastAsia="Times New Roman"/>
          <w:color w:val="3B3B3B"/>
          <w:szCs w:val="22"/>
          <w:lang w:val="en-ZA" w:eastAsia="en-US"/>
        </w:rPr>
        <w:t xml:space="preserve"> opportunity for exchange of national and regional experiences and information on the links between IPRs and competition policies.</w:t>
      </w:r>
    </w:p>
    <w:p w:rsidR="000915D9" w:rsidRPr="000915D9" w:rsidRDefault="000915D9" w:rsidP="000915D9">
      <w:pPr>
        <w:spacing w:line="276" w:lineRule="auto"/>
        <w:jc w:val="both"/>
        <w:rPr>
          <w:rFonts w:eastAsia="Calibri"/>
          <w:color w:val="000000"/>
          <w:szCs w:val="22"/>
          <w:lang w:eastAsia="en-US"/>
        </w:rPr>
      </w:pPr>
    </w:p>
    <w:p w:rsidR="000915D9" w:rsidRPr="000915D9" w:rsidRDefault="000915D9" w:rsidP="000915D9">
      <w:pPr>
        <w:spacing w:after="240" w:line="276" w:lineRule="auto"/>
        <w:jc w:val="both"/>
        <w:rPr>
          <w:rFonts w:eastAsia="Times New Roman"/>
          <w:color w:val="3B3B3B"/>
          <w:szCs w:val="22"/>
          <w:lang w:val="en-ZA" w:eastAsia="en-US"/>
        </w:rPr>
      </w:pPr>
      <w:r w:rsidRPr="000915D9">
        <w:rPr>
          <w:rFonts w:eastAsia="Times New Roman"/>
          <w:color w:val="3B3B3B"/>
          <w:szCs w:val="22"/>
          <w:lang w:val="en-ZA" w:eastAsia="en-US"/>
        </w:rPr>
        <w:lastRenderedPageBreak/>
        <w:t>Proposed indicator(s):</w:t>
      </w:r>
    </w:p>
    <w:p w:rsidR="000915D9" w:rsidRPr="000915D9" w:rsidRDefault="000915D9" w:rsidP="00302372">
      <w:pPr>
        <w:numPr>
          <w:ilvl w:val="0"/>
          <w:numId w:val="22"/>
        </w:numPr>
        <w:spacing w:before="100" w:beforeAutospacing="1" w:after="240" w:line="276" w:lineRule="auto"/>
        <w:rPr>
          <w:rFonts w:eastAsia="Times New Roman"/>
          <w:color w:val="000000"/>
          <w:szCs w:val="22"/>
          <w:lang w:eastAsia="en-US"/>
        </w:rPr>
      </w:pPr>
      <w:r w:rsidRPr="000915D9">
        <w:rPr>
          <w:rFonts w:eastAsia="Times New Roman"/>
          <w:color w:val="000000"/>
          <w:szCs w:val="22"/>
          <w:lang w:eastAsia="en-US"/>
        </w:rPr>
        <w:t xml:space="preserve">No. of biennial conferences / roundtable discussions for exchange and </w:t>
      </w:r>
      <w:r w:rsidRPr="000915D9">
        <w:rPr>
          <w:rFonts w:eastAsia="Times New Roman"/>
          <w:color w:val="3B3B3B"/>
          <w:szCs w:val="22"/>
          <w:lang w:val="en-ZA" w:eastAsia="en-US"/>
        </w:rPr>
        <w:t>information of IPRs and competition policies.</w:t>
      </w:r>
    </w:p>
    <w:p w:rsidR="000915D9" w:rsidRPr="000915D9" w:rsidRDefault="000915D9" w:rsidP="00302372">
      <w:pPr>
        <w:numPr>
          <w:ilvl w:val="0"/>
          <w:numId w:val="22"/>
        </w:numPr>
        <w:spacing w:before="100" w:beforeAutospacing="1" w:after="240" w:line="276" w:lineRule="auto"/>
        <w:rPr>
          <w:rFonts w:eastAsia="Times New Roman"/>
          <w:color w:val="000000"/>
          <w:szCs w:val="22"/>
          <w:lang w:eastAsia="en-US"/>
        </w:rPr>
      </w:pPr>
      <w:r w:rsidRPr="000915D9">
        <w:rPr>
          <w:rFonts w:eastAsia="Times New Roman"/>
          <w:color w:val="000000"/>
          <w:szCs w:val="22"/>
          <w:lang w:eastAsia="en-US"/>
        </w:rPr>
        <w:t xml:space="preserve">No. of case studies/ compendiums developed articulating pitfalls and challenges experienced in negotiating around IPRs and competition policies. </w:t>
      </w:r>
    </w:p>
    <w:p w:rsidR="000915D9" w:rsidRDefault="000915D9" w:rsidP="00302372">
      <w:pPr>
        <w:numPr>
          <w:ilvl w:val="0"/>
          <w:numId w:val="22"/>
        </w:numPr>
        <w:spacing w:before="100" w:beforeAutospacing="1" w:after="240" w:line="276" w:lineRule="auto"/>
        <w:rPr>
          <w:rFonts w:eastAsia="Times New Roman"/>
          <w:color w:val="000000"/>
          <w:szCs w:val="22"/>
          <w:lang w:eastAsia="en-US"/>
        </w:rPr>
      </w:pPr>
      <w:r w:rsidRPr="000915D9">
        <w:rPr>
          <w:rFonts w:eastAsia="Times New Roman"/>
          <w:color w:val="000000"/>
          <w:szCs w:val="22"/>
          <w:lang w:eastAsia="en-US"/>
        </w:rPr>
        <w:t>No. of country-specific annexures detailing the interface between IPR and competition policies.</w:t>
      </w:r>
    </w:p>
    <w:p w:rsidR="00302372" w:rsidRDefault="00302372" w:rsidP="00302372">
      <w:pPr>
        <w:rPr>
          <w:rFonts w:eastAsia="Times New Roman"/>
          <w:color w:val="000000"/>
          <w:szCs w:val="22"/>
          <w:lang w:eastAsia="en-US"/>
        </w:rPr>
      </w:pPr>
    </w:p>
    <w:p w:rsidR="00302372" w:rsidRDefault="00302372" w:rsidP="00302372">
      <w:pPr>
        <w:rPr>
          <w:rFonts w:eastAsia="Times New Roman"/>
          <w:color w:val="000000"/>
          <w:szCs w:val="22"/>
          <w:lang w:eastAsia="en-US"/>
        </w:rPr>
      </w:pPr>
    </w:p>
    <w:p w:rsidR="00302372" w:rsidRPr="000915D9" w:rsidRDefault="00302372" w:rsidP="00302372">
      <w:pPr>
        <w:rPr>
          <w:rFonts w:eastAsia="Times New Roman"/>
          <w:color w:val="000000"/>
          <w:szCs w:val="22"/>
          <w:lang w:eastAsia="en-US"/>
        </w:rPr>
      </w:pPr>
    </w:p>
    <w:p w:rsidR="000915D9" w:rsidRPr="00783725" w:rsidRDefault="000915D9" w:rsidP="00302372">
      <w:pPr>
        <w:pStyle w:val="Endofdocument-Annex"/>
        <w:rPr>
          <w:b/>
        </w:rPr>
      </w:pPr>
      <w:r>
        <w:t>[E</w:t>
      </w:r>
      <w:r w:rsidRPr="00783725">
        <w:t xml:space="preserve">nd of </w:t>
      </w:r>
      <w:r>
        <w:t>A</w:t>
      </w:r>
      <w:r w:rsidRPr="00783725">
        <w:t xml:space="preserve">nnex </w:t>
      </w:r>
      <w:r w:rsidR="00302372" w:rsidRPr="00302372">
        <w:rPr>
          <w:bCs/>
          <w:caps/>
        </w:rPr>
        <w:t>III</w:t>
      </w:r>
      <w:r w:rsidR="00302372">
        <w:rPr>
          <w:b/>
          <w:caps/>
        </w:rPr>
        <w:t xml:space="preserve"> </w:t>
      </w:r>
      <w:r>
        <w:t>and of document</w:t>
      </w:r>
      <w:r w:rsidRPr="00783725">
        <w:t>]</w:t>
      </w:r>
    </w:p>
    <w:p w:rsidR="003D09A1" w:rsidRPr="000915D9" w:rsidRDefault="003D09A1">
      <w:pPr>
        <w:pStyle w:val="Heading1"/>
        <w:rPr>
          <w:szCs w:val="22"/>
          <w:lang w:val="en-ZA"/>
        </w:rPr>
      </w:pPr>
    </w:p>
    <w:sectPr w:rsidR="003D09A1" w:rsidRPr="000915D9" w:rsidSect="00915D05">
      <w:head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F0F5E" w:rsidRDefault="001F0F5E">
      <w:r>
        <w:separator/>
      </w:r>
    </w:p>
  </w:endnote>
  <w:endnote w:type="continuationSeparator" w:id="0">
    <w:p w:rsidR="001F0F5E" w:rsidRDefault="001F0F5E" w:rsidP="003B38C1">
      <w:r>
        <w:separator/>
      </w:r>
    </w:p>
    <w:p w:rsidR="001F0F5E" w:rsidRPr="003B38C1" w:rsidRDefault="001F0F5E" w:rsidP="003B38C1">
      <w:pPr>
        <w:spacing w:after="60"/>
        <w:rPr>
          <w:sz w:val="17"/>
        </w:rPr>
      </w:pPr>
      <w:r>
        <w:rPr>
          <w:sz w:val="17"/>
        </w:rPr>
        <w:t>[Endnote continued from previous page]</w:t>
      </w:r>
    </w:p>
  </w:endnote>
  <w:endnote w:type="continuationNotice" w:id="1">
    <w:p w:rsidR="001F0F5E" w:rsidRPr="003B38C1" w:rsidRDefault="001F0F5E"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E9" w:rsidRDefault="00657E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290" w:rsidRDefault="00CB729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290" w:rsidRDefault="00CB7290">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9EC" w:rsidRDefault="005859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F0F5E" w:rsidRDefault="001F0F5E">
      <w:r>
        <w:separator/>
      </w:r>
    </w:p>
  </w:footnote>
  <w:footnote w:type="continuationSeparator" w:id="0">
    <w:p w:rsidR="001F0F5E" w:rsidRDefault="001F0F5E" w:rsidP="008B60B2">
      <w:r>
        <w:separator/>
      </w:r>
    </w:p>
    <w:p w:rsidR="001F0F5E" w:rsidRPr="00ED77FB" w:rsidRDefault="001F0F5E" w:rsidP="008B60B2">
      <w:pPr>
        <w:spacing w:after="60"/>
        <w:rPr>
          <w:sz w:val="17"/>
          <w:szCs w:val="17"/>
        </w:rPr>
      </w:pPr>
      <w:r w:rsidRPr="00ED77FB">
        <w:rPr>
          <w:sz w:val="17"/>
          <w:szCs w:val="17"/>
        </w:rPr>
        <w:t>[Footnote continued from previous page]</w:t>
      </w:r>
    </w:p>
  </w:footnote>
  <w:footnote w:type="continuationNotice" w:id="1">
    <w:p w:rsidR="001F0F5E" w:rsidRPr="00ED77FB" w:rsidRDefault="001F0F5E" w:rsidP="008B60B2">
      <w:pPr>
        <w:spacing w:before="60"/>
        <w:jc w:val="right"/>
        <w:rPr>
          <w:sz w:val="17"/>
          <w:szCs w:val="17"/>
        </w:rPr>
      </w:pPr>
      <w:r w:rsidRPr="00ED77FB">
        <w:rPr>
          <w:sz w:val="17"/>
          <w:szCs w:val="17"/>
        </w:rPr>
        <w:t>[Footnote continued on next page]</w:t>
      </w:r>
    </w:p>
  </w:footnote>
  <w:footnote w:id="2">
    <w:p w:rsidR="000915D9" w:rsidRDefault="000915D9" w:rsidP="000915D9">
      <w:pPr>
        <w:pStyle w:val="NormalWeb"/>
        <w:jc w:val="both"/>
        <w:rPr>
          <w:rFonts w:ascii="Arial" w:hAnsi="Arial" w:cs="Arial"/>
          <w:sz w:val="18"/>
          <w:szCs w:val="18"/>
        </w:rPr>
      </w:pPr>
      <w:r w:rsidRPr="00A1510E">
        <w:rPr>
          <w:rStyle w:val="FootnoteReference"/>
          <w:rFonts w:ascii="Arial" w:hAnsi="Arial" w:cs="Arial"/>
          <w:sz w:val="18"/>
          <w:szCs w:val="18"/>
        </w:rPr>
        <w:footnoteRef/>
      </w:r>
      <w:r w:rsidRPr="00A1510E">
        <w:rPr>
          <w:rFonts w:ascii="Arial" w:hAnsi="Arial" w:cs="Arial"/>
          <w:sz w:val="18"/>
          <w:szCs w:val="18"/>
        </w:rPr>
        <w:t xml:space="preserve"> </w:t>
      </w:r>
      <w:r>
        <w:rPr>
          <w:rFonts w:ascii="Arial" w:hAnsi="Arial" w:cs="Arial"/>
          <w:sz w:val="18"/>
          <w:szCs w:val="18"/>
        </w:rPr>
        <w:t>Excerpt from the o</w:t>
      </w:r>
      <w:r w:rsidRPr="00A1510E">
        <w:rPr>
          <w:rFonts w:ascii="Arial" w:hAnsi="Arial" w:cs="Arial"/>
          <w:sz w:val="18"/>
          <w:szCs w:val="18"/>
        </w:rPr>
        <w:t xml:space="preserve">utcomes are as follows:  </w:t>
      </w:r>
    </w:p>
    <w:p w:rsidR="000915D9" w:rsidRDefault="000915D9" w:rsidP="00584FE6">
      <w:pPr>
        <w:pStyle w:val="NormalWeb"/>
        <w:rPr>
          <w:rFonts w:ascii="Arial" w:hAnsi="Arial" w:cs="Arial"/>
          <w:color w:val="0C3F00"/>
          <w:sz w:val="18"/>
          <w:szCs w:val="18"/>
        </w:rPr>
      </w:pPr>
      <w:r>
        <w:rPr>
          <w:rFonts w:ascii="Arial" w:hAnsi="Arial" w:cs="Arial"/>
          <w:sz w:val="18"/>
          <w:szCs w:val="18"/>
        </w:rPr>
        <w:t>O</w:t>
      </w:r>
      <w:r w:rsidRPr="00A1510E">
        <w:rPr>
          <w:rFonts w:ascii="Arial" w:hAnsi="Arial" w:cs="Arial"/>
          <w:sz w:val="18"/>
          <w:szCs w:val="18"/>
        </w:rPr>
        <w:t>utcome 3 -</w:t>
      </w:r>
      <w:r w:rsidRPr="00A1510E">
        <w:rPr>
          <w:rFonts w:ascii="Arial" w:hAnsi="Arial" w:cs="Arial"/>
          <w:color w:val="0C3F00"/>
          <w:sz w:val="18"/>
          <w:szCs w:val="18"/>
        </w:rPr>
        <w:t xml:space="preserve"> To this end, we should mainstream a gender equality perspective and use ICTs as a tool to that end</w:t>
      </w:r>
      <w:r>
        <w:rPr>
          <w:rFonts w:ascii="Arial" w:hAnsi="Arial" w:cs="Arial"/>
          <w:color w:val="0C3F00"/>
          <w:sz w:val="18"/>
          <w:szCs w:val="18"/>
        </w:rPr>
        <w:t>;</w:t>
      </w:r>
    </w:p>
    <w:p w:rsidR="000915D9" w:rsidRDefault="000915D9" w:rsidP="00584FE6">
      <w:pPr>
        <w:pStyle w:val="NormalWeb"/>
        <w:rPr>
          <w:rFonts w:ascii="Arial" w:hAnsi="Arial" w:cs="Arial"/>
          <w:color w:val="0C3F00"/>
          <w:sz w:val="18"/>
          <w:szCs w:val="18"/>
        </w:rPr>
      </w:pPr>
      <w:r w:rsidRPr="00893EE7">
        <w:rPr>
          <w:rFonts w:ascii="Arial" w:hAnsi="Arial" w:cs="Arial"/>
          <w:color w:val="0C3F00"/>
          <w:sz w:val="18"/>
          <w:szCs w:val="18"/>
        </w:rPr>
        <w:t>Outcome 4 - We recognize and acknowledge that challenges on bridging the digital divide still remain unaddressed adequately and requires sustainable investments in ICT infrastructure and services, capacity building, facilitate know-how transfer, as well as to promote the transfer of tech</w:t>
      </w:r>
      <w:r>
        <w:rPr>
          <w:rFonts w:ascii="Arial" w:hAnsi="Arial" w:cs="Arial"/>
          <w:color w:val="0C3F00"/>
          <w:sz w:val="18"/>
          <w:szCs w:val="18"/>
        </w:rPr>
        <w:t>nology on mutually agreed terms.</w:t>
      </w:r>
    </w:p>
    <w:p w:rsidR="000915D9" w:rsidRPr="00893EE7" w:rsidRDefault="000915D9" w:rsidP="00584FE6">
      <w:pPr>
        <w:pStyle w:val="NormalWeb"/>
        <w:rPr>
          <w:rFonts w:ascii="Arial" w:hAnsi="Arial" w:cs="Arial"/>
          <w:color w:val="0C3F00"/>
          <w:sz w:val="18"/>
          <w:szCs w:val="18"/>
        </w:rPr>
      </w:pPr>
      <w:r w:rsidRPr="00893EE7">
        <w:rPr>
          <w:rFonts w:ascii="Arial" w:hAnsi="Arial" w:cs="Arial"/>
          <w:color w:val="0C3F00"/>
          <w:sz w:val="18"/>
          <w:szCs w:val="18"/>
        </w:rPr>
        <w:t xml:space="preserve">Outcome 6 - ICTs should be fully recognized as tools empowering people, and providing economic growth towards achieving development, taking into account the growing importance of relevant content, skills and an enabling environment </w:t>
      </w:r>
    </w:p>
    <w:p w:rsidR="000915D9" w:rsidRPr="00893EE7" w:rsidRDefault="000915D9" w:rsidP="00584FE6">
      <w:pPr>
        <w:pStyle w:val="NormalWeb"/>
        <w:rPr>
          <w:rFonts w:ascii="Arial" w:hAnsi="Arial" w:cs="Arial"/>
          <w:color w:val="0C3F00"/>
          <w:sz w:val="18"/>
          <w:szCs w:val="18"/>
        </w:rPr>
      </w:pPr>
    </w:p>
  </w:footnote>
  <w:footnote w:id="3">
    <w:p w:rsidR="000915D9" w:rsidRPr="003E624E" w:rsidRDefault="000915D9" w:rsidP="000915D9">
      <w:pPr>
        <w:pStyle w:val="FootnoteText"/>
        <w:jc w:val="both"/>
        <w:rPr>
          <w:szCs w:val="18"/>
        </w:rPr>
      </w:pPr>
      <w:r w:rsidRPr="003E624E">
        <w:rPr>
          <w:rStyle w:val="FootnoteReference"/>
          <w:szCs w:val="18"/>
        </w:rPr>
        <w:footnoteRef/>
      </w:r>
      <w:r w:rsidRPr="003E624E">
        <w:rPr>
          <w:szCs w:val="18"/>
        </w:rPr>
        <w:t xml:space="preserve"> Based on the recommendations of specific projects already completed within the CDIP or case studies of IP-related technology transfer experiences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C4E49" w:rsidRDefault="00996BC6" w:rsidP="00477D6B">
    <w:pPr>
      <w:jc w:val="right"/>
    </w:pPr>
    <w:bookmarkStart w:id="5" w:name="Code2"/>
    <w:bookmarkEnd w:id="5"/>
    <w:r>
      <w:t>CDIP/18/4</w:t>
    </w:r>
  </w:p>
  <w:p w:rsidR="00EC4E49" w:rsidRDefault="00657EE9" w:rsidP="00477D6B">
    <w:pPr>
      <w:jc w:val="right"/>
    </w:pPr>
    <w:r>
      <w:t xml:space="preserve">Annex I, </w:t>
    </w:r>
    <w:r w:rsidR="00EC4E49">
      <w:t xml:space="preserve">page </w:t>
    </w:r>
    <w:r w:rsidR="00EC4E49">
      <w:fldChar w:fldCharType="begin"/>
    </w:r>
    <w:r w:rsidR="00EC4E49">
      <w:instrText xml:space="preserve"> PAGE  \* MERGEFORMAT </w:instrText>
    </w:r>
    <w:r w:rsidR="00EC4E49">
      <w:fldChar w:fldCharType="separate"/>
    </w:r>
    <w:r w:rsidR="00680D6F">
      <w:rPr>
        <w:noProof/>
      </w:rPr>
      <w:t>5</w:t>
    </w:r>
    <w:r w:rsidR="00EC4E49">
      <w:fldChar w:fldCharType="end"/>
    </w:r>
  </w:p>
  <w:p w:rsidR="00EC4E49" w:rsidRDefault="00EC4E49" w:rsidP="00477D6B">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E9" w:rsidRDefault="00252823" w:rsidP="00477D6B">
    <w:pPr>
      <w:jc w:val="right"/>
    </w:pPr>
    <w:r>
      <w:t>CDIP/2</w:t>
    </w:r>
    <w:r w:rsidR="009C0248">
      <w:t>2</w:t>
    </w:r>
    <w:r>
      <w:t>/</w:t>
    </w:r>
    <w:r w:rsidR="009C0248">
      <w:t>4</w:t>
    </w:r>
  </w:p>
  <w:p w:rsidR="00657EE9" w:rsidRDefault="00CB7290" w:rsidP="00CB7290">
    <w:pPr>
      <w:jc w:val="right"/>
    </w:pPr>
    <w:r>
      <w:t>Appendix</w:t>
    </w:r>
    <w:r w:rsidR="00ED0E6E">
      <w:t xml:space="preserve"> I</w:t>
    </w:r>
    <w:r w:rsidR="00657EE9">
      <w:t xml:space="preserve">, page </w:t>
    </w:r>
    <w:r w:rsidR="00657EE9">
      <w:fldChar w:fldCharType="begin"/>
    </w:r>
    <w:r w:rsidR="00657EE9">
      <w:instrText xml:space="preserve"> PAGE  \* MERGEFORMAT </w:instrText>
    </w:r>
    <w:r w:rsidR="00657EE9">
      <w:fldChar w:fldCharType="separate"/>
    </w:r>
    <w:r w:rsidR="00680D6F">
      <w:rPr>
        <w:noProof/>
      </w:rPr>
      <w:t>5</w:t>
    </w:r>
    <w:r w:rsidR="00657EE9">
      <w:fldChar w:fldCharType="end"/>
    </w:r>
  </w:p>
  <w:p w:rsidR="00657EE9" w:rsidRDefault="00657EE9" w:rsidP="00477D6B">
    <w:pPr>
      <w:jc w:val="right"/>
    </w:pPr>
  </w:p>
  <w:p w:rsidR="00E87EB9" w:rsidRDefault="00E87EB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7EE9" w:rsidRDefault="00927250" w:rsidP="00657EE9">
    <w:pPr>
      <w:pStyle w:val="Header"/>
      <w:jc w:val="right"/>
    </w:pPr>
    <w:r>
      <w:t>CDIP/22</w:t>
    </w:r>
    <w:r w:rsidR="00657EE9">
      <w:t>/</w:t>
    </w:r>
    <w:r w:rsidR="00BF7F01">
      <w:t>7</w:t>
    </w:r>
  </w:p>
  <w:p w:rsidR="00657EE9" w:rsidRDefault="00CB7290" w:rsidP="00CB7290">
    <w:pPr>
      <w:pStyle w:val="Header"/>
      <w:jc w:val="right"/>
    </w:pPr>
    <w:r>
      <w:t>ANNEX</w:t>
    </w:r>
    <w:r w:rsidR="00ED0E6E">
      <w:t xml:space="preserve"> I</w:t>
    </w:r>
  </w:p>
  <w:p w:rsidR="006B6E7E" w:rsidRDefault="006B6E7E" w:rsidP="006B6E7E">
    <w:pPr>
      <w:pStyle w:val="Header"/>
      <w:jc w:val="right"/>
    </w:pPr>
  </w:p>
  <w:p w:rsidR="00657EE9" w:rsidRDefault="00657EE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290" w:rsidRDefault="00CB7290" w:rsidP="00EC733C">
    <w:pPr>
      <w:jc w:val="right"/>
    </w:pPr>
    <w:r>
      <w:t>CDIP/22/</w:t>
    </w:r>
    <w:r w:rsidR="00EC733C">
      <w:t>7</w:t>
    </w:r>
  </w:p>
  <w:p w:rsidR="00CB7290" w:rsidRDefault="00CB7290" w:rsidP="00CB7290">
    <w:pPr>
      <w:jc w:val="right"/>
    </w:pPr>
    <w:r>
      <w:t xml:space="preserve">Appendix I, page </w:t>
    </w:r>
    <w:r>
      <w:fldChar w:fldCharType="begin"/>
    </w:r>
    <w:r>
      <w:instrText xml:space="preserve"> PAGE  \* MERGEFORMAT </w:instrText>
    </w:r>
    <w:r>
      <w:fldChar w:fldCharType="separate"/>
    </w:r>
    <w:r w:rsidR="00EC733C">
      <w:rPr>
        <w:noProof/>
      </w:rPr>
      <w:t>5</w:t>
    </w:r>
    <w:r>
      <w:fldChar w:fldCharType="end"/>
    </w:r>
  </w:p>
  <w:p w:rsidR="00CB7290" w:rsidRDefault="00CB7290" w:rsidP="00477D6B">
    <w:pPr>
      <w:jc w:val="right"/>
    </w:pPr>
  </w:p>
  <w:p w:rsidR="00CB7290" w:rsidRDefault="00CB7290"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7290" w:rsidRDefault="00CB7290" w:rsidP="00657EE9">
    <w:pPr>
      <w:pStyle w:val="Header"/>
      <w:jc w:val="right"/>
    </w:pPr>
    <w:r>
      <w:t>CDIP/22/7</w:t>
    </w:r>
  </w:p>
  <w:p w:rsidR="00CB7290" w:rsidRDefault="00CB7290" w:rsidP="006B6E7E">
    <w:pPr>
      <w:pStyle w:val="Header"/>
      <w:jc w:val="right"/>
    </w:pPr>
    <w:r>
      <w:t>APPENDIX I</w:t>
    </w:r>
  </w:p>
  <w:p w:rsidR="00CB7290" w:rsidRDefault="00CB7290" w:rsidP="006B6E7E">
    <w:pPr>
      <w:pStyle w:val="Header"/>
      <w:jc w:val="right"/>
    </w:pPr>
  </w:p>
  <w:p w:rsidR="00CB7290" w:rsidRDefault="00CB72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C0" w:rsidRDefault="00EC733C" w:rsidP="00477D6B">
    <w:pPr>
      <w:jc w:val="right"/>
    </w:pPr>
    <w:r>
      <w:t>CDIP/22/7</w:t>
    </w:r>
  </w:p>
  <w:p w:rsidR="005A7EC0" w:rsidRDefault="002C15D4" w:rsidP="00477D6B">
    <w:pPr>
      <w:jc w:val="right"/>
    </w:pPr>
    <w:r>
      <w:t>Annex II</w:t>
    </w:r>
    <w:r w:rsidR="005A7EC0">
      <w:t xml:space="preserve">, page </w:t>
    </w:r>
    <w:r w:rsidR="00432E03">
      <w:t>2</w:t>
    </w:r>
  </w:p>
  <w:p w:rsidR="005A7EC0" w:rsidRDefault="005A7EC0" w:rsidP="00477D6B">
    <w:pPr>
      <w:jc w:val="right"/>
    </w:pPr>
  </w:p>
  <w:p w:rsidR="005A7EC0" w:rsidRDefault="005A7EC0" w:rsidP="00477D6B">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A7EC0" w:rsidRDefault="005A7EC0" w:rsidP="00D10829">
    <w:pPr>
      <w:pStyle w:val="Header"/>
    </w:pPr>
  </w:p>
  <w:p w:rsidR="003D09A1" w:rsidRDefault="003D09A1" w:rsidP="003D09A1">
    <w:pPr>
      <w:pStyle w:val="Header"/>
      <w:jc w:val="right"/>
    </w:pPr>
    <w:r>
      <w:t>CDIP/22/7</w:t>
    </w:r>
  </w:p>
  <w:p w:rsidR="003D09A1" w:rsidRDefault="003D09A1" w:rsidP="003D09A1">
    <w:pPr>
      <w:pStyle w:val="Header"/>
      <w:jc w:val="right"/>
    </w:pPr>
    <w:r>
      <w:t>ANNEX II</w:t>
    </w:r>
  </w:p>
  <w:p w:rsidR="003D09A1" w:rsidRPr="00D10829" w:rsidRDefault="003D09A1" w:rsidP="00D10829">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9EC" w:rsidRDefault="005859EC" w:rsidP="00477D6B">
    <w:pPr>
      <w:jc w:val="right"/>
    </w:pPr>
    <w:r>
      <w:t>CDIP/2</w:t>
    </w:r>
    <w:r w:rsidR="00680D6F">
      <w:t>2/7</w:t>
    </w:r>
  </w:p>
  <w:p w:rsidR="005859EC" w:rsidRDefault="005859EC" w:rsidP="00482FB3">
    <w:pPr>
      <w:jc w:val="right"/>
    </w:pPr>
    <w:r>
      <w:t xml:space="preserve">Annex III, page </w:t>
    </w:r>
    <w:r w:rsidR="00482FB3">
      <w:fldChar w:fldCharType="begin"/>
    </w:r>
    <w:r w:rsidR="00482FB3">
      <w:instrText xml:space="preserve"> PAGE   \* MERGEFORMAT </w:instrText>
    </w:r>
    <w:r w:rsidR="00482FB3">
      <w:fldChar w:fldCharType="separate"/>
    </w:r>
    <w:r w:rsidR="00EC733C">
      <w:rPr>
        <w:noProof/>
      </w:rPr>
      <w:t>5</w:t>
    </w:r>
    <w:r w:rsidR="00482FB3">
      <w:rPr>
        <w:noProof/>
      </w:rPr>
      <w:fldChar w:fldCharType="end"/>
    </w:r>
  </w:p>
  <w:p w:rsidR="005859EC" w:rsidRDefault="005859EC" w:rsidP="00477D6B">
    <w:pPr>
      <w:jc w:val="right"/>
    </w:pPr>
  </w:p>
  <w:p w:rsidR="005859EC" w:rsidRDefault="005859EC" w:rsidP="00477D6B">
    <w:pPr>
      <w:jc w:val="right"/>
    </w:pPr>
  </w:p>
</w:hdr>
</file>

<file path=word/header9.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859EC" w:rsidRDefault="005859EC" w:rsidP="00D10829">
    <w:pPr>
      <w:pStyle w:val="Header"/>
    </w:pPr>
  </w:p>
  <w:p w:rsidR="005859EC" w:rsidRDefault="005859EC" w:rsidP="003D09A1">
    <w:pPr>
      <w:pStyle w:val="Header"/>
      <w:jc w:val="right"/>
    </w:pPr>
    <w:r>
      <w:t>CDIP/22/7</w:t>
    </w:r>
  </w:p>
  <w:p w:rsidR="005859EC" w:rsidRDefault="005859EC" w:rsidP="003D09A1">
    <w:pPr>
      <w:pStyle w:val="Header"/>
      <w:jc w:val="right"/>
    </w:pPr>
    <w:r>
      <w:t>ANNEX III</w:t>
    </w:r>
  </w:p>
  <w:p w:rsidR="005859EC" w:rsidRPr="00D10829" w:rsidRDefault="005859EC" w:rsidP="00D1082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4E97CE3"/>
    <w:multiLevelType w:val="hybridMultilevel"/>
    <w:tmpl w:val="DDA0D188"/>
    <w:lvl w:ilvl="0" w:tplc="868E5AB8">
      <w:start w:val="2"/>
      <w:numFmt w:val="bullet"/>
      <w:lvlText w:val="-"/>
      <w:lvlJc w:val="left"/>
      <w:pPr>
        <w:ind w:left="360" w:hanging="360"/>
      </w:pPr>
      <w:rPr>
        <w:rFonts w:ascii="Arial" w:eastAsia="SimSun" w:hAnsi="Arial"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98C64A5"/>
    <w:multiLevelType w:val="hybridMultilevel"/>
    <w:tmpl w:val="9A1CAE64"/>
    <w:lvl w:ilvl="0" w:tplc="AD00546E">
      <w:start w:val="1"/>
      <w:numFmt w:val="decimal"/>
      <w:lvlText w:val="%1."/>
      <w:lvlJc w:val="left"/>
      <w:pPr>
        <w:ind w:left="720" w:hanging="360"/>
      </w:pPr>
      <w:rPr>
        <w:rFonts w:cstheme="minorBidi" w:hint="default"/>
        <w:i w:val="0"/>
        <w:color w:val="auto"/>
        <w:u w:val="none"/>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0DCB6027"/>
    <w:multiLevelType w:val="hybridMultilevel"/>
    <w:tmpl w:val="637AAFDC"/>
    <w:lvl w:ilvl="0" w:tplc="37900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2C06DA"/>
    <w:multiLevelType w:val="hybridMultilevel"/>
    <w:tmpl w:val="144883E2"/>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6"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7"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8" w15:restartNumberingAfterBreak="0">
    <w:nsid w:val="216673D6"/>
    <w:multiLevelType w:val="hybridMultilevel"/>
    <w:tmpl w:val="5246B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042619"/>
    <w:multiLevelType w:val="hybridMultilevel"/>
    <w:tmpl w:val="8ACE6444"/>
    <w:lvl w:ilvl="0" w:tplc="37900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D211197"/>
    <w:multiLevelType w:val="hybridMultilevel"/>
    <w:tmpl w:val="CF6027AA"/>
    <w:lvl w:ilvl="0" w:tplc="37900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0223745"/>
    <w:multiLevelType w:val="hybridMultilevel"/>
    <w:tmpl w:val="CF44DC7A"/>
    <w:lvl w:ilvl="0" w:tplc="37900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39236FD"/>
    <w:multiLevelType w:val="hybridMultilevel"/>
    <w:tmpl w:val="82009B42"/>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15:restartNumberingAfterBreak="0">
    <w:nsid w:val="3BF27B9D"/>
    <w:multiLevelType w:val="hybridMultilevel"/>
    <w:tmpl w:val="DAB843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094D15"/>
    <w:multiLevelType w:val="hybridMultilevel"/>
    <w:tmpl w:val="2C4819C4"/>
    <w:lvl w:ilvl="0" w:tplc="37900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15:restartNumberingAfterBreak="0">
    <w:nsid w:val="45022D68"/>
    <w:multiLevelType w:val="hybridMultilevel"/>
    <w:tmpl w:val="303A9B18"/>
    <w:lvl w:ilvl="0" w:tplc="04090001">
      <w:start w:val="1"/>
      <w:numFmt w:val="bullet"/>
      <w:lvlText w:val=""/>
      <w:lvlJc w:val="left"/>
      <w:pPr>
        <w:ind w:left="2280" w:hanging="360"/>
      </w:pPr>
      <w:rPr>
        <w:rFonts w:ascii="Symbol" w:hAnsi="Symbol" w:hint="default"/>
      </w:rPr>
    </w:lvl>
    <w:lvl w:ilvl="1" w:tplc="04090003">
      <w:start w:val="1"/>
      <w:numFmt w:val="bullet"/>
      <w:lvlText w:val="o"/>
      <w:lvlJc w:val="left"/>
      <w:pPr>
        <w:ind w:left="3000" w:hanging="360"/>
      </w:pPr>
      <w:rPr>
        <w:rFonts w:ascii="Courier New" w:hAnsi="Courier New" w:cs="Courier New" w:hint="default"/>
      </w:rPr>
    </w:lvl>
    <w:lvl w:ilvl="2" w:tplc="04090005" w:tentative="1">
      <w:start w:val="1"/>
      <w:numFmt w:val="bullet"/>
      <w:lvlText w:val=""/>
      <w:lvlJc w:val="left"/>
      <w:pPr>
        <w:ind w:left="3720" w:hanging="360"/>
      </w:pPr>
      <w:rPr>
        <w:rFonts w:ascii="Wingdings" w:hAnsi="Wingdings" w:hint="default"/>
      </w:rPr>
    </w:lvl>
    <w:lvl w:ilvl="3" w:tplc="04090001" w:tentative="1">
      <w:start w:val="1"/>
      <w:numFmt w:val="bullet"/>
      <w:lvlText w:val=""/>
      <w:lvlJc w:val="left"/>
      <w:pPr>
        <w:ind w:left="4440" w:hanging="360"/>
      </w:pPr>
      <w:rPr>
        <w:rFonts w:ascii="Symbol" w:hAnsi="Symbol" w:hint="default"/>
      </w:rPr>
    </w:lvl>
    <w:lvl w:ilvl="4" w:tplc="04090003" w:tentative="1">
      <w:start w:val="1"/>
      <w:numFmt w:val="bullet"/>
      <w:lvlText w:val="o"/>
      <w:lvlJc w:val="left"/>
      <w:pPr>
        <w:ind w:left="5160" w:hanging="360"/>
      </w:pPr>
      <w:rPr>
        <w:rFonts w:ascii="Courier New" w:hAnsi="Courier New" w:cs="Courier New" w:hint="default"/>
      </w:rPr>
    </w:lvl>
    <w:lvl w:ilvl="5" w:tplc="04090005" w:tentative="1">
      <w:start w:val="1"/>
      <w:numFmt w:val="bullet"/>
      <w:lvlText w:val=""/>
      <w:lvlJc w:val="left"/>
      <w:pPr>
        <w:ind w:left="5880" w:hanging="360"/>
      </w:pPr>
      <w:rPr>
        <w:rFonts w:ascii="Wingdings" w:hAnsi="Wingdings" w:hint="default"/>
      </w:rPr>
    </w:lvl>
    <w:lvl w:ilvl="6" w:tplc="04090001" w:tentative="1">
      <w:start w:val="1"/>
      <w:numFmt w:val="bullet"/>
      <w:lvlText w:val=""/>
      <w:lvlJc w:val="left"/>
      <w:pPr>
        <w:ind w:left="6600" w:hanging="360"/>
      </w:pPr>
      <w:rPr>
        <w:rFonts w:ascii="Symbol" w:hAnsi="Symbol" w:hint="default"/>
      </w:rPr>
    </w:lvl>
    <w:lvl w:ilvl="7" w:tplc="04090003" w:tentative="1">
      <w:start w:val="1"/>
      <w:numFmt w:val="bullet"/>
      <w:lvlText w:val="o"/>
      <w:lvlJc w:val="left"/>
      <w:pPr>
        <w:ind w:left="7320" w:hanging="360"/>
      </w:pPr>
      <w:rPr>
        <w:rFonts w:ascii="Courier New" w:hAnsi="Courier New" w:cs="Courier New" w:hint="default"/>
      </w:rPr>
    </w:lvl>
    <w:lvl w:ilvl="8" w:tplc="04090005" w:tentative="1">
      <w:start w:val="1"/>
      <w:numFmt w:val="bullet"/>
      <w:lvlText w:val=""/>
      <w:lvlJc w:val="left"/>
      <w:pPr>
        <w:ind w:left="8040" w:hanging="360"/>
      </w:pPr>
      <w:rPr>
        <w:rFonts w:ascii="Wingdings" w:hAnsi="Wingdings" w:hint="default"/>
      </w:rPr>
    </w:lvl>
  </w:abstractNum>
  <w:abstractNum w:abstractNumId="17" w15:restartNumberingAfterBreak="0">
    <w:nsid w:val="494102A3"/>
    <w:multiLevelType w:val="hybridMultilevel"/>
    <w:tmpl w:val="47645B5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8"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D073A86"/>
    <w:multiLevelType w:val="hybridMultilevel"/>
    <w:tmpl w:val="465821DC"/>
    <w:lvl w:ilvl="0" w:tplc="37900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9401C1F"/>
    <w:multiLevelType w:val="hybridMultilevel"/>
    <w:tmpl w:val="533201A6"/>
    <w:lvl w:ilvl="0" w:tplc="37900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FE16674"/>
    <w:multiLevelType w:val="hybridMultilevel"/>
    <w:tmpl w:val="25EE70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91856FC"/>
    <w:multiLevelType w:val="hybridMultilevel"/>
    <w:tmpl w:val="065C3136"/>
    <w:lvl w:ilvl="0" w:tplc="37900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CD96786"/>
    <w:multiLevelType w:val="hybridMultilevel"/>
    <w:tmpl w:val="776CDBE8"/>
    <w:lvl w:ilvl="0" w:tplc="37900C0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5"/>
  </w:num>
  <w:num w:numId="3">
    <w:abstractNumId w:val="0"/>
  </w:num>
  <w:num w:numId="4">
    <w:abstractNumId w:val="18"/>
  </w:num>
  <w:num w:numId="5">
    <w:abstractNumId w:val="2"/>
  </w:num>
  <w:num w:numId="6">
    <w:abstractNumId w:val="7"/>
  </w:num>
  <w:num w:numId="7">
    <w:abstractNumId w:val="1"/>
  </w:num>
  <w:num w:numId="8">
    <w:abstractNumId w:val="21"/>
  </w:num>
  <w:num w:numId="9">
    <w:abstractNumId w:val="5"/>
  </w:num>
  <w:num w:numId="10">
    <w:abstractNumId w:val="3"/>
  </w:num>
  <w:num w:numId="11">
    <w:abstractNumId w:val="17"/>
  </w:num>
  <w:num w:numId="12">
    <w:abstractNumId w:val="12"/>
  </w:num>
  <w:num w:numId="13">
    <w:abstractNumId w:val="16"/>
  </w:num>
  <w:num w:numId="14">
    <w:abstractNumId w:val="8"/>
  </w:num>
  <w:num w:numId="15">
    <w:abstractNumId w:val="13"/>
  </w:num>
  <w:num w:numId="16">
    <w:abstractNumId w:val="20"/>
  </w:num>
  <w:num w:numId="17">
    <w:abstractNumId w:val="22"/>
  </w:num>
  <w:num w:numId="18">
    <w:abstractNumId w:val="19"/>
  </w:num>
  <w:num w:numId="19">
    <w:abstractNumId w:val="23"/>
  </w:num>
  <w:num w:numId="20">
    <w:abstractNumId w:val="11"/>
  </w:num>
  <w:num w:numId="21">
    <w:abstractNumId w:val="4"/>
  </w:num>
  <w:num w:numId="22">
    <w:abstractNumId w:val="9"/>
  </w:num>
  <w:num w:numId="23">
    <w:abstractNumId w:val="10"/>
  </w:num>
  <w:num w:numId="24">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55297"/>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96BC6"/>
    <w:rsid w:val="00000117"/>
    <w:rsid w:val="00006C42"/>
    <w:rsid w:val="00024128"/>
    <w:rsid w:val="00043CAA"/>
    <w:rsid w:val="00046BCE"/>
    <w:rsid w:val="000515FF"/>
    <w:rsid w:val="00075432"/>
    <w:rsid w:val="000915D9"/>
    <w:rsid w:val="000951DA"/>
    <w:rsid w:val="000968ED"/>
    <w:rsid w:val="000973C0"/>
    <w:rsid w:val="000B69AA"/>
    <w:rsid w:val="000C10AC"/>
    <w:rsid w:val="000E24DC"/>
    <w:rsid w:val="000F1462"/>
    <w:rsid w:val="000F5E56"/>
    <w:rsid w:val="0012386D"/>
    <w:rsid w:val="00126C5B"/>
    <w:rsid w:val="001362EE"/>
    <w:rsid w:val="001566E1"/>
    <w:rsid w:val="00165EE7"/>
    <w:rsid w:val="001832A6"/>
    <w:rsid w:val="0019177B"/>
    <w:rsid w:val="001B1BC2"/>
    <w:rsid w:val="001B246C"/>
    <w:rsid w:val="001C3EAF"/>
    <w:rsid w:val="001E4EDC"/>
    <w:rsid w:val="001F0F5E"/>
    <w:rsid w:val="00223119"/>
    <w:rsid w:val="00224A31"/>
    <w:rsid w:val="002326AD"/>
    <w:rsid w:val="00234105"/>
    <w:rsid w:val="0023713F"/>
    <w:rsid w:val="00237642"/>
    <w:rsid w:val="0024389B"/>
    <w:rsid w:val="00252076"/>
    <w:rsid w:val="00252823"/>
    <w:rsid w:val="0025713B"/>
    <w:rsid w:val="00262206"/>
    <w:rsid w:val="002634C4"/>
    <w:rsid w:val="00274336"/>
    <w:rsid w:val="002928D3"/>
    <w:rsid w:val="002B0BA4"/>
    <w:rsid w:val="002C15D4"/>
    <w:rsid w:val="002D52B5"/>
    <w:rsid w:val="002D639E"/>
    <w:rsid w:val="002F1FE6"/>
    <w:rsid w:val="002F2E3F"/>
    <w:rsid w:val="002F4E68"/>
    <w:rsid w:val="00302372"/>
    <w:rsid w:val="003077F1"/>
    <w:rsid w:val="003079EA"/>
    <w:rsid w:val="00312F7F"/>
    <w:rsid w:val="00327A34"/>
    <w:rsid w:val="003334E4"/>
    <w:rsid w:val="00337F4F"/>
    <w:rsid w:val="00341012"/>
    <w:rsid w:val="0034268E"/>
    <w:rsid w:val="00347620"/>
    <w:rsid w:val="00361450"/>
    <w:rsid w:val="003673CF"/>
    <w:rsid w:val="003769FE"/>
    <w:rsid w:val="00382ACD"/>
    <w:rsid w:val="003845C1"/>
    <w:rsid w:val="003905D5"/>
    <w:rsid w:val="003A6F89"/>
    <w:rsid w:val="003B38C1"/>
    <w:rsid w:val="003B526B"/>
    <w:rsid w:val="003D09A1"/>
    <w:rsid w:val="003D2B20"/>
    <w:rsid w:val="003D7A6A"/>
    <w:rsid w:val="00423E3E"/>
    <w:rsid w:val="00427AF4"/>
    <w:rsid w:val="00432E03"/>
    <w:rsid w:val="00434C40"/>
    <w:rsid w:val="004379CE"/>
    <w:rsid w:val="00447E44"/>
    <w:rsid w:val="004647DA"/>
    <w:rsid w:val="00474062"/>
    <w:rsid w:val="00477D6B"/>
    <w:rsid w:val="00482FB3"/>
    <w:rsid w:val="004C3FF2"/>
    <w:rsid w:val="004F3728"/>
    <w:rsid w:val="004F7935"/>
    <w:rsid w:val="005019FF"/>
    <w:rsid w:val="00510520"/>
    <w:rsid w:val="005127AE"/>
    <w:rsid w:val="00526837"/>
    <w:rsid w:val="00527E6F"/>
    <w:rsid w:val="0053057A"/>
    <w:rsid w:val="005576F6"/>
    <w:rsid w:val="00560A29"/>
    <w:rsid w:val="00577DBA"/>
    <w:rsid w:val="005840E0"/>
    <w:rsid w:val="00584FE6"/>
    <w:rsid w:val="005859EC"/>
    <w:rsid w:val="005A6E50"/>
    <w:rsid w:val="005A7EC0"/>
    <w:rsid w:val="005B3389"/>
    <w:rsid w:val="005C38D0"/>
    <w:rsid w:val="005C55F1"/>
    <w:rsid w:val="005C64B2"/>
    <w:rsid w:val="005C6649"/>
    <w:rsid w:val="005D4EFE"/>
    <w:rsid w:val="005D7281"/>
    <w:rsid w:val="005E7233"/>
    <w:rsid w:val="00605827"/>
    <w:rsid w:val="00617232"/>
    <w:rsid w:val="00620212"/>
    <w:rsid w:val="006204EC"/>
    <w:rsid w:val="0064150C"/>
    <w:rsid w:val="00641EF7"/>
    <w:rsid w:val="00646050"/>
    <w:rsid w:val="006503A8"/>
    <w:rsid w:val="00657EE9"/>
    <w:rsid w:val="006610ED"/>
    <w:rsid w:val="00663EC6"/>
    <w:rsid w:val="006713CA"/>
    <w:rsid w:val="00672B65"/>
    <w:rsid w:val="00676C5C"/>
    <w:rsid w:val="00680D6F"/>
    <w:rsid w:val="0068499A"/>
    <w:rsid w:val="00687099"/>
    <w:rsid w:val="00693C44"/>
    <w:rsid w:val="006B4EED"/>
    <w:rsid w:val="006B6E7E"/>
    <w:rsid w:val="006D6352"/>
    <w:rsid w:val="006E76B4"/>
    <w:rsid w:val="0071058F"/>
    <w:rsid w:val="00714EA1"/>
    <w:rsid w:val="00723C19"/>
    <w:rsid w:val="00752679"/>
    <w:rsid w:val="00765337"/>
    <w:rsid w:val="00783725"/>
    <w:rsid w:val="007C17F4"/>
    <w:rsid w:val="007C4887"/>
    <w:rsid w:val="007D1613"/>
    <w:rsid w:val="007D4FB5"/>
    <w:rsid w:val="007E760A"/>
    <w:rsid w:val="00812B4C"/>
    <w:rsid w:val="00852E7E"/>
    <w:rsid w:val="0087131F"/>
    <w:rsid w:val="008B2CC1"/>
    <w:rsid w:val="008B60B2"/>
    <w:rsid w:val="008B7ACB"/>
    <w:rsid w:val="008C1012"/>
    <w:rsid w:val="008C7E64"/>
    <w:rsid w:val="008D1D00"/>
    <w:rsid w:val="008E2D8C"/>
    <w:rsid w:val="008F19CB"/>
    <w:rsid w:val="0090731E"/>
    <w:rsid w:val="00915D05"/>
    <w:rsid w:val="00916EE2"/>
    <w:rsid w:val="00926686"/>
    <w:rsid w:val="00927250"/>
    <w:rsid w:val="00942D9A"/>
    <w:rsid w:val="00944FDF"/>
    <w:rsid w:val="00945B3F"/>
    <w:rsid w:val="0094736D"/>
    <w:rsid w:val="009503C3"/>
    <w:rsid w:val="00966A22"/>
    <w:rsid w:val="0096722F"/>
    <w:rsid w:val="00970611"/>
    <w:rsid w:val="00970B0A"/>
    <w:rsid w:val="00980843"/>
    <w:rsid w:val="00982293"/>
    <w:rsid w:val="00982C6E"/>
    <w:rsid w:val="00996BC6"/>
    <w:rsid w:val="009C0248"/>
    <w:rsid w:val="009E2791"/>
    <w:rsid w:val="009E3F6F"/>
    <w:rsid w:val="009F499F"/>
    <w:rsid w:val="00A15D36"/>
    <w:rsid w:val="00A2207C"/>
    <w:rsid w:val="00A31CEC"/>
    <w:rsid w:val="00A35E9B"/>
    <w:rsid w:val="00A42DAF"/>
    <w:rsid w:val="00A45BD8"/>
    <w:rsid w:val="00A52CC3"/>
    <w:rsid w:val="00A66ED0"/>
    <w:rsid w:val="00A869B7"/>
    <w:rsid w:val="00AC205C"/>
    <w:rsid w:val="00AC338E"/>
    <w:rsid w:val="00AD4FC6"/>
    <w:rsid w:val="00AD5CBB"/>
    <w:rsid w:val="00AF0A6B"/>
    <w:rsid w:val="00AF39CF"/>
    <w:rsid w:val="00B05A69"/>
    <w:rsid w:val="00B2368B"/>
    <w:rsid w:val="00B449E3"/>
    <w:rsid w:val="00B660E8"/>
    <w:rsid w:val="00B72187"/>
    <w:rsid w:val="00B9734B"/>
    <w:rsid w:val="00BA17B5"/>
    <w:rsid w:val="00BA30E2"/>
    <w:rsid w:val="00BA5CE5"/>
    <w:rsid w:val="00BC2B8C"/>
    <w:rsid w:val="00BE5536"/>
    <w:rsid w:val="00BF7F01"/>
    <w:rsid w:val="00C11BFE"/>
    <w:rsid w:val="00C23113"/>
    <w:rsid w:val="00C36BEA"/>
    <w:rsid w:val="00C40727"/>
    <w:rsid w:val="00C5216C"/>
    <w:rsid w:val="00C607B3"/>
    <w:rsid w:val="00C72070"/>
    <w:rsid w:val="00C740E2"/>
    <w:rsid w:val="00C838CE"/>
    <w:rsid w:val="00C85077"/>
    <w:rsid w:val="00CA6676"/>
    <w:rsid w:val="00CB7290"/>
    <w:rsid w:val="00CC069F"/>
    <w:rsid w:val="00CC1273"/>
    <w:rsid w:val="00CD04F1"/>
    <w:rsid w:val="00CF4A3B"/>
    <w:rsid w:val="00D00FBA"/>
    <w:rsid w:val="00D03613"/>
    <w:rsid w:val="00D10829"/>
    <w:rsid w:val="00D12864"/>
    <w:rsid w:val="00D37420"/>
    <w:rsid w:val="00D43EC2"/>
    <w:rsid w:val="00D45252"/>
    <w:rsid w:val="00D54DC4"/>
    <w:rsid w:val="00D55136"/>
    <w:rsid w:val="00D65B67"/>
    <w:rsid w:val="00D71B4D"/>
    <w:rsid w:val="00D85F69"/>
    <w:rsid w:val="00D93D55"/>
    <w:rsid w:val="00DA4896"/>
    <w:rsid w:val="00DD4382"/>
    <w:rsid w:val="00E001F5"/>
    <w:rsid w:val="00E16EDC"/>
    <w:rsid w:val="00E21DAD"/>
    <w:rsid w:val="00E25451"/>
    <w:rsid w:val="00E335FE"/>
    <w:rsid w:val="00E45FB6"/>
    <w:rsid w:val="00E5090E"/>
    <w:rsid w:val="00E8159B"/>
    <w:rsid w:val="00E87EB9"/>
    <w:rsid w:val="00EB0E8A"/>
    <w:rsid w:val="00EC4E49"/>
    <w:rsid w:val="00EC733C"/>
    <w:rsid w:val="00ED0E6E"/>
    <w:rsid w:val="00ED77FB"/>
    <w:rsid w:val="00EE45FA"/>
    <w:rsid w:val="00EE5FCC"/>
    <w:rsid w:val="00EF1875"/>
    <w:rsid w:val="00F360C5"/>
    <w:rsid w:val="00F5047F"/>
    <w:rsid w:val="00F66152"/>
    <w:rsid w:val="00F95F3A"/>
    <w:rsid w:val="00FA0C6F"/>
    <w:rsid w:val="00FC08A8"/>
    <w:rsid w:val="00FE4014"/>
    <w:rsid w:val="00FE4FD9"/>
    <w:rsid w:val="00FE5115"/>
    <w:rsid w:val="00FE63AC"/>
    <w:rsid w:val="00FF0DA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22DB4590"/>
  <w15:docId w15:val="{D38CB495-0A0B-4FA0-B256-22BC5B6A69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link w:val="Endofdocument-AnnexChar"/>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uiPriority w:val="99"/>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link w:val="ONUMFSChar"/>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996BC6"/>
    <w:rPr>
      <w:rFonts w:ascii="Tahoma" w:hAnsi="Tahoma" w:cs="Tahoma"/>
      <w:sz w:val="16"/>
      <w:szCs w:val="16"/>
    </w:rPr>
  </w:style>
  <w:style w:type="character" w:customStyle="1" w:styleId="BalloonTextChar">
    <w:name w:val="Balloon Text Char"/>
    <w:basedOn w:val="DefaultParagraphFont"/>
    <w:link w:val="BalloonText"/>
    <w:rsid w:val="00996BC6"/>
    <w:rPr>
      <w:rFonts w:ascii="Tahoma" w:eastAsia="SimSun" w:hAnsi="Tahoma" w:cs="Tahoma"/>
      <w:sz w:val="16"/>
      <w:szCs w:val="16"/>
      <w:lang w:eastAsia="zh-CN"/>
    </w:rPr>
  </w:style>
  <w:style w:type="character" w:customStyle="1" w:styleId="Endofdocument-AnnexChar">
    <w:name w:val="[End of document - Annex] Char"/>
    <w:link w:val="Endofdocument-Annex"/>
    <w:rsid w:val="00C5216C"/>
    <w:rPr>
      <w:rFonts w:ascii="Arial" w:eastAsia="SimSun" w:hAnsi="Arial" w:cs="Arial"/>
      <w:sz w:val="22"/>
      <w:lang w:eastAsia="zh-CN"/>
    </w:rPr>
  </w:style>
  <w:style w:type="character" w:customStyle="1" w:styleId="ONUMFSChar">
    <w:name w:val="ONUM FS Char"/>
    <w:basedOn w:val="DefaultParagraphFont"/>
    <w:link w:val="ONUMFS"/>
    <w:rsid w:val="00C5216C"/>
    <w:rPr>
      <w:rFonts w:ascii="Arial" w:eastAsia="SimSun" w:hAnsi="Arial" w:cs="Arial"/>
      <w:sz w:val="22"/>
      <w:lang w:eastAsia="zh-CN"/>
    </w:rPr>
  </w:style>
  <w:style w:type="character" w:styleId="FootnoteReference">
    <w:name w:val="footnote reference"/>
    <w:basedOn w:val="DefaultParagraphFont"/>
    <w:uiPriority w:val="99"/>
    <w:rsid w:val="007C17F4"/>
    <w:rPr>
      <w:vertAlign w:val="superscript"/>
    </w:rPr>
  </w:style>
  <w:style w:type="paragraph" w:styleId="ListParagraph">
    <w:name w:val="List Paragraph"/>
    <w:basedOn w:val="Normal"/>
    <w:uiPriority w:val="34"/>
    <w:qFormat/>
    <w:rsid w:val="00510520"/>
    <w:pPr>
      <w:ind w:left="720"/>
      <w:contextualSpacing/>
    </w:pPr>
  </w:style>
  <w:style w:type="paragraph" w:styleId="PlainText">
    <w:name w:val="Plain Text"/>
    <w:basedOn w:val="Normal"/>
    <w:link w:val="PlainTextChar"/>
    <w:uiPriority w:val="99"/>
    <w:unhideWhenUsed/>
    <w:rsid w:val="00252823"/>
    <w:rPr>
      <w:rFonts w:ascii="Calibri" w:eastAsiaTheme="minorHAnsi" w:hAnsi="Calibri" w:cstheme="minorBidi"/>
      <w:szCs w:val="21"/>
      <w:lang w:eastAsia="en-US"/>
    </w:rPr>
  </w:style>
  <w:style w:type="character" w:customStyle="1" w:styleId="PlainTextChar">
    <w:name w:val="Plain Text Char"/>
    <w:basedOn w:val="DefaultParagraphFont"/>
    <w:link w:val="PlainText"/>
    <w:uiPriority w:val="99"/>
    <w:rsid w:val="00252823"/>
    <w:rPr>
      <w:rFonts w:ascii="Calibri" w:eastAsiaTheme="minorHAnsi" w:hAnsi="Calibri" w:cstheme="minorBidi"/>
      <w:sz w:val="22"/>
      <w:szCs w:val="21"/>
    </w:rPr>
  </w:style>
  <w:style w:type="character" w:customStyle="1" w:styleId="FootnoteTextChar">
    <w:name w:val="Footnote Text Char"/>
    <w:basedOn w:val="DefaultParagraphFont"/>
    <w:link w:val="FootnoteText"/>
    <w:uiPriority w:val="99"/>
    <w:semiHidden/>
    <w:rsid w:val="00AF39CF"/>
    <w:rPr>
      <w:rFonts w:ascii="Arial" w:eastAsia="SimSun" w:hAnsi="Arial" w:cs="Arial"/>
      <w:sz w:val="18"/>
      <w:lang w:eastAsia="zh-CN"/>
    </w:rPr>
  </w:style>
  <w:style w:type="table" w:styleId="TableGrid">
    <w:name w:val="Table Grid"/>
    <w:basedOn w:val="TableNormal"/>
    <w:uiPriority w:val="39"/>
    <w:rsid w:val="00D37420"/>
    <w:rPr>
      <w:rFonts w:ascii="Calibri" w:eastAsia="Calibri" w:hAnsi="Calibri"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BF7F01"/>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BF7F01"/>
    <w:rPr>
      <w:rFonts w:asciiTheme="minorHAnsi" w:eastAsiaTheme="minorHAnsi" w:hAnsiTheme="minorHAnsi" w:cstheme="minorBidi"/>
      <w:sz w:val="22"/>
      <w:szCs w:val="22"/>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semiHidden/>
    <w:unhideWhenUsed/>
    <w:rsid w:val="000915D9"/>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9152">
      <w:bodyDiv w:val="1"/>
      <w:marLeft w:val="0"/>
      <w:marRight w:val="0"/>
      <w:marTop w:val="0"/>
      <w:marBottom w:val="0"/>
      <w:divBdr>
        <w:top w:val="none" w:sz="0" w:space="0" w:color="auto"/>
        <w:left w:val="none" w:sz="0" w:space="0" w:color="auto"/>
        <w:bottom w:val="none" w:sz="0" w:space="0" w:color="auto"/>
        <w:right w:val="none" w:sz="0" w:space="0" w:color="auto"/>
      </w:divBdr>
    </w:div>
    <w:div w:id="10913872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4.xml"/><Relationship Id="rId18" Type="http://schemas.openxmlformats.org/officeDocument/2006/relationships/image" Target="media/image3.png"/><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2.png"/><Relationship Id="rId25"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eader" Target="header9.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8.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2018%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17C4B-815A-4D63-9F47-298CEB0633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 18 (E)</Template>
  <TotalTime>60</TotalTime>
  <Pages>14</Pages>
  <Words>2681</Words>
  <Characters>16466</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CDIP/18/</vt:lpstr>
    </vt:vector>
  </TitlesOfParts>
  <Company>WIPO</Company>
  <LinksUpToDate>false</LinksUpToDate>
  <CharactersWithSpaces>19109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CDIP/18/</dc:title>
  <dc:creator>BRACI Biljana</dc:creator>
  <cp:lastModifiedBy>BRACI Biljana</cp:lastModifiedBy>
  <cp:revision>17</cp:revision>
  <cp:lastPrinted>2018-09-27T07:25:00Z</cp:lastPrinted>
  <dcterms:created xsi:type="dcterms:W3CDTF">2018-09-26T14:17:00Z</dcterms:created>
  <dcterms:modified xsi:type="dcterms:W3CDTF">2018-10-01T12:45:00Z</dcterms:modified>
</cp:coreProperties>
</file>