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34491" w:rsidRPr="00134491" w:rsidTr="00361450">
        <w:tc>
          <w:tcPr>
            <w:tcW w:w="4513" w:type="dxa"/>
            <w:tcBorders>
              <w:bottom w:val="single" w:sz="4" w:space="0" w:color="auto"/>
            </w:tcBorders>
            <w:tcMar>
              <w:bottom w:w="170" w:type="dxa"/>
            </w:tcMar>
          </w:tcPr>
          <w:p w:rsidR="00EC4E49" w:rsidRPr="00134491" w:rsidRDefault="00EC4E49" w:rsidP="00916EE2">
            <w:pPr>
              <w:rPr>
                <w:color w:val="000000" w:themeColor="text1"/>
              </w:rPr>
            </w:pPr>
            <w:bookmarkStart w:id="0" w:name="_GoBack"/>
            <w:bookmarkEnd w:id="0"/>
          </w:p>
        </w:tc>
        <w:tc>
          <w:tcPr>
            <w:tcW w:w="4337" w:type="dxa"/>
            <w:tcBorders>
              <w:bottom w:val="single" w:sz="4" w:space="0" w:color="auto"/>
            </w:tcBorders>
            <w:tcMar>
              <w:left w:w="0" w:type="dxa"/>
              <w:right w:w="0" w:type="dxa"/>
            </w:tcMar>
          </w:tcPr>
          <w:p w:rsidR="00EC4E49" w:rsidRPr="00134491" w:rsidRDefault="00A37342" w:rsidP="00916EE2">
            <w:pPr>
              <w:rPr>
                <w:color w:val="000000" w:themeColor="text1"/>
              </w:rPr>
            </w:pPr>
            <w:r w:rsidRPr="00134491">
              <w:rPr>
                <w:noProof/>
                <w:color w:val="000000" w:themeColor="text1"/>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34491" w:rsidRDefault="00EC4E49" w:rsidP="00916EE2">
            <w:pPr>
              <w:jc w:val="right"/>
              <w:rPr>
                <w:color w:val="000000" w:themeColor="text1"/>
              </w:rPr>
            </w:pPr>
            <w:r w:rsidRPr="00134491">
              <w:rPr>
                <w:b/>
                <w:color w:val="000000" w:themeColor="text1"/>
                <w:sz w:val="40"/>
                <w:szCs w:val="40"/>
              </w:rPr>
              <w:t>E</w:t>
            </w:r>
          </w:p>
        </w:tc>
      </w:tr>
      <w:tr w:rsidR="00134491" w:rsidRPr="0013449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34491" w:rsidRDefault="00B27789" w:rsidP="00DC7D73">
            <w:pPr>
              <w:jc w:val="right"/>
              <w:rPr>
                <w:rFonts w:ascii="Arial Black" w:hAnsi="Arial Black"/>
                <w:caps/>
                <w:color w:val="000000" w:themeColor="text1"/>
                <w:sz w:val="15"/>
              </w:rPr>
            </w:pPr>
            <w:r w:rsidRPr="00134491">
              <w:rPr>
                <w:rFonts w:ascii="Arial Black" w:hAnsi="Arial Black"/>
                <w:caps/>
                <w:color w:val="000000" w:themeColor="text1"/>
                <w:sz w:val="15"/>
              </w:rPr>
              <w:t>CDIP/2</w:t>
            </w:r>
            <w:r w:rsidR="00DC7D73" w:rsidRPr="00134491">
              <w:rPr>
                <w:rFonts w:ascii="Arial Black" w:hAnsi="Arial Black"/>
                <w:caps/>
                <w:color w:val="000000" w:themeColor="text1"/>
                <w:sz w:val="15"/>
              </w:rPr>
              <w:t>4</w:t>
            </w:r>
            <w:r w:rsidRPr="00134491">
              <w:rPr>
                <w:rFonts w:ascii="Arial Black" w:hAnsi="Arial Black"/>
                <w:caps/>
                <w:color w:val="000000" w:themeColor="text1"/>
                <w:sz w:val="15"/>
              </w:rPr>
              <w:t>/</w:t>
            </w:r>
            <w:bookmarkStart w:id="1" w:name="Code"/>
            <w:bookmarkEnd w:id="1"/>
            <w:r w:rsidR="004B7C17" w:rsidRPr="00134491">
              <w:rPr>
                <w:rFonts w:ascii="Arial Black" w:hAnsi="Arial Black"/>
                <w:caps/>
                <w:color w:val="000000" w:themeColor="text1"/>
                <w:sz w:val="15"/>
              </w:rPr>
              <w:t>1</w:t>
            </w:r>
            <w:r w:rsidR="00E73450" w:rsidRPr="00134491">
              <w:rPr>
                <w:rFonts w:ascii="Arial Black" w:hAnsi="Arial Black"/>
                <w:caps/>
                <w:color w:val="000000" w:themeColor="text1"/>
                <w:sz w:val="15"/>
              </w:rPr>
              <w:t>3</w:t>
            </w:r>
          </w:p>
        </w:tc>
      </w:tr>
      <w:tr w:rsidR="00134491" w:rsidRPr="00134491" w:rsidTr="00916EE2">
        <w:trPr>
          <w:trHeight w:hRule="exact" w:val="170"/>
        </w:trPr>
        <w:tc>
          <w:tcPr>
            <w:tcW w:w="9356" w:type="dxa"/>
            <w:gridSpan w:val="3"/>
            <w:noWrap/>
            <w:tcMar>
              <w:left w:w="0" w:type="dxa"/>
              <w:right w:w="0" w:type="dxa"/>
            </w:tcMar>
            <w:vAlign w:val="bottom"/>
          </w:tcPr>
          <w:p w:rsidR="008B2CC1" w:rsidRPr="00134491" w:rsidRDefault="008B2CC1" w:rsidP="00CD04F1">
            <w:pPr>
              <w:jc w:val="right"/>
              <w:rPr>
                <w:rFonts w:ascii="Arial Black" w:hAnsi="Arial Black"/>
                <w:caps/>
                <w:color w:val="000000" w:themeColor="text1"/>
                <w:sz w:val="15"/>
              </w:rPr>
            </w:pPr>
            <w:r w:rsidRPr="00134491">
              <w:rPr>
                <w:rFonts w:ascii="Arial Black" w:hAnsi="Arial Black"/>
                <w:caps/>
                <w:color w:val="000000" w:themeColor="text1"/>
                <w:sz w:val="15"/>
              </w:rPr>
              <w:t>ORIGINAL:</w:t>
            </w:r>
            <w:r w:rsidR="001647D5" w:rsidRPr="00134491">
              <w:rPr>
                <w:rFonts w:ascii="Arial Black" w:hAnsi="Arial Black"/>
                <w:caps/>
                <w:color w:val="000000" w:themeColor="text1"/>
                <w:sz w:val="15"/>
              </w:rPr>
              <w:t xml:space="preserve">  </w:t>
            </w:r>
            <w:bookmarkStart w:id="2" w:name="Original"/>
            <w:bookmarkEnd w:id="2"/>
            <w:r w:rsidR="00E73450" w:rsidRPr="00134491">
              <w:rPr>
                <w:rFonts w:ascii="Arial Black" w:hAnsi="Arial Black"/>
                <w:caps/>
                <w:color w:val="000000" w:themeColor="text1"/>
                <w:sz w:val="15"/>
              </w:rPr>
              <w:t>ENGLISH</w:t>
            </w:r>
            <w:r w:rsidRPr="00134491">
              <w:rPr>
                <w:rFonts w:ascii="Arial Black" w:hAnsi="Arial Black"/>
                <w:caps/>
                <w:color w:val="000000" w:themeColor="text1"/>
                <w:sz w:val="15"/>
              </w:rPr>
              <w:t xml:space="preserve"> </w:t>
            </w:r>
          </w:p>
        </w:tc>
      </w:tr>
      <w:tr w:rsidR="008B2CC1" w:rsidRPr="00134491" w:rsidTr="00916EE2">
        <w:trPr>
          <w:trHeight w:hRule="exact" w:val="198"/>
        </w:trPr>
        <w:tc>
          <w:tcPr>
            <w:tcW w:w="9356" w:type="dxa"/>
            <w:gridSpan w:val="3"/>
            <w:tcMar>
              <w:left w:w="0" w:type="dxa"/>
              <w:right w:w="0" w:type="dxa"/>
            </w:tcMar>
            <w:vAlign w:val="bottom"/>
          </w:tcPr>
          <w:p w:rsidR="008B2CC1" w:rsidRPr="00134491" w:rsidRDefault="008B2CC1" w:rsidP="00CD04F1">
            <w:pPr>
              <w:jc w:val="right"/>
              <w:rPr>
                <w:rFonts w:ascii="Arial Black" w:hAnsi="Arial Black"/>
                <w:caps/>
                <w:color w:val="000000" w:themeColor="text1"/>
                <w:sz w:val="15"/>
              </w:rPr>
            </w:pPr>
            <w:r w:rsidRPr="00134491">
              <w:rPr>
                <w:rFonts w:ascii="Arial Black" w:hAnsi="Arial Black"/>
                <w:caps/>
                <w:color w:val="000000" w:themeColor="text1"/>
                <w:sz w:val="15"/>
              </w:rPr>
              <w:t>DATE:</w:t>
            </w:r>
            <w:r w:rsidR="001647D5" w:rsidRPr="00134491">
              <w:rPr>
                <w:rFonts w:ascii="Arial Black" w:hAnsi="Arial Black"/>
                <w:caps/>
                <w:color w:val="000000" w:themeColor="text1"/>
                <w:sz w:val="15"/>
              </w:rPr>
              <w:t xml:space="preserve">  </w:t>
            </w:r>
            <w:bookmarkStart w:id="3" w:name="Date"/>
            <w:bookmarkEnd w:id="3"/>
            <w:r w:rsidR="004B7C17" w:rsidRPr="00134491">
              <w:rPr>
                <w:rFonts w:ascii="Arial Black" w:hAnsi="Arial Black"/>
                <w:caps/>
                <w:color w:val="000000" w:themeColor="text1"/>
                <w:sz w:val="15"/>
              </w:rPr>
              <w:t>SEPTEMBER 12,</w:t>
            </w:r>
            <w:r w:rsidR="003E4407" w:rsidRPr="00134491">
              <w:rPr>
                <w:rFonts w:ascii="Arial Black" w:hAnsi="Arial Black"/>
                <w:caps/>
                <w:color w:val="000000" w:themeColor="text1"/>
                <w:sz w:val="15"/>
              </w:rPr>
              <w:t xml:space="preserve"> 2019</w:t>
            </w:r>
            <w:r w:rsidRPr="00134491">
              <w:rPr>
                <w:rFonts w:ascii="Arial Black" w:hAnsi="Arial Black"/>
                <w:caps/>
                <w:color w:val="000000" w:themeColor="text1"/>
                <w:sz w:val="15"/>
              </w:rPr>
              <w:t xml:space="preserve"> </w:t>
            </w:r>
          </w:p>
        </w:tc>
      </w:tr>
    </w:tbl>
    <w:p w:rsidR="008B2CC1" w:rsidRPr="00134491" w:rsidRDefault="008B2CC1" w:rsidP="008B2CC1">
      <w:pPr>
        <w:rPr>
          <w:color w:val="000000" w:themeColor="text1"/>
        </w:rPr>
      </w:pPr>
    </w:p>
    <w:p w:rsidR="008B2CC1" w:rsidRPr="00134491" w:rsidRDefault="008B2CC1" w:rsidP="008B2CC1">
      <w:pPr>
        <w:rPr>
          <w:color w:val="000000" w:themeColor="text1"/>
        </w:rPr>
      </w:pPr>
    </w:p>
    <w:p w:rsidR="008B2CC1" w:rsidRPr="00134491" w:rsidRDefault="008B2CC1" w:rsidP="008B2CC1">
      <w:pPr>
        <w:rPr>
          <w:color w:val="000000" w:themeColor="text1"/>
        </w:rPr>
      </w:pPr>
    </w:p>
    <w:p w:rsidR="008B2CC1" w:rsidRPr="00134491" w:rsidRDefault="008B2CC1" w:rsidP="008B2CC1">
      <w:pPr>
        <w:rPr>
          <w:color w:val="000000" w:themeColor="text1"/>
        </w:rPr>
      </w:pPr>
    </w:p>
    <w:p w:rsidR="008B2CC1" w:rsidRPr="00134491" w:rsidRDefault="008B2CC1" w:rsidP="008B2CC1">
      <w:pPr>
        <w:rPr>
          <w:color w:val="000000" w:themeColor="text1"/>
        </w:rPr>
      </w:pPr>
    </w:p>
    <w:p w:rsidR="008B2CC1" w:rsidRPr="00134491" w:rsidRDefault="003E5146" w:rsidP="008B2CC1">
      <w:pPr>
        <w:rPr>
          <w:b/>
          <w:color w:val="000000" w:themeColor="text1"/>
          <w:sz w:val="28"/>
          <w:szCs w:val="28"/>
        </w:rPr>
      </w:pPr>
      <w:r w:rsidRPr="00134491">
        <w:rPr>
          <w:b/>
          <w:color w:val="000000" w:themeColor="text1"/>
          <w:sz w:val="28"/>
          <w:szCs w:val="28"/>
        </w:rPr>
        <w:t>Committee on Development and Intellectual Property (CDIP)</w:t>
      </w:r>
    </w:p>
    <w:p w:rsidR="003845C1" w:rsidRPr="00134491" w:rsidRDefault="003845C1" w:rsidP="003845C1">
      <w:pPr>
        <w:rPr>
          <w:color w:val="000000" w:themeColor="text1"/>
        </w:rPr>
      </w:pPr>
    </w:p>
    <w:p w:rsidR="003845C1" w:rsidRPr="00134491" w:rsidRDefault="003845C1" w:rsidP="003845C1">
      <w:pPr>
        <w:rPr>
          <w:color w:val="000000" w:themeColor="text1"/>
        </w:rPr>
      </w:pPr>
    </w:p>
    <w:p w:rsidR="00DC7D73" w:rsidRPr="00134491" w:rsidRDefault="00DC7D73" w:rsidP="00DC7D73">
      <w:pPr>
        <w:outlineLvl w:val="0"/>
        <w:rPr>
          <w:b/>
          <w:color w:val="000000" w:themeColor="text1"/>
          <w:sz w:val="24"/>
          <w:szCs w:val="24"/>
        </w:rPr>
      </w:pPr>
      <w:r w:rsidRPr="00134491">
        <w:rPr>
          <w:b/>
          <w:color w:val="000000" w:themeColor="text1"/>
          <w:sz w:val="24"/>
          <w:szCs w:val="24"/>
        </w:rPr>
        <w:t>Twenty-Fourth Session</w:t>
      </w:r>
    </w:p>
    <w:p w:rsidR="00DC7D73" w:rsidRPr="00134491" w:rsidRDefault="00DC7D73" w:rsidP="00DC7D73">
      <w:pPr>
        <w:outlineLvl w:val="0"/>
        <w:rPr>
          <w:b/>
          <w:color w:val="000000" w:themeColor="text1"/>
          <w:sz w:val="24"/>
          <w:szCs w:val="24"/>
        </w:rPr>
      </w:pPr>
      <w:r w:rsidRPr="00134491">
        <w:rPr>
          <w:b/>
          <w:color w:val="000000" w:themeColor="text1"/>
          <w:sz w:val="24"/>
          <w:szCs w:val="24"/>
        </w:rPr>
        <w:t>Geneva, November 18 to 22, 2019</w:t>
      </w:r>
    </w:p>
    <w:p w:rsidR="008B2CC1" w:rsidRPr="00134491" w:rsidRDefault="008B2CC1" w:rsidP="008B2CC1">
      <w:pPr>
        <w:rPr>
          <w:color w:val="000000" w:themeColor="text1"/>
        </w:rPr>
      </w:pPr>
    </w:p>
    <w:p w:rsidR="008B2CC1" w:rsidRPr="00134491" w:rsidRDefault="008B2CC1" w:rsidP="008B2CC1">
      <w:pPr>
        <w:rPr>
          <w:color w:val="000000" w:themeColor="text1"/>
        </w:rPr>
      </w:pPr>
    </w:p>
    <w:p w:rsidR="008B2CC1" w:rsidRPr="00134491" w:rsidRDefault="008B2CC1" w:rsidP="008B2CC1">
      <w:pPr>
        <w:rPr>
          <w:color w:val="000000" w:themeColor="text1"/>
        </w:rPr>
      </w:pPr>
    </w:p>
    <w:p w:rsidR="008B2CC1" w:rsidRPr="00134491" w:rsidRDefault="00E73450" w:rsidP="008B2CC1">
      <w:pPr>
        <w:rPr>
          <w:caps/>
          <w:color w:val="000000" w:themeColor="text1"/>
          <w:sz w:val="24"/>
        </w:rPr>
      </w:pPr>
      <w:bookmarkStart w:id="4" w:name="TitleOfDoc"/>
      <w:bookmarkEnd w:id="4"/>
      <w:r w:rsidRPr="00134491">
        <w:rPr>
          <w:caps/>
          <w:color w:val="000000" w:themeColor="text1"/>
          <w:sz w:val="24"/>
        </w:rPr>
        <w:t>ACCREDITATION OF OBSERVERS</w:t>
      </w:r>
    </w:p>
    <w:p w:rsidR="00E73450" w:rsidRPr="00134491" w:rsidRDefault="00E73450" w:rsidP="008B2CC1">
      <w:pPr>
        <w:rPr>
          <w:caps/>
          <w:color w:val="000000" w:themeColor="text1"/>
          <w:sz w:val="24"/>
        </w:rPr>
      </w:pPr>
    </w:p>
    <w:p w:rsidR="00953FF3" w:rsidRPr="00134491" w:rsidRDefault="00953FF3" w:rsidP="008B2CC1">
      <w:pPr>
        <w:rPr>
          <w:caps/>
          <w:color w:val="000000" w:themeColor="text1"/>
          <w:sz w:val="24"/>
        </w:rPr>
      </w:pPr>
    </w:p>
    <w:p w:rsidR="00E73450" w:rsidRPr="00134491" w:rsidRDefault="00E73450" w:rsidP="00E73450">
      <w:pPr>
        <w:rPr>
          <w:i/>
          <w:color w:val="000000" w:themeColor="text1"/>
        </w:rPr>
      </w:pPr>
      <w:r w:rsidRPr="00134491">
        <w:rPr>
          <w:i/>
          <w:color w:val="000000" w:themeColor="text1"/>
        </w:rPr>
        <w:t>prepared by the Secretariat</w:t>
      </w:r>
    </w:p>
    <w:p w:rsidR="00E73450" w:rsidRPr="00134491" w:rsidRDefault="00E73450" w:rsidP="008B2CC1">
      <w:pPr>
        <w:rPr>
          <w:caps/>
          <w:color w:val="000000" w:themeColor="text1"/>
          <w:sz w:val="24"/>
        </w:rPr>
      </w:pPr>
    </w:p>
    <w:p w:rsidR="008B2CC1" w:rsidRPr="00134491" w:rsidRDefault="008B2CC1" w:rsidP="008B2CC1">
      <w:pPr>
        <w:rPr>
          <w:color w:val="000000" w:themeColor="text1"/>
        </w:rPr>
      </w:pPr>
    </w:p>
    <w:p w:rsidR="00953FF3" w:rsidRPr="00134491" w:rsidRDefault="00953FF3" w:rsidP="008B2CC1">
      <w:pPr>
        <w:rPr>
          <w:color w:val="000000" w:themeColor="text1"/>
        </w:rPr>
      </w:pPr>
    </w:p>
    <w:p w:rsidR="003E4407" w:rsidRPr="00134491" w:rsidRDefault="003E4407" w:rsidP="008B2CC1">
      <w:pPr>
        <w:rPr>
          <w:color w:val="000000" w:themeColor="text1"/>
        </w:rPr>
      </w:pPr>
    </w:p>
    <w:p w:rsidR="003E4407" w:rsidRPr="00134491" w:rsidRDefault="003E4407" w:rsidP="008B2CC1">
      <w:pPr>
        <w:rPr>
          <w:color w:val="000000" w:themeColor="text1"/>
        </w:rPr>
      </w:pPr>
    </w:p>
    <w:p w:rsidR="00E73450" w:rsidRPr="00134491" w:rsidRDefault="00E73450" w:rsidP="00E73450">
      <w:pPr>
        <w:pStyle w:val="ListParagraph"/>
        <w:numPr>
          <w:ilvl w:val="0"/>
          <w:numId w:val="7"/>
        </w:numPr>
        <w:ind w:left="0" w:firstLine="0"/>
        <w:rPr>
          <w:color w:val="000000" w:themeColor="text1"/>
        </w:rPr>
      </w:pPr>
      <w:bookmarkStart w:id="5" w:name="Prepared"/>
      <w:bookmarkEnd w:id="5"/>
      <w:r w:rsidRPr="00134491">
        <w:rPr>
          <w:color w:val="000000" w:themeColor="text1"/>
        </w:rPr>
        <w:t xml:space="preserve">The Rules of Procedure for the Committee on Development and Intellectual Property (CDIP) provide for </w:t>
      </w:r>
      <w:r w:rsidRPr="00134491">
        <w:rPr>
          <w:i/>
          <w:color w:val="000000" w:themeColor="text1"/>
        </w:rPr>
        <w:t>ad hoc</w:t>
      </w:r>
      <w:r w:rsidRPr="00134491">
        <w:rPr>
          <w:color w:val="000000" w:themeColor="text1"/>
        </w:rPr>
        <w:t xml:space="preserve"> accreditation as observers of intergovernmental and </w:t>
      </w:r>
      <w:r w:rsidRPr="00134491">
        <w:rPr>
          <w:color w:val="000000" w:themeColor="text1"/>
        </w:rPr>
        <w:br/>
        <w:t>non-governmental organizations for a period of one year (document CDIP/1/2 Rev.).</w:t>
      </w:r>
    </w:p>
    <w:p w:rsidR="00E73450" w:rsidRPr="00134491" w:rsidRDefault="00E73450" w:rsidP="00E73450">
      <w:pPr>
        <w:rPr>
          <w:color w:val="000000" w:themeColor="text1"/>
        </w:rPr>
      </w:pPr>
    </w:p>
    <w:p w:rsidR="00E73450" w:rsidRPr="00134491" w:rsidRDefault="00E73450" w:rsidP="00E73450">
      <w:pPr>
        <w:pStyle w:val="ListParagraph"/>
        <w:numPr>
          <w:ilvl w:val="0"/>
          <w:numId w:val="7"/>
        </w:numPr>
        <w:ind w:left="0" w:firstLine="0"/>
        <w:rPr>
          <w:color w:val="000000" w:themeColor="text1"/>
        </w:rPr>
      </w:pPr>
      <w:r w:rsidRPr="00134491">
        <w:rPr>
          <w:color w:val="000000" w:themeColor="text1"/>
        </w:rPr>
        <w:t xml:space="preserve">The Annex to this document contains information about </w:t>
      </w:r>
      <w:r w:rsidR="0077387B" w:rsidRPr="00134491">
        <w:rPr>
          <w:color w:val="000000" w:themeColor="text1"/>
        </w:rPr>
        <w:t>one</w:t>
      </w:r>
      <w:r w:rsidRPr="00134491">
        <w:rPr>
          <w:color w:val="000000" w:themeColor="text1"/>
        </w:rPr>
        <w:t xml:space="preserve"> non-governmental organization (NGO), namely</w:t>
      </w:r>
      <w:r w:rsidRPr="00134491">
        <w:rPr>
          <w:i/>
          <w:iCs/>
          <w:color w:val="000000" w:themeColor="text1"/>
        </w:rPr>
        <w:t>,</w:t>
      </w:r>
      <w:r w:rsidRPr="00134491">
        <w:rPr>
          <w:color w:val="000000" w:themeColor="text1"/>
        </w:rPr>
        <w:t xml:space="preserve"> </w:t>
      </w:r>
      <w:r w:rsidR="00134491" w:rsidRPr="00134491">
        <w:rPr>
          <w:bCs/>
          <w:color w:val="000000" w:themeColor="text1"/>
        </w:rPr>
        <w:t>Research Center For Innovation-Supported Entrepreneurial Ecosystem</w:t>
      </w:r>
      <w:r w:rsidR="00134491" w:rsidRPr="00134491">
        <w:rPr>
          <w:b/>
          <w:bCs/>
          <w:color w:val="000000" w:themeColor="text1"/>
        </w:rPr>
        <w:t xml:space="preserve"> </w:t>
      </w:r>
      <w:r w:rsidR="00134491" w:rsidRPr="0015479C">
        <w:rPr>
          <w:bCs/>
          <w:color w:val="000000" w:themeColor="text1"/>
        </w:rPr>
        <w:t>(</w:t>
      </w:r>
      <w:r w:rsidR="006F7759" w:rsidRPr="0015479C">
        <w:rPr>
          <w:color w:val="000000" w:themeColor="text1"/>
        </w:rPr>
        <w:t>RISE</w:t>
      </w:r>
      <w:r w:rsidR="00134491">
        <w:rPr>
          <w:color w:val="000000" w:themeColor="text1"/>
        </w:rPr>
        <w:t>)</w:t>
      </w:r>
      <w:r w:rsidRPr="00134491">
        <w:rPr>
          <w:color w:val="000000" w:themeColor="text1"/>
        </w:rPr>
        <w:t>, which ha</w:t>
      </w:r>
      <w:r w:rsidR="009564B5" w:rsidRPr="00134491">
        <w:rPr>
          <w:color w:val="000000" w:themeColor="text1"/>
        </w:rPr>
        <w:t>s</w:t>
      </w:r>
      <w:r w:rsidRPr="00134491">
        <w:rPr>
          <w:color w:val="000000" w:themeColor="text1"/>
        </w:rPr>
        <w:t xml:space="preserve"> requested to be granted </w:t>
      </w:r>
      <w:r w:rsidRPr="00134491">
        <w:rPr>
          <w:i/>
          <w:color w:val="000000" w:themeColor="text1"/>
        </w:rPr>
        <w:t>ad hoc</w:t>
      </w:r>
      <w:r w:rsidRPr="00134491">
        <w:rPr>
          <w:color w:val="000000" w:themeColor="text1"/>
        </w:rPr>
        <w:t xml:space="preserve"> observer status.  </w:t>
      </w:r>
    </w:p>
    <w:p w:rsidR="00E73450" w:rsidRPr="00134491" w:rsidRDefault="00E73450" w:rsidP="00E73450">
      <w:pPr>
        <w:rPr>
          <w:color w:val="000000" w:themeColor="text1"/>
        </w:rPr>
      </w:pPr>
    </w:p>
    <w:p w:rsidR="00E73450" w:rsidRPr="00134491" w:rsidRDefault="00E73450" w:rsidP="00E73450">
      <w:pPr>
        <w:pStyle w:val="DecisionInvitingPara"/>
        <w:rPr>
          <w:rFonts w:cs="Arial"/>
          <w:iCs/>
          <w:color w:val="000000" w:themeColor="text1"/>
          <w:sz w:val="22"/>
        </w:rPr>
      </w:pPr>
      <w:r w:rsidRPr="00134491">
        <w:rPr>
          <w:rFonts w:cs="Arial"/>
          <w:iCs/>
          <w:color w:val="000000" w:themeColor="text1"/>
          <w:sz w:val="22"/>
        </w:rPr>
        <w:t>3.</w:t>
      </w:r>
      <w:r w:rsidRPr="00134491">
        <w:rPr>
          <w:rFonts w:cs="Arial"/>
          <w:iCs/>
          <w:color w:val="000000" w:themeColor="text1"/>
          <w:sz w:val="22"/>
        </w:rPr>
        <w:tab/>
        <w:t xml:space="preserve">The CDIP is invited to take a decision on the request for accreditation of the NGO contained in the Annex to this document as ad hoc observer for a period of one year. </w:t>
      </w:r>
    </w:p>
    <w:p w:rsidR="00E73450" w:rsidRPr="00134491" w:rsidRDefault="00E73450" w:rsidP="00E73450">
      <w:pPr>
        <w:rPr>
          <w:i/>
          <w:color w:val="000000" w:themeColor="text1"/>
          <w:szCs w:val="22"/>
        </w:rPr>
      </w:pPr>
    </w:p>
    <w:p w:rsidR="00E73450" w:rsidRPr="00134491" w:rsidRDefault="00E73450" w:rsidP="00E73450">
      <w:pPr>
        <w:rPr>
          <w:i/>
          <w:color w:val="000000" w:themeColor="text1"/>
        </w:rPr>
      </w:pPr>
    </w:p>
    <w:p w:rsidR="00E73450" w:rsidRPr="00134491" w:rsidRDefault="00E73450" w:rsidP="00E73450">
      <w:pPr>
        <w:rPr>
          <w:i/>
          <w:color w:val="000000" w:themeColor="text1"/>
        </w:rPr>
      </w:pPr>
    </w:p>
    <w:p w:rsidR="00E73450" w:rsidRPr="00134491" w:rsidRDefault="00E73450" w:rsidP="00E73450">
      <w:pPr>
        <w:pStyle w:val="EndofDocument"/>
        <w:jc w:val="left"/>
        <w:rPr>
          <w:rFonts w:ascii="Arial" w:hAnsi="Arial" w:cs="Arial"/>
          <w:color w:val="000000" w:themeColor="text1"/>
          <w:sz w:val="22"/>
          <w:szCs w:val="22"/>
        </w:rPr>
      </w:pPr>
      <w:r w:rsidRPr="00134491">
        <w:rPr>
          <w:color w:val="000000" w:themeColor="text1"/>
        </w:rPr>
        <w:t>[</w:t>
      </w:r>
      <w:r w:rsidRPr="00134491">
        <w:rPr>
          <w:rFonts w:ascii="Arial" w:hAnsi="Arial" w:cs="Arial"/>
          <w:color w:val="000000" w:themeColor="text1"/>
          <w:sz w:val="22"/>
          <w:szCs w:val="22"/>
        </w:rPr>
        <w:t>Annex follow</w:t>
      </w:r>
      <w:r w:rsidR="00134491">
        <w:rPr>
          <w:rFonts w:ascii="Arial" w:hAnsi="Arial" w:cs="Arial"/>
          <w:color w:val="000000" w:themeColor="text1"/>
          <w:sz w:val="22"/>
          <w:szCs w:val="22"/>
        </w:rPr>
        <w:t>s</w:t>
      </w:r>
      <w:r w:rsidRPr="00134491">
        <w:rPr>
          <w:rFonts w:ascii="Arial" w:hAnsi="Arial" w:cs="Arial"/>
          <w:color w:val="000000" w:themeColor="text1"/>
          <w:sz w:val="22"/>
          <w:szCs w:val="22"/>
        </w:rPr>
        <w:t>]</w:t>
      </w:r>
    </w:p>
    <w:p w:rsidR="00953FF3" w:rsidRPr="00134491" w:rsidRDefault="00953FF3" w:rsidP="00E73450">
      <w:pPr>
        <w:pStyle w:val="EndofDocument"/>
        <w:jc w:val="left"/>
        <w:rPr>
          <w:rFonts w:ascii="Arial" w:hAnsi="Arial" w:cs="Arial"/>
          <w:color w:val="000000" w:themeColor="text1"/>
          <w:sz w:val="22"/>
          <w:szCs w:val="22"/>
        </w:rPr>
      </w:pPr>
    </w:p>
    <w:p w:rsidR="00953FF3" w:rsidRPr="00134491" w:rsidRDefault="00953FF3" w:rsidP="00E73450">
      <w:pPr>
        <w:pStyle w:val="EndofDocument"/>
        <w:jc w:val="left"/>
        <w:rPr>
          <w:rFonts w:ascii="Arial" w:hAnsi="Arial" w:cs="Arial"/>
          <w:color w:val="000000" w:themeColor="text1"/>
          <w:sz w:val="22"/>
          <w:szCs w:val="22"/>
        </w:rPr>
      </w:pPr>
    </w:p>
    <w:p w:rsidR="00953FF3" w:rsidRPr="00134491" w:rsidRDefault="00953FF3" w:rsidP="00E73450">
      <w:pPr>
        <w:pStyle w:val="EndofDocument"/>
        <w:jc w:val="left"/>
        <w:rPr>
          <w:rFonts w:ascii="Arial" w:hAnsi="Arial" w:cs="Arial"/>
          <w:color w:val="000000" w:themeColor="text1"/>
          <w:sz w:val="22"/>
          <w:szCs w:val="22"/>
        </w:rPr>
      </w:pPr>
    </w:p>
    <w:p w:rsidR="009564B5" w:rsidRPr="00134491" w:rsidRDefault="009564B5" w:rsidP="00E73450">
      <w:pPr>
        <w:pStyle w:val="EndofDocument"/>
        <w:jc w:val="left"/>
        <w:rPr>
          <w:rFonts w:ascii="Arial" w:hAnsi="Arial" w:cs="Arial"/>
          <w:color w:val="000000" w:themeColor="text1"/>
          <w:sz w:val="22"/>
          <w:szCs w:val="22"/>
        </w:rPr>
      </w:pPr>
    </w:p>
    <w:p w:rsidR="009564B5" w:rsidRPr="00134491" w:rsidRDefault="009564B5" w:rsidP="00E73450">
      <w:pPr>
        <w:pStyle w:val="EndofDocument"/>
        <w:jc w:val="left"/>
        <w:rPr>
          <w:rFonts w:ascii="Arial" w:hAnsi="Arial" w:cs="Arial"/>
          <w:color w:val="000000" w:themeColor="text1"/>
          <w:sz w:val="22"/>
          <w:szCs w:val="22"/>
        </w:rPr>
      </w:pPr>
    </w:p>
    <w:p w:rsidR="009564B5" w:rsidRPr="00134491" w:rsidRDefault="009564B5" w:rsidP="00E73450">
      <w:pPr>
        <w:pStyle w:val="EndofDocument"/>
        <w:jc w:val="left"/>
        <w:rPr>
          <w:rFonts w:ascii="Arial" w:hAnsi="Arial" w:cs="Arial"/>
          <w:color w:val="000000" w:themeColor="text1"/>
          <w:sz w:val="22"/>
          <w:szCs w:val="22"/>
        </w:rPr>
      </w:pPr>
    </w:p>
    <w:p w:rsidR="00953FF3" w:rsidRPr="00134491" w:rsidRDefault="00953FF3" w:rsidP="00E73450">
      <w:pPr>
        <w:pStyle w:val="EndofDocument"/>
        <w:jc w:val="left"/>
        <w:rPr>
          <w:rFonts w:ascii="Arial" w:hAnsi="Arial" w:cs="Arial"/>
          <w:color w:val="000000" w:themeColor="text1"/>
          <w:sz w:val="22"/>
          <w:szCs w:val="22"/>
        </w:rPr>
      </w:pPr>
    </w:p>
    <w:p w:rsidR="00953FF3" w:rsidRPr="00134491" w:rsidRDefault="00953FF3" w:rsidP="00516E3D">
      <w:pPr>
        <w:pStyle w:val="EndofDocument"/>
        <w:ind w:left="0"/>
        <w:jc w:val="left"/>
        <w:rPr>
          <w:rFonts w:ascii="Arial" w:hAnsi="Arial" w:cs="Arial"/>
          <w:color w:val="000000" w:themeColor="text1"/>
          <w:sz w:val="22"/>
          <w:szCs w:val="22"/>
        </w:rPr>
      </w:pPr>
    </w:p>
    <w:p w:rsidR="00953FF3" w:rsidRPr="00134491" w:rsidRDefault="0035669B" w:rsidP="0035669B">
      <w:pPr>
        <w:rPr>
          <w:color w:val="000000" w:themeColor="text1"/>
          <w:sz w:val="24"/>
          <w:szCs w:val="24"/>
        </w:rPr>
      </w:pPr>
      <w:r w:rsidRPr="00134491">
        <w:rPr>
          <w:b/>
          <w:bCs/>
          <w:color w:val="000000" w:themeColor="text1"/>
          <w:sz w:val="24"/>
          <w:szCs w:val="24"/>
        </w:rPr>
        <w:t>RESEARCH CENTER FOR INNOVATION-SUPPORTED ENTREPRENEURIAL ECOSYSTEM (RISE)</w:t>
      </w:r>
    </w:p>
    <w:p w:rsidR="00BC2A71" w:rsidRPr="00134491" w:rsidRDefault="00BC2A71" w:rsidP="00BC2A71">
      <w:pPr>
        <w:widowControl w:val="0"/>
        <w:tabs>
          <w:tab w:val="left" w:pos="1298"/>
          <w:tab w:val="left" w:pos="1299"/>
        </w:tabs>
        <w:autoSpaceDE w:val="0"/>
        <w:autoSpaceDN w:val="0"/>
        <w:spacing w:before="183"/>
        <w:rPr>
          <w:color w:val="000000" w:themeColor="text1"/>
          <w:szCs w:val="22"/>
        </w:rPr>
      </w:pPr>
    </w:p>
    <w:p w:rsidR="00BC2A71" w:rsidRPr="00134491" w:rsidRDefault="00BC2A71" w:rsidP="00BC2A71">
      <w:pPr>
        <w:widowControl w:val="0"/>
        <w:tabs>
          <w:tab w:val="left" w:pos="1298"/>
          <w:tab w:val="left" w:pos="1299"/>
        </w:tabs>
        <w:autoSpaceDE w:val="0"/>
        <w:autoSpaceDN w:val="0"/>
        <w:spacing w:before="183"/>
        <w:rPr>
          <w:color w:val="000000" w:themeColor="text1"/>
          <w:szCs w:val="22"/>
        </w:rPr>
      </w:pPr>
      <w:r w:rsidRPr="00134491">
        <w:rPr>
          <w:color w:val="000000" w:themeColor="text1"/>
          <w:szCs w:val="22"/>
        </w:rPr>
        <w:t>L</w:t>
      </w:r>
      <w:r w:rsidR="006F7759" w:rsidRPr="00134491">
        <w:rPr>
          <w:color w:val="000000" w:themeColor="text1"/>
          <w:szCs w:val="22"/>
        </w:rPr>
        <w:t xml:space="preserve">IST OF ITS OFFICERS </w:t>
      </w:r>
    </w:p>
    <w:p w:rsidR="00370C2A" w:rsidRDefault="00370C2A" w:rsidP="00370C2A">
      <w:pPr>
        <w:pStyle w:val="BodyText"/>
        <w:spacing w:before="10"/>
        <w:rPr>
          <w:color w:val="000000" w:themeColor="text1"/>
          <w:szCs w:val="22"/>
        </w:rPr>
      </w:pP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Tatang H. Tachi</w:t>
      </w:r>
      <w:r>
        <w:rPr>
          <w:color w:val="000000" w:themeColor="text1"/>
        </w:rPr>
        <w:t xml:space="preserve"> (United States of America)</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Ghejung Awunti</w:t>
      </w:r>
      <w:r>
        <w:rPr>
          <w:color w:val="000000" w:themeColor="text1"/>
        </w:rPr>
        <w:t xml:space="preserve"> (United States of America)</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Celestine Kweh</w:t>
      </w:r>
      <w:r>
        <w:rPr>
          <w:color w:val="000000" w:themeColor="text1"/>
        </w:rPr>
        <w:t xml:space="preserve"> (Cameroonian)</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Chuichui Rigobert</w:t>
      </w:r>
      <w:r>
        <w:rPr>
          <w:color w:val="000000" w:themeColor="text1"/>
        </w:rPr>
        <w:t xml:space="preserve"> (Cameroonian)</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Endam N. Nchonui</w:t>
      </w:r>
      <w:r>
        <w:rPr>
          <w:color w:val="000000" w:themeColor="text1"/>
        </w:rPr>
        <w:t xml:space="preserve"> (Cameroonian)</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Ogoroh Justice</w:t>
      </w:r>
      <w:r>
        <w:rPr>
          <w:color w:val="000000" w:themeColor="text1"/>
        </w:rPr>
        <w:t xml:space="preserve"> (Nigerian)</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Catherine Omanyo</w:t>
      </w:r>
      <w:r>
        <w:rPr>
          <w:color w:val="000000" w:themeColor="text1"/>
        </w:rPr>
        <w:t xml:space="preserve"> (Kenyan)</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Ademibo Oroale</w:t>
      </w:r>
      <w:r>
        <w:rPr>
          <w:color w:val="000000" w:themeColor="text1"/>
        </w:rPr>
        <w:t xml:space="preserve"> (Nigerian)</w:t>
      </w:r>
    </w:p>
    <w:p w:rsidR="00370C2A" w:rsidRPr="00370C2A" w:rsidRDefault="00370C2A" w:rsidP="00370C2A">
      <w:pPr>
        <w:pStyle w:val="BodyText"/>
        <w:numPr>
          <w:ilvl w:val="0"/>
          <w:numId w:val="10"/>
        </w:numPr>
        <w:ind w:right="211"/>
        <w:jc w:val="both"/>
        <w:rPr>
          <w:color w:val="000000" w:themeColor="text1"/>
        </w:rPr>
      </w:pPr>
      <w:r w:rsidRPr="00370C2A">
        <w:rPr>
          <w:color w:val="000000" w:themeColor="text1"/>
        </w:rPr>
        <w:t>Peter Tah</w:t>
      </w:r>
      <w:r>
        <w:rPr>
          <w:color w:val="000000" w:themeColor="text1"/>
        </w:rPr>
        <w:t xml:space="preserve"> (British)</w:t>
      </w:r>
    </w:p>
    <w:p w:rsidR="00370C2A" w:rsidRPr="00134491" w:rsidRDefault="00370C2A" w:rsidP="00BC2A71">
      <w:pPr>
        <w:pStyle w:val="BodyText"/>
        <w:spacing w:before="10"/>
        <w:rPr>
          <w:color w:val="000000" w:themeColor="text1"/>
          <w:szCs w:val="22"/>
        </w:rPr>
      </w:pPr>
    </w:p>
    <w:p w:rsidR="00953FF3" w:rsidRPr="00134491" w:rsidRDefault="00953FF3" w:rsidP="00BC2A71">
      <w:pPr>
        <w:pStyle w:val="Heading2"/>
        <w:spacing w:before="0" w:after="0"/>
        <w:rPr>
          <w:color w:val="000000" w:themeColor="text1"/>
          <w:szCs w:val="22"/>
        </w:rPr>
      </w:pPr>
      <w:r w:rsidRPr="00134491">
        <w:rPr>
          <w:color w:val="000000" w:themeColor="text1"/>
          <w:szCs w:val="22"/>
        </w:rPr>
        <w:t>MISSION AND VISION OF THE organiZation</w:t>
      </w:r>
    </w:p>
    <w:p w:rsidR="00953FF3" w:rsidRPr="00134491" w:rsidRDefault="00953FF3" w:rsidP="00953FF3">
      <w:pPr>
        <w:rPr>
          <w:color w:val="000000" w:themeColor="text1"/>
          <w:szCs w:val="22"/>
        </w:rPr>
      </w:pPr>
    </w:p>
    <w:p w:rsidR="00BC2A71" w:rsidRPr="00134491" w:rsidRDefault="00BC2A71" w:rsidP="00BC2A71">
      <w:pPr>
        <w:pStyle w:val="BodyText"/>
        <w:ind w:right="215"/>
        <w:jc w:val="both"/>
        <w:rPr>
          <w:color w:val="000000" w:themeColor="text1"/>
        </w:rPr>
      </w:pPr>
      <w:r w:rsidRPr="00134491">
        <w:rPr>
          <w:color w:val="000000" w:themeColor="text1"/>
        </w:rPr>
        <w:t>RISE is a non-profit organization operated exclusively for educational, policy, training and capacity building purposes in developing and least developed countries.</w:t>
      </w:r>
    </w:p>
    <w:p w:rsidR="00BC2A71" w:rsidRPr="00134491" w:rsidRDefault="00BC2A71" w:rsidP="00370C2A">
      <w:pPr>
        <w:pStyle w:val="BodyText"/>
        <w:ind w:right="212"/>
        <w:jc w:val="both"/>
        <w:rPr>
          <w:color w:val="000000" w:themeColor="text1"/>
        </w:rPr>
      </w:pPr>
      <w:r w:rsidRPr="00134491">
        <w:rPr>
          <w:color w:val="000000" w:themeColor="text1"/>
        </w:rPr>
        <w:t>RISE provides consultancy and customized training services with strong focus on IP, Technology Transfer, Development, Entrepreneurship and Commercialization</w:t>
      </w:r>
      <w:r w:rsidR="00370C2A">
        <w:rPr>
          <w:color w:val="000000" w:themeColor="text1"/>
        </w:rPr>
        <w:t xml:space="preserve">.  </w:t>
      </w:r>
      <w:r w:rsidRPr="00134491">
        <w:rPr>
          <w:color w:val="000000" w:themeColor="text1"/>
        </w:rPr>
        <w:t>The activities of RISE are dedicated education and technical capacity building assistance through giving lectures and slideshows, participate in research, and policy development to build IP capacity and supporting institutions such as establishing university-based technology transfer offices (TTOs) and technology incubators (TIs) to strengthen university-industry</w:t>
      </w:r>
      <w:r w:rsidRPr="00134491">
        <w:rPr>
          <w:color w:val="000000" w:themeColor="text1"/>
          <w:spacing w:val="-20"/>
        </w:rPr>
        <w:t xml:space="preserve"> </w:t>
      </w:r>
      <w:r w:rsidRPr="00134491">
        <w:rPr>
          <w:color w:val="000000" w:themeColor="text1"/>
        </w:rPr>
        <w:t>connection.</w:t>
      </w:r>
    </w:p>
    <w:p w:rsidR="00BC2A71" w:rsidRPr="00134491" w:rsidRDefault="00BC2A71" w:rsidP="00BC2A71">
      <w:pPr>
        <w:pStyle w:val="BodyText"/>
        <w:spacing w:before="100" w:beforeAutospacing="1" w:after="100" w:afterAutospacing="1"/>
        <w:ind w:right="211"/>
        <w:jc w:val="both"/>
        <w:rPr>
          <w:color w:val="000000" w:themeColor="text1"/>
        </w:rPr>
      </w:pPr>
      <w:r w:rsidRPr="00134491">
        <w:rPr>
          <w:color w:val="000000" w:themeColor="text1"/>
        </w:rPr>
        <w:t>Accelerating the development of human capacity and institutional infrastructure through professional training designed to develop IP professional and technology managers to support public sector institutions and governments in the IP and technology development, and to commercialize innovative technologies through technology transfer to industry or through creating a start-up or a spin-off.</w:t>
      </w:r>
    </w:p>
    <w:p w:rsidR="00BC2A71" w:rsidRPr="00134491" w:rsidRDefault="00BC2A71" w:rsidP="00BC2A71">
      <w:pPr>
        <w:pStyle w:val="BodyText"/>
        <w:spacing w:before="100" w:beforeAutospacing="1" w:after="100" w:afterAutospacing="1"/>
        <w:ind w:right="214"/>
        <w:jc w:val="both"/>
        <w:rPr>
          <w:color w:val="000000" w:themeColor="text1"/>
        </w:rPr>
      </w:pPr>
      <w:r w:rsidRPr="00134491">
        <w:rPr>
          <w:color w:val="000000" w:themeColor="text1"/>
        </w:rPr>
        <w:t>RISE focuses on creating a critical mass of IP professionals with skills and knowledge to increase awareness of the benefits derived from developing efficient and effective IP, entrepreneurship and legal professionals and IP institution building through training and capacity building for effective use of intellectual property rights (IPRs) to benefit countries economically.</w:t>
      </w:r>
    </w:p>
    <w:p w:rsidR="00BC2A71" w:rsidRPr="00134491" w:rsidRDefault="00BC2A71" w:rsidP="00BC2A71">
      <w:pPr>
        <w:pStyle w:val="BodyText"/>
        <w:ind w:right="221"/>
        <w:jc w:val="both"/>
        <w:rPr>
          <w:color w:val="000000" w:themeColor="text1"/>
        </w:rPr>
      </w:pPr>
      <w:r w:rsidRPr="00134491">
        <w:rPr>
          <w:color w:val="000000" w:themeColor="text1"/>
        </w:rPr>
        <w:t>RISE provides consultancy services to Universities, Research Institutions and Governments on development of IP/technology transfer policies and IP commercialization strategies.</w:t>
      </w:r>
    </w:p>
    <w:p w:rsidR="00BC2A71" w:rsidRPr="00134491" w:rsidRDefault="00BC2A71" w:rsidP="00BC2A71">
      <w:pPr>
        <w:pStyle w:val="BodyText"/>
        <w:ind w:right="212"/>
        <w:jc w:val="both"/>
        <w:rPr>
          <w:color w:val="000000" w:themeColor="text1"/>
        </w:rPr>
      </w:pPr>
      <w:r w:rsidRPr="00134491">
        <w:rPr>
          <w:color w:val="000000" w:themeColor="text1"/>
        </w:rPr>
        <w:t>RISE programs are aimed at facilitating connectivity between university and industry to promote and achieve market appropriate technical skill acquisition for translating relevant research coming out of universities to yield greater innovation via licensing and commercialization with long-term social, economic, and environmental impacts in areas including engineering, manufacturing, agriculture, health, education, energy and mitigation of climate effects particularly for developing and least developed countries.</w:t>
      </w:r>
    </w:p>
    <w:p w:rsidR="00BC2A71" w:rsidRPr="00134491" w:rsidRDefault="00BC2A71" w:rsidP="00BC2A71">
      <w:pPr>
        <w:pStyle w:val="BodyText"/>
        <w:ind w:right="213"/>
        <w:jc w:val="both"/>
        <w:rPr>
          <w:color w:val="000000" w:themeColor="text1"/>
        </w:rPr>
      </w:pPr>
      <w:r w:rsidRPr="00134491">
        <w:rPr>
          <w:color w:val="000000" w:themeColor="text1"/>
        </w:rPr>
        <w:t>RISE program also include promoting IP protection and enforcement through building the legal commercial environment, and institutional capacities in public sector institutions in developing countries that are critical to fostering attractive business opportunities, and for supporting domestic and international trade, increased compliance with international and bilateral trade</w:t>
      </w:r>
      <w:r w:rsidRPr="00134491">
        <w:rPr>
          <w:color w:val="000000" w:themeColor="text1"/>
          <w:spacing w:val="-1"/>
        </w:rPr>
        <w:t xml:space="preserve"> </w:t>
      </w:r>
      <w:r w:rsidRPr="00134491">
        <w:rPr>
          <w:color w:val="000000" w:themeColor="text1"/>
        </w:rPr>
        <w:t>obligations.</w:t>
      </w:r>
    </w:p>
    <w:p w:rsidR="00BC2A71" w:rsidRPr="00134491" w:rsidRDefault="00BC2A71" w:rsidP="00BC2A71">
      <w:pPr>
        <w:pStyle w:val="BodyText"/>
        <w:ind w:right="211"/>
        <w:jc w:val="both"/>
        <w:rPr>
          <w:color w:val="000000" w:themeColor="text1"/>
        </w:rPr>
      </w:pPr>
      <w:r w:rsidRPr="00134491">
        <w:rPr>
          <w:color w:val="000000" w:themeColor="text1"/>
        </w:rPr>
        <w:t>To maximize the impact on current efforts, RISE seeks to collaborate with other organizations e.g., WIPO, OAPI, ARIPO, EPO, the USPTO, U.S. Dept. of Commerce and the World Bank, and global network building of IP professionals from Africa, Latin America and Asia.</w:t>
      </w:r>
    </w:p>
    <w:p w:rsidR="00BC2A71" w:rsidRPr="00134491" w:rsidRDefault="00BC2A71" w:rsidP="00BC2A71">
      <w:pPr>
        <w:pStyle w:val="BodyText"/>
        <w:rPr>
          <w:color w:val="000000" w:themeColor="text1"/>
        </w:rPr>
      </w:pPr>
    </w:p>
    <w:p w:rsidR="00953FF3" w:rsidRPr="00134491" w:rsidRDefault="00953FF3" w:rsidP="00516E3D">
      <w:pPr>
        <w:pStyle w:val="EndofDocument"/>
        <w:ind w:left="0"/>
        <w:jc w:val="left"/>
        <w:rPr>
          <w:rFonts w:ascii="Arial" w:hAnsi="Arial" w:cs="Arial"/>
          <w:color w:val="000000" w:themeColor="text1"/>
          <w:sz w:val="22"/>
          <w:szCs w:val="22"/>
        </w:rPr>
      </w:pPr>
    </w:p>
    <w:p w:rsidR="00953FF3" w:rsidRPr="00134491" w:rsidRDefault="00953FF3" w:rsidP="00953FF3">
      <w:pPr>
        <w:spacing w:line="260" w:lineRule="exact"/>
        <w:rPr>
          <w:color w:val="000000" w:themeColor="text1"/>
          <w:szCs w:val="22"/>
        </w:rPr>
      </w:pPr>
      <w:r w:rsidRPr="00134491">
        <w:rPr>
          <w:color w:val="000000" w:themeColor="text1"/>
          <w:szCs w:val="22"/>
        </w:rPr>
        <w:t xml:space="preserve">FULL CONTACT DETAILS: </w:t>
      </w:r>
    </w:p>
    <w:p w:rsidR="00953FF3" w:rsidRPr="00134491" w:rsidRDefault="00953FF3" w:rsidP="00953FF3">
      <w:pPr>
        <w:rPr>
          <w:i/>
          <w:color w:val="000000" w:themeColor="text1"/>
          <w:szCs w:val="22"/>
        </w:rPr>
      </w:pPr>
    </w:p>
    <w:p w:rsidR="006F7759" w:rsidRPr="00134491" w:rsidRDefault="003E4407" w:rsidP="006F7759">
      <w:pPr>
        <w:pStyle w:val="BodyText"/>
        <w:kinsoku w:val="0"/>
        <w:overflowPunct w:val="0"/>
        <w:spacing w:before="111"/>
        <w:rPr>
          <w:color w:val="000000" w:themeColor="text1"/>
          <w:w w:val="105"/>
          <w:szCs w:val="22"/>
        </w:rPr>
      </w:pPr>
      <w:r w:rsidRPr="00134491">
        <w:rPr>
          <w:color w:val="000000" w:themeColor="text1"/>
          <w:szCs w:val="22"/>
        </w:rPr>
        <w:t>Address:</w:t>
      </w:r>
      <w:r w:rsidR="006F7759" w:rsidRPr="00134491">
        <w:rPr>
          <w:color w:val="000000" w:themeColor="text1"/>
          <w:w w:val="105"/>
          <w:szCs w:val="22"/>
        </w:rPr>
        <w:t xml:space="preserve"> 1099 Matchstck pl SW, Concord NC 28025</w:t>
      </w:r>
      <w:r w:rsidR="00AD7800">
        <w:rPr>
          <w:color w:val="000000" w:themeColor="text1"/>
          <w:w w:val="105"/>
          <w:szCs w:val="22"/>
        </w:rPr>
        <w:t xml:space="preserve">, New Hampshire, United States of America </w:t>
      </w:r>
    </w:p>
    <w:p w:rsidR="006F7759" w:rsidRDefault="006F7759" w:rsidP="006F7759">
      <w:pPr>
        <w:pStyle w:val="BodyText"/>
        <w:kinsoku w:val="0"/>
        <w:overflowPunct w:val="0"/>
        <w:spacing w:before="111"/>
        <w:rPr>
          <w:color w:val="000000" w:themeColor="text1"/>
          <w:w w:val="105"/>
          <w:szCs w:val="22"/>
        </w:rPr>
      </w:pPr>
      <w:r w:rsidRPr="00134491">
        <w:rPr>
          <w:color w:val="000000" w:themeColor="text1"/>
          <w:w w:val="105"/>
          <w:szCs w:val="22"/>
        </w:rPr>
        <w:t>Office Phone Number: 808-800-1680</w:t>
      </w:r>
    </w:p>
    <w:p w:rsidR="00AD7800" w:rsidRDefault="00AD7800" w:rsidP="006F7759">
      <w:pPr>
        <w:pStyle w:val="BodyText"/>
        <w:kinsoku w:val="0"/>
        <w:overflowPunct w:val="0"/>
        <w:spacing w:before="111"/>
        <w:rPr>
          <w:color w:val="000000" w:themeColor="text1"/>
          <w:w w:val="105"/>
          <w:szCs w:val="22"/>
        </w:rPr>
      </w:pPr>
      <w:r>
        <w:rPr>
          <w:color w:val="000000" w:themeColor="text1"/>
          <w:w w:val="105"/>
          <w:szCs w:val="22"/>
        </w:rPr>
        <w:t xml:space="preserve">Website: </w:t>
      </w:r>
      <w:hyperlink r:id="rId8" w:history="1">
        <w:r>
          <w:rPr>
            <w:rStyle w:val="Hyperlink"/>
          </w:rPr>
          <w:t>http://risecosystem.com/</w:t>
        </w:r>
      </w:hyperlink>
      <w:r>
        <w:t xml:space="preserve"> </w:t>
      </w:r>
    </w:p>
    <w:p w:rsidR="009564B5" w:rsidRPr="00134491" w:rsidRDefault="009564B5" w:rsidP="00953FF3">
      <w:pPr>
        <w:rPr>
          <w:color w:val="000000" w:themeColor="text1"/>
        </w:rPr>
      </w:pPr>
    </w:p>
    <w:p w:rsidR="006F7759" w:rsidRPr="00134491" w:rsidRDefault="006F7759" w:rsidP="009564B5">
      <w:pPr>
        <w:jc w:val="right"/>
        <w:rPr>
          <w:color w:val="000000" w:themeColor="text1"/>
        </w:rPr>
      </w:pPr>
    </w:p>
    <w:p w:rsidR="009564B5" w:rsidRPr="00134491" w:rsidRDefault="009564B5" w:rsidP="009564B5">
      <w:pPr>
        <w:jc w:val="right"/>
        <w:rPr>
          <w:color w:val="000000" w:themeColor="text1"/>
        </w:rPr>
      </w:pPr>
      <w:r w:rsidRPr="00134491">
        <w:rPr>
          <w:color w:val="000000" w:themeColor="text1"/>
        </w:rPr>
        <w:t>[End of Annex and of document]</w:t>
      </w:r>
    </w:p>
    <w:p w:rsidR="00FF478F" w:rsidRPr="00134491" w:rsidRDefault="00FF478F">
      <w:pPr>
        <w:rPr>
          <w:color w:val="000000" w:themeColor="text1"/>
        </w:rPr>
      </w:pPr>
    </w:p>
    <w:sectPr w:rsidR="00FF478F" w:rsidRPr="00134491" w:rsidSect="006F7759">
      <w:headerReference w:type="even" r:id="rId9"/>
      <w:headerReference w:type="default" r:id="rId10"/>
      <w:endnotePr>
        <w:numFmt w:val="decimal"/>
      </w:endnotePr>
      <w:pgSz w:w="11907" w:h="16840" w:code="9"/>
      <w:pgMar w:top="562" w:right="1138" w:bottom="1411" w:left="1411"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D4" w:rsidRDefault="00BE2BD4">
      <w:r>
        <w:separator/>
      </w:r>
    </w:p>
  </w:endnote>
  <w:endnote w:type="continuationSeparator" w:id="0">
    <w:p w:rsidR="00BE2BD4" w:rsidRDefault="00BE2BD4" w:rsidP="003B38C1">
      <w:r>
        <w:separator/>
      </w:r>
    </w:p>
    <w:p w:rsidR="00BE2BD4" w:rsidRPr="003B38C1" w:rsidRDefault="00BE2BD4" w:rsidP="003B38C1">
      <w:pPr>
        <w:spacing w:after="60"/>
        <w:rPr>
          <w:sz w:val="17"/>
        </w:rPr>
      </w:pPr>
      <w:r>
        <w:rPr>
          <w:sz w:val="17"/>
        </w:rPr>
        <w:t>[Endnote continued from previous page]</w:t>
      </w:r>
    </w:p>
  </w:endnote>
  <w:endnote w:type="continuationNotice" w:id="1">
    <w:p w:rsidR="00BE2BD4" w:rsidRPr="003B38C1" w:rsidRDefault="00BE2B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D4" w:rsidRDefault="00BE2BD4">
      <w:r>
        <w:separator/>
      </w:r>
    </w:p>
  </w:footnote>
  <w:footnote w:type="continuationSeparator" w:id="0">
    <w:p w:rsidR="00BE2BD4" w:rsidRDefault="00BE2BD4" w:rsidP="008B60B2">
      <w:r>
        <w:separator/>
      </w:r>
    </w:p>
    <w:p w:rsidR="00BE2BD4" w:rsidRPr="00ED77FB" w:rsidRDefault="00BE2BD4" w:rsidP="008B60B2">
      <w:pPr>
        <w:spacing w:after="60"/>
        <w:rPr>
          <w:sz w:val="17"/>
          <w:szCs w:val="17"/>
        </w:rPr>
      </w:pPr>
      <w:r w:rsidRPr="00ED77FB">
        <w:rPr>
          <w:sz w:val="17"/>
          <w:szCs w:val="17"/>
        </w:rPr>
        <w:t>[Footnote continued from previous page]</w:t>
      </w:r>
    </w:p>
  </w:footnote>
  <w:footnote w:type="continuationNotice" w:id="1">
    <w:p w:rsidR="00BE2BD4" w:rsidRPr="00ED77FB" w:rsidRDefault="00BE2B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B5" w:rsidRDefault="006F7759" w:rsidP="009564B5">
    <w:pPr>
      <w:pStyle w:val="Header"/>
      <w:jc w:val="right"/>
    </w:pPr>
    <w:r>
      <w:t>CDIP/24/13</w:t>
    </w:r>
  </w:p>
  <w:p w:rsidR="009564B5" w:rsidRDefault="009564B5" w:rsidP="009564B5">
    <w:pPr>
      <w:pStyle w:val="Header"/>
      <w:jc w:val="right"/>
    </w:pPr>
    <w:r>
      <w:t>ANNEX</w:t>
    </w:r>
  </w:p>
  <w:p w:rsidR="009564B5" w:rsidRDefault="009564B5">
    <w:pPr>
      <w:pStyle w:val="Header"/>
    </w:pPr>
  </w:p>
  <w:p w:rsidR="00134491" w:rsidRDefault="0013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759" w:rsidRDefault="006F7759" w:rsidP="006F7759">
    <w:pPr>
      <w:pStyle w:val="Header"/>
      <w:jc w:val="right"/>
    </w:pPr>
    <w:r>
      <w:t>CDIP/24/13</w:t>
    </w:r>
  </w:p>
  <w:p w:rsidR="006F7759" w:rsidRDefault="006F7759" w:rsidP="006F7759">
    <w:pPr>
      <w:pStyle w:val="Header"/>
      <w:jc w:val="right"/>
    </w:pPr>
    <w:r>
      <w:t>Annex, page 2</w:t>
    </w:r>
  </w:p>
  <w:p w:rsidR="008A134B" w:rsidRDefault="008A134B" w:rsidP="00516E3D"/>
  <w:p w:rsidR="00134491" w:rsidRDefault="00134491" w:rsidP="00516E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D00754"/>
    <w:multiLevelType w:val="hybridMultilevel"/>
    <w:tmpl w:val="817858C2"/>
    <w:lvl w:ilvl="0" w:tplc="876834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7B12F9"/>
    <w:multiLevelType w:val="hybridMultilevel"/>
    <w:tmpl w:val="1810A4BA"/>
    <w:lvl w:ilvl="0" w:tplc="44F4A870">
      <w:numFmt w:val="bullet"/>
      <w:lvlText w:val="-"/>
      <w:lvlJc w:val="left"/>
      <w:pPr>
        <w:ind w:left="720" w:hanging="360"/>
      </w:pPr>
      <w:rPr>
        <w:rFonts w:ascii="Times New Roman" w:eastAsia="Times New Roman" w:hAnsi="Times New Roman" w:cs="Times New Roman" w:hint="default"/>
        <w:color w:val="333333"/>
        <w:spacing w:val="-5"/>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61F2"/>
    <w:multiLevelType w:val="hybridMultilevel"/>
    <w:tmpl w:val="81DEA1DE"/>
    <w:lvl w:ilvl="0" w:tplc="7478C236">
      <w:start w:val="1"/>
      <w:numFmt w:val="lowerRoman"/>
      <w:lvlText w:val="(%1)"/>
      <w:lvlJc w:val="left"/>
      <w:pPr>
        <w:ind w:left="1298" w:hanging="720"/>
      </w:pPr>
      <w:rPr>
        <w:rFonts w:hint="default"/>
        <w:spacing w:val="-5"/>
        <w:w w:val="99"/>
        <w:lang w:val="en-US" w:eastAsia="en-US" w:bidi="en-US"/>
      </w:rPr>
    </w:lvl>
    <w:lvl w:ilvl="1" w:tplc="44F4A870">
      <w:numFmt w:val="bullet"/>
      <w:lvlText w:val="-"/>
      <w:lvlJc w:val="left"/>
      <w:pPr>
        <w:ind w:left="1711" w:hanging="360"/>
      </w:pPr>
      <w:rPr>
        <w:rFonts w:ascii="Times New Roman" w:eastAsia="Times New Roman" w:hAnsi="Times New Roman" w:cs="Times New Roman" w:hint="default"/>
        <w:color w:val="333333"/>
        <w:spacing w:val="-5"/>
        <w:w w:val="99"/>
        <w:sz w:val="24"/>
        <w:szCs w:val="24"/>
        <w:lang w:val="en-US" w:eastAsia="en-US" w:bidi="en-US"/>
      </w:rPr>
    </w:lvl>
    <w:lvl w:ilvl="2" w:tplc="4A4C984A">
      <w:numFmt w:val="bullet"/>
      <w:lvlText w:val="•"/>
      <w:lvlJc w:val="left"/>
      <w:pPr>
        <w:ind w:left="2585" w:hanging="360"/>
      </w:pPr>
      <w:rPr>
        <w:rFonts w:hint="default"/>
        <w:lang w:val="en-US" w:eastAsia="en-US" w:bidi="en-US"/>
      </w:rPr>
    </w:lvl>
    <w:lvl w:ilvl="3" w:tplc="EFF2DE10">
      <w:numFmt w:val="bullet"/>
      <w:lvlText w:val="•"/>
      <w:lvlJc w:val="left"/>
      <w:pPr>
        <w:ind w:left="3450" w:hanging="360"/>
      </w:pPr>
      <w:rPr>
        <w:rFonts w:hint="default"/>
        <w:lang w:val="en-US" w:eastAsia="en-US" w:bidi="en-US"/>
      </w:rPr>
    </w:lvl>
    <w:lvl w:ilvl="4" w:tplc="A1A81A1A">
      <w:numFmt w:val="bullet"/>
      <w:lvlText w:val="•"/>
      <w:lvlJc w:val="left"/>
      <w:pPr>
        <w:ind w:left="4315" w:hanging="360"/>
      </w:pPr>
      <w:rPr>
        <w:rFonts w:hint="default"/>
        <w:lang w:val="en-US" w:eastAsia="en-US" w:bidi="en-US"/>
      </w:rPr>
    </w:lvl>
    <w:lvl w:ilvl="5" w:tplc="9FB097E6">
      <w:numFmt w:val="bullet"/>
      <w:lvlText w:val="•"/>
      <w:lvlJc w:val="left"/>
      <w:pPr>
        <w:ind w:left="5180" w:hanging="360"/>
      </w:pPr>
      <w:rPr>
        <w:rFonts w:hint="default"/>
        <w:lang w:val="en-US" w:eastAsia="en-US" w:bidi="en-US"/>
      </w:rPr>
    </w:lvl>
    <w:lvl w:ilvl="6" w:tplc="0088D57A">
      <w:numFmt w:val="bullet"/>
      <w:lvlText w:val="•"/>
      <w:lvlJc w:val="left"/>
      <w:pPr>
        <w:ind w:left="6045" w:hanging="360"/>
      </w:pPr>
      <w:rPr>
        <w:rFonts w:hint="default"/>
        <w:lang w:val="en-US" w:eastAsia="en-US" w:bidi="en-US"/>
      </w:rPr>
    </w:lvl>
    <w:lvl w:ilvl="7" w:tplc="4C7C9274">
      <w:numFmt w:val="bullet"/>
      <w:lvlText w:val="•"/>
      <w:lvlJc w:val="left"/>
      <w:pPr>
        <w:ind w:left="6910" w:hanging="360"/>
      </w:pPr>
      <w:rPr>
        <w:rFonts w:hint="default"/>
        <w:lang w:val="en-US" w:eastAsia="en-US" w:bidi="en-US"/>
      </w:rPr>
    </w:lvl>
    <w:lvl w:ilvl="8" w:tplc="0F940D6E">
      <w:numFmt w:val="bullet"/>
      <w:lvlText w:val="•"/>
      <w:lvlJc w:val="left"/>
      <w:pPr>
        <w:ind w:left="7776" w:hanging="360"/>
      </w:pPr>
      <w:rPr>
        <w:rFonts w:hint="default"/>
        <w:lang w:val="en-US" w:eastAsia="en-US" w:bidi="en-US"/>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50"/>
    <w:rsid w:val="00043CAA"/>
    <w:rsid w:val="00057EBC"/>
    <w:rsid w:val="00075432"/>
    <w:rsid w:val="00087B00"/>
    <w:rsid w:val="000968ED"/>
    <w:rsid w:val="000D0321"/>
    <w:rsid w:val="000F5E56"/>
    <w:rsid w:val="00134491"/>
    <w:rsid w:val="001362EE"/>
    <w:rsid w:val="0015479C"/>
    <w:rsid w:val="001647D5"/>
    <w:rsid w:val="001832A6"/>
    <w:rsid w:val="0019145E"/>
    <w:rsid w:val="00195930"/>
    <w:rsid w:val="0021217E"/>
    <w:rsid w:val="00253911"/>
    <w:rsid w:val="002634C4"/>
    <w:rsid w:val="002928D3"/>
    <w:rsid w:val="002B671C"/>
    <w:rsid w:val="002C07E1"/>
    <w:rsid w:val="002F1FE6"/>
    <w:rsid w:val="002F4E68"/>
    <w:rsid w:val="00310EDC"/>
    <w:rsid w:val="00312F7F"/>
    <w:rsid w:val="0035669B"/>
    <w:rsid w:val="00361450"/>
    <w:rsid w:val="003673CF"/>
    <w:rsid w:val="0037038B"/>
    <w:rsid w:val="00370C2A"/>
    <w:rsid w:val="003845C1"/>
    <w:rsid w:val="003A6F89"/>
    <w:rsid w:val="003B38C1"/>
    <w:rsid w:val="003E4407"/>
    <w:rsid w:val="003E5146"/>
    <w:rsid w:val="00423E3E"/>
    <w:rsid w:val="00427AF4"/>
    <w:rsid w:val="004647DA"/>
    <w:rsid w:val="00474062"/>
    <w:rsid w:val="00477D6B"/>
    <w:rsid w:val="004B7C17"/>
    <w:rsid w:val="004E4310"/>
    <w:rsid w:val="005019FF"/>
    <w:rsid w:val="00516E3D"/>
    <w:rsid w:val="0053057A"/>
    <w:rsid w:val="00560A29"/>
    <w:rsid w:val="00591B16"/>
    <w:rsid w:val="005C6649"/>
    <w:rsid w:val="00605827"/>
    <w:rsid w:val="00646050"/>
    <w:rsid w:val="006713CA"/>
    <w:rsid w:val="00676C5C"/>
    <w:rsid w:val="006E0DD6"/>
    <w:rsid w:val="006E53F6"/>
    <w:rsid w:val="006F7759"/>
    <w:rsid w:val="0077387B"/>
    <w:rsid w:val="007D1613"/>
    <w:rsid w:val="007E4C0E"/>
    <w:rsid w:val="00820FA6"/>
    <w:rsid w:val="00846851"/>
    <w:rsid w:val="008631B2"/>
    <w:rsid w:val="008A134B"/>
    <w:rsid w:val="008A771A"/>
    <w:rsid w:val="008B2CC1"/>
    <w:rsid w:val="008B60B2"/>
    <w:rsid w:val="008C1B7B"/>
    <w:rsid w:val="0090731E"/>
    <w:rsid w:val="00916EE2"/>
    <w:rsid w:val="00953FF3"/>
    <w:rsid w:val="009564B5"/>
    <w:rsid w:val="00966A22"/>
    <w:rsid w:val="0096722F"/>
    <w:rsid w:val="00972E14"/>
    <w:rsid w:val="00980843"/>
    <w:rsid w:val="009E2791"/>
    <w:rsid w:val="009E3F6F"/>
    <w:rsid w:val="009F499F"/>
    <w:rsid w:val="00A37342"/>
    <w:rsid w:val="00A42DAF"/>
    <w:rsid w:val="00A45BD8"/>
    <w:rsid w:val="00A869B7"/>
    <w:rsid w:val="00AC205C"/>
    <w:rsid w:val="00AD7800"/>
    <w:rsid w:val="00AF0A6B"/>
    <w:rsid w:val="00B05A69"/>
    <w:rsid w:val="00B27789"/>
    <w:rsid w:val="00B7677D"/>
    <w:rsid w:val="00B85D0F"/>
    <w:rsid w:val="00B9734B"/>
    <w:rsid w:val="00BA30E2"/>
    <w:rsid w:val="00BC2A71"/>
    <w:rsid w:val="00BE2BD4"/>
    <w:rsid w:val="00C11BFE"/>
    <w:rsid w:val="00C15AB6"/>
    <w:rsid w:val="00C5068F"/>
    <w:rsid w:val="00C86D74"/>
    <w:rsid w:val="00C9737C"/>
    <w:rsid w:val="00CC46F0"/>
    <w:rsid w:val="00CD04F1"/>
    <w:rsid w:val="00D0745A"/>
    <w:rsid w:val="00D45252"/>
    <w:rsid w:val="00D71B4D"/>
    <w:rsid w:val="00D93D55"/>
    <w:rsid w:val="00DC7D73"/>
    <w:rsid w:val="00DF6E0F"/>
    <w:rsid w:val="00E15015"/>
    <w:rsid w:val="00E335FE"/>
    <w:rsid w:val="00E701C7"/>
    <w:rsid w:val="00E73450"/>
    <w:rsid w:val="00EA7D6E"/>
    <w:rsid w:val="00EC4E49"/>
    <w:rsid w:val="00ED77FB"/>
    <w:rsid w:val="00EE45FA"/>
    <w:rsid w:val="00F1612B"/>
    <w:rsid w:val="00F23F27"/>
    <w:rsid w:val="00F61E3F"/>
    <w:rsid w:val="00F66152"/>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6099432F-6471-4938-9D56-9F1907F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semiHidden/>
    <w:rsid w:val="00E73450"/>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E73450"/>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E73450"/>
    <w:rPr>
      <w:rFonts w:ascii="Arial" w:hAnsi="Arial"/>
      <w:i/>
      <w:lang w:val="en-US" w:eastAsia="en-US"/>
    </w:rPr>
  </w:style>
  <w:style w:type="paragraph" w:styleId="ListParagraph">
    <w:name w:val="List Paragraph"/>
    <w:basedOn w:val="Normal"/>
    <w:uiPriority w:val="1"/>
    <w:qFormat/>
    <w:rsid w:val="00E73450"/>
    <w:pPr>
      <w:ind w:left="720"/>
      <w:contextualSpacing/>
    </w:pPr>
  </w:style>
  <w:style w:type="paragraph" w:customStyle="1" w:styleId="Default">
    <w:name w:val="Default"/>
    <w:rsid w:val="00253911"/>
    <w:pPr>
      <w:autoSpaceDE w:val="0"/>
      <w:autoSpaceDN w:val="0"/>
      <w:adjustRightInd w:val="0"/>
    </w:pPr>
    <w:rPr>
      <w:color w:val="000000"/>
      <w:sz w:val="24"/>
      <w:szCs w:val="24"/>
      <w:lang w:val="en-US"/>
    </w:rPr>
  </w:style>
  <w:style w:type="paragraph" w:styleId="BalloonText">
    <w:name w:val="Balloon Text"/>
    <w:basedOn w:val="Normal"/>
    <w:link w:val="BalloonTextChar"/>
    <w:semiHidden/>
    <w:unhideWhenUsed/>
    <w:rsid w:val="003E4407"/>
    <w:rPr>
      <w:rFonts w:ascii="Segoe UI" w:hAnsi="Segoe UI" w:cs="Segoe UI"/>
      <w:sz w:val="18"/>
      <w:szCs w:val="18"/>
    </w:rPr>
  </w:style>
  <w:style w:type="character" w:customStyle="1" w:styleId="BalloonTextChar">
    <w:name w:val="Balloon Text Char"/>
    <w:basedOn w:val="DefaultParagraphFont"/>
    <w:link w:val="BalloonText"/>
    <w:semiHidden/>
    <w:rsid w:val="003E4407"/>
    <w:rPr>
      <w:rFonts w:ascii="Segoe UI" w:eastAsia="SimSun" w:hAnsi="Segoe UI" w:cs="Segoe UI"/>
      <w:sz w:val="18"/>
      <w:szCs w:val="18"/>
      <w:lang w:val="en-US" w:eastAsia="zh-CN"/>
    </w:rPr>
  </w:style>
  <w:style w:type="character" w:styleId="Hyperlink">
    <w:name w:val="Hyperlink"/>
    <w:basedOn w:val="DefaultParagraphFont"/>
    <w:unhideWhenUsed/>
    <w:rsid w:val="003E4407"/>
    <w:rPr>
      <w:color w:val="0000FF" w:themeColor="hyperlink"/>
      <w:u w:val="single"/>
    </w:rPr>
  </w:style>
  <w:style w:type="character" w:customStyle="1" w:styleId="BodyTextChar">
    <w:name w:val="Body Text Char"/>
    <w:basedOn w:val="DefaultParagraphFont"/>
    <w:link w:val="BodyText"/>
    <w:uiPriority w:val="1"/>
    <w:rsid w:val="00BC2A71"/>
    <w:rPr>
      <w:rFonts w:ascii="Arial" w:eastAsia="SimSun" w:hAnsi="Arial" w:cs="Arial"/>
      <w:sz w:val="22"/>
      <w:lang w:val="en-US" w:eastAsia="zh-CN"/>
    </w:rPr>
  </w:style>
  <w:style w:type="paragraph" w:customStyle="1" w:styleId="TableParagraph">
    <w:name w:val="Table Paragraph"/>
    <w:basedOn w:val="Normal"/>
    <w:uiPriority w:val="1"/>
    <w:qFormat/>
    <w:rsid w:val="00BC2A71"/>
    <w:pPr>
      <w:widowControl w:val="0"/>
      <w:autoSpaceDE w:val="0"/>
      <w:autoSpaceDN w:val="0"/>
      <w:spacing w:line="256" w:lineRule="exact"/>
      <w:ind w:left="108"/>
    </w:pPr>
    <w:rPr>
      <w:rFonts w:ascii="Times New Roman" w:eastAsia="Times New Roman" w:hAnsi="Times New Roman" w:cs="Times New Roman"/>
      <w:szCs w:val="22"/>
      <w:lang w:eastAsia="en-US" w:bidi="en-US"/>
    </w:rPr>
  </w:style>
  <w:style w:type="character" w:customStyle="1" w:styleId="HeaderChar">
    <w:name w:val="Header Char"/>
    <w:basedOn w:val="DefaultParagraphFont"/>
    <w:link w:val="Header"/>
    <w:uiPriority w:val="99"/>
    <w:rsid w:val="00BC2A71"/>
    <w:rPr>
      <w:rFonts w:ascii="Arial" w:eastAsia="SimSun" w:hAnsi="Arial" w:cs="Arial"/>
      <w:sz w:val="22"/>
      <w:lang w:val="en-US" w:eastAsia="zh-CN"/>
    </w:rPr>
  </w:style>
  <w:style w:type="character" w:customStyle="1" w:styleId="FooterChar">
    <w:name w:val="Footer Char"/>
    <w:basedOn w:val="DefaultParagraphFont"/>
    <w:link w:val="Footer"/>
    <w:uiPriority w:val="99"/>
    <w:rsid w:val="00BC2A7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3905">
      <w:bodyDiv w:val="1"/>
      <w:marLeft w:val="0"/>
      <w:marRight w:val="0"/>
      <w:marTop w:val="0"/>
      <w:marBottom w:val="0"/>
      <w:divBdr>
        <w:top w:val="none" w:sz="0" w:space="0" w:color="auto"/>
        <w:left w:val="none" w:sz="0" w:space="0" w:color="auto"/>
        <w:bottom w:val="none" w:sz="0" w:space="0" w:color="auto"/>
        <w:right w:val="none" w:sz="0" w:space="0" w:color="auto"/>
      </w:divBdr>
    </w:div>
    <w:div w:id="568998215">
      <w:bodyDiv w:val="1"/>
      <w:marLeft w:val="0"/>
      <w:marRight w:val="0"/>
      <w:marTop w:val="0"/>
      <w:marBottom w:val="0"/>
      <w:divBdr>
        <w:top w:val="none" w:sz="0" w:space="0" w:color="auto"/>
        <w:left w:val="none" w:sz="0" w:space="0" w:color="auto"/>
        <w:bottom w:val="none" w:sz="0" w:space="0" w:color="auto"/>
        <w:right w:val="none" w:sz="0" w:space="0" w:color="auto"/>
      </w:divBdr>
    </w:div>
    <w:div w:id="20343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secosystem.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(E)</Template>
  <TotalTime>51</TotalTime>
  <Pages>3</Pages>
  <Words>584</Words>
  <Characters>3768</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CDIP/24/14</vt:lpstr>
    </vt:vector>
  </TitlesOfParts>
  <Manager>Irfan Baloch</Manager>
  <Company>WIPO</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CDIP/24/14</dc:title>
  <dc:subject>Accreditation of Observers</dc:subject>
  <dc:creator>ESTEVES DOS SANTOS Anabela</dc:creator>
  <cp:keywords>FOR OFFICIAL USE ONLY</cp:keywords>
  <dc:description/>
  <cp:lastModifiedBy>ESTEVES DOS SANTOS Anabela</cp:lastModifiedBy>
  <cp:revision>7</cp:revision>
  <cp:lastPrinted>2019-09-13T09:30:00Z</cp:lastPrinted>
  <dcterms:created xsi:type="dcterms:W3CDTF">2019-09-12T14:57:00Z</dcterms:created>
  <dcterms:modified xsi:type="dcterms:W3CDTF">2019-09-16T12:53:00Z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