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C3E9C" w:rsidRPr="009F5287" w:rsidTr="008C3E9C">
        <w:tc>
          <w:tcPr>
            <w:tcW w:w="4513" w:type="dxa"/>
            <w:tcBorders>
              <w:bottom w:val="single" w:sz="4" w:space="0" w:color="auto"/>
            </w:tcBorders>
            <w:tcMar>
              <w:bottom w:w="170" w:type="dxa"/>
            </w:tcMar>
          </w:tcPr>
          <w:p w:rsidR="008C3E9C" w:rsidRPr="009F5287" w:rsidRDefault="008C3E9C" w:rsidP="008C3E9C">
            <w:pPr>
              <w:rPr>
                <w:rFonts w:eastAsia="SimSun"/>
                <w:szCs w:val="20"/>
                <w:lang w:eastAsia="zh-CN"/>
              </w:rPr>
            </w:pPr>
            <w:bookmarkStart w:id="0" w:name="_GoBack"/>
            <w:bookmarkEnd w:id="0"/>
          </w:p>
        </w:tc>
        <w:tc>
          <w:tcPr>
            <w:tcW w:w="4337" w:type="dxa"/>
            <w:tcBorders>
              <w:bottom w:val="single" w:sz="4" w:space="0" w:color="auto"/>
            </w:tcBorders>
            <w:tcMar>
              <w:left w:w="0" w:type="dxa"/>
              <w:right w:w="0" w:type="dxa"/>
            </w:tcMar>
          </w:tcPr>
          <w:p w:rsidR="008C3E9C" w:rsidRPr="009F5287" w:rsidRDefault="008C3E9C" w:rsidP="008C3E9C">
            <w:pPr>
              <w:rPr>
                <w:rFonts w:eastAsia="SimSun"/>
                <w:szCs w:val="20"/>
                <w:lang w:eastAsia="zh-CN"/>
              </w:rPr>
            </w:pPr>
            <w:r w:rsidRPr="009F5287">
              <w:rPr>
                <w:rFonts w:eastAsia="SimSun"/>
                <w:noProof/>
                <w:szCs w:val="20"/>
              </w:rPr>
              <w:drawing>
                <wp:inline distT="0" distB="0" distL="0" distR="0" wp14:anchorId="0083BA09" wp14:editId="58848FAF">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C3E9C" w:rsidRPr="009F5287" w:rsidRDefault="008C3E9C" w:rsidP="008C3E9C">
            <w:pPr>
              <w:jc w:val="right"/>
              <w:rPr>
                <w:rFonts w:eastAsia="SimSun"/>
                <w:szCs w:val="20"/>
                <w:lang w:eastAsia="zh-CN"/>
              </w:rPr>
            </w:pPr>
            <w:r w:rsidRPr="009F5287">
              <w:rPr>
                <w:rFonts w:eastAsia="SimSun"/>
                <w:b/>
                <w:sz w:val="40"/>
                <w:szCs w:val="40"/>
                <w:lang w:eastAsia="zh-CN"/>
              </w:rPr>
              <w:t>E</w:t>
            </w:r>
          </w:p>
        </w:tc>
      </w:tr>
      <w:tr w:rsidR="008C3E9C" w:rsidRPr="00354881" w:rsidTr="008C3E9C">
        <w:trPr>
          <w:trHeight w:hRule="exact" w:val="340"/>
        </w:trPr>
        <w:tc>
          <w:tcPr>
            <w:tcW w:w="9356" w:type="dxa"/>
            <w:gridSpan w:val="3"/>
            <w:tcBorders>
              <w:top w:val="single" w:sz="4" w:space="0" w:color="auto"/>
            </w:tcBorders>
            <w:tcMar>
              <w:top w:w="170" w:type="dxa"/>
              <w:left w:w="0" w:type="dxa"/>
              <w:right w:w="0" w:type="dxa"/>
            </w:tcMar>
            <w:vAlign w:val="bottom"/>
          </w:tcPr>
          <w:p w:rsidR="008C3E9C" w:rsidRPr="00354881" w:rsidRDefault="008C3E9C" w:rsidP="008C3E9C">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CDIP/</w:t>
            </w:r>
            <w:bookmarkStart w:id="1" w:name="Code"/>
            <w:bookmarkEnd w:id="1"/>
            <w:r w:rsidR="004C27D6">
              <w:rPr>
                <w:rFonts w:ascii="Arial Black" w:eastAsia="SimSun" w:hAnsi="Arial Black"/>
                <w:caps/>
                <w:sz w:val="15"/>
                <w:szCs w:val="20"/>
                <w:lang w:eastAsia="zh-CN"/>
              </w:rPr>
              <w:t>24</w:t>
            </w:r>
            <w:r w:rsidRPr="00354881">
              <w:rPr>
                <w:rFonts w:ascii="Arial Black" w:eastAsia="SimSun" w:hAnsi="Arial Black"/>
                <w:caps/>
                <w:sz w:val="15"/>
                <w:szCs w:val="20"/>
                <w:lang w:eastAsia="zh-CN"/>
              </w:rPr>
              <w:t xml:space="preserve">/INF/2    </w:t>
            </w:r>
          </w:p>
        </w:tc>
      </w:tr>
      <w:tr w:rsidR="008C3E9C" w:rsidRPr="00354881" w:rsidTr="008C3E9C">
        <w:trPr>
          <w:trHeight w:hRule="exact" w:val="170"/>
        </w:trPr>
        <w:tc>
          <w:tcPr>
            <w:tcW w:w="9356" w:type="dxa"/>
            <w:gridSpan w:val="3"/>
            <w:noWrap/>
            <w:tcMar>
              <w:left w:w="0" w:type="dxa"/>
              <w:right w:w="0" w:type="dxa"/>
            </w:tcMar>
            <w:vAlign w:val="bottom"/>
          </w:tcPr>
          <w:p w:rsidR="008C3E9C" w:rsidRPr="00354881" w:rsidRDefault="008C3E9C" w:rsidP="008C3E9C">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ORIGINAL:  </w:t>
            </w:r>
            <w:bookmarkStart w:id="2" w:name="Original"/>
            <w:bookmarkEnd w:id="2"/>
            <w:r w:rsidRPr="00354881">
              <w:rPr>
                <w:rFonts w:ascii="Arial Black" w:eastAsia="SimSun" w:hAnsi="Arial Black"/>
                <w:caps/>
                <w:sz w:val="15"/>
                <w:szCs w:val="20"/>
                <w:lang w:eastAsia="zh-CN"/>
              </w:rPr>
              <w:t>English</w:t>
            </w:r>
          </w:p>
        </w:tc>
      </w:tr>
      <w:tr w:rsidR="008C3E9C" w:rsidRPr="00354881" w:rsidTr="008C3E9C">
        <w:trPr>
          <w:trHeight w:hRule="exact" w:val="198"/>
        </w:trPr>
        <w:tc>
          <w:tcPr>
            <w:tcW w:w="9356" w:type="dxa"/>
            <w:gridSpan w:val="3"/>
            <w:tcMar>
              <w:left w:w="0" w:type="dxa"/>
              <w:right w:w="0" w:type="dxa"/>
            </w:tcMar>
            <w:vAlign w:val="bottom"/>
          </w:tcPr>
          <w:p w:rsidR="008C3E9C" w:rsidRPr="00354881" w:rsidRDefault="008C3E9C" w:rsidP="004006B6">
            <w:pPr>
              <w:jc w:val="right"/>
              <w:rPr>
                <w:rFonts w:ascii="Arial Black" w:eastAsia="SimSun" w:hAnsi="Arial Black"/>
                <w:caps/>
                <w:sz w:val="15"/>
                <w:szCs w:val="20"/>
                <w:lang w:eastAsia="zh-CN"/>
              </w:rPr>
            </w:pPr>
            <w:r w:rsidRPr="00354881">
              <w:rPr>
                <w:rFonts w:ascii="Arial Black" w:eastAsia="SimSun" w:hAnsi="Arial Black"/>
                <w:caps/>
                <w:sz w:val="15"/>
                <w:szCs w:val="20"/>
                <w:lang w:eastAsia="zh-CN"/>
              </w:rPr>
              <w:t xml:space="preserve">DATE:  </w:t>
            </w:r>
            <w:r w:rsidR="004006B6">
              <w:rPr>
                <w:rFonts w:ascii="Arial Black" w:eastAsia="SimSun" w:hAnsi="Arial Black"/>
                <w:caps/>
                <w:sz w:val="15"/>
                <w:szCs w:val="20"/>
                <w:lang w:eastAsia="zh-CN"/>
              </w:rPr>
              <w:t>september</w:t>
            </w:r>
            <w:r w:rsidRPr="00354881">
              <w:rPr>
                <w:rFonts w:ascii="Arial Black" w:eastAsia="SimSun" w:hAnsi="Arial Black"/>
                <w:caps/>
                <w:sz w:val="15"/>
                <w:szCs w:val="20"/>
                <w:lang w:eastAsia="zh-CN"/>
              </w:rPr>
              <w:t xml:space="preserve"> </w:t>
            </w:r>
            <w:r>
              <w:rPr>
                <w:rFonts w:ascii="Arial Black" w:eastAsia="SimSun" w:hAnsi="Arial Black"/>
                <w:caps/>
                <w:sz w:val="15"/>
                <w:szCs w:val="20"/>
                <w:lang w:eastAsia="zh-CN"/>
              </w:rPr>
              <w:t>1</w:t>
            </w:r>
            <w:r w:rsidRPr="00354881">
              <w:rPr>
                <w:rFonts w:ascii="Arial Black" w:eastAsia="SimSun" w:hAnsi="Arial Black"/>
                <w:caps/>
                <w:sz w:val="15"/>
                <w:szCs w:val="20"/>
                <w:lang w:eastAsia="zh-CN"/>
              </w:rPr>
              <w:t xml:space="preserve">, 2019 </w:t>
            </w:r>
            <w:bookmarkStart w:id="3" w:name="Date"/>
            <w:bookmarkEnd w:id="3"/>
          </w:p>
        </w:tc>
      </w:tr>
    </w:tbl>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8C3E9C" w:rsidRDefault="008C3E9C" w:rsidP="008C3E9C">
      <w:pPr>
        <w:rPr>
          <w:rFonts w:ascii="Arial" w:eastAsia="SimSun" w:hAnsi="Arial" w:cs="Arial"/>
          <w:b/>
          <w:sz w:val="28"/>
          <w:szCs w:val="28"/>
          <w:lang w:eastAsia="zh-CN"/>
        </w:rPr>
      </w:pPr>
    </w:p>
    <w:p w:rsidR="003C710A" w:rsidRDefault="003C710A" w:rsidP="008C3E9C">
      <w:pPr>
        <w:rPr>
          <w:rFonts w:ascii="Arial" w:eastAsia="SimSun" w:hAnsi="Arial" w:cs="Arial"/>
          <w:b/>
          <w:sz w:val="28"/>
          <w:szCs w:val="28"/>
          <w:lang w:eastAsia="zh-CN"/>
        </w:rPr>
      </w:pPr>
    </w:p>
    <w:p w:rsidR="008C3E9C" w:rsidRPr="008C3E9C" w:rsidRDefault="008C3E9C" w:rsidP="008C3E9C">
      <w:pPr>
        <w:rPr>
          <w:rFonts w:ascii="Arial" w:eastAsia="SimSun" w:hAnsi="Arial" w:cs="Arial"/>
          <w:b/>
          <w:sz w:val="28"/>
          <w:szCs w:val="28"/>
          <w:lang w:eastAsia="zh-CN"/>
        </w:rPr>
      </w:pPr>
      <w:r w:rsidRPr="008C3E9C">
        <w:rPr>
          <w:rFonts w:ascii="Arial" w:eastAsia="SimSun" w:hAnsi="Arial" w:cs="Arial"/>
          <w:b/>
          <w:sz w:val="28"/>
          <w:szCs w:val="28"/>
          <w:lang w:eastAsia="zh-CN"/>
        </w:rPr>
        <w:t>Committee on Development and Intellectual Property (CDIP)</w:t>
      </w:r>
    </w:p>
    <w:p w:rsidR="008C3E9C" w:rsidRPr="008C3E9C" w:rsidRDefault="008C3E9C" w:rsidP="008C3E9C">
      <w:pPr>
        <w:rPr>
          <w:rFonts w:ascii="Arial" w:eastAsia="SimSun" w:hAnsi="Arial" w:cs="Arial"/>
          <w:sz w:val="22"/>
          <w:szCs w:val="20"/>
          <w:lang w:eastAsia="zh-CN"/>
        </w:rPr>
      </w:pPr>
    </w:p>
    <w:p w:rsidR="003C710A" w:rsidRPr="008C3E9C" w:rsidRDefault="003C710A" w:rsidP="008C3E9C">
      <w:pPr>
        <w:rPr>
          <w:rFonts w:ascii="Arial" w:eastAsia="SimSun" w:hAnsi="Arial" w:cs="Arial"/>
          <w:sz w:val="22"/>
          <w:szCs w:val="20"/>
          <w:lang w:eastAsia="zh-CN"/>
        </w:rPr>
      </w:pPr>
    </w:p>
    <w:p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Twenty-</w:t>
      </w:r>
      <w:r>
        <w:rPr>
          <w:rFonts w:ascii="Arial" w:eastAsia="SimSun" w:hAnsi="Arial" w:cs="Arial"/>
          <w:b/>
          <w:lang w:eastAsia="zh-CN"/>
        </w:rPr>
        <w:t>Fourth</w:t>
      </w:r>
      <w:r w:rsidRPr="008C3E9C">
        <w:rPr>
          <w:rFonts w:ascii="Arial" w:eastAsia="SimSun" w:hAnsi="Arial" w:cs="Arial"/>
          <w:b/>
          <w:lang w:eastAsia="zh-CN"/>
        </w:rPr>
        <w:t xml:space="preserve"> Session</w:t>
      </w:r>
    </w:p>
    <w:p w:rsidR="008C3E9C" w:rsidRPr="008C3E9C" w:rsidRDefault="008C3E9C" w:rsidP="008C3E9C">
      <w:pPr>
        <w:rPr>
          <w:rFonts w:ascii="Arial" w:eastAsia="SimSun" w:hAnsi="Arial" w:cs="Arial"/>
          <w:b/>
          <w:lang w:eastAsia="zh-CN"/>
        </w:rPr>
      </w:pPr>
      <w:r w:rsidRPr="008C3E9C">
        <w:rPr>
          <w:rFonts w:ascii="Arial" w:eastAsia="SimSun" w:hAnsi="Arial" w:cs="Arial"/>
          <w:b/>
          <w:lang w:eastAsia="zh-CN"/>
        </w:rPr>
        <w:t xml:space="preserve">Geneva, </w:t>
      </w:r>
      <w:r>
        <w:rPr>
          <w:rFonts w:ascii="Arial" w:eastAsia="SimSun" w:hAnsi="Arial" w:cs="Arial"/>
          <w:b/>
          <w:lang w:eastAsia="zh-CN"/>
        </w:rPr>
        <w:t>November</w:t>
      </w:r>
      <w:r w:rsidRPr="008C3E9C">
        <w:rPr>
          <w:rFonts w:ascii="Arial" w:eastAsia="SimSun" w:hAnsi="Arial" w:cs="Arial"/>
          <w:b/>
          <w:lang w:eastAsia="zh-CN"/>
        </w:rPr>
        <w:t xml:space="preserve"> </w:t>
      </w:r>
      <w:r>
        <w:rPr>
          <w:rFonts w:ascii="Arial" w:eastAsia="SimSun" w:hAnsi="Arial" w:cs="Arial"/>
          <w:b/>
          <w:lang w:eastAsia="zh-CN"/>
        </w:rPr>
        <w:t>18</w:t>
      </w:r>
      <w:r w:rsidRPr="008C3E9C">
        <w:rPr>
          <w:rFonts w:ascii="Arial" w:eastAsia="SimSun" w:hAnsi="Arial" w:cs="Arial"/>
          <w:b/>
          <w:lang w:eastAsia="zh-CN"/>
        </w:rPr>
        <w:t xml:space="preserve"> to </w:t>
      </w:r>
      <w:r>
        <w:rPr>
          <w:rFonts w:ascii="Arial" w:eastAsia="SimSun" w:hAnsi="Arial" w:cs="Arial"/>
          <w:b/>
          <w:lang w:eastAsia="zh-CN"/>
        </w:rPr>
        <w:t>22</w:t>
      </w:r>
      <w:r w:rsidRPr="008C3E9C">
        <w:rPr>
          <w:rFonts w:ascii="Arial" w:eastAsia="SimSun" w:hAnsi="Arial" w:cs="Arial"/>
          <w:b/>
          <w:lang w:eastAsia="zh-CN"/>
        </w:rPr>
        <w:t>, 2019</w:t>
      </w:r>
    </w:p>
    <w:p w:rsidR="008C3E9C" w:rsidRPr="008C3E9C" w:rsidRDefault="008C3E9C" w:rsidP="008C3E9C">
      <w:pPr>
        <w:rPr>
          <w:rFonts w:ascii="Arial" w:eastAsia="SimSun" w:hAnsi="Arial" w:cs="Arial"/>
          <w:sz w:val="22"/>
          <w:szCs w:val="20"/>
          <w:lang w:eastAsia="zh-CN"/>
        </w:rPr>
      </w:pPr>
    </w:p>
    <w:p w:rsidR="008C3E9C" w:rsidRDefault="008C3E9C" w:rsidP="008C3E9C">
      <w:pPr>
        <w:rPr>
          <w:rFonts w:ascii="Arial" w:eastAsia="SimSun" w:hAnsi="Arial" w:cs="Arial"/>
          <w:sz w:val="22"/>
          <w:szCs w:val="20"/>
          <w:lang w:eastAsia="zh-CN"/>
        </w:rPr>
      </w:pPr>
    </w:p>
    <w:p w:rsidR="008B203D" w:rsidRPr="008C3E9C" w:rsidRDefault="008B203D" w:rsidP="008C3E9C">
      <w:pPr>
        <w:rPr>
          <w:rFonts w:ascii="Arial" w:eastAsia="SimSun" w:hAnsi="Arial" w:cs="Arial"/>
          <w:sz w:val="22"/>
          <w:szCs w:val="20"/>
          <w:lang w:eastAsia="zh-CN"/>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Cs w:val="22"/>
        </w:rPr>
      </w:pPr>
      <w:bookmarkStart w:id="4" w:name="TitleOfDoc"/>
      <w:bookmarkEnd w:id="4"/>
      <w:r w:rsidRPr="008C3E9C">
        <w:rPr>
          <w:rFonts w:ascii="Arial" w:eastAsia="Arial" w:hAnsi="Arial" w:cs="Arial"/>
          <w:color w:val="000000"/>
          <w:szCs w:val="22"/>
        </w:rPr>
        <w:t xml:space="preserve">SUMMARY OF THE STUDY ON </w:t>
      </w:r>
      <w:r w:rsidR="00F06463">
        <w:rPr>
          <w:rFonts w:ascii="Arial" w:eastAsia="Arial" w:hAnsi="Arial" w:cs="Arial"/>
          <w:color w:val="000000"/>
          <w:szCs w:val="22"/>
        </w:rPr>
        <w:t>INTELLECTUAL PROPERTY AND MOBILE APPLICATIONS</w:t>
      </w: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i/>
          <w:color w:val="000000"/>
          <w:sz w:val="22"/>
          <w:szCs w:val="22"/>
        </w:rPr>
      </w:pPr>
      <w:bookmarkStart w:id="5" w:name="Prepared"/>
      <w:bookmarkEnd w:id="5"/>
      <w:r w:rsidRPr="008C3E9C">
        <w:rPr>
          <w:rFonts w:ascii="Arial" w:eastAsia="Arial" w:hAnsi="Arial" w:cs="Arial"/>
          <w:i/>
          <w:color w:val="000000"/>
          <w:sz w:val="22"/>
          <w:szCs w:val="22"/>
        </w:rPr>
        <w:t>prepared by</w:t>
      </w:r>
      <w:r w:rsidR="004C27D6" w:rsidRPr="004C27D6">
        <w:rPr>
          <w:rFonts w:ascii="Arial" w:eastAsia="Times New Roman" w:hAnsi="Arial" w:cs="Arial"/>
          <w:sz w:val="22"/>
          <w:szCs w:val="22"/>
        </w:rPr>
        <w:t xml:space="preserve"> </w:t>
      </w:r>
      <w:r w:rsidR="003C710A">
        <w:rPr>
          <w:rFonts w:ascii="Arial" w:eastAsia="Arial" w:hAnsi="Arial" w:cs="Arial"/>
          <w:i/>
          <w:color w:val="000000"/>
          <w:sz w:val="22"/>
          <w:szCs w:val="22"/>
        </w:rPr>
        <w:t>the Secretariat</w:t>
      </w: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Arial" w:hAnsi="Arial" w:cs="Arial"/>
          <w:color w:val="000000"/>
          <w:sz w:val="22"/>
          <w:szCs w:val="22"/>
        </w:rPr>
      </w:pPr>
    </w:p>
    <w:p w:rsidR="008C3E9C" w:rsidRDefault="008C3E9C" w:rsidP="008C3E9C">
      <w:pPr>
        <w:widowControl w:val="0"/>
        <w:pBdr>
          <w:top w:val="nil"/>
          <w:left w:val="nil"/>
          <w:bottom w:val="nil"/>
          <w:right w:val="nil"/>
          <w:between w:val="nil"/>
        </w:pBdr>
        <w:rPr>
          <w:rFonts w:ascii="Arial" w:eastAsia="Times New Roman" w:hAnsi="Arial" w:cs="Arial"/>
          <w:sz w:val="22"/>
          <w:szCs w:val="22"/>
        </w:rPr>
      </w:pPr>
      <w:r w:rsidRPr="008C3E9C">
        <w:rPr>
          <w:rFonts w:ascii="Arial" w:eastAsia="Times New Roman" w:hAnsi="Arial" w:cs="Arial"/>
          <w:color w:val="000000"/>
          <w:sz w:val="22"/>
          <w:szCs w:val="22"/>
        </w:rPr>
        <w:t>1.</w:t>
      </w:r>
      <w:r w:rsidRPr="008C3E9C">
        <w:rPr>
          <w:rFonts w:ascii="Arial" w:eastAsia="Times New Roman" w:hAnsi="Arial" w:cs="Arial"/>
          <w:color w:val="000000"/>
          <w:sz w:val="22"/>
          <w:szCs w:val="22"/>
        </w:rPr>
        <w:tab/>
        <w:t xml:space="preserve">The Annex to this document contains </w:t>
      </w:r>
      <w:r w:rsidR="008B203D">
        <w:rPr>
          <w:rFonts w:ascii="Arial" w:eastAsia="Times New Roman" w:hAnsi="Arial" w:cs="Arial"/>
          <w:color w:val="000000"/>
          <w:sz w:val="22"/>
          <w:szCs w:val="22"/>
        </w:rPr>
        <w:t>a</w:t>
      </w:r>
      <w:r w:rsidRPr="008C3E9C">
        <w:rPr>
          <w:rFonts w:ascii="Arial" w:eastAsia="Times New Roman" w:hAnsi="Arial" w:cs="Arial"/>
          <w:color w:val="000000"/>
          <w:sz w:val="22"/>
          <w:szCs w:val="22"/>
        </w:rPr>
        <w:t xml:space="preserve"> Summary of the Study </w:t>
      </w:r>
      <w:r w:rsidRPr="00C56D95">
        <w:rPr>
          <w:rFonts w:ascii="Arial" w:eastAsia="Times New Roman" w:hAnsi="Arial" w:cs="Arial"/>
          <w:color w:val="000000"/>
          <w:sz w:val="22"/>
          <w:szCs w:val="22"/>
        </w:rPr>
        <w:t>on</w:t>
      </w:r>
      <w:r w:rsidR="00C56D95" w:rsidRPr="00C56D95">
        <w:rPr>
          <w:rFonts w:ascii="Arial" w:eastAsia="Times New Roman" w:hAnsi="Arial" w:cs="Arial"/>
          <w:color w:val="000000"/>
          <w:sz w:val="22"/>
          <w:szCs w:val="22"/>
        </w:rPr>
        <w:t xml:space="preserve"> Intellectual Property and Mobile Applications</w:t>
      </w:r>
      <w:r w:rsidR="003C710A">
        <w:rPr>
          <w:rFonts w:ascii="Arial" w:eastAsia="Times New Roman" w:hAnsi="Arial" w:cs="Arial"/>
          <w:color w:val="000000"/>
          <w:sz w:val="22"/>
          <w:szCs w:val="22"/>
        </w:rPr>
        <w:t xml:space="preserve"> undertaken in the context of the project on</w:t>
      </w:r>
      <w:r w:rsidR="00C56D95" w:rsidRPr="00C56D95">
        <w:rPr>
          <w:rFonts w:ascii="Arial" w:eastAsia="Times New Roman" w:hAnsi="Arial" w:cs="Arial"/>
          <w:color w:val="000000"/>
          <w:sz w:val="22"/>
          <w:szCs w:val="22"/>
        </w:rPr>
        <w:t xml:space="preserve"> Enhancing the Use of IP in the Software Sector in African Countries proposed by the Republic of Kenya (CDIP/22/8)</w:t>
      </w:r>
      <w:r w:rsidRPr="00C56D95">
        <w:rPr>
          <w:rFonts w:ascii="Arial" w:eastAsia="Times New Roman" w:hAnsi="Arial" w:cs="Arial"/>
          <w:color w:val="000000"/>
          <w:sz w:val="22"/>
          <w:szCs w:val="22"/>
        </w:rPr>
        <w:t>.</w:t>
      </w:r>
      <w:r w:rsidRPr="008C3E9C">
        <w:rPr>
          <w:rFonts w:ascii="Arial" w:eastAsia="Times New Roman" w:hAnsi="Arial" w:cs="Arial"/>
          <w:color w:val="000000"/>
          <w:sz w:val="22"/>
          <w:szCs w:val="22"/>
        </w:rPr>
        <w:t xml:space="preserve">  </w:t>
      </w:r>
      <w:r w:rsidRPr="008C3E9C">
        <w:rPr>
          <w:rFonts w:ascii="Arial" w:eastAsia="Times New Roman" w:hAnsi="Arial" w:cs="Arial"/>
          <w:sz w:val="22"/>
          <w:szCs w:val="22"/>
        </w:rPr>
        <w:t xml:space="preserve">The Study has been prepared </w:t>
      </w:r>
      <w:r w:rsidR="008B203D">
        <w:rPr>
          <w:rFonts w:ascii="Arial" w:eastAsia="Times New Roman" w:hAnsi="Arial" w:cs="Arial"/>
          <w:sz w:val="22"/>
          <w:szCs w:val="22"/>
        </w:rPr>
        <w:t>by M</w:t>
      </w:r>
      <w:r w:rsidR="00C56D95">
        <w:rPr>
          <w:rFonts w:ascii="Arial" w:eastAsia="Times New Roman" w:hAnsi="Arial" w:cs="Arial"/>
          <w:sz w:val="22"/>
          <w:szCs w:val="22"/>
        </w:rPr>
        <w:t>r. Noam Shemtov</w:t>
      </w:r>
      <w:r w:rsidR="008B203D">
        <w:rPr>
          <w:rFonts w:ascii="Arial" w:eastAsia="Times New Roman" w:hAnsi="Arial" w:cs="Arial"/>
          <w:sz w:val="22"/>
          <w:szCs w:val="22"/>
        </w:rPr>
        <w:t>,</w:t>
      </w:r>
      <w:r w:rsidR="00C56D95">
        <w:rPr>
          <w:rFonts w:ascii="Arial" w:eastAsia="Times New Roman" w:hAnsi="Arial" w:cs="Arial"/>
          <w:sz w:val="22"/>
          <w:szCs w:val="22"/>
        </w:rPr>
        <w:t xml:space="preserve"> Deputy Head of the Centre for Commercial Law Studies,</w:t>
      </w:r>
      <w:r w:rsidR="003C710A">
        <w:rPr>
          <w:rFonts w:ascii="Arial" w:eastAsia="Times New Roman" w:hAnsi="Arial" w:cs="Arial"/>
          <w:sz w:val="22"/>
          <w:szCs w:val="22"/>
        </w:rPr>
        <w:t xml:space="preserve"> at</w:t>
      </w:r>
      <w:r w:rsidR="00C56D95">
        <w:rPr>
          <w:rFonts w:ascii="Arial" w:eastAsia="Times New Roman" w:hAnsi="Arial" w:cs="Arial"/>
          <w:sz w:val="22"/>
          <w:szCs w:val="22"/>
        </w:rPr>
        <w:t xml:space="preserve"> Queen Mary, University of London</w:t>
      </w:r>
      <w:r w:rsidR="00B24465">
        <w:rPr>
          <w:rFonts w:ascii="Arial" w:eastAsia="Times New Roman" w:hAnsi="Arial" w:cs="Arial"/>
          <w:sz w:val="22"/>
          <w:szCs w:val="22"/>
        </w:rPr>
        <w:t>.</w:t>
      </w:r>
      <w:r w:rsidR="004006B6">
        <w:rPr>
          <w:rFonts w:ascii="Arial" w:eastAsia="Times New Roman" w:hAnsi="Arial" w:cs="Arial"/>
          <w:sz w:val="22"/>
          <w:szCs w:val="22"/>
        </w:rPr>
        <w:t xml:space="preserve">  The full study and the peer review are available at: </w:t>
      </w:r>
      <w:hyperlink r:id="rId9" w:history="1">
        <w:r w:rsidR="004006B6" w:rsidRPr="004006B6">
          <w:rPr>
            <w:rStyle w:val="Hyperlink"/>
            <w:rFonts w:ascii="Arial" w:eastAsia="Times New Roman" w:hAnsi="Arial" w:cs="Arial"/>
            <w:sz w:val="22"/>
            <w:szCs w:val="22"/>
          </w:rPr>
          <w:t>https://www.wipo.int/ip-development/en/agenda/work_undertaken.html</w:t>
        </w:r>
      </w:hyperlink>
      <w:r w:rsidR="004006B6">
        <w:rPr>
          <w:rFonts w:ascii="Arial" w:eastAsia="Times New Roman" w:hAnsi="Arial" w:cs="Arial"/>
          <w:sz w:val="22"/>
          <w:szCs w:val="22"/>
        </w:rPr>
        <w:t xml:space="preserve">. </w:t>
      </w:r>
    </w:p>
    <w:p w:rsidR="004006B6" w:rsidRPr="008C3E9C" w:rsidRDefault="004006B6" w:rsidP="008C3E9C">
      <w:pPr>
        <w:widowControl w:val="0"/>
        <w:pBdr>
          <w:top w:val="nil"/>
          <w:left w:val="nil"/>
          <w:bottom w:val="nil"/>
          <w:right w:val="nil"/>
          <w:between w:val="nil"/>
        </w:pBdr>
        <w:rPr>
          <w:rFonts w:ascii="Arial" w:eastAsia="Times New Roman" w:hAnsi="Arial" w:cs="Arial"/>
          <w:color w:val="000000"/>
          <w:sz w:val="22"/>
          <w:szCs w:val="22"/>
        </w:rPr>
      </w:pPr>
    </w:p>
    <w:p w:rsidR="008C3E9C" w:rsidRPr="008C3E9C" w:rsidRDefault="008C3E9C" w:rsidP="008C3E9C">
      <w:pPr>
        <w:widowControl w:val="0"/>
        <w:pBdr>
          <w:top w:val="nil"/>
          <w:left w:val="nil"/>
          <w:bottom w:val="nil"/>
          <w:right w:val="nil"/>
          <w:between w:val="nil"/>
        </w:pBdr>
        <w:rPr>
          <w:rFonts w:ascii="Arial" w:eastAsia="Times New Roman" w:hAnsi="Arial" w:cs="Arial"/>
          <w:color w:val="000000"/>
          <w:sz w:val="22"/>
          <w:szCs w:val="22"/>
        </w:rPr>
      </w:pPr>
    </w:p>
    <w:p w:rsidR="008C3E9C" w:rsidRPr="008C3E9C" w:rsidRDefault="008C3E9C" w:rsidP="008C3E9C">
      <w:pPr>
        <w:widowControl w:val="0"/>
        <w:pBdr>
          <w:top w:val="nil"/>
          <w:left w:val="nil"/>
          <w:bottom w:val="nil"/>
          <w:right w:val="nil"/>
          <w:between w:val="nil"/>
        </w:pBdr>
        <w:tabs>
          <w:tab w:val="left" w:pos="567"/>
        </w:tabs>
        <w:ind w:left="5580"/>
        <w:rPr>
          <w:rFonts w:ascii="Arial" w:eastAsia="Arial" w:hAnsi="Arial" w:cs="Arial"/>
          <w:i/>
          <w:color w:val="000000"/>
          <w:sz w:val="22"/>
          <w:szCs w:val="22"/>
        </w:rPr>
      </w:pPr>
      <w:r w:rsidRPr="008C3E9C">
        <w:rPr>
          <w:rFonts w:ascii="Arial" w:eastAsia="Arial" w:hAnsi="Arial" w:cs="Arial"/>
          <w:i/>
          <w:iCs/>
          <w:color w:val="000000"/>
          <w:sz w:val="22"/>
          <w:szCs w:val="22"/>
        </w:rPr>
        <w:t>2.</w:t>
      </w:r>
      <w:r w:rsidRPr="008C3E9C">
        <w:rPr>
          <w:rFonts w:ascii="Arial" w:eastAsia="Arial" w:hAnsi="Arial" w:cs="Arial"/>
          <w:i/>
          <w:iCs/>
          <w:color w:val="000000"/>
          <w:sz w:val="22"/>
          <w:szCs w:val="22"/>
        </w:rPr>
        <w:tab/>
        <w:t xml:space="preserve">The CDIP is invited to take note of the information contained in the Annex </w:t>
      </w:r>
      <w:r w:rsidRPr="008C3E9C">
        <w:rPr>
          <w:rFonts w:ascii="Arial" w:eastAsia="Arial" w:hAnsi="Arial" w:cs="Arial"/>
          <w:i/>
          <w:color w:val="000000"/>
          <w:sz w:val="22"/>
          <w:szCs w:val="22"/>
        </w:rPr>
        <w:t>to the present document.</w:t>
      </w:r>
    </w:p>
    <w:p w:rsidR="008C3E9C" w:rsidRPr="008C3E9C" w:rsidRDefault="008C3E9C" w:rsidP="008C3E9C">
      <w:pPr>
        <w:widowControl w:val="0"/>
        <w:pBdr>
          <w:top w:val="nil"/>
          <w:left w:val="nil"/>
          <w:bottom w:val="nil"/>
          <w:right w:val="nil"/>
          <w:between w:val="nil"/>
        </w:pBdr>
        <w:ind w:left="5534"/>
        <w:rPr>
          <w:rFonts w:ascii="Arial" w:eastAsia="Arial" w:hAnsi="Arial" w:cs="Arial"/>
          <w:color w:val="000000"/>
          <w:sz w:val="22"/>
          <w:szCs w:val="22"/>
        </w:rPr>
      </w:pPr>
    </w:p>
    <w:p w:rsidR="008C3E9C" w:rsidRPr="008C3E9C" w:rsidRDefault="008C3E9C" w:rsidP="008477E4">
      <w:pPr>
        <w:widowControl w:val="0"/>
        <w:pBdr>
          <w:top w:val="nil"/>
          <w:left w:val="nil"/>
          <w:bottom w:val="nil"/>
          <w:right w:val="nil"/>
          <w:between w:val="nil"/>
        </w:pBdr>
        <w:rPr>
          <w:rFonts w:ascii="Arial" w:eastAsia="Arial" w:hAnsi="Arial" w:cs="Arial"/>
          <w:color w:val="000000"/>
          <w:sz w:val="22"/>
          <w:szCs w:val="22"/>
        </w:rPr>
      </w:pPr>
    </w:p>
    <w:p w:rsidR="008C3E9C" w:rsidRPr="008C3E9C" w:rsidRDefault="008C3E9C" w:rsidP="008C3E9C">
      <w:pPr>
        <w:widowControl w:val="0"/>
        <w:pBdr>
          <w:top w:val="nil"/>
          <w:left w:val="nil"/>
          <w:bottom w:val="nil"/>
          <w:right w:val="nil"/>
          <w:between w:val="nil"/>
        </w:pBdr>
        <w:ind w:left="5580"/>
        <w:rPr>
          <w:rFonts w:ascii="Arial" w:eastAsia="Arial" w:hAnsi="Arial" w:cs="Arial"/>
          <w:color w:val="000000"/>
          <w:sz w:val="22"/>
          <w:szCs w:val="22"/>
        </w:rPr>
        <w:sectPr w:rsidR="008C3E9C" w:rsidRPr="008C3E9C" w:rsidSect="003C710A">
          <w:headerReference w:type="even" r:id="rId10"/>
          <w:headerReference w:type="default" r:id="rId11"/>
          <w:footerReference w:type="even" r:id="rId12"/>
          <w:footerReference w:type="default" r:id="rId13"/>
          <w:endnotePr>
            <w:numFmt w:val="decimal"/>
          </w:endnotePr>
          <w:pgSz w:w="11907" w:h="16840" w:code="9"/>
          <w:pgMar w:top="567" w:right="1134" w:bottom="1418" w:left="1418" w:header="510" w:footer="1021" w:gutter="0"/>
          <w:cols w:space="720"/>
          <w:titlePg/>
          <w:docGrid w:linePitch="326"/>
        </w:sectPr>
      </w:pPr>
      <w:r w:rsidRPr="008C3E9C">
        <w:rPr>
          <w:rFonts w:ascii="Arial" w:eastAsia="Arial" w:hAnsi="Arial" w:cs="Arial"/>
          <w:color w:val="000000"/>
          <w:sz w:val="22"/>
          <w:szCs w:val="22"/>
        </w:rPr>
        <w:t>[Annex follows]</w:t>
      </w:r>
    </w:p>
    <w:p w:rsidR="008C3E9C" w:rsidRPr="0094274E" w:rsidRDefault="008C3E9C" w:rsidP="00445085">
      <w:pPr>
        <w:pStyle w:val="Title"/>
        <w:spacing w:line="360" w:lineRule="auto"/>
        <w:jc w:val="left"/>
        <w:rPr>
          <w:rFonts w:ascii="Arial" w:hAnsi="Arial" w:cs="Arial"/>
          <w:b/>
          <w:sz w:val="22"/>
          <w:szCs w:val="22"/>
          <w:u w:val="single"/>
        </w:rPr>
      </w:pPr>
      <w:r w:rsidRPr="003C710A">
        <w:rPr>
          <w:rFonts w:ascii="Arial" w:eastAsia="Arial" w:hAnsi="Arial" w:cs="Arial"/>
          <w:b/>
          <w:color w:val="000000"/>
          <w:spacing w:val="0"/>
          <w:kern w:val="0"/>
          <w:sz w:val="28"/>
          <w:szCs w:val="28"/>
          <w:lang w:val="en-US"/>
        </w:rPr>
        <w:lastRenderedPageBreak/>
        <w:t>Intellectual Property and Mobile Applications</w:t>
      </w:r>
    </w:p>
    <w:p w:rsidR="008C3E9C" w:rsidRPr="0094274E" w:rsidRDefault="008C3E9C" w:rsidP="008C3E9C">
      <w:pPr>
        <w:spacing w:line="360" w:lineRule="auto"/>
        <w:jc w:val="both"/>
        <w:rPr>
          <w:rFonts w:ascii="Arial" w:hAnsi="Arial" w:cs="Arial"/>
          <w:sz w:val="22"/>
          <w:szCs w:val="22"/>
          <w:lang w:val="en-GB"/>
        </w:rPr>
      </w:pPr>
    </w:p>
    <w:p w:rsidR="008C3E9C" w:rsidRDefault="008C3E9C" w:rsidP="003C710A">
      <w:pPr>
        <w:rPr>
          <w:rFonts w:ascii="Arial" w:hAnsi="Arial" w:cs="Arial"/>
          <w:sz w:val="22"/>
          <w:szCs w:val="22"/>
          <w:lang w:val="en-GB"/>
        </w:rPr>
      </w:pPr>
      <w:r w:rsidRPr="0094274E">
        <w:rPr>
          <w:rFonts w:ascii="Arial" w:hAnsi="Arial" w:cs="Arial"/>
          <w:sz w:val="22"/>
          <w:szCs w:val="22"/>
          <w:lang w:val="en-GB"/>
        </w:rPr>
        <w:t xml:space="preserve">This publication addresses a sector within the creative industries that has seen exponential growth in the last decade or so: the mobile application sector. </w:t>
      </w:r>
    </w:p>
    <w:p w:rsidR="003C710A" w:rsidRPr="0094274E" w:rsidRDefault="003C710A"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 xml:space="preserve">It canvasses the intellectual property ecosystem within which this sector operates, as well as some key non – IP legal considerations, while demonstrating how such legal rules may be taken into contemplation when running a business in the mobile app sector. </w:t>
      </w:r>
      <w:r w:rsidR="00E24DBF">
        <w:rPr>
          <w:rFonts w:ascii="Arial" w:hAnsi="Arial" w:cs="Arial"/>
          <w:sz w:val="22"/>
          <w:szCs w:val="22"/>
          <w:lang w:val="en-GB"/>
        </w:rPr>
        <w:t xml:space="preserve"> </w:t>
      </w:r>
      <w:r w:rsidRPr="0094274E">
        <w:rPr>
          <w:rFonts w:ascii="Arial" w:hAnsi="Arial" w:cs="Arial"/>
          <w:sz w:val="22"/>
          <w:szCs w:val="22"/>
          <w:lang w:val="en-GB"/>
        </w:rPr>
        <w:t xml:space="preserve">The publication concludes with the provision of a road map that seeks to identify the major legal challenges that faces mobile application businesses.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This publication addresses the issues below, providing explanations and advice as follows:</w:t>
      </w: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 xml:space="preserve">Part I commences by providing an overview of the mobile app sector. </w:t>
      </w:r>
      <w:r w:rsidR="00E24DBF">
        <w:rPr>
          <w:rFonts w:ascii="Arial" w:hAnsi="Arial" w:cs="Arial"/>
          <w:sz w:val="22"/>
          <w:szCs w:val="22"/>
          <w:lang w:val="en-GB"/>
        </w:rPr>
        <w:t xml:space="preserve"> </w:t>
      </w:r>
      <w:r w:rsidRPr="0094274E">
        <w:rPr>
          <w:rFonts w:ascii="Arial" w:hAnsi="Arial" w:cs="Arial"/>
          <w:sz w:val="22"/>
          <w:szCs w:val="22"/>
          <w:lang w:val="en-GB"/>
        </w:rPr>
        <w:t xml:space="preserve">It continues by offering a concise description of relevant aspects of the key intellectual property rights for the mobile app industry: copyright, patents, utility models, trade dress and trademarks, industrial designs, and trade secrets.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Part II discusses in some details the protectability of the underlying code and internal architecture that stand at the heart of mobile applications, and touches upon key legal and business issues in that regard.</w:t>
      </w:r>
      <w:r w:rsidR="00E24DBF">
        <w:rPr>
          <w:rFonts w:ascii="Arial" w:hAnsi="Arial" w:cs="Arial"/>
          <w:sz w:val="22"/>
          <w:szCs w:val="22"/>
          <w:lang w:val="en-GB"/>
        </w:rPr>
        <w:t xml:space="preserve"> </w:t>
      </w:r>
      <w:r w:rsidRPr="0094274E">
        <w:rPr>
          <w:rFonts w:ascii="Arial" w:hAnsi="Arial" w:cs="Arial"/>
          <w:sz w:val="22"/>
          <w:szCs w:val="22"/>
          <w:lang w:val="en-GB"/>
        </w:rPr>
        <w:t xml:space="preserve"> In doing so</w:t>
      </w:r>
      <w:r w:rsidR="003414BA">
        <w:rPr>
          <w:rFonts w:ascii="Arial" w:hAnsi="Arial" w:cs="Arial"/>
          <w:sz w:val="22"/>
          <w:szCs w:val="22"/>
          <w:lang w:val="en-GB"/>
        </w:rPr>
        <w:t>,</w:t>
      </w:r>
      <w:r w:rsidRPr="0094274E">
        <w:rPr>
          <w:rFonts w:ascii="Arial" w:hAnsi="Arial" w:cs="Arial"/>
          <w:sz w:val="22"/>
          <w:szCs w:val="22"/>
          <w:lang w:val="en-GB"/>
        </w:rPr>
        <w:t xml:space="preserve"> this Part examines the various modalities for software development, and in particular models that are more prevalent in developing mobile apps. </w:t>
      </w:r>
      <w:r w:rsidR="00E24DBF">
        <w:rPr>
          <w:rFonts w:ascii="Arial" w:hAnsi="Arial" w:cs="Arial"/>
          <w:sz w:val="22"/>
          <w:szCs w:val="22"/>
          <w:lang w:val="en-GB"/>
        </w:rPr>
        <w:t xml:space="preserve"> </w:t>
      </w:r>
      <w:r w:rsidRPr="0094274E">
        <w:rPr>
          <w:rFonts w:ascii="Arial" w:hAnsi="Arial" w:cs="Arial"/>
          <w:sz w:val="22"/>
          <w:szCs w:val="22"/>
          <w:lang w:val="en-GB"/>
        </w:rPr>
        <w:t>It then turns to discuss the scope and nature of protectability of software’s internal organs under different IP regimes.</w:t>
      </w:r>
      <w:r w:rsidR="00E24DBF">
        <w:rPr>
          <w:rFonts w:ascii="Arial" w:hAnsi="Arial" w:cs="Arial"/>
          <w:sz w:val="22"/>
          <w:szCs w:val="22"/>
          <w:lang w:val="en-GB"/>
        </w:rPr>
        <w:t xml:space="preserve"> </w:t>
      </w:r>
      <w:r w:rsidRPr="0094274E">
        <w:rPr>
          <w:rFonts w:ascii="Arial" w:hAnsi="Arial" w:cs="Arial"/>
          <w:sz w:val="22"/>
          <w:szCs w:val="22"/>
          <w:lang w:val="en-GB"/>
        </w:rPr>
        <w:t xml:space="preserve"> It addresses one of the key issues in this context; that of interoperability and the significance of it to the mobile app developer. </w:t>
      </w:r>
      <w:r w:rsidR="00E24DBF">
        <w:rPr>
          <w:rFonts w:ascii="Arial" w:hAnsi="Arial" w:cs="Arial"/>
          <w:sz w:val="22"/>
          <w:szCs w:val="22"/>
          <w:lang w:val="en-GB"/>
        </w:rPr>
        <w:t xml:space="preserve"> </w:t>
      </w:r>
      <w:r w:rsidRPr="0094274E">
        <w:rPr>
          <w:rFonts w:ascii="Arial" w:hAnsi="Arial" w:cs="Arial"/>
          <w:sz w:val="22"/>
          <w:szCs w:val="22"/>
          <w:lang w:val="en-GB"/>
        </w:rPr>
        <w:t xml:space="preserve">This Part concludes with unpacking key legal complexities in this context, in relation to a technical environment that is growing in popularity and is envisaged to continue to do so; namely, cloud computing.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 xml:space="preserve">Part III examines what essentially might be the most significant element in building up the popularity and therefore commercial success of a mobile app: its user interface. </w:t>
      </w:r>
      <w:r w:rsidR="00E24DBF">
        <w:rPr>
          <w:rFonts w:ascii="Arial" w:hAnsi="Arial" w:cs="Arial"/>
          <w:sz w:val="22"/>
          <w:szCs w:val="22"/>
          <w:lang w:val="en-GB"/>
        </w:rPr>
        <w:t xml:space="preserve"> </w:t>
      </w:r>
      <w:r w:rsidRPr="0094274E">
        <w:rPr>
          <w:rFonts w:ascii="Arial" w:hAnsi="Arial" w:cs="Arial"/>
          <w:sz w:val="22"/>
          <w:szCs w:val="22"/>
          <w:lang w:val="en-GB"/>
        </w:rPr>
        <w:t>It provides an illuminating and clear analysis of the significance of user interfaces to the overall success of mobile application and the manner in which the various arms of intel</w:t>
      </w:r>
      <w:r w:rsidR="00780FE2">
        <w:rPr>
          <w:rFonts w:ascii="Arial" w:hAnsi="Arial" w:cs="Arial"/>
          <w:sz w:val="22"/>
          <w:szCs w:val="22"/>
          <w:lang w:val="en-GB"/>
        </w:rPr>
        <w:t>lectual property law may be used</w:t>
      </w:r>
      <w:r w:rsidRPr="0094274E">
        <w:rPr>
          <w:rFonts w:ascii="Arial" w:hAnsi="Arial" w:cs="Arial"/>
          <w:sz w:val="22"/>
          <w:szCs w:val="22"/>
          <w:lang w:val="en-GB"/>
        </w:rPr>
        <w:t xml:space="preserve">, in a tapestry-like fashion, in order to protect the different layers of mobile applications’ user interfaces.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Part IV addresses mobile applications’ functionalities, which is one of the more elusive aspects of software-based products or services as far as intellectual property rights are concerned.</w:t>
      </w:r>
      <w:r w:rsidR="00E24DBF">
        <w:rPr>
          <w:rFonts w:ascii="Arial" w:hAnsi="Arial" w:cs="Arial"/>
          <w:sz w:val="22"/>
          <w:szCs w:val="22"/>
          <w:lang w:val="en-GB"/>
        </w:rPr>
        <w:t xml:space="preserve"> </w:t>
      </w:r>
      <w:r w:rsidRPr="0094274E">
        <w:rPr>
          <w:rFonts w:ascii="Arial" w:hAnsi="Arial" w:cs="Arial"/>
          <w:sz w:val="22"/>
          <w:szCs w:val="22"/>
          <w:lang w:val="en-GB"/>
        </w:rPr>
        <w:t xml:space="preserve"> Ultimately, a unique and innovative functionality could be the distinguishing factor that sets a certain mobile app apart from the rest of the sector and renders it popular if not a market leader. </w:t>
      </w:r>
      <w:r w:rsidR="00E24DBF">
        <w:rPr>
          <w:rFonts w:ascii="Arial" w:hAnsi="Arial" w:cs="Arial"/>
          <w:sz w:val="22"/>
          <w:szCs w:val="22"/>
          <w:lang w:val="en-GB"/>
        </w:rPr>
        <w:t xml:space="preserve"> </w:t>
      </w:r>
      <w:r w:rsidRPr="0094274E">
        <w:rPr>
          <w:rFonts w:ascii="Arial" w:hAnsi="Arial" w:cs="Arial"/>
          <w:sz w:val="22"/>
          <w:szCs w:val="22"/>
          <w:lang w:val="en-GB"/>
        </w:rPr>
        <w:t xml:space="preserve">However, protecting such functionality under intellectual property laws is fraught with difficulties, while the scope of any such protection is often far from certain. </w:t>
      </w:r>
      <w:r w:rsidR="00E24DBF">
        <w:rPr>
          <w:rFonts w:ascii="Arial" w:hAnsi="Arial" w:cs="Arial"/>
          <w:sz w:val="22"/>
          <w:szCs w:val="22"/>
          <w:lang w:val="en-GB"/>
        </w:rPr>
        <w:t xml:space="preserve"> </w:t>
      </w:r>
      <w:r w:rsidRPr="0094274E">
        <w:rPr>
          <w:rFonts w:ascii="Arial" w:hAnsi="Arial" w:cs="Arial"/>
          <w:sz w:val="22"/>
          <w:szCs w:val="22"/>
          <w:lang w:val="en-GB"/>
        </w:rPr>
        <w:t xml:space="preserve">This Part analyses such difficulties and identifies some workarounds where these are available, while at the same time providing some valuable advice in this context to businesses in the mobile app sector.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rPr>
      </w:pPr>
      <w:r w:rsidRPr="0094274E">
        <w:rPr>
          <w:rFonts w:ascii="Arial" w:hAnsi="Arial" w:cs="Arial"/>
          <w:sz w:val="22"/>
          <w:szCs w:val="22"/>
          <w:lang w:val="en-GB"/>
        </w:rPr>
        <w:t xml:space="preserve">Part V is the only segment in this Publication that is not IP-focused. </w:t>
      </w:r>
      <w:r w:rsidR="00E24DBF">
        <w:rPr>
          <w:rFonts w:ascii="Arial" w:hAnsi="Arial" w:cs="Arial"/>
          <w:sz w:val="22"/>
          <w:szCs w:val="22"/>
          <w:lang w:val="en-GB"/>
        </w:rPr>
        <w:t xml:space="preserve"> </w:t>
      </w:r>
      <w:r w:rsidRPr="0094274E">
        <w:rPr>
          <w:rFonts w:ascii="Arial" w:hAnsi="Arial" w:cs="Arial"/>
          <w:sz w:val="22"/>
          <w:szCs w:val="22"/>
        </w:rPr>
        <w:t xml:space="preserve">Though intellectual property may be the greatest legal concern when dealing with mobile applications, there are many other legal considerations, which must be accounted for when developing mobile apps. </w:t>
      </w:r>
      <w:r w:rsidR="00E24DBF">
        <w:rPr>
          <w:rFonts w:ascii="Arial" w:hAnsi="Arial" w:cs="Arial"/>
          <w:sz w:val="22"/>
          <w:szCs w:val="22"/>
        </w:rPr>
        <w:t xml:space="preserve"> </w:t>
      </w:r>
      <w:r w:rsidRPr="0094274E">
        <w:rPr>
          <w:rFonts w:ascii="Arial" w:hAnsi="Arial" w:cs="Arial"/>
          <w:sz w:val="22"/>
          <w:szCs w:val="22"/>
        </w:rPr>
        <w:t xml:space="preserve">This Part concerns such legal considerations. In relation to mobile applications’ business and legal environment, it examines pertinent issues such as End User Licence Agreements, Data Protections aspects, privacy, consumer protection and advertising rules. In addition, this Publication briefly delves into contractual arrangements in the context of app developers’ agreements, by examining some common clauses in this respect. </w:t>
      </w:r>
      <w:r w:rsidR="00E24DBF">
        <w:rPr>
          <w:rFonts w:ascii="Arial" w:hAnsi="Arial" w:cs="Arial"/>
          <w:sz w:val="22"/>
          <w:szCs w:val="22"/>
        </w:rPr>
        <w:t xml:space="preserve"> </w:t>
      </w:r>
      <w:r w:rsidRPr="0094274E">
        <w:rPr>
          <w:rFonts w:ascii="Arial" w:hAnsi="Arial" w:cs="Arial"/>
          <w:sz w:val="22"/>
          <w:szCs w:val="22"/>
        </w:rPr>
        <w:t xml:space="preserve">This </w:t>
      </w:r>
      <w:r w:rsidRPr="0094274E">
        <w:rPr>
          <w:rFonts w:ascii="Arial" w:hAnsi="Arial" w:cs="Arial"/>
          <w:sz w:val="22"/>
          <w:szCs w:val="22"/>
        </w:rPr>
        <w:lastRenderedPageBreak/>
        <w:t xml:space="preserve">examination is being conducted while providing some valuable advice to app developers in relation to such development agreements.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 xml:space="preserve">Finally, Part VI engages in describing the global challenges to the mobile application industry, while providing informed estimations as to the manner in which such challenges may be met within the legal regime. </w:t>
      </w:r>
    </w:p>
    <w:p w:rsidR="008C3E9C" w:rsidRPr="0094274E" w:rsidRDefault="008C3E9C" w:rsidP="003C710A">
      <w:pPr>
        <w:rPr>
          <w:rFonts w:ascii="Arial" w:hAnsi="Arial" w:cs="Arial"/>
          <w:sz w:val="22"/>
          <w:szCs w:val="22"/>
          <w:lang w:val="en-GB"/>
        </w:rPr>
      </w:pPr>
    </w:p>
    <w:p w:rsidR="008C3E9C" w:rsidRPr="0094274E" w:rsidRDefault="008C3E9C" w:rsidP="003C710A">
      <w:pPr>
        <w:rPr>
          <w:rFonts w:ascii="Arial" w:hAnsi="Arial" w:cs="Arial"/>
          <w:sz w:val="22"/>
          <w:szCs w:val="22"/>
          <w:lang w:val="en-GB"/>
        </w:rPr>
      </w:pPr>
      <w:r w:rsidRPr="0094274E">
        <w:rPr>
          <w:rFonts w:ascii="Arial" w:hAnsi="Arial" w:cs="Arial"/>
          <w:sz w:val="22"/>
          <w:szCs w:val="22"/>
          <w:lang w:val="en-GB"/>
        </w:rPr>
        <w:t xml:space="preserve">Overall, the Publication provides a valuable tool that can assist businesses in the mobile app sector, in particular micro, small or medium sized companies, in navigating the complex legal ecosystem of intellectual property rights, as well as other legal considerations, in order to continue and grow in this highly competitive market. </w:t>
      </w:r>
    </w:p>
    <w:p w:rsidR="008C3E9C" w:rsidRDefault="008C3E9C" w:rsidP="003C710A">
      <w:pPr>
        <w:spacing w:line="360" w:lineRule="auto"/>
        <w:rPr>
          <w:rFonts w:ascii="Arial" w:hAnsi="Arial" w:cs="Arial"/>
          <w:sz w:val="22"/>
          <w:szCs w:val="22"/>
          <w:lang w:val="en-GB"/>
        </w:rPr>
      </w:pPr>
      <w:r w:rsidRPr="0094274E">
        <w:rPr>
          <w:rFonts w:ascii="Arial" w:hAnsi="Arial" w:cs="Arial"/>
          <w:sz w:val="22"/>
          <w:szCs w:val="22"/>
          <w:lang w:val="en-GB"/>
        </w:rPr>
        <w:t xml:space="preserve">   </w:t>
      </w:r>
    </w:p>
    <w:p w:rsidR="004006B6" w:rsidRDefault="004006B6" w:rsidP="003C710A">
      <w:pPr>
        <w:spacing w:line="360" w:lineRule="auto"/>
        <w:rPr>
          <w:rFonts w:ascii="Arial" w:hAnsi="Arial" w:cs="Arial"/>
          <w:sz w:val="22"/>
          <w:szCs w:val="22"/>
          <w:lang w:val="en-GB"/>
        </w:rPr>
      </w:pPr>
    </w:p>
    <w:p w:rsidR="004006B6" w:rsidRPr="0094274E" w:rsidRDefault="004006B6" w:rsidP="003C710A">
      <w:pPr>
        <w:spacing w:line="360" w:lineRule="auto"/>
        <w:rPr>
          <w:rFonts w:ascii="Arial" w:hAnsi="Arial" w:cs="Arial"/>
          <w:sz w:val="22"/>
          <w:szCs w:val="22"/>
          <w:lang w:val="en-GB"/>
        </w:rPr>
      </w:pPr>
    </w:p>
    <w:p w:rsidR="008C3E9C" w:rsidRPr="0094274E" w:rsidRDefault="004006B6" w:rsidP="004006B6">
      <w:pPr>
        <w:spacing w:line="360" w:lineRule="auto"/>
        <w:ind w:left="3402" w:firstLine="567"/>
        <w:jc w:val="both"/>
        <w:rPr>
          <w:rFonts w:ascii="Arial" w:hAnsi="Arial" w:cs="Arial"/>
          <w:sz w:val="22"/>
          <w:szCs w:val="22"/>
          <w:lang w:val="en-GB"/>
        </w:rPr>
      </w:pPr>
      <w:r>
        <w:rPr>
          <w:rFonts w:ascii="Arial" w:hAnsi="Arial" w:cs="Arial"/>
          <w:sz w:val="22"/>
          <w:szCs w:val="22"/>
          <w:lang w:val="en-GB"/>
        </w:rPr>
        <w:t>[End of Annex and of document]</w:t>
      </w:r>
    </w:p>
    <w:p w:rsidR="000F5E56" w:rsidRDefault="000F5E56" w:rsidP="00804DB7"/>
    <w:sectPr w:rsidR="000F5E56" w:rsidSect="008C3E9C">
      <w:headerReference w:type="even" r:id="rId14"/>
      <w:headerReference w:type="default" r:id="rId15"/>
      <w:footerReference w:type="even" r:id="rId16"/>
      <w:footerReference w:type="default" r:id="rId17"/>
      <w:headerReference w:type="first" r:id="rId18"/>
      <w:footerReference w:type="first" r:id="rId1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369" w:rsidRDefault="008A4369" w:rsidP="003C710A">
      <w:r>
        <w:separator/>
      </w:r>
    </w:p>
  </w:endnote>
  <w:endnote w:type="continuationSeparator" w:id="0">
    <w:p w:rsidR="008A4369" w:rsidRDefault="008A4369" w:rsidP="003C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Default="003C710A" w:rsidP="003C7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Default="00B24465" w:rsidP="008C3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369" w:rsidRDefault="008A4369" w:rsidP="003C710A">
      <w:r>
        <w:separator/>
      </w:r>
    </w:p>
  </w:footnote>
  <w:footnote w:type="continuationSeparator" w:id="0">
    <w:p w:rsidR="008A4369" w:rsidRDefault="008A4369" w:rsidP="003C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262966" w:rsidRDefault="003C710A" w:rsidP="003C710A">
    <w:pPr>
      <w:tabs>
        <w:tab w:val="center" w:pos="4536"/>
        <w:tab w:val="right" w:pos="9072"/>
      </w:tabs>
      <w:jc w:val="right"/>
    </w:pPr>
    <w:r w:rsidRPr="00262966">
      <w:t>CDIP/20/</w:t>
    </w:r>
    <w:r w:rsidRPr="00262966">
      <w:rPr>
        <w:highlight w:val="yellow"/>
      </w:rPr>
      <w:t>X</w:t>
    </w:r>
  </w:p>
  <w:p w:rsidR="003C710A" w:rsidRDefault="003C710A" w:rsidP="003C710A">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634B6">
      <w:rPr>
        <w:noProof/>
      </w:rPr>
      <w:t>3</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262966" w:rsidRDefault="00B24465" w:rsidP="008C3E9C">
    <w:pPr>
      <w:tabs>
        <w:tab w:val="center" w:pos="4536"/>
        <w:tab w:val="right" w:pos="9072"/>
      </w:tabs>
      <w:jc w:val="right"/>
    </w:pPr>
    <w:r w:rsidRPr="00262966">
      <w:t>CDIP/20/</w:t>
    </w:r>
    <w:r w:rsidRPr="00262966">
      <w:rPr>
        <w:highlight w:val="yellow"/>
      </w:rPr>
      <w:t>X</w:t>
    </w:r>
  </w:p>
  <w:p w:rsidR="00B24465" w:rsidRDefault="00B24465" w:rsidP="008C3E9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sidR="006634B6">
      <w:rPr>
        <w:noProof/>
      </w:rPr>
      <w:t>3</w:t>
    </w:r>
    <w:r w:rsidRPr="0026296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3C710A" w:rsidRDefault="003C710A" w:rsidP="003C710A">
    <w:pPr>
      <w:pStyle w:val="Header"/>
      <w:jc w:val="right"/>
      <w:rPr>
        <w:rFonts w:ascii="Arial" w:hAnsi="Arial" w:cs="Arial"/>
      </w:rPr>
    </w:pPr>
    <w:r w:rsidRPr="003C710A">
      <w:rPr>
        <w:rFonts w:ascii="Arial" w:hAnsi="Arial" w:cs="Arial"/>
      </w:rPr>
      <w:t>CDIP/24/INF/2</w:t>
    </w:r>
  </w:p>
  <w:p w:rsidR="003C710A" w:rsidRPr="003C710A" w:rsidRDefault="003C710A" w:rsidP="003C710A">
    <w:pPr>
      <w:pStyle w:val="Header"/>
      <w:jc w:val="right"/>
      <w:rPr>
        <w:rFonts w:ascii="Arial" w:hAnsi="Arial" w:cs="Arial"/>
      </w:rPr>
    </w:pPr>
    <w:r>
      <w:rPr>
        <w:rFonts w:ascii="Arial" w:hAnsi="Arial" w:cs="Arial"/>
      </w:rPr>
      <w:t>Annex, page 2</w:t>
    </w:r>
  </w:p>
  <w:p w:rsidR="003C710A" w:rsidRDefault="003C710A" w:rsidP="003C710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CDIP/24/INF/2</w:t>
    </w:r>
  </w:p>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 page 2</w:t>
    </w:r>
  </w:p>
  <w:p w:rsidR="008B203D" w:rsidRPr="003C710A" w:rsidRDefault="008B203D" w:rsidP="003C710A">
    <w:pPr>
      <w:pStyle w:val="Header"/>
      <w:jc w:val="right"/>
      <w:rPr>
        <w:rFonts w:ascii="Arial" w:hAnsi="Arial" w:cs="Arial"/>
      </w:rPr>
    </w:pPr>
  </w:p>
  <w:p w:rsidR="00B24465" w:rsidRDefault="00B24465" w:rsidP="003C710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65" w:rsidRPr="00090EA9" w:rsidRDefault="003C710A" w:rsidP="003C710A">
    <w:pPr>
      <w:pStyle w:val="Header"/>
      <w:jc w:val="right"/>
      <w:rPr>
        <w:rFonts w:ascii="Arial" w:hAnsi="Arial" w:cs="Arial"/>
        <w:sz w:val="22"/>
        <w:szCs w:val="22"/>
      </w:rPr>
    </w:pPr>
    <w:r w:rsidRPr="00090EA9">
      <w:rPr>
        <w:rFonts w:ascii="Arial" w:hAnsi="Arial" w:cs="Arial"/>
        <w:sz w:val="22"/>
        <w:szCs w:val="22"/>
      </w:rPr>
      <w:t>CDIP/24/INF/2</w:t>
    </w:r>
  </w:p>
  <w:p w:rsidR="003C710A" w:rsidRPr="00090EA9" w:rsidRDefault="003C710A" w:rsidP="003C710A">
    <w:pPr>
      <w:pStyle w:val="Header"/>
      <w:jc w:val="right"/>
      <w:rPr>
        <w:rFonts w:ascii="Arial" w:hAnsi="Arial" w:cs="Arial"/>
        <w:sz w:val="22"/>
        <w:szCs w:val="22"/>
      </w:rPr>
    </w:pPr>
    <w:r w:rsidRPr="00090EA9">
      <w:rPr>
        <w:rFonts w:ascii="Arial" w:hAnsi="Arial" w:cs="Arial"/>
        <w:sz w:val="22"/>
        <w:szCs w:val="22"/>
      </w:rPr>
      <w:t>ANNEX</w:t>
    </w:r>
  </w:p>
  <w:p w:rsidR="008B203D" w:rsidRDefault="008B203D" w:rsidP="003C710A">
    <w:pPr>
      <w:pStyle w:val="Header"/>
      <w:jc w:val="right"/>
      <w:rPr>
        <w:rFonts w:ascii="Arial" w:hAnsi="Arial" w:cs="Arial"/>
      </w:rPr>
    </w:pPr>
  </w:p>
  <w:p w:rsidR="008B203D" w:rsidRPr="003C710A" w:rsidRDefault="008B203D" w:rsidP="003C710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9C"/>
    <w:rsid w:val="00067297"/>
    <w:rsid w:val="00090EA9"/>
    <w:rsid w:val="000D41E1"/>
    <w:rsid w:val="000F5E56"/>
    <w:rsid w:val="00182BDC"/>
    <w:rsid w:val="00293942"/>
    <w:rsid w:val="003216A8"/>
    <w:rsid w:val="003414BA"/>
    <w:rsid w:val="00356914"/>
    <w:rsid w:val="003C710A"/>
    <w:rsid w:val="003E6531"/>
    <w:rsid w:val="004006B6"/>
    <w:rsid w:val="004270B1"/>
    <w:rsid w:val="00427CF8"/>
    <w:rsid w:val="00431118"/>
    <w:rsid w:val="00445085"/>
    <w:rsid w:val="004C27D6"/>
    <w:rsid w:val="005D2ECA"/>
    <w:rsid w:val="006634B6"/>
    <w:rsid w:val="00696927"/>
    <w:rsid w:val="00751BC3"/>
    <w:rsid w:val="00780FE2"/>
    <w:rsid w:val="007B240C"/>
    <w:rsid w:val="007D53C7"/>
    <w:rsid w:val="00804DB7"/>
    <w:rsid w:val="008349A5"/>
    <w:rsid w:val="008477E4"/>
    <w:rsid w:val="008A4369"/>
    <w:rsid w:val="008B203D"/>
    <w:rsid w:val="008C3E9C"/>
    <w:rsid w:val="00912FF7"/>
    <w:rsid w:val="00940663"/>
    <w:rsid w:val="00B20ED1"/>
    <w:rsid w:val="00B24465"/>
    <w:rsid w:val="00C554EC"/>
    <w:rsid w:val="00C56D95"/>
    <w:rsid w:val="00D917F7"/>
    <w:rsid w:val="00DF39BC"/>
    <w:rsid w:val="00E24DBF"/>
    <w:rsid w:val="00E335AF"/>
    <w:rsid w:val="00F0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8C4431-5130-492E-8E0F-6FFE9AA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E9C"/>
    <w:rPr>
      <w:rFonts w:asciiTheme="minorHAnsi" w:eastAsiaTheme="minorHAnsi" w:hAnsiTheme="minorHAnsi" w:cstheme="minorBidi"/>
      <w:sz w:val="24"/>
      <w:szCs w:val="24"/>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Title">
    <w:name w:val="Title"/>
    <w:basedOn w:val="Normal"/>
    <w:next w:val="Normal"/>
    <w:link w:val="TitleChar"/>
    <w:uiPriority w:val="10"/>
    <w:qFormat/>
    <w:rsid w:val="008C3E9C"/>
    <w:pPr>
      <w:widowControl w:val="0"/>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C3E9C"/>
    <w:rPr>
      <w:rFonts w:asciiTheme="majorHAnsi" w:eastAsiaTheme="majorEastAsia" w:hAnsiTheme="majorHAnsi" w:cstheme="majorBidi"/>
      <w:spacing w:val="-10"/>
      <w:kern w:val="28"/>
      <w:sz w:val="56"/>
      <w:szCs w:val="56"/>
      <w:lang w:val="en-GB"/>
    </w:rPr>
  </w:style>
  <w:style w:type="character" w:customStyle="1" w:styleId="HeaderChar">
    <w:name w:val="Header Char"/>
    <w:basedOn w:val="DefaultParagraphFont"/>
    <w:link w:val="Header"/>
    <w:uiPriority w:val="99"/>
    <w:rsid w:val="008C3E9C"/>
    <w:rPr>
      <w:rFonts w:ascii="Arial" w:hAnsi="Arial" w:cs="Arial"/>
      <w:sz w:val="22"/>
    </w:rPr>
  </w:style>
  <w:style w:type="character" w:customStyle="1" w:styleId="FooterChar">
    <w:name w:val="Footer Char"/>
    <w:basedOn w:val="DefaultParagraphFont"/>
    <w:link w:val="Footer"/>
    <w:uiPriority w:val="99"/>
    <w:rsid w:val="008C3E9C"/>
    <w:rPr>
      <w:rFonts w:ascii="Arial" w:hAnsi="Arial" w:cs="Arial"/>
      <w:sz w:val="22"/>
    </w:rPr>
  </w:style>
  <w:style w:type="character" w:styleId="Hyperlink">
    <w:name w:val="Hyperlink"/>
    <w:basedOn w:val="DefaultParagraphFont"/>
    <w:unhideWhenUsed/>
    <w:rsid w:val="004006B6"/>
    <w:rPr>
      <w:color w:val="0000FF" w:themeColor="hyperlink"/>
      <w:u w:val="single"/>
    </w:rPr>
  </w:style>
  <w:style w:type="paragraph" w:styleId="ListParagraph">
    <w:name w:val="List Paragraph"/>
    <w:basedOn w:val="Normal"/>
    <w:uiPriority w:val="34"/>
    <w:qFormat/>
    <w:rsid w:val="004006B6"/>
    <w:pPr>
      <w:ind w:left="720"/>
      <w:contextualSpacing/>
    </w:pPr>
  </w:style>
  <w:style w:type="paragraph" w:styleId="BalloonText">
    <w:name w:val="Balloon Text"/>
    <w:basedOn w:val="Normal"/>
    <w:link w:val="BalloonTextChar"/>
    <w:semiHidden/>
    <w:unhideWhenUsed/>
    <w:rsid w:val="00940663"/>
    <w:rPr>
      <w:rFonts w:ascii="Segoe UI" w:hAnsi="Segoe UI" w:cs="Segoe UI"/>
      <w:sz w:val="18"/>
      <w:szCs w:val="18"/>
    </w:rPr>
  </w:style>
  <w:style w:type="character" w:customStyle="1" w:styleId="BalloonTextChar">
    <w:name w:val="Balloon Text Char"/>
    <w:basedOn w:val="DefaultParagraphFont"/>
    <w:link w:val="BalloonText"/>
    <w:semiHidden/>
    <w:rsid w:val="00940663"/>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ipo.int/ip-development/en/agenda/work_undertaken.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A3688-E347-46B4-8C8D-5DA63CFB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Pages>
  <Words>848</Words>
  <Characters>4745</Characters>
  <Application>Microsoft Office Word</Application>
  <DocSecurity>0</DocSecurity>
  <Lines>115</Lines>
  <Paragraphs>28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HUBBARD HERRAN Walter</dc:creator>
  <cp:keywords>FOR OFFICIAL USE ONLY</cp:keywords>
  <dc:description/>
  <cp:lastModifiedBy>ESTEVES DOS SANTOS Anabela</cp:lastModifiedBy>
  <cp:revision>19</cp:revision>
  <cp:lastPrinted>2019-08-21T08:03:00Z</cp:lastPrinted>
  <dcterms:created xsi:type="dcterms:W3CDTF">2019-08-15T09:52:00Z</dcterms:created>
  <dcterms:modified xsi:type="dcterms:W3CDTF">2019-08-30T12:06:00Z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36641603-ad78-4cd1-9072-144f39c76322</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