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3E9C" w:rsidRPr="00603F4A" w14:paraId="4230FC4B" w14:textId="77777777" w:rsidTr="008C3E9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EEF3748" w14:textId="77777777" w:rsidR="008C3E9C" w:rsidRPr="00603F4A" w:rsidRDefault="008C3E9C" w:rsidP="008C3E9C">
            <w:pPr>
              <w:rPr>
                <w:rFonts w:eastAsia="SimSun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288213" w14:textId="77777777" w:rsidR="008C3E9C" w:rsidRPr="00603F4A" w:rsidRDefault="008C3E9C" w:rsidP="008C3E9C">
            <w:pPr>
              <w:rPr>
                <w:rFonts w:eastAsia="SimSun"/>
                <w:szCs w:val="20"/>
                <w:lang w:eastAsia="zh-CN"/>
              </w:rPr>
            </w:pPr>
            <w:r w:rsidRPr="00603F4A">
              <w:rPr>
                <w:rFonts w:eastAsia="SimSun"/>
                <w:noProof/>
                <w:szCs w:val="20"/>
              </w:rPr>
              <w:drawing>
                <wp:inline distT="0" distB="0" distL="0" distR="0" wp14:anchorId="13DB8740" wp14:editId="67E0660F">
                  <wp:extent cx="1857375" cy="1323975"/>
                  <wp:effectExtent l="0" t="0" r="9525" b="9525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12E03A" w14:textId="77777777" w:rsidR="008C3E9C" w:rsidRPr="00603F4A" w:rsidRDefault="008C3E9C" w:rsidP="008C3E9C">
            <w:pPr>
              <w:jc w:val="right"/>
              <w:rPr>
                <w:rFonts w:eastAsia="SimSun"/>
                <w:szCs w:val="20"/>
                <w:lang w:eastAsia="zh-CN"/>
              </w:rPr>
            </w:pPr>
            <w:r w:rsidRPr="00603F4A">
              <w:rPr>
                <w:rFonts w:eastAsia="SimSun"/>
                <w:b/>
                <w:sz w:val="40"/>
                <w:szCs w:val="40"/>
                <w:lang w:eastAsia="zh-CN"/>
              </w:rPr>
              <w:t>E</w:t>
            </w:r>
          </w:p>
        </w:tc>
      </w:tr>
      <w:tr w:rsidR="008C3E9C" w:rsidRPr="00603F4A" w14:paraId="2C54D952" w14:textId="77777777" w:rsidTr="008C3E9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C4BA063" w14:textId="0CA848B3" w:rsidR="008C3E9C" w:rsidRPr="00603F4A" w:rsidRDefault="008C3E9C" w:rsidP="0095368D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CDIP/</w:t>
            </w:r>
            <w:bookmarkStart w:id="0" w:name="Code"/>
            <w:bookmarkEnd w:id="0"/>
            <w:r w:rsidR="00B018BC"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28</w:t>
            </w:r>
            <w:r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/INF/</w:t>
            </w:r>
            <w:r w:rsidR="0095368D"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5</w:t>
            </w:r>
            <w:r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8C3E9C" w:rsidRPr="00603F4A" w14:paraId="077D137A" w14:textId="77777777" w:rsidTr="008C3E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E21F33C" w14:textId="77777777" w:rsidR="008C3E9C" w:rsidRPr="00603F4A" w:rsidRDefault="008C3E9C" w:rsidP="008C3E9C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ORIGINAL:  </w:t>
            </w:r>
            <w:bookmarkStart w:id="1" w:name="Original"/>
            <w:bookmarkEnd w:id="1"/>
            <w:r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English</w:t>
            </w:r>
          </w:p>
        </w:tc>
      </w:tr>
      <w:tr w:rsidR="008C3E9C" w:rsidRPr="00603F4A" w14:paraId="72515025" w14:textId="77777777" w:rsidTr="008C3E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460D828" w14:textId="159006BF" w:rsidR="008C3E9C" w:rsidRPr="00603F4A" w:rsidRDefault="008C3E9C" w:rsidP="0095368D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DATE:  </w:t>
            </w:r>
            <w:r w:rsidR="00B018BC"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APRIL</w:t>
            </w:r>
            <w:r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</w:t>
            </w:r>
            <w:r w:rsidR="00B018BC"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19, 2022</w:t>
            </w:r>
            <w:r w:rsidRPr="00603F4A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</w:t>
            </w:r>
            <w:bookmarkStart w:id="2" w:name="Date"/>
            <w:bookmarkEnd w:id="2"/>
          </w:p>
        </w:tc>
      </w:tr>
    </w:tbl>
    <w:p w14:paraId="347C7E93" w14:textId="77777777" w:rsidR="008C3E9C" w:rsidRPr="00603F4A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27108CDE" w14:textId="77777777" w:rsidR="008C3E9C" w:rsidRPr="00603F4A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40F8F4B8" w14:textId="77777777" w:rsidR="008C3E9C" w:rsidRPr="00603F4A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29D1090B" w14:textId="77777777" w:rsidR="008C3E9C" w:rsidRPr="00603F4A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5354A870" w14:textId="77777777" w:rsidR="003C710A" w:rsidRPr="00603F4A" w:rsidRDefault="003C710A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71CEA86D" w14:textId="77777777" w:rsidR="008C3E9C" w:rsidRPr="00603F4A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  <w:r w:rsidRPr="00603F4A">
        <w:rPr>
          <w:rFonts w:ascii="Arial" w:eastAsia="SimSun" w:hAnsi="Arial" w:cs="Arial"/>
          <w:b/>
          <w:sz w:val="28"/>
          <w:szCs w:val="28"/>
          <w:lang w:eastAsia="zh-CN"/>
        </w:rPr>
        <w:t>Committee on Development and Intellectual Property (CDIP)</w:t>
      </w:r>
    </w:p>
    <w:p w14:paraId="20205257" w14:textId="77777777" w:rsidR="008C3E9C" w:rsidRPr="00603F4A" w:rsidRDefault="008C3E9C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14:paraId="13038716" w14:textId="77777777" w:rsidR="003C710A" w:rsidRPr="00603F4A" w:rsidRDefault="003C710A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14:paraId="0962024E" w14:textId="34FCB11F" w:rsidR="008C3E9C" w:rsidRPr="00603F4A" w:rsidRDefault="00B018BC" w:rsidP="008C3E9C">
      <w:pPr>
        <w:rPr>
          <w:rFonts w:ascii="Arial" w:eastAsia="SimSun" w:hAnsi="Arial" w:cs="Arial"/>
          <w:b/>
          <w:lang w:eastAsia="zh-CN"/>
        </w:rPr>
      </w:pPr>
      <w:r w:rsidRPr="00603F4A">
        <w:rPr>
          <w:rFonts w:ascii="Arial" w:eastAsia="SimSun" w:hAnsi="Arial" w:cs="Arial"/>
          <w:b/>
          <w:lang w:eastAsia="zh-CN"/>
        </w:rPr>
        <w:t>Twenty-Eighth</w:t>
      </w:r>
      <w:r w:rsidR="008C3E9C" w:rsidRPr="00603F4A">
        <w:rPr>
          <w:rFonts w:ascii="Arial" w:eastAsia="SimSun" w:hAnsi="Arial" w:cs="Arial"/>
          <w:b/>
          <w:lang w:eastAsia="zh-CN"/>
        </w:rPr>
        <w:t xml:space="preserve"> Session</w:t>
      </w:r>
    </w:p>
    <w:p w14:paraId="0FFF1D5E" w14:textId="6C6CBB68" w:rsidR="008C3E9C" w:rsidRPr="00603F4A" w:rsidRDefault="00B018BC" w:rsidP="008C3E9C">
      <w:pPr>
        <w:rPr>
          <w:rFonts w:ascii="Arial" w:eastAsia="SimSun" w:hAnsi="Arial" w:cs="Arial"/>
          <w:b/>
          <w:lang w:eastAsia="zh-CN"/>
        </w:rPr>
      </w:pPr>
      <w:r w:rsidRPr="00603F4A">
        <w:rPr>
          <w:rFonts w:ascii="Arial" w:eastAsia="SimSun" w:hAnsi="Arial" w:cs="Arial"/>
          <w:b/>
          <w:lang w:eastAsia="zh-CN"/>
        </w:rPr>
        <w:t>Geneva, May 16 to 20</w:t>
      </w:r>
      <w:r w:rsidR="008C3E9C" w:rsidRPr="00603F4A">
        <w:rPr>
          <w:rFonts w:ascii="Arial" w:eastAsia="SimSun" w:hAnsi="Arial" w:cs="Arial"/>
          <w:b/>
          <w:lang w:eastAsia="zh-CN"/>
        </w:rPr>
        <w:t xml:space="preserve">, </w:t>
      </w:r>
      <w:r w:rsidRPr="00603F4A">
        <w:rPr>
          <w:rFonts w:ascii="Arial" w:eastAsia="SimSun" w:hAnsi="Arial" w:cs="Arial"/>
          <w:b/>
          <w:lang w:eastAsia="zh-CN"/>
        </w:rPr>
        <w:t>2022</w:t>
      </w:r>
    </w:p>
    <w:p w14:paraId="49164703" w14:textId="77777777" w:rsidR="008C3E9C" w:rsidRPr="00603F4A" w:rsidRDefault="008C3E9C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14:paraId="76AF09D7" w14:textId="77777777" w:rsidR="008C3E9C" w:rsidRPr="00603F4A" w:rsidRDefault="008C3E9C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14:paraId="34196F72" w14:textId="77777777" w:rsidR="008B203D" w:rsidRPr="00603F4A" w:rsidRDefault="008B203D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14:paraId="4ED54972" w14:textId="771EB25E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Cs w:val="22"/>
        </w:rPr>
      </w:pPr>
      <w:bookmarkStart w:id="3" w:name="TitleOfDoc"/>
      <w:bookmarkEnd w:id="3"/>
      <w:r w:rsidRPr="00603F4A">
        <w:rPr>
          <w:rFonts w:ascii="Arial" w:eastAsia="Arial" w:hAnsi="Arial" w:cs="Arial"/>
          <w:color w:val="000000"/>
          <w:szCs w:val="22"/>
        </w:rPr>
        <w:t>SUMMARY OF</w:t>
      </w:r>
      <w:r w:rsidR="00C80664" w:rsidRPr="00603F4A">
        <w:rPr>
          <w:rFonts w:ascii="Arial" w:eastAsia="Arial" w:hAnsi="Arial" w:cs="Arial"/>
          <w:color w:val="000000"/>
          <w:szCs w:val="22"/>
        </w:rPr>
        <w:t xml:space="preserve"> </w:t>
      </w:r>
      <w:r w:rsidR="007D723C" w:rsidRPr="00603F4A">
        <w:rPr>
          <w:rFonts w:ascii="Arial" w:eastAsia="Arial" w:hAnsi="Arial" w:cs="Arial"/>
          <w:color w:val="000000"/>
          <w:szCs w:val="22"/>
        </w:rPr>
        <w:t>THE INTELLECTUAL PROPERTY</w:t>
      </w:r>
      <w:r w:rsidR="00603F4A" w:rsidRPr="00603F4A">
        <w:rPr>
          <w:rFonts w:ascii="Arial" w:eastAsia="Arial" w:hAnsi="Arial" w:cs="Arial"/>
          <w:color w:val="000000"/>
          <w:szCs w:val="22"/>
        </w:rPr>
        <w:t xml:space="preserve"> TOOLBOX FOR MOBILE APPLICATION</w:t>
      </w:r>
      <w:r w:rsidR="004C3786">
        <w:rPr>
          <w:rFonts w:ascii="Arial" w:eastAsia="Arial" w:hAnsi="Arial" w:cs="Arial"/>
          <w:color w:val="000000"/>
          <w:szCs w:val="22"/>
        </w:rPr>
        <w:t>S</w:t>
      </w:r>
      <w:bookmarkStart w:id="4" w:name="_GoBack"/>
      <w:bookmarkEnd w:id="4"/>
      <w:r w:rsidR="007D723C" w:rsidRPr="00603F4A">
        <w:rPr>
          <w:rFonts w:ascii="Arial" w:eastAsia="Arial" w:hAnsi="Arial" w:cs="Arial"/>
          <w:color w:val="000000"/>
          <w:szCs w:val="22"/>
        </w:rPr>
        <w:t xml:space="preserve"> DEVELOPERS</w:t>
      </w:r>
    </w:p>
    <w:p w14:paraId="676F7CDE" w14:textId="77777777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B16446A" w14:textId="77777777" w:rsidR="0095368D" w:rsidRPr="00603F4A" w:rsidRDefault="0095368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4B6255" w14:textId="28EC0D7C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5" w:name="Prepared"/>
      <w:bookmarkEnd w:id="5"/>
      <w:proofErr w:type="gramStart"/>
      <w:r w:rsidRPr="00603F4A">
        <w:rPr>
          <w:rFonts w:ascii="Arial" w:eastAsia="Arial" w:hAnsi="Arial" w:cs="Arial"/>
          <w:i/>
          <w:color w:val="000000"/>
          <w:sz w:val="22"/>
          <w:szCs w:val="22"/>
        </w:rPr>
        <w:t>prepared</w:t>
      </w:r>
      <w:proofErr w:type="gramEnd"/>
      <w:r w:rsidRPr="00603F4A">
        <w:rPr>
          <w:rFonts w:ascii="Arial" w:eastAsia="Arial" w:hAnsi="Arial" w:cs="Arial"/>
          <w:i/>
          <w:color w:val="000000"/>
          <w:sz w:val="22"/>
          <w:szCs w:val="22"/>
        </w:rPr>
        <w:t xml:space="preserve"> by</w:t>
      </w:r>
      <w:r w:rsidR="004C27D6" w:rsidRPr="00603F4A">
        <w:rPr>
          <w:rFonts w:ascii="Arial" w:eastAsia="Times New Roman" w:hAnsi="Arial" w:cs="Arial"/>
          <w:sz w:val="22"/>
          <w:szCs w:val="22"/>
        </w:rPr>
        <w:t xml:space="preserve"> </w:t>
      </w:r>
      <w:r w:rsidR="003C710A" w:rsidRPr="00603F4A">
        <w:rPr>
          <w:rFonts w:ascii="Arial" w:eastAsia="Arial" w:hAnsi="Arial" w:cs="Arial"/>
          <w:i/>
          <w:color w:val="000000"/>
          <w:sz w:val="22"/>
          <w:szCs w:val="22"/>
        </w:rPr>
        <w:t>the Secretariat</w:t>
      </w:r>
    </w:p>
    <w:p w14:paraId="47085030" w14:textId="77777777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4F91E33" w14:textId="77777777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4085F6D" w14:textId="77777777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041845B" w14:textId="77777777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C7F73E4" w14:textId="77777777" w:rsidR="007F1540" w:rsidRPr="00603F4A" w:rsidRDefault="007F1540" w:rsidP="007F1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27974CB6" w14:textId="13616106" w:rsidR="009476FA" w:rsidRPr="00603F4A" w:rsidRDefault="008C3E9C" w:rsidP="005061E0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r w:rsidRPr="00603F4A">
        <w:rPr>
          <w:rFonts w:ascii="Arial" w:eastAsia="Times New Roman" w:hAnsi="Arial" w:cs="Arial"/>
          <w:color w:val="000000"/>
          <w:sz w:val="22"/>
          <w:szCs w:val="22"/>
        </w:rPr>
        <w:t xml:space="preserve">The Annex to this document contains </w:t>
      </w:r>
      <w:r w:rsidR="008B203D" w:rsidRPr="00603F4A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603F4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A3A97" w:rsidRPr="00603F4A">
        <w:rPr>
          <w:rFonts w:ascii="Arial" w:eastAsia="Times New Roman" w:hAnsi="Arial" w:cs="Arial"/>
          <w:color w:val="000000"/>
          <w:sz w:val="22"/>
          <w:szCs w:val="22"/>
        </w:rPr>
        <w:t>summary of a</w:t>
      </w:r>
      <w:r w:rsidR="00C36086" w:rsidRPr="00603F4A">
        <w:rPr>
          <w:rFonts w:ascii="Arial" w:eastAsia="Times New Roman" w:hAnsi="Arial" w:cs="Arial"/>
          <w:color w:val="000000"/>
          <w:sz w:val="22"/>
          <w:szCs w:val="22"/>
        </w:rPr>
        <w:t>n</w:t>
      </w:r>
      <w:r w:rsidR="003B37EB" w:rsidRPr="00603F4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bookmarkStart w:id="6" w:name="_Hlk100908389"/>
      <w:r w:rsidR="007D723C" w:rsidRPr="00603F4A">
        <w:rPr>
          <w:rFonts w:ascii="Arial" w:eastAsia="Times New Roman" w:hAnsi="Arial" w:cs="Arial"/>
          <w:color w:val="000000"/>
          <w:sz w:val="22"/>
          <w:szCs w:val="22"/>
        </w:rPr>
        <w:t>Intellectual Property Toolbox for Mobile Applications Developers</w:t>
      </w:r>
      <w:bookmarkEnd w:id="6"/>
      <w:r w:rsidR="008A3A97" w:rsidRPr="00603F4A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95368D" w:rsidRPr="00603F4A">
        <w:rPr>
          <w:rFonts w:ascii="Arial" w:eastAsia="Times New Roman" w:hAnsi="Arial" w:cs="Arial"/>
          <w:color w:val="000000"/>
          <w:sz w:val="22"/>
          <w:szCs w:val="22"/>
        </w:rPr>
        <w:t xml:space="preserve"> undertaken in the context of the Project on Enhancing the Use of Intellectual Property </w:t>
      </w:r>
      <w:r w:rsidR="00603F4A" w:rsidRPr="00603F4A">
        <w:rPr>
          <w:rFonts w:ascii="Arial" w:eastAsia="Times New Roman" w:hAnsi="Arial" w:cs="Arial"/>
          <w:color w:val="000000"/>
          <w:sz w:val="22"/>
          <w:szCs w:val="22"/>
        </w:rPr>
        <w:t xml:space="preserve">for Mobile Apps </w:t>
      </w:r>
      <w:r w:rsidR="0095368D" w:rsidRPr="00603F4A">
        <w:rPr>
          <w:rFonts w:ascii="Arial" w:eastAsia="Times New Roman" w:hAnsi="Arial" w:cs="Arial"/>
          <w:color w:val="000000"/>
          <w:sz w:val="22"/>
          <w:szCs w:val="22"/>
        </w:rPr>
        <w:t xml:space="preserve">in the Software Sector </w:t>
      </w:r>
      <w:r w:rsidR="00C56D95" w:rsidRPr="00603F4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603F4A" w:rsidRPr="00603F4A">
        <w:rPr>
          <w:rFonts w:ascii="Arial" w:eastAsia="Times New Roman" w:hAnsi="Arial" w:cs="Arial"/>
          <w:color w:val="000000"/>
          <w:sz w:val="22"/>
          <w:szCs w:val="22"/>
        </w:rPr>
        <w:t xml:space="preserve">document </w:t>
      </w:r>
      <w:r w:rsidR="00C56D95" w:rsidRPr="00603F4A">
        <w:rPr>
          <w:rFonts w:ascii="Arial" w:eastAsia="Times New Roman" w:hAnsi="Arial" w:cs="Arial"/>
          <w:color w:val="000000"/>
          <w:sz w:val="22"/>
          <w:szCs w:val="22"/>
        </w:rPr>
        <w:t>CDIP/22/8)</w:t>
      </w:r>
      <w:r w:rsidR="005061E0" w:rsidRPr="00603F4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B10F548" w14:textId="77777777" w:rsidR="00603F4A" w:rsidRPr="00603F4A" w:rsidRDefault="00603F4A" w:rsidP="00603F4A">
      <w:pPr>
        <w:pStyle w:val="ListParagraph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Times New Roman" w:hAnsi="Arial" w:cs="Arial"/>
          <w:color w:val="000000"/>
          <w:sz w:val="22"/>
          <w:szCs w:val="22"/>
        </w:rPr>
      </w:pPr>
    </w:p>
    <w:p w14:paraId="20D88B3D" w14:textId="19D3D888" w:rsidR="004006B6" w:rsidRPr="00603F4A" w:rsidRDefault="008C3E9C" w:rsidP="00603F4A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sz w:val="22"/>
          <w:szCs w:val="22"/>
        </w:rPr>
      </w:pPr>
      <w:proofErr w:type="gramStart"/>
      <w:r w:rsidRPr="00603F4A">
        <w:rPr>
          <w:rFonts w:ascii="Arial" w:eastAsia="Times New Roman" w:hAnsi="Arial" w:cs="Arial"/>
          <w:sz w:val="22"/>
          <w:szCs w:val="22"/>
        </w:rPr>
        <w:t>The</w:t>
      </w:r>
      <w:r w:rsidR="0095368D" w:rsidRPr="00603F4A">
        <w:rPr>
          <w:rFonts w:ascii="Arial" w:eastAsia="Times New Roman" w:hAnsi="Arial" w:cs="Arial"/>
          <w:sz w:val="22"/>
          <w:szCs w:val="22"/>
        </w:rPr>
        <w:t xml:space="preserve"> </w:t>
      </w:r>
      <w:r w:rsidR="009476FA" w:rsidRPr="00603F4A">
        <w:rPr>
          <w:rFonts w:ascii="Arial" w:eastAsia="Times New Roman" w:hAnsi="Arial" w:cs="Arial"/>
          <w:sz w:val="22"/>
          <w:szCs w:val="22"/>
        </w:rPr>
        <w:t>Toolbox</w:t>
      </w:r>
      <w:r w:rsidRPr="00603F4A">
        <w:rPr>
          <w:rFonts w:ascii="Arial" w:eastAsia="Times New Roman" w:hAnsi="Arial" w:cs="Arial"/>
          <w:sz w:val="22"/>
          <w:szCs w:val="22"/>
        </w:rPr>
        <w:t xml:space="preserve"> has been prepared </w:t>
      </w:r>
      <w:r w:rsidR="008B203D" w:rsidRPr="00603F4A">
        <w:rPr>
          <w:rFonts w:ascii="Arial" w:eastAsia="Times New Roman" w:hAnsi="Arial" w:cs="Arial"/>
          <w:sz w:val="22"/>
          <w:szCs w:val="22"/>
        </w:rPr>
        <w:t xml:space="preserve">by </w:t>
      </w:r>
      <w:r w:rsidR="007D723C" w:rsidRPr="00603F4A">
        <w:rPr>
          <w:rFonts w:ascii="Arial" w:eastAsia="Times New Roman" w:hAnsi="Arial" w:cs="Arial"/>
          <w:sz w:val="22"/>
          <w:szCs w:val="22"/>
        </w:rPr>
        <w:t xml:space="preserve">Dr. </w:t>
      </w:r>
      <w:proofErr w:type="spellStart"/>
      <w:r w:rsidR="007D723C" w:rsidRPr="00603F4A">
        <w:rPr>
          <w:rFonts w:ascii="Arial" w:eastAsia="Times New Roman" w:hAnsi="Arial" w:cs="Arial"/>
          <w:sz w:val="22"/>
          <w:szCs w:val="22"/>
        </w:rPr>
        <w:t>Anke</w:t>
      </w:r>
      <w:proofErr w:type="spellEnd"/>
      <w:r w:rsidR="007D723C" w:rsidRPr="00603F4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7D723C" w:rsidRPr="00603F4A">
        <w:rPr>
          <w:rFonts w:ascii="Arial" w:eastAsia="Times New Roman" w:hAnsi="Arial" w:cs="Arial"/>
          <w:sz w:val="22"/>
          <w:szCs w:val="22"/>
        </w:rPr>
        <w:t>Moerland</w:t>
      </w:r>
      <w:proofErr w:type="spellEnd"/>
      <w:r w:rsidR="007D723C" w:rsidRPr="00603F4A">
        <w:rPr>
          <w:rFonts w:ascii="Arial" w:eastAsia="Times New Roman" w:hAnsi="Arial" w:cs="Arial"/>
          <w:sz w:val="22"/>
          <w:szCs w:val="22"/>
        </w:rPr>
        <w:t>, Associate Professor of Intellectual Property Law at Maastricht University, and Prof.</w:t>
      </w:r>
      <w:r w:rsidR="00C56D95" w:rsidRPr="00603F4A">
        <w:rPr>
          <w:rFonts w:ascii="Arial" w:eastAsia="Times New Roman" w:hAnsi="Arial" w:cs="Arial"/>
          <w:sz w:val="22"/>
          <w:szCs w:val="22"/>
        </w:rPr>
        <w:t xml:space="preserve"> Noam </w:t>
      </w:r>
      <w:proofErr w:type="spellStart"/>
      <w:r w:rsidR="00C56D95" w:rsidRPr="00603F4A">
        <w:rPr>
          <w:rFonts w:ascii="Arial" w:eastAsia="Times New Roman" w:hAnsi="Arial" w:cs="Arial"/>
          <w:sz w:val="22"/>
          <w:szCs w:val="22"/>
        </w:rPr>
        <w:t>Shemtov</w:t>
      </w:r>
      <w:proofErr w:type="spellEnd"/>
      <w:r w:rsidR="008B203D" w:rsidRPr="00603F4A">
        <w:rPr>
          <w:rFonts w:ascii="Arial" w:eastAsia="Times New Roman" w:hAnsi="Arial" w:cs="Arial"/>
          <w:sz w:val="22"/>
          <w:szCs w:val="22"/>
        </w:rPr>
        <w:t>,</w:t>
      </w:r>
      <w:r w:rsidR="00C56D95" w:rsidRPr="00603F4A">
        <w:rPr>
          <w:rFonts w:ascii="Arial" w:eastAsia="Times New Roman" w:hAnsi="Arial" w:cs="Arial"/>
          <w:sz w:val="22"/>
          <w:szCs w:val="22"/>
        </w:rPr>
        <w:t xml:space="preserve"> Deputy Head of the Centre</w:t>
      </w:r>
      <w:proofErr w:type="gramEnd"/>
      <w:r w:rsidR="00C56D95" w:rsidRPr="00603F4A">
        <w:rPr>
          <w:rFonts w:ascii="Arial" w:eastAsia="Times New Roman" w:hAnsi="Arial" w:cs="Arial"/>
          <w:sz w:val="22"/>
          <w:szCs w:val="22"/>
        </w:rPr>
        <w:t xml:space="preserve"> for Commercial Law Studies</w:t>
      </w:r>
      <w:r w:rsidR="003C710A" w:rsidRPr="00603F4A">
        <w:rPr>
          <w:rFonts w:ascii="Arial" w:eastAsia="Times New Roman" w:hAnsi="Arial" w:cs="Arial"/>
          <w:sz w:val="22"/>
          <w:szCs w:val="22"/>
        </w:rPr>
        <w:t xml:space="preserve"> at</w:t>
      </w:r>
      <w:r w:rsidR="00C56D95" w:rsidRPr="00603F4A">
        <w:rPr>
          <w:rFonts w:ascii="Arial" w:eastAsia="Times New Roman" w:hAnsi="Arial" w:cs="Arial"/>
          <w:sz w:val="22"/>
          <w:szCs w:val="22"/>
        </w:rPr>
        <w:t xml:space="preserve"> Queen Mary University of London</w:t>
      </w:r>
      <w:r w:rsidR="00B24465" w:rsidRPr="00603F4A">
        <w:rPr>
          <w:rFonts w:ascii="Arial" w:eastAsia="Times New Roman" w:hAnsi="Arial" w:cs="Arial"/>
          <w:sz w:val="22"/>
          <w:szCs w:val="22"/>
        </w:rPr>
        <w:t>.</w:t>
      </w:r>
      <w:r w:rsidR="004006B6" w:rsidRPr="00603F4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E6267F2" w14:textId="77777777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103A7F04" w14:textId="07240C20" w:rsidR="008C3E9C" w:rsidRPr="00603F4A" w:rsidRDefault="009476FA" w:rsidP="007F15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00"/>
        <w:rPr>
          <w:rFonts w:ascii="Arial" w:eastAsia="Arial" w:hAnsi="Arial" w:cs="Arial"/>
          <w:i/>
          <w:color w:val="000000"/>
          <w:sz w:val="22"/>
          <w:szCs w:val="22"/>
        </w:rPr>
      </w:pPr>
      <w:r w:rsidRPr="00603F4A">
        <w:rPr>
          <w:rFonts w:ascii="Arial" w:eastAsia="Arial" w:hAnsi="Arial" w:cs="Arial"/>
          <w:i/>
          <w:iCs/>
          <w:color w:val="000000"/>
          <w:sz w:val="22"/>
          <w:szCs w:val="22"/>
        </w:rPr>
        <w:t>3</w:t>
      </w:r>
      <w:r w:rsidR="008C3E9C" w:rsidRPr="00603F4A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8C3E9C" w:rsidRPr="00603F4A">
        <w:rPr>
          <w:rFonts w:ascii="Arial" w:eastAsia="Arial" w:hAnsi="Arial" w:cs="Arial"/>
          <w:i/>
          <w:iCs/>
          <w:color w:val="000000"/>
          <w:sz w:val="22"/>
          <w:szCs w:val="22"/>
        </w:rPr>
        <w:tab/>
        <w:t xml:space="preserve">The CDIP </w:t>
      </w:r>
      <w:proofErr w:type="gramStart"/>
      <w:r w:rsidR="008C3E9C" w:rsidRPr="00603F4A">
        <w:rPr>
          <w:rFonts w:ascii="Arial" w:eastAsia="Arial" w:hAnsi="Arial" w:cs="Arial"/>
          <w:i/>
          <w:iCs/>
          <w:color w:val="000000"/>
          <w:sz w:val="22"/>
          <w:szCs w:val="22"/>
        </w:rPr>
        <w:t>is invited</w:t>
      </w:r>
      <w:proofErr w:type="gramEnd"/>
      <w:r w:rsidR="008C3E9C" w:rsidRPr="00603F4A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to take note of the information contained in the Annex </w:t>
      </w:r>
      <w:r w:rsidR="008C3E9C" w:rsidRPr="00603F4A">
        <w:rPr>
          <w:rFonts w:ascii="Arial" w:eastAsia="Arial" w:hAnsi="Arial" w:cs="Arial"/>
          <w:i/>
          <w:color w:val="000000"/>
          <w:sz w:val="22"/>
          <w:szCs w:val="22"/>
        </w:rPr>
        <w:t>to the present document.</w:t>
      </w:r>
    </w:p>
    <w:p w14:paraId="2F277699" w14:textId="77777777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ind w:left="5534"/>
        <w:rPr>
          <w:rFonts w:ascii="Arial" w:eastAsia="Arial" w:hAnsi="Arial" w:cs="Arial"/>
          <w:color w:val="000000"/>
          <w:sz w:val="22"/>
          <w:szCs w:val="22"/>
        </w:rPr>
      </w:pPr>
    </w:p>
    <w:p w14:paraId="17FDA3A0" w14:textId="77777777" w:rsidR="008C3E9C" w:rsidRPr="00603F4A" w:rsidRDefault="008C3E9C" w:rsidP="008477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87AF502" w14:textId="77777777" w:rsidR="008C3E9C" w:rsidRPr="00603F4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ind w:left="5580"/>
        <w:rPr>
          <w:rFonts w:ascii="Arial" w:eastAsia="Arial" w:hAnsi="Arial" w:cs="Arial"/>
          <w:color w:val="000000"/>
          <w:sz w:val="22"/>
          <w:szCs w:val="22"/>
        </w:rPr>
        <w:sectPr w:rsidR="008C3E9C" w:rsidRPr="00603F4A" w:rsidSect="003C71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 w:rsidRPr="00603F4A">
        <w:rPr>
          <w:rFonts w:ascii="Arial" w:eastAsia="Arial" w:hAnsi="Arial" w:cs="Arial"/>
          <w:color w:val="000000"/>
          <w:sz w:val="22"/>
          <w:szCs w:val="22"/>
        </w:rPr>
        <w:t>[Annex follows]</w:t>
      </w:r>
    </w:p>
    <w:p w14:paraId="20163D4C" w14:textId="43194184" w:rsidR="00C80664" w:rsidRPr="00603F4A" w:rsidRDefault="00CC7307" w:rsidP="00C8066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03F4A">
        <w:rPr>
          <w:rFonts w:ascii="Arial" w:hAnsi="Arial" w:cs="Arial"/>
          <w:b/>
          <w:sz w:val="22"/>
          <w:szCs w:val="22"/>
          <w:u w:val="single"/>
        </w:rPr>
        <w:lastRenderedPageBreak/>
        <w:t>Intellectual Property Toolbox for Mobile Applications Developers</w:t>
      </w:r>
      <w:r w:rsidR="009476FA" w:rsidRPr="00603F4A">
        <w:rPr>
          <w:rStyle w:val="FootnoteReference"/>
          <w:rFonts w:ascii="Arial" w:hAnsi="Arial" w:cs="Arial"/>
          <w:b/>
          <w:sz w:val="22"/>
          <w:szCs w:val="22"/>
          <w:u w:val="single"/>
        </w:rPr>
        <w:footnoteReference w:id="1"/>
      </w:r>
      <w:r w:rsidR="00603F4A" w:rsidRPr="00603F4A">
        <w:rPr>
          <w:rFonts w:ascii="Arial" w:hAnsi="Arial" w:cs="Arial"/>
          <w:b/>
          <w:sz w:val="22"/>
          <w:szCs w:val="22"/>
          <w:u w:val="single"/>
        </w:rPr>
        <w:t xml:space="preserve"> – Executive Summary</w:t>
      </w:r>
    </w:p>
    <w:p w14:paraId="103A51EC" w14:textId="77777777" w:rsidR="00054C98" w:rsidRPr="00603F4A" w:rsidRDefault="00054C98" w:rsidP="000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57EE3" w14:textId="7B9B072F" w:rsidR="00054C98" w:rsidRPr="00603F4A" w:rsidRDefault="00603F4A" w:rsidP="00603F4A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 xml:space="preserve">The </w:t>
      </w:r>
      <w:r w:rsidRPr="00603F4A">
        <w:rPr>
          <w:rFonts w:ascii="Arial" w:hAnsi="Arial" w:cs="Arial"/>
          <w:bCs/>
          <w:sz w:val="22"/>
          <w:szCs w:val="22"/>
        </w:rPr>
        <w:t>Intellectual Property Toolbox for Mobile Applications Developers</w:t>
      </w:r>
      <w:r w:rsidR="00054C98" w:rsidRPr="00603F4A">
        <w:rPr>
          <w:rFonts w:ascii="Arial" w:hAnsi="Arial" w:cs="Arial"/>
          <w:sz w:val="22"/>
          <w:szCs w:val="22"/>
        </w:rPr>
        <w:t xml:space="preserve"> addresses a sector within the creative industries that has seen</w:t>
      </w:r>
      <w:r w:rsidR="002175D8" w:rsidRPr="00603F4A">
        <w:rPr>
          <w:rFonts w:ascii="Arial" w:hAnsi="Arial" w:cs="Arial"/>
          <w:sz w:val="22"/>
          <w:szCs w:val="22"/>
        </w:rPr>
        <w:t xml:space="preserve"> an</w:t>
      </w:r>
      <w:r w:rsidR="00054C98" w:rsidRPr="00603F4A">
        <w:rPr>
          <w:rFonts w:ascii="Arial" w:hAnsi="Arial" w:cs="Arial"/>
          <w:sz w:val="22"/>
          <w:szCs w:val="22"/>
        </w:rPr>
        <w:t xml:space="preserve"> exponential growth in the last decade </w:t>
      </w:r>
      <w:r w:rsidR="005B2F95" w:rsidRPr="00603F4A">
        <w:rPr>
          <w:rStyle w:val="Emphasis"/>
          <w:rFonts w:ascii="Arial" w:hAnsi="Arial" w:cs="Arial"/>
          <w:b/>
          <w:bCs/>
          <w:color w:val="212529"/>
          <w:sz w:val="21"/>
          <w:szCs w:val="21"/>
          <w:shd w:val="clear" w:color="auto" w:fill="FFFFFF"/>
        </w:rPr>
        <w:t>—</w:t>
      </w:r>
      <w:r w:rsidR="002175D8" w:rsidRPr="00603F4A">
        <w:rPr>
          <w:rFonts w:ascii="Arial" w:hAnsi="Arial" w:cs="Arial"/>
          <w:sz w:val="22"/>
          <w:szCs w:val="22"/>
        </w:rPr>
        <w:t xml:space="preserve"> </w:t>
      </w:r>
      <w:r w:rsidR="00054C98" w:rsidRPr="00603F4A">
        <w:rPr>
          <w:rFonts w:ascii="Arial" w:hAnsi="Arial" w:cs="Arial"/>
          <w:sz w:val="22"/>
          <w:szCs w:val="22"/>
        </w:rPr>
        <w:t xml:space="preserve">the mobile application sector. </w:t>
      </w:r>
      <w:r w:rsidR="002175D8" w:rsidRPr="00603F4A">
        <w:rPr>
          <w:rFonts w:ascii="Arial" w:hAnsi="Arial" w:cs="Arial"/>
          <w:sz w:val="22"/>
          <w:szCs w:val="22"/>
        </w:rPr>
        <w:t xml:space="preserve"> </w:t>
      </w:r>
      <w:r w:rsidR="00406A1F" w:rsidRPr="00603F4A">
        <w:rPr>
          <w:rFonts w:ascii="Arial" w:hAnsi="Arial" w:cs="Arial"/>
          <w:sz w:val="22"/>
          <w:szCs w:val="22"/>
        </w:rPr>
        <w:t xml:space="preserve">The </w:t>
      </w:r>
      <w:r w:rsidR="00576941" w:rsidRPr="00603F4A">
        <w:rPr>
          <w:rFonts w:ascii="Arial" w:hAnsi="Arial" w:cs="Arial"/>
          <w:sz w:val="22"/>
          <w:szCs w:val="22"/>
        </w:rPr>
        <w:t>T</w:t>
      </w:r>
      <w:r w:rsidR="00406A1F" w:rsidRPr="00603F4A">
        <w:rPr>
          <w:rFonts w:ascii="Arial" w:hAnsi="Arial" w:cs="Arial"/>
          <w:sz w:val="22"/>
          <w:szCs w:val="22"/>
        </w:rPr>
        <w:t>oolbox</w:t>
      </w:r>
      <w:r w:rsidR="00CC7307" w:rsidRPr="00603F4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7307" w:rsidRPr="00603F4A">
        <w:rPr>
          <w:rFonts w:ascii="Arial" w:hAnsi="Arial" w:cs="Arial"/>
          <w:sz w:val="22"/>
          <w:szCs w:val="22"/>
        </w:rPr>
        <w:t>is designed</w:t>
      </w:r>
      <w:proofErr w:type="gramEnd"/>
      <w:r w:rsidR="00CC7307" w:rsidRPr="00603F4A">
        <w:rPr>
          <w:rFonts w:ascii="Arial" w:hAnsi="Arial" w:cs="Arial"/>
          <w:sz w:val="22"/>
          <w:szCs w:val="22"/>
        </w:rPr>
        <w:t xml:space="preserve"> to offer practical guidance to app developers and app developer associations, companies developing mobile applications, research hubs and other</w:t>
      </w:r>
      <w:r w:rsidR="00576941" w:rsidRPr="00603F4A">
        <w:rPr>
          <w:rFonts w:ascii="Arial" w:hAnsi="Arial" w:cs="Arial"/>
          <w:sz w:val="22"/>
          <w:szCs w:val="22"/>
        </w:rPr>
        <w:t xml:space="preserve"> stakeholders</w:t>
      </w:r>
      <w:r w:rsidR="00CC7307" w:rsidRPr="00603F4A">
        <w:rPr>
          <w:rFonts w:ascii="Arial" w:hAnsi="Arial" w:cs="Arial"/>
          <w:sz w:val="22"/>
          <w:szCs w:val="22"/>
        </w:rPr>
        <w:t>.</w:t>
      </w:r>
      <w:r w:rsidR="007A22E3" w:rsidRPr="00603F4A">
        <w:rPr>
          <w:rFonts w:ascii="Arial" w:hAnsi="Arial" w:cs="Arial"/>
          <w:sz w:val="22"/>
          <w:szCs w:val="22"/>
        </w:rPr>
        <w:t xml:space="preserve"> </w:t>
      </w:r>
    </w:p>
    <w:p w14:paraId="58C18E20" w14:textId="77777777" w:rsidR="00054C98" w:rsidRPr="00603F4A" w:rsidRDefault="00054C98" w:rsidP="00054C98">
      <w:pPr>
        <w:spacing w:line="276" w:lineRule="auto"/>
        <w:rPr>
          <w:rFonts w:ascii="Arial" w:hAnsi="Arial" w:cs="Arial"/>
          <w:sz w:val="22"/>
          <w:szCs w:val="22"/>
        </w:rPr>
      </w:pPr>
    </w:p>
    <w:p w14:paraId="14763C4B" w14:textId="420A226F" w:rsidR="00054C98" w:rsidRPr="00603F4A" w:rsidRDefault="00CC7307" w:rsidP="00054C98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>The purpose of th</w:t>
      </w:r>
      <w:r w:rsidR="00576941" w:rsidRPr="00603F4A">
        <w:rPr>
          <w:rFonts w:ascii="Arial" w:hAnsi="Arial" w:cs="Arial"/>
          <w:sz w:val="22"/>
          <w:szCs w:val="22"/>
        </w:rPr>
        <w:t>e</w:t>
      </w:r>
      <w:r w:rsidRPr="00603F4A">
        <w:rPr>
          <w:rFonts w:ascii="Arial" w:hAnsi="Arial" w:cs="Arial"/>
          <w:sz w:val="22"/>
          <w:szCs w:val="22"/>
        </w:rPr>
        <w:t xml:space="preserve"> </w:t>
      </w:r>
      <w:r w:rsidR="00576941" w:rsidRPr="00603F4A">
        <w:rPr>
          <w:rFonts w:ascii="Arial" w:hAnsi="Arial" w:cs="Arial"/>
          <w:sz w:val="22"/>
          <w:szCs w:val="22"/>
        </w:rPr>
        <w:t>T</w:t>
      </w:r>
      <w:r w:rsidRPr="00603F4A">
        <w:rPr>
          <w:rFonts w:ascii="Arial" w:hAnsi="Arial" w:cs="Arial"/>
          <w:sz w:val="22"/>
          <w:szCs w:val="22"/>
        </w:rPr>
        <w:t>oolbox is to present various tools on how to protect all or part of the intellectual property</w:t>
      </w:r>
      <w:r w:rsidR="00576941" w:rsidRPr="00603F4A">
        <w:rPr>
          <w:rFonts w:ascii="Arial" w:hAnsi="Arial" w:cs="Arial"/>
          <w:sz w:val="22"/>
          <w:szCs w:val="22"/>
        </w:rPr>
        <w:t xml:space="preserve"> (IP)</w:t>
      </w:r>
      <w:r w:rsidRPr="00603F4A">
        <w:rPr>
          <w:rFonts w:ascii="Arial" w:hAnsi="Arial" w:cs="Arial"/>
          <w:sz w:val="22"/>
          <w:szCs w:val="22"/>
        </w:rPr>
        <w:t xml:space="preserve"> in a mobile app. </w:t>
      </w:r>
      <w:r w:rsidR="00975365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 xml:space="preserve">It explains the reasons </w:t>
      </w:r>
      <w:proofErr w:type="gramStart"/>
      <w:r w:rsidRPr="00603F4A">
        <w:rPr>
          <w:rFonts w:ascii="Arial" w:hAnsi="Arial" w:cs="Arial"/>
          <w:sz w:val="22"/>
          <w:szCs w:val="22"/>
        </w:rPr>
        <w:t>why protection may be considered</w:t>
      </w:r>
      <w:r w:rsidR="00FB722D" w:rsidRPr="00603F4A">
        <w:rPr>
          <w:rFonts w:ascii="Arial" w:hAnsi="Arial" w:cs="Arial"/>
          <w:sz w:val="22"/>
          <w:szCs w:val="22"/>
        </w:rPr>
        <w:t xml:space="preserve"> and</w:t>
      </w:r>
      <w:r w:rsidRPr="00603F4A">
        <w:rPr>
          <w:rFonts w:ascii="Arial" w:hAnsi="Arial" w:cs="Arial"/>
          <w:sz w:val="22"/>
          <w:szCs w:val="22"/>
        </w:rPr>
        <w:t xml:space="preserve"> which tools exist to achieve </w:t>
      </w:r>
      <w:r w:rsidR="00E85320" w:rsidRPr="00603F4A">
        <w:rPr>
          <w:rFonts w:ascii="Arial" w:hAnsi="Arial" w:cs="Arial"/>
          <w:sz w:val="22"/>
          <w:szCs w:val="22"/>
        </w:rPr>
        <w:t xml:space="preserve">such </w:t>
      </w:r>
      <w:r w:rsidR="000E07E6" w:rsidRPr="00603F4A">
        <w:rPr>
          <w:rFonts w:ascii="Arial" w:hAnsi="Arial" w:cs="Arial"/>
          <w:sz w:val="22"/>
          <w:szCs w:val="22"/>
        </w:rPr>
        <w:t xml:space="preserve">a </w:t>
      </w:r>
      <w:r w:rsidRPr="00603F4A">
        <w:rPr>
          <w:rFonts w:ascii="Arial" w:hAnsi="Arial" w:cs="Arial"/>
          <w:sz w:val="22"/>
          <w:szCs w:val="22"/>
        </w:rPr>
        <w:t>protection</w:t>
      </w:r>
      <w:proofErr w:type="gramEnd"/>
      <w:r w:rsidR="00FB722D" w:rsidRPr="00603F4A">
        <w:rPr>
          <w:rFonts w:ascii="Arial" w:hAnsi="Arial" w:cs="Arial"/>
          <w:sz w:val="22"/>
          <w:szCs w:val="22"/>
        </w:rPr>
        <w:t xml:space="preserve">. </w:t>
      </w:r>
      <w:r w:rsidR="00FB363D" w:rsidRPr="00603F4A">
        <w:rPr>
          <w:rFonts w:ascii="Arial" w:hAnsi="Arial" w:cs="Arial"/>
          <w:sz w:val="22"/>
          <w:szCs w:val="22"/>
        </w:rPr>
        <w:t xml:space="preserve"> </w:t>
      </w:r>
      <w:r w:rsidR="00FB722D" w:rsidRPr="00603F4A">
        <w:rPr>
          <w:rFonts w:ascii="Arial" w:hAnsi="Arial" w:cs="Arial"/>
          <w:sz w:val="22"/>
          <w:szCs w:val="22"/>
        </w:rPr>
        <w:t xml:space="preserve">The </w:t>
      </w:r>
      <w:r w:rsidR="00576941" w:rsidRPr="00603F4A">
        <w:rPr>
          <w:rFonts w:ascii="Arial" w:hAnsi="Arial" w:cs="Arial"/>
          <w:sz w:val="22"/>
          <w:szCs w:val="22"/>
        </w:rPr>
        <w:t>T</w:t>
      </w:r>
      <w:r w:rsidR="00FB722D" w:rsidRPr="00603F4A">
        <w:rPr>
          <w:rFonts w:ascii="Arial" w:hAnsi="Arial" w:cs="Arial"/>
          <w:sz w:val="22"/>
          <w:szCs w:val="22"/>
        </w:rPr>
        <w:t>oolbox</w:t>
      </w:r>
      <w:r w:rsidRPr="00603F4A">
        <w:rPr>
          <w:rFonts w:ascii="Arial" w:hAnsi="Arial" w:cs="Arial"/>
          <w:sz w:val="22"/>
          <w:szCs w:val="22"/>
        </w:rPr>
        <w:t xml:space="preserve"> </w:t>
      </w:r>
      <w:r w:rsidR="00FB722D" w:rsidRPr="00603F4A">
        <w:rPr>
          <w:rFonts w:ascii="Arial" w:hAnsi="Arial" w:cs="Arial"/>
          <w:sz w:val="22"/>
          <w:szCs w:val="22"/>
        </w:rPr>
        <w:t>provides the context and</w:t>
      </w:r>
      <w:r w:rsidR="00975365" w:rsidRPr="00603F4A">
        <w:rPr>
          <w:rFonts w:ascii="Arial" w:hAnsi="Arial" w:cs="Arial"/>
          <w:sz w:val="22"/>
          <w:szCs w:val="22"/>
        </w:rPr>
        <w:t xml:space="preserve"> </w:t>
      </w:r>
      <w:r w:rsidR="00FB722D" w:rsidRPr="00603F4A">
        <w:rPr>
          <w:rFonts w:ascii="Arial" w:hAnsi="Arial" w:cs="Arial"/>
          <w:sz w:val="22"/>
          <w:szCs w:val="22"/>
        </w:rPr>
        <w:t xml:space="preserve">hands-on knowledge on their functionality and discusses </w:t>
      </w:r>
      <w:r w:rsidRPr="00603F4A">
        <w:rPr>
          <w:rFonts w:ascii="Arial" w:hAnsi="Arial" w:cs="Arial"/>
          <w:sz w:val="22"/>
          <w:szCs w:val="22"/>
        </w:rPr>
        <w:t>their advantages and risk</w:t>
      </w:r>
      <w:r w:rsidR="00FB722D" w:rsidRPr="00603F4A">
        <w:rPr>
          <w:rFonts w:ascii="Arial" w:hAnsi="Arial" w:cs="Arial"/>
          <w:sz w:val="22"/>
          <w:szCs w:val="22"/>
        </w:rPr>
        <w:t>s.</w:t>
      </w:r>
      <w:r w:rsidRPr="00603F4A">
        <w:rPr>
          <w:rFonts w:ascii="Arial" w:hAnsi="Arial" w:cs="Arial"/>
          <w:sz w:val="22"/>
          <w:szCs w:val="22"/>
        </w:rPr>
        <w:t xml:space="preserve"> </w:t>
      </w:r>
      <w:r w:rsidR="00740459" w:rsidRPr="00603F4A">
        <w:rPr>
          <w:rFonts w:ascii="Arial" w:hAnsi="Arial" w:cs="Arial"/>
          <w:sz w:val="22"/>
          <w:szCs w:val="22"/>
        </w:rPr>
        <w:t xml:space="preserve"> </w:t>
      </w:r>
      <w:r w:rsidR="00FB722D" w:rsidRPr="00603F4A">
        <w:rPr>
          <w:rFonts w:ascii="Arial" w:hAnsi="Arial" w:cs="Arial"/>
          <w:sz w:val="22"/>
          <w:szCs w:val="22"/>
        </w:rPr>
        <w:t xml:space="preserve">Following a user-oriented approach, </w:t>
      </w:r>
      <w:r w:rsidR="000E07E6" w:rsidRPr="00603F4A">
        <w:rPr>
          <w:rFonts w:ascii="Arial" w:hAnsi="Arial" w:cs="Arial"/>
          <w:sz w:val="22"/>
          <w:szCs w:val="22"/>
        </w:rPr>
        <w:t xml:space="preserve">it presents </w:t>
      </w:r>
      <w:r w:rsidRPr="00603F4A">
        <w:rPr>
          <w:rFonts w:ascii="Arial" w:hAnsi="Arial" w:cs="Arial"/>
          <w:sz w:val="22"/>
          <w:szCs w:val="22"/>
        </w:rPr>
        <w:t xml:space="preserve">examples </w:t>
      </w:r>
      <w:r w:rsidR="00FB722D" w:rsidRPr="00603F4A">
        <w:rPr>
          <w:rFonts w:ascii="Arial" w:hAnsi="Arial" w:cs="Arial"/>
          <w:sz w:val="22"/>
          <w:szCs w:val="22"/>
        </w:rPr>
        <w:t xml:space="preserve">and templates </w:t>
      </w:r>
      <w:r w:rsidRPr="00603F4A">
        <w:rPr>
          <w:rFonts w:ascii="Arial" w:hAnsi="Arial" w:cs="Arial"/>
          <w:sz w:val="22"/>
          <w:szCs w:val="22"/>
        </w:rPr>
        <w:t>of</w:t>
      </w:r>
      <w:r w:rsidR="003A050E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>tools from different markets</w:t>
      </w:r>
      <w:r w:rsidR="00FB722D" w:rsidRPr="00603F4A">
        <w:rPr>
          <w:rFonts w:ascii="Arial" w:hAnsi="Arial" w:cs="Arial"/>
          <w:sz w:val="22"/>
          <w:szCs w:val="22"/>
        </w:rPr>
        <w:t xml:space="preserve"> that </w:t>
      </w:r>
      <w:proofErr w:type="gramStart"/>
      <w:r w:rsidR="00FB722D" w:rsidRPr="00603F4A">
        <w:rPr>
          <w:rFonts w:ascii="Arial" w:hAnsi="Arial" w:cs="Arial"/>
          <w:sz w:val="22"/>
          <w:szCs w:val="22"/>
        </w:rPr>
        <w:t>can be used</w:t>
      </w:r>
      <w:proofErr w:type="gramEnd"/>
      <w:r w:rsidR="00FB722D" w:rsidRPr="00603F4A">
        <w:rPr>
          <w:rFonts w:ascii="Arial" w:hAnsi="Arial" w:cs="Arial"/>
          <w:sz w:val="22"/>
          <w:szCs w:val="22"/>
        </w:rPr>
        <w:t xml:space="preserve"> by app developers.</w:t>
      </w:r>
      <w:r w:rsidR="003A050E" w:rsidRPr="00603F4A">
        <w:rPr>
          <w:rFonts w:ascii="Arial" w:hAnsi="Arial" w:cs="Arial"/>
          <w:sz w:val="22"/>
          <w:szCs w:val="22"/>
        </w:rPr>
        <w:t xml:space="preserve"> </w:t>
      </w:r>
      <w:r w:rsidR="000E07E6" w:rsidRPr="00603F4A">
        <w:rPr>
          <w:rFonts w:ascii="Arial" w:hAnsi="Arial" w:cs="Arial"/>
          <w:sz w:val="22"/>
          <w:szCs w:val="22"/>
        </w:rPr>
        <w:t xml:space="preserve"> </w:t>
      </w:r>
      <w:r w:rsidR="003A050E" w:rsidRPr="00603F4A">
        <w:rPr>
          <w:rFonts w:ascii="Arial" w:hAnsi="Arial" w:cs="Arial"/>
          <w:sz w:val="22"/>
          <w:szCs w:val="22"/>
        </w:rPr>
        <w:t xml:space="preserve">For each tool, the </w:t>
      </w:r>
      <w:r w:rsidR="00576941" w:rsidRPr="00603F4A">
        <w:rPr>
          <w:rFonts w:ascii="Arial" w:hAnsi="Arial" w:cs="Arial"/>
          <w:sz w:val="22"/>
          <w:szCs w:val="22"/>
        </w:rPr>
        <w:t>T</w:t>
      </w:r>
      <w:r w:rsidR="003A050E" w:rsidRPr="00603F4A">
        <w:rPr>
          <w:rFonts w:ascii="Arial" w:hAnsi="Arial" w:cs="Arial"/>
          <w:sz w:val="22"/>
          <w:szCs w:val="22"/>
        </w:rPr>
        <w:t>oolbox sets out relevant advantages and disadvantages and concludes with key points.</w:t>
      </w:r>
    </w:p>
    <w:p w14:paraId="16F3B47C" w14:textId="77777777" w:rsidR="00054C98" w:rsidRPr="00603F4A" w:rsidRDefault="00054C98" w:rsidP="00054C98">
      <w:pPr>
        <w:spacing w:line="276" w:lineRule="auto"/>
        <w:ind w:left="3402" w:firstLine="567"/>
        <w:rPr>
          <w:rFonts w:ascii="Arial" w:hAnsi="Arial" w:cs="Arial"/>
          <w:sz w:val="22"/>
          <w:szCs w:val="22"/>
        </w:rPr>
      </w:pPr>
    </w:p>
    <w:p w14:paraId="564DCF27" w14:textId="081D5C7C" w:rsidR="00054C98" w:rsidRPr="00603F4A" w:rsidRDefault="00FB722D" w:rsidP="00576941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 xml:space="preserve">The </w:t>
      </w:r>
      <w:r w:rsidR="00576941" w:rsidRPr="00603F4A">
        <w:rPr>
          <w:rFonts w:ascii="Arial" w:hAnsi="Arial" w:cs="Arial"/>
          <w:sz w:val="22"/>
          <w:szCs w:val="22"/>
        </w:rPr>
        <w:t>T</w:t>
      </w:r>
      <w:r w:rsidRPr="00603F4A">
        <w:rPr>
          <w:rFonts w:ascii="Arial" w:hAnsi="Arial" w:cs="Arial"/>
          <w:sz w:val="22"/>
          <w:szCs w:val="22"/>
        </w:rPr>
        <w:t xml:space="preserve">oolbox </w:t>
      </w:r>
      <w:r w:rsidR="00576941" w:rsidRPr="00603F4A">
        <w:rPr>
          <w:rFonts w:ascii="Arial" w:hAnsi="Arial" w:cs="Arial"/>
          <w:sz w:val="22"/>
          <w:szCs w:val="22"/>
        </w:rPr>
        <w:t xml:space="preserve">intends </w:t>
      </w:r>
      <w:r w:rsidRPr="00603F4A">
        <w:rPr>
          <w:rFonts w:ascii="Arial" w:hAnsi="Arial" w:cs="Arial"/>
          <w:sz w:val="22"/>
          <w:szCs w:val="22"/>
        </w:rPr>
        <w:t>to give app developers a sound understanding of the basic IP tools available at the various stages of development of a mobile app, before they seek legal advice on the specificities of each tool in the relevant market</w:t>
      </w:r>
      <w:r w:rsidR="00576941" w:rsidRPr="00603F4A">
        <w:rPr>
          <w:rFonts w:ascii="Arial" w:hAnsi="Arial" w:cs="Arial"/>
          <w:sz w:val="22"/>
          <w:szCs w:val="22"/>
        </w:rPr>
        <w:t>s</w:t>
      </w:r>
      <w:r w:rsidRPr="00603F4A">
        <w:rPr>
          <w:rFonts w:ascii="Arial" w:hAnsi="Arial" w:cs="Arial"/>
          <w:sz w:val="22"/>
          <w:szCs w:val="22"/>
        </w:rPr>
        <w:t xml:space="preserve">. </w:t>
      </w:r>
      <w:r w:rsidR="00CE6709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>The tools are presented according to the stages of development of a mobile app</w:t>
      </w:r>
      <w:r w:rsidR="00576941" w:rsidRPr="00603F4A">
        <w:rPr>
          <w:rFonts w:ascii="Arial" w:hAnsi="Arial" w:cs="Arial"/>
          <w:sz w:val="22"/>
          <w:szCs w:val="22"/>
        </w:rPr>
        <w:t>, that is</w:t>
      </w:r>
      <w:r w:rsidRPr="00603F4A">
        <w:rPr>
          <w:rFonts w:ascii="Arial" w:hAnsi="Arial" w:cs="Arial"/>
          <w:sz w:val="22"/>
          <w:szCs w:val="22"/>
        </w:rPr>
        <w:t xml:space="preserve">: </w:t>
      </w:r>
      <w:r w:rsidR="00CC665E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>1) development of the ap</w:t>
      </w:r>
      <w:r w:rsidR="00CC665E" w:rsidRPr="00603F4A">
        <w:rPr>
          <w:rFonts w:ascii="Arial" w:hAnsi="Arial" w:cs="Arial"/>
          <w:sz w:val="22"/>
          <w:szCs w:val="22"/>
        </w:rPr>
        <w:t>plication</w:t>
      </w:r>
      <w:proofErr w:type="gramStart"/>
      <w:r w:rsidR="00CC665E" w:rsidRPr="00603F4A">
        <w:rPr>
          <w:rFonts w:ascii="Arial" w:hAnsi="Arial" w:cs="Arial"/>
          <w:sz w:val="22"/>
          <w:szCs w:val="22"/>
        </w:rPr>
        <w:t>;</w:t>
      </w:r>
      <w:r w:rsidRPr="00603F4A">
        <w:rPr>
          <w:rFonts w:ascii="Arial" w:hAnsi="Arial" w:cs="Arial"/>
          <w:sz w:val="22"/>
          <w:szCs w:val="22"/>
        </w:rPr>
        <w:t xml:space="preserve"> </w:t>
      </w:r>
      <w:r w:rsidR="00CC665E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>2</w:t>
      </w:r>
      <w:proofErr w:type="gramEnd"/>
      <w:r w:rsidR="00CC665E" w:rsidRPr="00603F4A">
        <w:rPr>
          <w:rFonts w:ascii="Arial" w:hAnsi="Arial" w:cs="Arial"/>
          <w:sz w:val="22"/>
          <w:szCs w:val="22"/>
        </w:rPr>
        <w:t>) protection of the application;</w:t>
      </w:r>
      <w:r w:rsidRPr="00603F4A">
        <w:rPr>
          <w:rFonts w:ascii="Arial" w:hAnsi="Arial" w:cs="Arial"/>
          <w:sz w:val="22"/>
          <w:szCs w:val="22"/>
        </w:rPr>
        <w:t xml:space="preserve"> </w:t>
      </w:r>
      <w:r w:rsidR="00CC665E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>3) commercialization tools</w:t>
      </w:r>
      <w:r w:rsidR="00CC665E" w:rsidRPr="00603F4A">
        <w:rPr>
          <w:rFonts w:ascii="Arial" w:hAnsi="Arial" w:cs="Arial"/>
          <w:sz w:val="22"/>
          <w:szCs w:val="22"/>
        </w:rPr>
        <w:t>;</w:t>
      </w:r>
      <w:r w:rsidRPr="00603F4A">
        <w:rPr>
          <w:rFonts w:ascii="Arial" w:hAnsi="Arial" w:cs="Arial"/>
          <w:sz w:val="22"/>
          <w:szCs w:val="22"/>
        </w:rPr>
        <w:t xml:space="preserve"> </w:t>
      </w:r>
      <w:r w:rsidR="00CC665E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>and 4) tools to address infringement situations.</w:t>
      </w:r>
    </w:p>
    <w:p w14:paraId="19A60EC6" w14:textId="77777777" w:rsidR="00FB722D" w:rsidRPr="00603F4A" w:rsidRDefault="00FB722D" w:rsidP="00054C9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EE36" w14:textId="6971BF29" w:rsidR="006F0126" w:rsidRPr="00603F4A" w:rsidRDefault="006F0126" w:rsidP="00054C98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 xml:space="preserve">The </w:t>
      </w:r>
      <w:r w:rsidR="00576941" w:rsidRPr="00603F4A">
        <w:rPr>
          <w:rFonts w:ascii="Arial" w:hAnsi="Arial" w:cs="Arial"/>
          <w:sz w:val="22"/>
          <w:szCs w:val="22"/>
        </w:rPr>
        <w:t>T</w:t>
      </w:r>
      <w:r w:rsidRPr="00603F4A">
        <w:rPr>
          <w:rFonts w:ascii="Arial" w:hAnsi="Arial" w:cs="Arial"/>
          <w:sz w:val="22"/>
          <w:szCs w:val="22"/>
        </w:rPr>
        <w:t xml:space="preserve">oolbox </w:t>
      </w:r>
      <w:proofErr w:type="gramStart"/>
      <w:r w:rsidRPr="00603F4A">
        <w:rPr>
          <w:rFonts w:ascii="Arial" w:hAnsi="Arial" w:cs="Arial"/>
          <w:sz w:val="22"/>
          <w:szCs w:val="22"/>
        </w:rPr>
        <w:t>is structured</w:t>
      </w:r>
      <w:proofErr w:type="gramEnd"/>
      <w:r w:rsidRPr="00603F4A">
        <w:rPr>
          <w:rFonts w:ascii="Arial" w:hAnsi="Arial" w:cs="Arial"/>
          <w:sz w:val="22"/>
          <w:szCs w:val="22"/>
        </w:rPr>
        <w:t xml:space="preserve"> according to the lifecycle of a mobile application, from using content for the app, developing the app, disseminating the app and enforcing the IP in the app. </w:t>
      </w:r>
      <w:r w:rsidR="00895E34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>A developer can choose the relevant stage for information about the tools that are available under certain circumstances</w:t>
      </w:r>
      <w:r w:rsidR="00F93454" w:rsidRPr="00603F4A">
        <w:rPr>
          <w:rFonts w:ascii="Arial" w:hAnsi="Arial" w:cs="Arial"/>
          <w:sz w:val="22"/>
          <w:szCs w:val="22"/>
        </w:rPr>
        <w:t>.</w:t>
      </w:r>
    </w:p>
    <w:p w14:paraId="11FBE096" w14:textId="77777777" w:rsidR="006F0126" w:rsidRPr="00603F4A" w:rsidRDefault="006F0126" w:rsidP="00054C98">
      <w:pPr>
        <w:spacing w:line="276" w:lineRule="auto"/>
        <w:rPr>
          <w:rFonts w:ascii="Arial" w:hAnsi="Arial" w:cs="Arial"/>
          <w:sz w:val="22"/>
          <w:szCs w:val="22"/>
        </w:rPr>
      </w:pPr>
    </w:p>
    <w:p w14:paraId="37D84774" w14:textId="31BB1F44" w:rsidR="006F0126" w:rsidRPr="00603F4A" w:rsidRDefault="006F0126" w:rsidP="00576941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 xml:space="preserve">Section </w:t>
      </w:r>
      <w:proofErr w:type="gramStart"/>
      <w:r w:rsidRPr="00603F4A">
        <w:rPr>
          <w:rFonts w:ascii="Arial" w:hAnsi="Arial" w:cs="Arial"/>
          <w:sz w:val="22"/>
          <w:szCs w:val="22"/>
        </w:rPr>
        <w:t>2</w:t>
      </w:r>
      <w:proofErr w:type="gramEnd"/>
      <w:r w:rsidRPr="00603F4A">
        <w:rPr>
          <w:rFonts w:ascii="Arial" w:hAnsi="Arial" w:cs="Arial"/>
          <w:sz w:val="22"/>
          <w:szCs w:val="22"/>
        </w:rPr>
        <w:t xml:space="preserve"> “Mobile applications: an IP perspective” serves as a background. </w:t>
      </w:r>
      <w:r w:rsidR="00895E34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 xml:space="preserve">Readers of the </w:t>
      </w:r>
      <w:r w:rsidR="00576941" w:rsidRPr="00603F4A">
        <w:rPr>
          <w:rFonts w:ascii="Arial" w:hAnsi="Arial" w:cs="Arial"/>
          <w:sz w:val="22"/>
          <w:szCs w:val="22"/>
        </w:rPr>
        <w:t>T</w:t>
      </w:r>
      <w:r w:rsidRPr="00603F4A">
        <w:rPr>
          <w:rFonts w:ascii="Arial" w:hAnsi="Arial" w:cs="Arial"/>
          <w:sz w:val="22"/>
          <w:szCs w:val="22"/>
        </w:rPr>
        <w:t xml:space="preserve">oolbox without prior knowledge of </w:t>
      </w:r>
      <w:r w:rsidR="00576941" w:rsidRPr="00603F4A">
        <w:rPr>
          <w:rFonts w:ascii="Arial" w:hAnsi="Arial" w:cs="Arial"/>
          <w:sz w:val="22"/>
          <w:szCs w:val="22"/>
        </w:rPr>
        <w:t>IP</w:t>
      </w:r>
      <w:r w:rsidRPr="00603F4A">
        <w:rPr>
          <w:rFonts w:ascii="Arial" w:hAnsi="Arial" w:cs="Arial"/>
          <w:sz w:val="22"/>
          <w:szCs w:val="22"/>
        </w:rPr>
        <w:t xml:space="preserve"> </w:t>
      </w:r>
      <w:r w:rsidR="008F36E9" w:rsidRPr="00603F4A">
        <w:rPr>
          <w:rFonts w:ascii="Arial" w:hAnsi="Arial" w:cs="Arial"/>
          <w:sz w:val="22"/>
          <w:szCs w:val="22"/>
        </w:rPr>
        <w:t>can find an</w:t>
      </w:r>
      <w:r w:rsidRPr="00603F4A">
        <w:rPr>
          <w:rFonts w:ascii="Arial" w:hAnsi="Arial" w:cs="Arial"/>
          <w:sz w:val="22"/>
          <w:szCs w:val="22"/>
        </w:rPr>
        <w:t xml:space="preserve"> introduc</w:t>
      </w:r>
      <w:r w:rsidR="008F36E9" w:rsidRPr="00603F4A">
        <w:rPr>
          <w:rFonts w:ascii="Arial" w:hAnsi="Arial" w:cs="Arial"/>
          <w:sz w:val="22"/>
          <w:szCs w:val="22"/>
        </w:rPr>
        <w:t>tion</w:t>
      </w:r>
      <w:r w:rsidRPr="00603F4A">
        <w:rPr>
          <w:rFonts w:ascii="Arial" w:hAnsi="Arial" w:cs="Arial"/>
          <w:sz w:val="22"/>
          <w:szCs w:val="22"/>
        </w:rPr>
        <w:t xml:space="preserve"> to the various parts of a mobile application that are relevant for different </w:t>
      </w:r>
      <w:r w:rsidR="00576941" w:rsidRPr="00603F4A">
        <w:rPr>
          <w:rFonts w:ascii="Arial" w:hAnsi="Arial" w:cs="Arial"/>
          <w:sz w:val="22"/>
          <w:szCs w:val="22"/>
        </w:rPr>
        <w:t>IP</w:t>
      </w:r>
      <w:r w:rsidRPr="00603F4A">
        <w:rPr>
          <w:rFonts w:ascii="Arial" w:hAnsi="Arial" w:cs="Arial"/>
          <w:sz w:val="22"/>
          <w:szCs w:val="22"/>
        </w:rPr>
        <w:t xml:space="preserve"> tools.</w:t>
      </w:r>
    </w:p>
    <w:p w14:paraId="6C286B06" w14:textId="77777777" w:rsidR="006F0126" w:rsidRPr="00603F4A" w:rsidRDefault="006F0126" w:rsidP="00054C98">
      <w:pPr>
        <w:spacing w:line="276" w:lineRule="auto"/>
        <w:rPr>
          <w:rFonts w:ascii="Arial" w:hAnsi="Arial" w:cs="Arial"/>
          <w:sz w:val="22"/>
          <w:szCs w:val="22"/>
        </w:rPr>
      </w:pPr>
    </w:p>
    <w:p w14:paraId="3E66C892" w14:textId="045FF898" w:rsidR="00054C98" w:rsidRPr="00603F4A" w:rsidRDefault="00BE13C4" w:rsidP="00576941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>Section 3</w:t>
      </w:r>
      <w:r w:rsidR="00054C98" w:rsidRPr="00603F4A">
        <w:rPr>
          <w:rFonts w:ascii="Arial" w:hAnsi="Arial" w:cs="Arial"/>
          <w:sz w:val="22"/>
          <w:szCs w:val="22"/>
        </w:rPr>
        <w:t xml:space="preserve"> </w:t>
      </w:r>
      <w:r w:rsidR="00895E34" w:rsidRPr="00603F4A">
        <w:rPr>
          <w:rFonts w:ascii="Arial" w:hAnsi="Arial" w:cs="Arial"/>
          <w:sz w:val="22"/>
          <w:szCs w:val="22"/>
        </w:rPr>
        <w:t>provides details on</w:t>
      </w:r>
      <w:r w:rsidR="00054C98" w:rsidRPr="00603F4A">
        <w:rPr>
          <w:rFonts w:ascii="Arial" w:hAnsi="Arial" w:cs="Arial"/>
          <w:sz w:val="22"/>
          <w:szCs w:val="22"/>
        </w:rPr>
        <w:t xml:space="preserve"> </w:t>
      </w:r>
      <w:bookmarkStart w:id="7" w:name="_Toc429958238"/>
      <w:r w:rsidR="00054C98" w:rsidRPr="00603F4A">
        <w:rPr>
          <w:rFonts w:ascii="Arial" w:hAnsi="Arial" w:cs="Arial"/>
          <w:sz w:val="22"/>
          <w:szCs w:val="22"/>
        </w:rPr>
        <w:t xml:space="preserve">tools </w:t>
      </w:r>
      <w:r w:rsidR="00334F86" w:rsidRPr="00603F4A">
        <w:rPr>
          <w:rFonts w:ascii="Arial" w:hAnsi="Arial" w:cs="Arial"/>
          <w:sz w:val="22"/>
          <w:szCs w:val="22"/>
        </w:rPr>
        <w:t>that can be useful when</w:t>
      </w:r>
      <w:r w:rsidR="00054C98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 xml:space="preserve">building </w:t>
      </w:r>
      <w:r w:rsidR="00054C98" w:rsidRPr="00603F4A">
        <w:rPr>
          <w:rFonts w:ascii="Arial" w:hAnsi="Arial" w:cs="Arial"/>
          <w:sz w:val="22"/>
          <w:szCs w:val="22"/>
        </w:rPr>
        <w:t>mobile applications</w:t>
      </w:r>
      <w:bookmarkEnd w:id="7"/>
      <w:r w:rsidR="00054C98" w:rsidRPr="00603F4A">
        <w:rPr>
          <w:rFonts w:ascii="Arial" w:hAnsi="Arial" w:cs="Arial"/>
          <w:sz w:val="22"/>
          <w:szCs w:val="22"/>
        </w:rPr>
        <w:t xml:space="preserve">. </w:t>
      </w:r>
      <w:r w:rsidR="00895E34" w:rsidRPr="00603F4A">
        <w:rPr>
          <w:rFonts w:ascii="Arial" w:hAnsi="Arial" w:cs="Arial"/>
          <w:sz w:val="22"/>
          <w:szCs w:val="22"/>
        </w:rPr>
        <w:t xml:space="preserve"> </w:t>
      </w:r>
      <w:r w:rsidR="00A64AAC" w:rsidRPr="00603F4A">
        <w:rPr>
          <w:rFonts w:ascii="Arial" w:hAnsi="Arial" w:cs="Arial"/>
          <w:sz w:val="22"/>
          <w:szCs w:val="22"/>
        </w:rPr>
        <w:t>Mobile a</w:t>
      </w:r>
      <w:r w:rsidR="00334F86" w:rsidRPr="00603F4A">
        <w:rPr>
          <w:rFonts w:ascii="Arial" w:hAnsi="Arial" w:cs="Arial"/>
          <w:sz w:val="22"/>
          <w:szCs w:val="22"/>
        </w:rPr>
        <w:t xml:space="preserve">pplication developers may want to use prior creative works that </w:t>
      </w:r>
      <w:proofErr w:type="gramStart"/>
      <w:r w:rsidR="00334F86" w:rsidRPr="00603F4A">
        <w:rPr>
          <w:rFonts w:ascii="Arial" w:hAnsi="Arial" w:cs="Arial"/>
          <w:sz w:val="22"/>
          <w:szCs w:val="22"/>
        </w:rPr>
        <w:t>may be protected</w:t>
      </w:r>
      <w:proofErr w:type="gramEnd"/>
      <w:r w:rsidR="00334F86" w:rsidRPr="00603F4A">
        <w:rPr>
          <w:rFonts w:ascii="Arial" w:hAnsi="Arial" w:cs="Arial"/>
          <w:sz w:val="22"/>
          <w:szCs w:val="22"/>
        </w:rPr>
        <w:t xml:space="preserve"> by </w:t>
      </w:r>
      <w:r w:rsidR="00576941" w:rsidRPr="00603F4A">
        <w:rPr>
          <w:rFonts w:ascii="Arial" w:hAnsi="Arial" w:cs="Arial"/>
          <w:sz w:val="22"/>
          <w:szCs w:val="22"/>
        </w:rPr>
        <w:t>IP</w:t>
      </w:r>
      <w:r w:rsidR="00334F86" w:rsidRPr="00603F4A">
        <w:rPr>
          <w:rFonts w:ascii="Arial" w:hAnsi="Arial" w:cs="Arial"/>
          <w:sz w:val="22"/>
          <w:szCs w:val="22"/>
        </w:rPr>
        <w:t xml:space="preserve">. </w:t>
      </w:r>
      <w:r w:rsidR="00895E34" w:rsidRPr="00603F4A">
        <w:rPr>
          <w:rFonts w:ascii="Arial" w:hAnsi="Arial" w:cs="Arial"/>
          <w:sz w:val="22"/>
          <w:szCs w:val="22"/>
        </w:rPr>
        <w:t xml:space="preserve"> </w:t>
      </w:r>
      <w:r w:rsidR="00334F86" w:rsidRPr="00603F4A">
        <w:rPr>
          <w:rFonts w:ascii="Arial" w:hAnsi="Arial" w:cs="Arial"/>
          <w:sz w:val="22"/>
          <w:szCs w:val="22"/>
        </w:rPr>
        <w:t>This section</w:t>
      </w:r>
      <w:r w:rsidR="00054C98" w:rsidRPr="00603F4A">
        <w:rPr>
          <w:rFonts w:ascii="Arial" w:hAnsi="Arial" w:cs="Arial"/>
          <w:sz w:val="22"/>
          <w:szCs w:val="22"/>
        </w:rPr>
        <w:t xml:space="preserve"> establishes the most common </w:t>
      </w:r>
      <w:r w:rsidRPr="00603F4A">
        <w:rPr>
          <w:rFonts w:ascii="Arial" w:hAnsi="Arial" w:cs="Arial"/>
          <w:sz w:val="22"/>
          <w:szCs w:val="22"/>
        </w:rPr>
        <w:t xml:space="preserve">ways of determining whether </w:t>
      </w:r>
      <w:proofErr w:type="gramStart"/>
      <w:r w:rsidRPr="00603F4A">
        <w:rPr>
          <w:rFonts w:ascii="Arial" w:hAnsi="Arial" w:cs="Arial"/>
          <w:sz w:val="22"/>
          <w:szCs w:val="22"/>
        </w:rPr>
        <w:t>prior w</w:t>
      </w:r>
      <w:r w:rsidR="00603F4A" w:rsidRPr="00603F4A">
        <w:rPr>
          <w:rFonts w:ascii="Arial" w:hAnsi="Arial" w:cs="Arial"/>
          <w:sz w:val="22"/>
          <w:szCs w:val="22"/>
        </w:rPr>
        <w:t>orks are protected by a form of</w:t>
      </w:r>
      <w:r w:rsidR="00576941" w:rsidRPr="00603F4A">
        <w:rPr>
          <w:rFonts w:ascii="Arial" w:hAnsi="Arial" w:cs="Arial"/>
          <w:sz w:val="22"/>
          <w:szCs w:val="22"/>
        </w:rPr>
        <w:t xml:space="preserve"> IP</w:t>
      </w:r>
      <w:proofErr w:type="gramEnd"/>
      <w:r w:rsidRPr="00603F4A">
        <w:rPr>
          <w:rFonts w:ascii="Arial" w:hAnsi="Arial" w:cs="Arial"/>
          <w:sz w:val="22"/>
          <w:szCs w:val="22"/>
        </w:rPr>
        <w:t xml:space="preserve"> and which uses </w:t>
      </w:r>
      <w:r w:rsidR="00334F86" w:rsidRPr="00603F4A">
        <w:rPr>
          <w:rFonts w:ascii="Arial" w:hAnsi="Arial" w:cs="Arial"/>
          <w:sz w:val="22"/>
          <w:szCs w:val="22"/>
        </w:rPr>
        <w:t xml:space="preserve">by the application developer </w:t>
      </w:r>
      <w:r w:rsidRPr="00603F4A">
        <w:rPr>
          <w:rFonts w:ascii="Arial" w:hAnsi="Arial" w:cs="Arial"/>
          <w:sz w:val="22"/>
          <w:szCs w:val="22"/>
        </w:rPr>
        <w:t xml:space="preserve">require authorization. </w:t>
      </w:r>
      <w:r w:rsidR="00895E34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 xml:space="preserve">Where authorization is required, the </w:t>
      </w:r>
      <w:r w:rsidR="00576941" w:rsidRPr="00603F4A">
        <w:rPr>
          <w:rFonts w:ascii="Arial" w:hAnsi="Arial" w:cs="Arial"/>
          <w:sz w:val="22"/>
          <w:szCs w:val="22"/>
        </w:rPr>
        <w:t>T</w:t>
      </w:r>
      <w:r w:rsidRPr="00603F4A">
        <w:rPr>
          <w:rFonts w:ascii="Arial" w:hAnsi="Arial" w:cs="Arial"/>
          <w:sz w:val="22"/>
          <w:szCs w:val="22"/>
        </w:rPr>
        <w:t xml:space="preserve">oolbox </w:t>
      </w:r>
      <w:r w:rsidR="00334F86" w:rsidRPr="00603F4A">
        <w:rPr>
          <w:rFonts w:ascii="Arial" w:hAnsi="Arial" w:cs="Arial"/>
          <w:sz w:val="22"/>
          <w:szCs w:val="22"/>
        </w:rPr>
        <w:t>provides explanation, examples and templates for</w:t>
      </w:r>
      <w:r w:rsidRPr="00603F4A">
        <w:rPr>
          <w:rFonts w:ascii="Arial" w:hAnsi="Arial" w:cs="Arial"/>
          <w:sz w:val="22"/>
          <w:szCs w:val="22"/>
        </w:rPr>
        <w:t xml:space="preserve"> different licensing</w:t>
      </w:r>
      <w:r w:rsidR="00334F86" w:rsidRPr="00603F4A">
        <w:rPr>
          <w:rFonts w:ascii="Arial" w:hAnsi="Arial" w:cs="Arial"/>
          <w:sz w:val="22"/>
          <w:szCs w:val="22"/>
        </w:rPr>
        <w:t xml:space="preserve"> tools</w:t>
      </w:r>
      <w:r w:rsidRPr="00603F4A">
        <w:rPr>
          <w:rFonts w:ascii="Arial" w:hAnsi="Arial" w:cs="Arial"/>
          <w:sz w:val="22"/>
          <w:szCs w:val="22"/>
        </w:rPr>
        <w:t>, such as open-source software, commercial copyright licenses, creative commons licenses, trade</w:t>
      </w:r>
      <w:r w:rsidR="001A3CBD" w:rsidRPr="00603F4A">
        <w:rPr>
          <w:rFonts w:ascii="Arial" w:hAnsi="Arial" w:cs="Arial"/>
          <w:sz w:val="22"/>
          <w:szCs w:val="22"/>
        </w:rPr>
        <w:t>mark</w:t>
      </w:r>
      <w:r w:rsidR="003949BC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>licenses</w:t>
      </w:r>
      <w:r w:rsidR="00334F86" w:rsidRPr="00603F4A">
        <w:rPr>
          <w:rFonts w:ascii="Arial" w:hAnsi="Arial" w:cs="Arial"/>
          <w:sz w:val="22"/>
          <w:szCs w:val="22"/>
        </w:rPr>
        <w:t xml:space="preserve"> and</w:t>
      </w:r>
      <w:r w:rsidRPr="00603F4A">
        <w:rPr>
          <w:rFonts w:ascii="Arial" w:hAnsi="Arial" w:cs="Arial"/>
          <w:sz w:val="22"/>
          <w:szCs w:val="22"/>
        </w:rPr>
        <w:t xml:space="preserve"> </w:t>
      </w:r>
      <w:r w:rsidR="00334F86" w:rsidRPr="00603F4A">
        <w:rPr>
          <w:rFonts w:ascii="Arial" w:hAnsi="Arial" w:cs="Arial"/>
          <w:sz w:val="22"/>
          <w:szCs w:val="22"/>
        </w:rPr>
        <w:t>important elements of</w:t>
      </w:r>
      <w:r w:rsidRPr="00603F4A">
        <w:rPr>
          <w:rFonts w:ascii="Arial" w:hAnsi="Arial" w:cs="Arial"/>
          <w:sz w:val="22"/>
          <w:szCs w:val="22"/>
        </w:rPr>
        <w:t xml:space="preserve"> terms of use </w:t>
      </w:r>
      <w:r w:rsidR="00334F86" w:rsidRPr="00603F4A">
        <w:rPr>
          <w:rFonts w:ascii="Arial" w:hAnsi="Arial" w:cs="Arial"/>
          <w:sz w:val="22"/>
          <w:szCs w:val="22"/>
        </w:rPr>
        <w:t>of</w:t>
      </w:r>
      <w:r w:rsidRPr="00603F4A">
        <w:rPr>
          <w:rFonts w:ascii="Arial" w:hAnsi="Arial" w:cs="Arial"/>
          <w:sz w:val="22"/>
          <w:szCs w:val="22"/>
        </w:rPr>
        <w:t xml:space="preserve"> application programming interfaces</w:t>
      </w:r>
      <w:r w:rsidR="00054C98" w:rsidRPr="00603F4A">
        <w:rPr>
          <w:rFonts w:ascii="Arial" w:hAnsi="Arial" w:cs="Arial"/>
          <w:sz w:val="22"/>
          <w:szCs w:val="22"/>
        </w:rPr>
        <w:t xml:space="preserve">. </w:t>
      </w:r>
      <w:r w:rsidR="003949BC" w:rsidRPr="00603F4A">
        <w:rPr>
          <w:rFonts w:ascii="Arial" w:hAnsi="Arial" w:cs="Arial"/>
          <w:sz w:val="22"/>
          <w:szCs w:val="22"/>
        </w:rPr>
        <w:t xml:space="preserve"> </w:t>
      </w:r>
      <w:r w:rsidR="007D11FE" w:rsidRPr="00603F4A">
        <w:rPr>
          <w:rFonts w:ascii="Arial" w:hAnsi="Arial" w:cs="Arial"/>
          <w:sz w:val="22"/>
          <w:szCs w:val="22"/>
        </w:rPr>
        <w:t>While there will not be much room for negotiations</w:t>
      </w:r>
      <w:r w:rsidR="005E6473" w:rsidRPr="00603F4A">
        <w:rPr>
          <w:rFonts w:ascii="Arial" w:hAnsi="Arial" w:cs="Arial"/>
          <w:sz w:val="22"/>
          <w:szCs w:val="22"/>
        </w:rPr>
        <w:t xml:space="preserve"> for certain licenses</w:t>
      </w:r>
      <w:r w:rsidR="007D11FE" w:rsidRPr="00603F4A">
        <w:rPr>
          <w:rFonts w:ascii="Arial" w:hAnsi="Arial" w:cs="Arial"/>
          <w:sz w:val="22"/>
          <w:szCs w:val="22"/>
        </w:rPr>
        <w:t xml:space="preserve">, mobile application developers are well-advised to determine, together with a licensing professional, to which territory the license should apply, whether an exclusive or </w:t>
      </w:r>
      <w:r w:rsidR="007D11FE" w:rsidRPr="00603F4A">
        <w:rPr>
          <w:rFonts w:ascii="Arial" w:hAnsi="Arial" w:cs="Arial"/>
          <w:sz w:val="22"/>
          <w:szCs w:val="22"/>
        </w:rPr>
        <w:lastRenderedPageBreak/>
        <w:t>non</w:t>
      </w:r>
      <w:r w:rsidR="00581453" w:rsidRPr="00603F4A">
        <w:rPr>
          <w:rFonts w:ascii="Arial" w:hAnsi="Arial" w:cs="Arial"/>
          <w:sz w:val="22"/>
          <w:szCs w:val="22"/>
        </w:rPr>
        <w:noBreakHyphen/>
      </w:r>
      <w:r w:rsidR="007D11FE" w:rsidRPr="00603F4A">
        <w:rPr>
          <w:rFonts w:ascii="Arial" w:hAnsi="Arial" w:cs="Arial"/>
          <w:sz w:val="22"/>
          <w:szCs w:val="22"/>
        </w:rPr>
        <w:t>exclusive license can be obtained, what the costs will be</w:t>
      </w:r>
      <w:r w:rsidR="008A02CE" w:rsidRPr="00603F4A">
        <w:rPr>
          <w:rFonts w:ascii="Arial" w:hAnsi="Arial" w:cs="Arial"/>
          <w:sz w:val="22"/>
          <w:szCs w:val="22"/>
        </w:rPr>
        <w:t>,</w:t>
      </w:r>
      <w:r w:rsidR="00054C98" w:rsidRPr="00603F4A">
        <w:rPr>
          <w:rFonts w:ascii="Arial" w:hAnsi="Arial" w:cs="Arial"/>
          <w:sz w:val="22"/>
          <w:szCs w:val="22"/>
        </w:rPr>
        <w:t xml:space="preserve"> </w:t>
      </w:r>
      <w:r w:rsidR="007D11FE" w:rsidRPr="00603F4A">
        <w:rPr>
          <w:rFonts w:ascii="Arial" w:hAnsi="Arial" w:cs="Arial"/>
          <w:sz w:val="22"/>
          <w:szCs w:val="22"/>
        </w:rPr>
        <w:t>as well as which uses will be covered.</w:t>
      </w:r>
    </w:p>
    <w:p w14:paraId="08294C54" w14:textId="77777777" w:rsidR="00054C98" w:rsidRPr="00603F4A" w:rsidRDefault="00054C98" w:rsidP="00054C98">
      <w:pPr>
        <w:spacing w:line="276" w:lineRule="auto"/>
        <w:ind w:left="3402" w:firstLine="567"/>
        <w:rPr>
          <w:rFonts w:ascii="Arial" w:hAnsi="Arial" w:cs="Arial"/>
          <w:sz w:val="22"/>
          <w:szCs w:val="22"/>
        </w:rPr>
      </w:pPr>
    </w:p>
    <w:p w14:paraId="3361EA57" w14:textId="739596CA" w:rsidR="00054C98" w:rsidRPr="00603F4A" w:rsidRDefault="00334F86" w:rsidP="00125323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 xml:space="preserve">Section 4 focusses on </w:t>
      </w:r>
      <w:r w:rsidR="004F5ECC" w:rsidRPr="00603F4A">
        <w:rPr>
          <w:rFonts w:ascii="Arial" w:hAnsi="Arial" w:cs="Arial"/>
          <w:sz w:val="22"/>
          <w:szCs w:val="22"/>
        </w:rPr>
        <w:t>several</w:t>
      </w:r>
      <w:r w:rsidRPr="00603F4A">
        <w:rPr>
          <w:rFonts w:ascii="Arial" w:hAnsi="Arial" w:cs="Arial"/>
          <w:sz w:val="22"/>
          <w:szCs w:val="22"/>
        </w:rPr>
        <w:t xml:space="preserve"> </w:t>
      </w:r>
      <w:r w:rsidR="00125323" w:rsidRPr="00603F4A">
        <w:rPr>
          <w:rFonts w:ascii="Arial" w:hAnsi="Arial" w:cs="Arial"/>
          <w:sz w:val="22"/>
          <w:szCs w:val="22"/>
        </w:rPr>
        <w:t>IP</w:t>
      </w:r>
      <w:r w:rsidRPr="00603F4A">
        <w:rPr>
          <w:rFonts w:ascii="Arial" w:hAnsi="Arial" w:cs="Arial"/>
          <w:sz w:val="22"/>
          <w:szCs w:val="22"/>
        </w:rPr>
        <w:t xml:space="preserve"> tools that can </w:t>
      </w:r>
      <w:r w:rsidR="004F5ECC" w:rsidRPr="00603F4A">
        <w:rPr>
          <w:rFonts w:ascii="Arial" w:hAnsi="Arial" w:cs="Arial"/>
          <w:sz w:val="22"/>
          <w:szCs w:val="22"/>
        </w:rPr>
        <w:t>protect different parts of mobile applications</w:t>
      </w:r>
      <w:r w:rsidR="00054C98" w:rsidRPr="00603F4A">
        <w:rPr>
          <w:rFonts w:ascii="Arial" w:hAnsi="Arial" w:cs="Arial"/>
          <w:sz w:val="22"/>
          <w:szCs w:val="22"/>
        </w:rPr>
        <w:t>.</w:t>
      </w:r>
      <w:r w:rsidR="004F5ECC" w:rsidRPr="00603F4A">
        <w:rPr>
          <w:rFonts w:ascii="Arial" w:hAnsi="Arial" w:cs="Arial"/>
          <w:sz w:val="22"/>
          <w:szCs w:val="22"/>
        </w:rPr>
        <w:t xml:space="preserve"> </w:t>
      </w:r>
      <w:r w:rsidR="008A02CE" w:rsidRPr="00603F4A">
        <w:rPr>
          <w:rFonts w:ascii="Arial" w:hAnsi="Arial" w:cs="Arial"/>
          <w:sz w:val="22"/>
          <w:szCs w:val="22"/>
        </w:rPr>
        <w:t xml:space="preserve"> </w:t>
      </w:r>
      <w:r w:rsidR="004F5ECC" w:rsidRPr="00603F4A">
        <w:rPr>
          <w:rFonts w:ascii="Arial" w:hAnsi="Arial" w:cs="Arial"/>
          <w:sz w:val="22"/>
          <w:szCs w:val="22"/>
        </w:rPr>
        <w:t xml:space="preserve">These tools concern copyright, patents, trademarks and unfair competition, design rights and trade secrets. </w:t>
      </w:r>
      <w:r w:rsidR="004870EE" w:rsidRPr="00603F4A">
        <w:rPr>
          <w:rFonts w:ascii="Arial" w:hAnsi="Arial" w:cs="Arial"/>
          <w:sz w:val="22"/>
          <w:szCs w:val="22"/>
        </w:rPr>
        <w:t xml:space="preserve"> </w:t>
      </w:r>
      <w:r w:rsidR="004F5ECC" w:rsidRPr="00603F4A">
        <w:rPr>
          <w:rFonts w:ascii="Arial" w:hAnsi="Arial" w:cs="Arial"/>
          <w:sz w:val="22"/>
          <w:szCs w:val="22"/>
        </w:rPr>
        <w:t xml:space="preserve">For each </w:t>
      </w:r>
      <w:r w:rsidR="00D36F6F" w:rsidRPr="00603F4A">
        <w:rPr>
          <w:rFonts w:ascii="Arial" w:hAnsi="Arial" w:cs="Arial"/>
          <w:sz w:val="22"/>
          <w:szCs w:val="22"/>
        </w:rPr>
        <w:t xml:space="preserve">area of </w:t>
      </w:r>
      <w:r w:rsidR="00125323" w:rsidRPr="00603F4A">
        <w:rPr>
          <w:rFonts w:ascii="Arial" w:hAnsi="Arial" w:cs="Arial"/>
          <w:sz w:val="22"/>
          <w:szCs w:val="22"/>
        </w:rPr>
        <w:t>IP</w:t>
      </w:r>
      <w:r w:rsidR="004F5ECC" w:rsidRPr="00603F4A">
        <w:rPr>
          <w:rFonts w:ascii="Arial" w:hAnsi="Arial" w:cs="Arial"/>
          <w:sz w:val="22"/>
          <w:szCs w:val="22"/>
        </w:rPr>
        <w:t xml:space="preserve">, its purpose, the conditions under which protection arises and </w:t>
      </w:r>
      <w:r w:rsidR="00D36F6F" w:rsidRPr="00603F4A">
        <w:rPr>
          <w:rFonts w:ascii="Arial" w:hAnsi="Arial" w:cs="Arial"/>
          <w:sz w:val="22"/>
          <w:szCs w:val="22"/>
        </w:rPr>
        <w:t>the scope of</w:t>
      </w:r>
      <w:r w:rsidR="004F5ECC" w:rsidRPr="00603F4A">
        <w:rPr>
          <w:rFonts w:ascii="Arial" w:hAnsi="Arial" w:cs="Arial"/>
          <w:sz w:val="22"/>
          <w:szCs w:val="22"/>
        </w:rPr>
        <w:t xml:space="preserve"> protection </w:t>
      </w:r>
      <w:proofErr w:type="gramStart"/>
      <w:r w:rsidR="00D36F6F" w:rsidRPr="00603F4A">
        <w:rPr>
          <w:rFonts w:ascii="Arial" w:hAnsi="Arial" w:cs="Arial"/>
          <w:sz w:val="22"/>
          <w:szCs w:val="22"/>
        </w:rPr>
        <w:t>is explained</w:t>
      </w:r>
      <w:proofErr w:type="gramEnd"/>
      <w:r w:rsidR="00D36F6F" w:rsidRPr="00603F4A">
        <w:rPr>
          <w:rFonts w:ascii="Arial" w:hAnsi="Arial" w:cs="Arial"/>
          <w:sz w:val="22"/>
          <w:szCs w:val="22"/>
        </w:rPr>
        <w:t xml:space="preserve">. </w:t>
      </w:r>
      <w:r w:rsidR="004870EE" w:rsidRPr="00603F4A">
        <w:rPr>
          <w:rFonts w:ascii="Arial" w:hAnsi="Arial" w:cs="Arial"/>
          <w:sz w:val="22"/>
          <w:szCs w:val="22"/>
        </w:rPr>
        <w:t xml:space="preserve"> </w:t>
      </w:r>
      <w:r w:rsidR="00D36F6F" w:rsidRPr="00603F4A">
        <w:rPr>
          <w:rFonts w:ascii="Arial" w:hAnsi="Arial" w:cs="Arial"/>
          <w:sz w:val="22"/>
          <w:szCs w:val="22"/>
        </w:rPr>
        <w:t xml:space="preserve">The </w:t>
      </w:r>
      <w:r w:rsidR="00125323" w:rsidRPr="00603F4A">
        <w:rPr>
          <w:rFonts w:ascii="Arial" w:hAnsi="Arial" w:cs="Arial"/>
          <w:sz w:val="22"/>
          <w:szCs w:val="22"/>
        </w:rPr>
        <w:t>T</w:t>
      </w:r>
      <w:r w:rsidR="00D36F6F" w:rsidRPr="00603F4A">
        <w:rPr>
          <w:rFonts w:ascii="Arial" w:hAnsi="Arial" w:cs="Arial"/>
          <w:sz w:val="22"/>
          <w:szCs w:val="22"/>
        </w:rPr>
        <w:t xml:space="preserve">oolbox then </w:t>
      </w:r>
      <w:r w:rsidR="00A64AAC" w:rsidRPr="00603F4A">
        <w:rPr>
          <w:rFonts w:ascii="Arial" w:hAnsi="Arial" w:cs="Arial"/>
          <w:sz w:val="22"/>
          <w:szCs w:val="22"/>
        </w:rPr>
        <w:t>discusses</w:t>
      </w:r>
      <w:r w:rsidR="003611F9" w:rsidRPr="00603F4A">
        <w:rPr>
          <w:rFonts w:ascii="Arial" w:hAnsi="Arial" w:cs="Arial"/>
          <w:sz w:val="22"/>
          <w:szCs w:val="22"/>
        </w:rPr>
        <w:t xml:space="preserve"> the</w:t>
      </w:r>
      <w:r w:rsidR="00D36F6F" w:rsidRPr="00603F4A">
        <w:rPr>
          <w:rFonts w:ascii="Arial" w:hAnsi="Arial" w:cs="Arial"/>
          <w:sz w:val="22"/>
          <w:szCs w:val="22"/>
        </w:rPr>
        <w:t xml:space="preserve"> tools that can be used for each area, such as registration, </w:t>
      </w:r>
      <w:r w:rsidR="003611F9" w:rsidRPr="00603F4A">
        <w:rPr>
          <w:rFonts w:ascii="Arial" w:hAnsi="Arial" w:cs="Arial"/>
          <w:sz w:val="22"/>
          <w:szCs w:val="22"/>
        </w:rPr>
        <w:t xml:space="preserve">prior art and prior rights </w:t>
      </w:r>
      <w:r w:rsidR="00D36F6F" w:rsidRPr="00603F4A">
        <w:rPr>
          <w:rFonts w:ascii="Arial" w:hAnsi="Arial" w:cs="Arial"/>
          <w:sz w:val="22"/>
          <w:szCs w:val="22"/>
        </w:rPr>
        <w:t>searches, application procedures</w:t>
      </w:r>
      <w:r w:rsidR="00A64AAC" w:rsidRPr="00603F4A">
        <w:rPr>
          <w:rFonts w:ascii="Arial" w:hAnsi="Arial" w:cs="Arial"/>
          <w:sz w:val="22"/>
          <w:szCs w:val="22"/>
        </w:rPr>
        <w:t xml:space="preserve"> and required information</w:t>
      </w:r>
      <w:r w:rsidR="00D36F6F" w:rsidRPr="00603F4A">
        <w:rPr>
          <w:rFonts w:ascii="Arial" w:hAnsi="Arial" w:cs="Arial"/>
          <w:sz w:val="22"/>
          <w:szCs w:val="22"/>
        </w:rPr>
        <w:t>,</w:t>
      </w:r>
      <w:r w:rsidR="00A64AAC" w:rsidRPr="00603F4A">
        <w:rPr>
          <w:rFonts w:ascii="Arial" w:hAnsi="Arial" w:cs="Arial"/>
          <w:sz w:val="22"/>
          <w:szCs w:val="22"/>
        </w:rPr>
        <w:t xml:space="preserve"> avoiding non-use in case of trademarks,</w:t>
      </w:r>
      <w:r w:rsidR="00D36F6F" w:rsidRPr="00603F4A">
        <w:rPr>
          <w:rFonts w:ascii="Arial" w:hAnsi="Arial" w:cs="Arial"/>
          <w:sz w:val="22"/>
          <w:szCs w:val="22"/>
        </w:rPr>
        <w:t xml:space="preserve"> copyright notices, record-keeping</w:t>
      </w:r>
      <w:r w:rsidR="007D11FE" w:rsidRPr="00603F4A">
        <w:rPr>
          <w:rFonts w:ascii="Arial" w:hAnsi="Arial" w:cs="Arial"/>
          <w:sz w:val="22"/>
          <w:szCs w:val="22"/>
        </w:rPr>
        <w:t xml:space="preserve"> in the development of graphical user interfaces</w:t>
      </w:r>
      <w:r w:rsidR="00A64AAC" w:rsidRPr="00603F4A">
        <w:rPr>
          <w:rFonts w:ascii="Arial" w:hAnsi="Arial" w:cs="Arial"/>
          <w:sz w:val="22"/>
          <w:szCs w:val="22"/>
        </w:rPr>
        <w:t>, non-disclosure agreements and others.</w:t>
      </w:r>
      <w:r w:rsidR="003611F9" w:rsidRPr="00603F4A">
        <w:rPr>
          <w:rFonts w:ascii="Arial" w:hAnsi="Arial" w:cs="Arial"/>
          <w:sz w:val="22"/>
          <w:szCs w:val="22"/>
        </w:rPr>
        <w:t xml:space="preserve"> </w:t>
      </w:r>
      <w:r w:rsidR="004870EE" w:rsidRPr="00603F4A">
        <w:rPr>
          <w:rFonts w:ascii="Arial" w:hAnsi="Arial" w:cs="Arial"/>
          <w:sz w:val="22"/>
          <w:szCs w:val="22"/>
        </w:rPr>
        <w:t xml:space="preserve"> </w:t>
      </w:r>
      <w:r w:rsidR="003611F9" w:rsidRPr="00603F4A">
        <w:rPr>
          <w:rFonts w:ascii="Arial" w:hAnsi="Arial" w:cs="Arial"/>
          <w:sz w:val="22"/>
          <w:szCs w:val="22"/>
        </w:rPr>
        <w:t xml:space="preserve">The key points and guidelines offered for each tool </w:t>
      </w:r>
      <w:r w:rsidR="00363457" w:rsidRPr="00603F4A">
        <w:rPr>
          <w:rFonts w:ascii="Arial" w:hAnsi="Arial" w:cs="Arial"/>
          <w:sz w:val="22"/>
          <w:szCs w:val="22"/>
        </w:rPr>
        <w:t xml:space="preserve">highlight </w:t>
      </w:r>
      <w:r w:rsidR="005D0EAB" w:rsidRPr="00603F4A">
        <w:rPr>
          <w:rFonts w:ascii="Arial" w:hAnsi="Arial" w:cs="Arial"/>
          <w:sz w:val="22"/>
          <w:szCs w:val="22"/>
        </w:rPr>
        <w:t xml:space="preserve">their applicability in different situations and </w:t>
      </w:r>
      <w:r w:rsidR="00363457" w:rsidRPr="00603F4A">
        <w:rPr>
          <w:rFonts w:ascii="Arial" w:hAnsi="Arial" w:cs="Arial"/>
          <w:sz w:val="22"/>
          <w:szCs w:val="22"/>
        </w:rPr>
        <w:t>the main considerations that will help to guide the decision-making process</w:t>
      </w:r>
      <w:r w:rsidR="00D41787" w:rsidRPr="00603F4A">
        <w:rPr>
          <w:rFonts w:ascii="Arial" w:hAnsi="Arial" w:cs="Arial"/>
          <w:sz w:val="22"/>
          <w:szCs w:val="22"/>
        </w:rPr>
        <w:t xml:space="preserve"> when considering such tools</w:t>
      </w:r>
      <w:r w:rsidR="00363457" w:rsidRPr="00603F4A">
        <w:rPr>
          <w:rFonts w:ascii="Arial" w:hAnsi="Arial" w:cs="Arial"/>
          <w:sz w:val="22"/>
          <w:szCs w:val="22"/>
        </w:rPr>
        <w:t xml:space="preserve">. </w:t>
      </w:r>
      <w:r w:rsidR="002A641A" w:rsidRPr="00603F4A">
        <w:rPr>
          <w:rFonts w:ascii="Arial" w:hAnsi="Arial" w:cs="Arial"/>
          <w:sz w:val="22"/>
          <w:szCs w:val="22"/>
        </w:rPr>
        <w:t xml:space="preserve"> </w:t>
      </w:r>
      <w:r w:rsidR="00FC05D4" w:rsidRPr="00603F4A">
        <w:rPr>
          <w:rFonts w:ascii="Arial" w:hAnsi="Arial" w:cs="Arial"/>
          <w:sz w:val="22"/>
          <w:szCs w:val="22"/>
        </w:rPr>
        <w:t>The decision in which market to seek protection and through which procedure</w:t>
      </w:r>
      <w:r w:rsidR="00363457" w:rsidRPr="00603F4A">
        <w:rPr>
          <w:rFonts w:ascii="Arial" w:hAnsi="Arial" w:cs="Arial"/>
          <w:sz w:val="22"/>
          <w:szCs w:val="22"/>
        </w:rPr>
        <w:t xml:space="preserve"> </w:t>
      </w:r>
      <w:r w:rsidR="00FC05D4" w:rsidRPr="00603F4A">
        <w:rPr>
          <w:rFonts w:ascii="Arial" w:hAnsi="Arial" w:cs="Arial"/>
          <w:sz w:val="22"/>
          <w:szCs w:val="22"/>
        </w:rPr>
        <w:t xml:space="preserve">depends on an assessment of key markets, the availability of the mobile application on these markets and possibilities of enforcing one’s rights there. </w:t>
      </w:r>
    </w:p>
    <w:p w14:paraId="4E67CB72" w14:textId="77777777" w:rsidR="00054C98" w:rsidRPr="00603F4A" w:rsidRDefault="00054C98" w:rsidP="00054C98">
      <w:pPr>
        <w:spacing w:line="276" w:lineRule="auto"/>
        <w:ind w:left="3402" w:firstLine="567"/>
        <w:rPr>
          <w:rFonts w:ascii="Arial" w:hAnsi="Arial" w:cs="Arial"/>
          <w:sz w:val="22"/>
          <w:szCs w:val="22"/>
        </w:rPr>
      </w:pPr>
    </w:p>
    <w:p w14:paraId="7EF4A4F5" w14:textId="6D67772C" w:rsidR="00054C98" w:rsidRPr="00603F4A" w:rsidRDefault="00A64AAC" w:rsidP="00125323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 xml:space="preserve">Section 5 </w:t>
      </w:r>
      <w:r w:rsidR="009271B4" w:rsidRPr="00603F4A">
        <w:rPr>
          <w:rFonts w:ascii="Arial" w:hAnsi="Arial" w:cs="Arial"/>
          <w:sz w:val="22"/>
          <w:szCs w:val="22"/>
        </w:rPr>
        <w:t xml:space="preserve">elaborates on </w:t>
      </w:r>
      <w:r w:rsidRPr="00603F4A">
        <w:rPr>
          <w:rFonts w:ascii="Arial" w:hAnsi="Arial" w:cs="Arial"/>
          <w:sz w:val="22"/>
          <w:szCs w:val="22"/>
        </w:rPr>
        <w:t xml:space="preserve">the stage of dissemination and discusses tools that </w:t>
      </w:r>
      <w:proofErr w:type="gramStart"/>
      <w:r w:rsidRPr="00603F4A">
        <w:rPr>
          <w:rFonts w:ascii="Arial" w:hAnsi="Arial" w:cs="Arial"/>
          <w:sz w:val="22"/>
          <w:szCs w:val="22"/>
        </w:rPr>
        <w:t>can be used</w:t>
      </w:r>
      <w:proofErr w:type="gramEnd"/>
      <w:r w:rsidRPr="00603F4A">
        <w:rPr>
          <w:rFonts w:ascii="Arial" w:hAnsi="Arial" w:cs="Arial"/>
          <w:sz w:val="22"/>
          <w:szCs w:val="22"/>
        </w:rPr>
        <w:t xml:space="preserve"> to distribute mobile applications. </w:t>
      </w:r>
      <w:r w:rsidR="009271B4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>In particular</w:t>
      </w:r>
      <w:r w:rsidR="003A050E" w:rsidRPr="00603F4A">
        <w:rPr>
          <w:rFonts w:ascii="Arial" w:hAnsi="Arial" w:cs="Arial"/>
          <w:sz w:val="22"/>
          <w:szCs w:val="22"/>
        </w:rPr>
        <w:t>,</w:t>
      </w:r>
      <w:r w:rsidRPr="00603F4A">
        <w:rPr>
          <w:rFonts w:ascii="Arial" w:hAnsi="Arial" w:cs="Arial"/>
          <w:sz w:val="22"/>
          <w:szCs w:val="22"/>
        </w:rPr>
        <w:t xml:space="preserve"> where mobile application developers want to make their applications available to application platforms or consumers, they can use tools such as </w:t>
      </w:r>
      <w:r w:rsidR="003A050E" w:rsidRPr="00603F4A">
        <w:rPr>
          <w:rFonts w:ascii="Arial" w:hAnsi="Arial" w:cs="Arial"/>
          <w:sz w:val="22"/>
          <w:szCs w:val="22"/>
        </w:rPr>
        <w:t xml:space="preserve">distribution agreements or different forms of </w:t>
      </w:r>
      <w:r w:rsidRPr="00603F4A">
        <w:rPr>
          <w:rFonts w:ascii="Arial" w:hAnsi="Arial" w:cs="Arial"/>
          <w:sz w:val="22"/>
          <w:szCs w:val="22"/>
        </w:rPr>
        <w:t>licenses</w:t>
      </w:r>
      <w:r w:rsidR="003A050E" w:rsidRPr="00603F4A">
        <w:rPr>
          <w:rFonts w:ascii="Arial" w:hAnsi="Arial" w:cs="Arial"/>
          <w:sz w:val="22"/>
          <w:szCs w:val="22"/>
        </w:rPr>
        <w:t xml:space="preserve">. </w:t>
      </w:r>
      <w:r w:rsidR="009271B4" w:rsidRPr="00603F4A">
        <w:rPr>
          <w:rFonts w:ascii="Arial" w:hAnsi="Arial" w:cs="Arial"/>
          <w:sz w:val="22"/>
          <w:szCs w:val="22"/>
        </w:rPr>
        <w:t xml:space="preserve"> </w:t>
      </w:r>
      <w:r w:rsidR="003A050E" w:rsidRPr="00603F4A">
        <w:rPr>
          <w:rFonts w:ascii="Arial" w:hAnsi="Arial" w:cs="Arial"/>
          <w:sz w:val="22"/>
          <w:szCs w:val="22"/>
        </w:rPr>
        <w:t>The licensing tools discussed</w:t>
      </w:r>
      <w:r w:rsidR="009271B4" w:rsidRPr="00603F4A">
        <w:rPr>
          <w:rFonts w:ascii="Arial" w:hAnsi="Arial" w:cs="Arial"/>
          <w:sz w:val="22"/>
          <w:szCs w:val="22"/>
        </w:rPr>
        <w:t xml:space="preserve"> in this section</w:t>
      </w:r>
      <w:r w:rsidR="003A050E" w:rsidRPr="00603F4A">
        <w:rPr>
          <w:rFonts w:ascii="Arial" w:hAnsi="Arial" w:cs="Arial"/>
          <w:sz w:val="22"/>
          <w:szCs w:val="22"/>
        </w:rPr>
        <w:t xml:space="preserve"> include </w:t>
      </w:r>
      <w:r w:rsidR="00125323" w:rsidRPr="00603F4A">
        <w:rPr>
          <w:rFonts w:ascii="Arial" w:hAnsi="Arial" w:cs="Arial"/>
          <w:sz w:val="22"/>
          <w:szCs w:val="22"/>
        </w:rPr>
        <w:t>IP</w:t>
      </w:r>
      <w:r w:rsidR="003A050E" w:rsidRPr="00603F4A">
        <w:rPr>
          <w:rFonts w:ascii="Arial" w:hAnsi="Arial" w:cs="Arial"/>
          <w:sz w:val="22"/>
          <w:szCs w:val="22"/>
        </w:rPr>
        <w:t xml:space="preserve"> licenses, end user license agreements,</w:t>
      </w:r>
      <w:r w:rsidRPr="00603F4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050E" w:rsidRPr="00603F4A">
        <w:rPr>
          <w:rFonts w:ascii="Arial" w:hAnsi="Arial" w:cs="Arial"/>
          <w:sz w:val="22"/>
          <w:szCs w:val="22"/>
        </w:rPr>
        <w:t>open</w:t>
      </w:r>
      <w:proofErr w:type="gramEnd"/>
      <w:r w:rsidR="003A050E" w:rsidRPr="00603F4A">
        <w:rPr>
          <w:rFonts w:ascii="Arial" w:hAnsi="Arial" w:cs="Arial"/>
          <w:sz w:val="22"/>
          <w:szCs w:val="22"/>
        </w:rPr>
        <w:t>-source</w:t>
      </w:r>
      <w:r w:rsidR="00026663" w:rsidRPr="00603F4A">
        <w:rPr>
          <w:rFonts w:ascii="Arial" w:hAnsi="Arial" w:cs="Arial"/>
          <w:sz w:val="22"/>
          <w:szCs w:val="22"/>
        </w:rPr>
        <w:t xml:space="preserve"> and</w:t>
      </w:r>
      <w:r w:rsidR="003A050E" w:rsidRPr="00603F4A">
        <w:rPr>
          <w:rFonts w:ascii="Arial" w:hAnsi="Arial" w:cs="Arial"/>
          <w:sz w:val="22"/>
          <w:szCs w:val="22"/>
        </w:rPr>
        <w:t xml:space="preserve"> creative commons licenses</w:t>
      </w:r>
      <w:r w:rsidRPr="00603F4A">
        <w:rPr>
          <w:rFonts w:ascii="Arial" w:hAnsi="Arial" w:cs="Arial"/>
          <w:sz w:val="22"/>
          <w:szCs w:val="22"/>
        </w:rPr>
        <w:t>.</w:t>
      </w:r>
      <w:r w:rsidR="003611F9" w:rsidRPr="00603F4A">
        <w:rPr>
          <w:rFonts w:ascii="Arial" w:hAnsi="Arial" w:cs="Arial"/>
          <w:sz w:val="22"/>
          <w:szCs w:val="22"/>
        </w:rPr>
        <w:t xml:space="preserve"> </w:t>
      </w:r>
      <w:r w:rsidR="009271B4" w:rsidRPr="00603F4A">
        <w:rPr>
          <w:rFonts w:ascii="Arial" w:hAnsi="Arial" w:cs="Arial"/>
          <w:sz w:val="22"/>
          <w:szCs w:val="22"/>
        </w:rPr>
        <w:t xml:space="preserve"> </w:t>
      </w:r>
      <w:r w:rsidR="003611F9" w:rsidRPr="00603F4A">
        <w:rPr>
          <w:rFonts w:ascii="Arial" w:hAnsi="Arial" w:cs="Arial"/>
          <w:sz w:val="22"/>
          <w:szCs w:val="22"/>
        </w:rPr>
        <w:t xml:space="preserve">While open-source and creative commons licenses make software and creative content available on a royalty-free basis, it is important </w:t>
      </w:r>
      <w:proofErr w:type="gramStart"/>
      <w:r w:rsidR="003611F9" w:rsidRPr="00603F4A">
        <w:rPr>
          <w:rFonts w:ascii="Arial" w:hAnsi="Arial" w:cs="Arial"/>
          <w:sz w:val="22"/>
          <w:szCs w:val="22"/>
        </w:rPr>
        <w:t>to purposefully determine</w:t>
      </w:r>
      <w:proofErr w:type="gramEnd"/>
      <w:r w:rsidR="003611F9" w:rsidRPr="00603F4A">
        <w:rPr>
          <w:rFonts w:ascii="Arial" w:hAnsi="Arial" w:cs="Arial"/>
          <w:sz w:val="22"/>
          <w:szCs w:val="22"/>
        </w:rPr>
        <w:t xml:space="preserve"> the terms and conditions that will be attached to the use by third parties.</w:t>
      </w:r>
      <w:r w:rsidR="00587E03" w:rsidRPr="00603F4A">
        <w:rPr>
          <w:rFonts w:ascii="Arial" w:hAnsi="Arial" w:cs="Arial"/>
          <w:sz w:val="22"/>
          <w:szCs w:val="22"/>
        </w:rPr>
        <w:t xml:space="preserve"> </w:t>
      </w:r>
      <w:r w:rsidR="002677B9" w:rsidRPr="00603F4A">
        <w:rPr>
          <w:rFonts w:ascii="Arial" w:hAnsi="Arial" w:cs="Arial"/>
          <w:sz w:val="22"/>
          <w:szCs w:val="22"/>
        </w:rPr>
        <w:t xml:space="preserve"> </w:t>
      </w:r>
      <w:r w:rsidR="00587E03" w:rsidRPr="00603F4A">
        <w:rPr>
          <w:rFonts w:ascii="Arial" w:hAnsi="Arial" w:cs="Arial"/>
          <w:sz w:val="22"/>
          <w:szCs w:val="22"/>
        </w:rPr>
        <w:t xml:space="preserve">For </w:t>
      </w:r>
      <w:r w:rsidR="002677B9" w:rsidRPr="00603F4A">
        <w:rPr>
          <w:rFonts w:ascii="Arial" w:hAnsi="Arial" w:cs="Arial"/>
          <w:sz w:val="22"/>
          <w:szCs w:val="22"/>
        </w:rPr>
        <w:t>each type of a</w:t>
      </w:r>
      <w:r w:rsidR="00587E03" w:rsidRPr="00603F4A">
        <w:rPr>
          <w:rFonts w:ascii="Arial" w:hAnsi="Arial" w:cs="Arial"/>
          <w:sz w:val="22"/>
          <w:szCs w:val="22"/>
        </w:rPr>
        <w:t xml:space="preserve"> license, the territorial and material scope, costs, its exclusivity and timing of the license need to be determined, among others.</w:t>
      </w:r>
      <w:r w:rsidR="00054C98" w:rsidRPr="00603F4A">
        <w:rPr>
          <w:rFonts w:ascii="Arial" w:hAnsi="Arial" w:cs="Arial"/>
          <w:sz w:val="22"/>
          <w:szCs w:val="22"/>
        </w:rPr>
        <w:t xml:space="preserve"> </w:t>
      </w:r>
      <w:r w:rsidR="002677B9" w:rsidRPr="00603F4A">
        <w:rPr>
          <w:rFonts w:ascii="Arial" w:hAnsi="Arial" w:cs="Arial"/>
          <w:sz w:val="22"/>
          <w:szCs w:val="22"/>
        </w:rPr>
        <w:t xml:space="preserve"> </w:t>
      </w:r>
      <w:r w:rsidR="003611F9" w:rsidRPr="00603F4A">
        <w:rPr>
          <w:rFonts w:ascii="Arial" w:hAnsi="Arial" w:cs="Arial"/>
          <w:sz w:val="22"/>
          <w:szCs w:val="22"/>
        </w:rPr>
        <w:t xml:space="preserve">Advice from a licensing professional </w:t>
      </w:r>
      <w:proofErr w:type="gramStart"/>
      <w:r w:rsidR="003611F9" w:rsidRPr="00603F4A">
        <w:rPr>
          <w:rFonts w:ascii="Arial" w:hAnsi="Arial" w:cs="Arial"/>
          <w:sz w:val="22"/>
          <w:szCs w:val="22"/>
        </w:rPr>
        <w:t>is recommended</w:t>
      </w:r>
      <w:proofErr w:type="gramEnd"/>
      <w:r w:rsidR="003611F9" w:rsidRPr="00603F4A">
        <w:rPr>
          <w:rFonts w:ascii="Arial" w:hAnsi="Arial" w:cs="Arial"/>
          <w:sz w:val="22"/>
          <w:szCs w:val="22"/>
        </w:rPr>
        <w:t>.</w:t>
      </w:r>
    </w:p>
    <w:p w14:paraId="0A695553" w14:textId="77777777" w:rsidR="00054C98" w:rsidRPr="00603F4A" w:rsidRDefault="00054C98" w:rsidP="00054C98">
      <w:pPr>
        <w:spacing w:line="276" w:lineRule="auto"/>
        <w:ind w:left="3402" w:firstLine="567"/>
        <w:rPr>
          <w:rFonts w:ascii="Arial" w:hAnsi="Arial" w:cs="Arial"/>
          <w:sz w:val="22"/>
          <w:szCs w:val="22"/>
        </w:rPr>
      </w:pPr>
    </w:p>
    <w:p w14:paraId="67C97AF9" w14:textId="1C55D87F" w:rsidR="007B72FC" w:rsidRPr="00603F4A" w:rsidRDefault="00026663" w:rsidP="000057C2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 xml:space="preserve">In Section 6, the </w:t>
      </w:r>
      <w:r w:rsidR="000057C2" w:rsidRPr="00603F4A">
        <w:rPr>
          <w:rFonts w:ascii="Arial" w:hAnsi="Arial" w:cs="Arial"/>
          <w:sz w:val="22"/>
          <w:szCs w:val="22"/>
        </w:rPr>
        <w:t>T</w:t>
      </w:r>
      <w:r w:rsidRPr="00603F4A">
        <w:rPr>
          <w:rFonts w:ascii="Arial" w:hAnsi="Arial" w:cs="Arial"/>
          <w:sz w:val="22"/>
          <w:szCs w:val="22"/>
        </w:rPr>
        <w:t xml:space="preserve">oolbox sets out different tools that </w:t>
      </w:r>
      <w:proofErr w:type="gramStart"/>
      <w:r w:rsidRPr="00603F4A">
        <w:rPr>
          <w:rFonts w:ascii="Arial" w:hAnsi="Arial" w:cs="Arial"/>
          <w:sz w:val="22"/>
          <w:szCs w:val="22"/>
        </w:rPr>
        <w:t>can be used</w:t>
      </w:r>
      <w:proofErr w:type="gramEnd"/>
      <w:r w:rsidRPr="00603F4A">
        <w:rPr>
          <w:rFonts w:ascii="Arial" w:hAnsi="Arial" w:cs="Arial"/>
          <w:sz w:val="22"/>
          <w:szCs w:val="22"/>
        </w:rPr>
        <w:t xml:space="preserve"> to enforce </w:t>
      </w:r>
      <w:r w:rsidR="000057C2" w:rsidRPr="00603F4A">
        <w:rPr>
          <w:rFonts w:ascii="Arial" w:hAnsi="Arial" w:cs="Arial"/>
          <w:sz w:val="22"/>
          <w:szCs w:val="22"/>
        </w:rPr>
        <w:t>IP</w:t>
      </w:r>
      <w:r w:rsidRPr="00603F4A">
        <w:rPr>
          <w:rFonts w:ascii="Arial" w:hAnsi="Arial" w:cs="Arial"/>
          <w:sz w:val="22"/>
          <w:szCs w:val="22"/>
        </w:rPr>
        <w:t xml:space="preserve"> rights on the mobile application, as well as possible breaches of licensing agreements. </w:t>
      </w:r>
      <w:r w:rsidR="0046389A" w:rsidRPr="00603F4A">
        <w:rPr>
          <w:rFonts w:ascii="Arial" w:hAnsi="Arial" w:cs="Arial"/>
          <w:sz w:val="22"/>
          <w:szCs w:val="22"/>
        </w:rPr>
        <w:t xml:space="preserve"> </w:t>
      </w:r>
      <w:r w:rsidRPr="00603F4A">
        <w:rPr>
          <w:rFonts w:ascii="Arial" w:hAnsi="Arial" w:cs="Arial"/>
          <w:sz w:val="22"/>
          <w:szCs w:val="22"/>
        </w:rPr>
        <w:t xml:space="preserve">Where third parties copy parts of the mobile application without the right holder’s consent, or where licensees do not adhere to the contractual terms set out in licenses, </w:t>
      </w:r>
      <w:r w:rsidR="007B72FC" w:rsidRPr="00603F4A">
        <w:rPr>
          <w:rFonts w:ascii="Arial" w:hAnsi="Arial" w:cs="Arial"/>
          <w:sz w:val="22"/>
          <w:szCs w:val="22"/>
        </w:rPr>
        <w:t xml:space="preserve">app developers can use </w:t>
      </w:r>
      <w:r w:rsidRPr="00603F4A">
        <w:rPr>
          <w:rFonts w:ascii="Arial" w:hAnsi="Arial" w:cs="Arial"/>
          <w:sz w:val="22"/>
          <w:szCs w:val="22"/>
        </w:rPr>
        <w:t xml:space="preserve">several tools to </w:t>
      </w:r>
      <w:r w:rsidR="007B72FC" w:rsidRPr="00603F4A">
        <w:rPr>
          <w:rFonts w:ascii="Arial" w:hAnsi="Arial" w:cs="Arial"/>
          <w:sz w:val="22"/>
          <w:szCs w:val="22"/>
        </w:rPr>
        <w:t xml:space="preserve">enforce their rights. </w:t>
      </w:r>
      <w:r w:rsidR="0046389A" w:rsidRPr="00603F4A">
        <w:rPr>
          <w:rFonts w:ascii="Arial" w:hAnsi="Arial" w:cs="Arial"/>
          <w:sz w:val="22"/>
          <w:szCs w:val="22"/>
        </w:rPr>
        <w:t xml:space="preserve"> </w:t>
      </w:r>
      <w:r w:rsidR="007B72FC" w:rsidRPr="00603F4A">
        <w:rPr>
          <w:rFonts w:ascii="Arial" w:hAnsi="Arial" w:cs="Arial"/>
          <w:sz w:val="22"/>
          <w:szCs w:val="22"/>
        </w:rPr>
        <w:t xml:space="preserve">Seeking legal advice </w:t>
      </w:r>
      <w:proofErr w:type="gramStart"/>
      <w:r w:rsidR="007B72FC" w:rsidRPr="00603F4A">
        <w:rPr>
          <w:rFonts w:ascii="Arial" w:hAnsi="Arial" w:cs="Arial"/>
          <w:sz w:val="22"/>
          <w:szCs w:val="22"/>
        </w:rPr>
        <w:t>is recommended</w:t>
      </w:r>
      <w:proofErr w:type="gramEnd"/>
      <w:r w:rsidR="007B72FC" w:rsidRPr="00603F4A">
        <w:rPr>
          <w:rFonts w:ascii="Arial" w:hAnsi="Arial" w:cs="Arial"/>
          <w:sz w:val="22"/>
          <w:szCs w:val="22"/>
        </w:rPr>
        <w:t xml:space="preserve"> regarding most enforcement steps. </w:t>
      </w:r>
      <w:r w:rsidR="00C96DBD" w:rsidRPr="00603F4A">
        <w:rPr>
          <w:rFonts w:ascii="Arial" w:hAnsi="Arial" w:cs="Arial"/>
          <w:sz w:val="22"/>
          <w:szCs w:val="22"/>
        </w:rPr>
        <w:t xml:space="preserve"> </w:t>
      </w:r>
      <w:r w:rsidR="007B72FC" w:rsidRPr="00603F4A">
        <w:rPr>
          <w:rFonts w:ascii="Arial" w:hAnsi="Arial" w:cs="Arial"/>
          <w:sz w:val="22"/>
          <w:szCs w:val="22"/>
        </w:rPr>
        <w:t xml:space="preserve">The </w:t>
      </w:r>
      <w:r w:rsidR="000057C2" w:rsidRPr="00603F4A">
        <w:rPr>
          <w:rFonts w:ascii="Arial" w:hAnsi="Arial" w:cs="Arial"/>
          <w:sz w:val="22"/>
          <w:szCs w:val="22"/>
        </w:rPr>
        <w:t>T</w:t>
      </w:r>
      <w:r w:rsidR="007B72FC" w:rsidRPr="00603F4A">
        <w:rPr>
          <w:rFonts w:ascii="Arial" w:hAnsi="Arial" w:cs="Arial"/>
          <w:sz w:val="22"/>
          <w:szCs w:val="22"/>
        </w:rPr>
        <w:t xml:space="preserve">oolbox expands on the </w:t>
      </w:r>
      <w:r w:rsidR="0046389A" w:rsidRPr="00603F4A">
        <w:rPr>
          <w:rFonts w:ascii="Arial" w:hAnsi="Arial" w:cs="Arial"/>
          <w:sz w:val="22"/>
          <w:szCs w:val="22"/>
        </w:rPr>
        <w:t>notice</w:t>
      </w:r>
      <w:r w:rsidR="0046389A" w:rsidRPr="00603F4A">
        <w:rPr>
          <w:rFonts w:ascii="Arial" w:hAnsi="Arial" w:cs="Arial"/>
          <w:sz w:val="22"/>
          <w:szCs w:val="22"/>
        </w:rPr>
        <w:noBreakHyphen/>
        <w:t>and</w:t>
      </w:r>
      <w:r w:rsidR="0046389A" w:rsidRPr="00603F4A">
        <w:rPr>
          <w:rFonts w:ascii="Arial" w:hAnsi="Arial" w:cs="Arial"/>
          <w:sz w:val="22"/>
          <w:szCs w:val="22"/>
        </w:rPr>
        <w:noBreakHyphen/>
      </w:r>
      <w:r w:rsidR="007B72FC" w:rsidRPr="00603F4A">
        <w:rPr>
          <w:rFonts w:ascii="Arial" w:hAnsi="Arial" w:cs="Arial"/>
          <w:sz w:val="22"/>
          <w:szCs w:val="22"/>
        </w:rPr>
        <w:t>take down procedures of the major mobi</w:t>
      </w:r>
      <w:r w:rsidR="00454B14" w:rsidRPr="00603F4A">
        <w:rPr>
          <w:rFonts w:ascii="Arial" w:hAnsi="Arial" w:cs="Arial"/>
          <w:sz w:val="22"/>
          <w:szCs w:val="22"/>
        </w:rPr>
        <w:t>le application platforms, cease</w:t>
      </w:r>
      <w:r w:rsidR="00454B14" w:rsidRPr="00603F4A">
        <w:rPr>
          <w:rFonts w:ascii="Arial" w:hAnsi="Arial" w:cs="Arial"/>
          <w:sz w:val="22"/>
          <w:szCs w:val="22"/>
        </w:rPr>
        <w:noBreakHyphen/>
      </w:r>
      <w:r w:rsidR="007B72FC" w:rsidRPr="00603F4A">
        <w:rPr>
          <w:rFonts w:ascii="Arial" w:hAnsi="Arial" w:cs="Arial"/>
          <w:sz w:val="22"/>
          <w:szCs w:val="22"/>
        </w:rPr>
        <w:t>and</w:t>
      </w:r>
      <w:r w:rsidR="00454B14" w:rsidRPr="00603F4A">
        <w:rPr>
          <w:rFonts w:ascii="Arial" w:hAnsi="Arial" w:cs="Arial"/>
          <w:sz w:val="22"/>
          <w:szCs w:val="22"/>
        </w:rPr>
        <w:noBreakHyphen/>
      </w:r>
      <w:r w:rsidR="007B72FC" w:rsidRPr="00603F4A">
        <w:rPr>
          <w:rFonts w:ascii="Arial" w:hAnsi="Arial" w:cs="Arial"/>
          <w:sz w:val="22"/>
          <w:szCs w:val="22"/>
        </w:rPr>
        <w:t>desist letters followed by negotiations</w:t>
      </w:r>
      <w:r w:rsidR="00477AF2" w:rsidRPr="00603F4A">
        <w:rPr>
          <w:rFonts w:ascii="Arial" w:hAnsi="Arial" w:cs="Arial"/>
          <w:sz w:val="22"/>
          <w:szCs w:val="22"/>
        </w:rPr>
        <w:t xml:space="preserve">, </w:t>
      </w:r>
      <w:r w:rsidR="007B72FC" w:rsidRPr="00603F4A">
        <w:rPr>
          <w:rFonts w:ascii="Arial" w:hAnsi="Arial" w:cs="Arial"/>
          <w:sz w:val="22"/>
          <w:szCs w:val="22"/>
        </w:rPr>
        <w:t>administrative and judicial actions</w:t>
      </w:r>
      <w:r w:rsidR="00477AF2" w:rsidRPr="00603F4A">
        <w:rPr>
          <w:rFonts w:ascii="Arial" w:hAnsi="Arial" w:cs="Arial"/>
          <w:sz w:val="22"/>
          <w:szCs w:val="22"/>
        </w:rPr>
        <w:t>, dispute-resolution procedures and clauses</w:t>
      </w:r>
      <w:r w:rsidR="007B72FC" w:rsidRPr="00603F4A">
        <w:rPr>
          <w:rFonts w:ascii="Arial" w:hAnsi="Arial" w:cs="Arial"/>
          <w:sz w:val="22"/>
          <w:szCs w:val="22"/>
        </w:rPr>
        <w:t xml:space="preserve">. </w:t>
      </w:r>
      <w:r w:rsidR="00C96DBD" w:rsidRPr="00603F4A">
        <w:rPr>
          <w:rFonts w:ascii="Arial" w:hAnsi="Arial" w:cs="Arial"/>
          <w:sz w:val="22"/>
          <w:szCs w:val="22"/>
        </w:rPr>
        <w:t xml:space="preserve"> </w:t>
      </w:r>
      <w:r w:rsidR="007B72FC" w:rsidRPr="00603F4A">
        <w:rPr>
          <w:rFonts w:ascii="Arial" w:hAnsi="Arial" w:cs="Arial"/>
          <w:sz w:val="22"/>
          <w:szCs w:val="22"/>
        </w:rPr>
        <w:t xml:space="preserve">Collecting evidence and information about the alleged infringer are important factors </w:t>
      </w:r>
      <w:r w:rsidR="001A4BFC" w:rsidRPr="00603F4A">
        <w:rPr>
          <w:rFonts w:ascii="Arial" w:hAnsi="Arial" w:cs="Arial"/>
          <w:sz w:val="22"/>
          <w:szCs w:val="22"/>
        </w:rPr>
        <w:t>f</w:t>
      </w:r>
      <w:r w:rsidR="007B72FC" w:rsidRPr="00603F4A">
        <w:rPr>
          <w:rFonts w:ascii="Arial" w:hAnsi="Arial" w:cs="Arial"/>
          <w:sz w:val="22"/>
          <w:szCs w:val="22"/>
        </w:rPr>
        <w:t>o</w:t>
      </w:r>
      <w:r w:rsidR="001A4BFC" w:rsidRPr="00603F4A">
        <w:rPr>
          <w:rFonts w:ascii="Arial" w:hAnsi="Arial" w:cs="Arial"/>
          <w:sz w:val="22"/>
          <w:szCs w:val="22"/>
        </w:rPr>
        <w:t>r</w:t>
      </w:r>
      <w:r w:rsidR="007B72FC" w:rsidRPr="00603F4A">
        <w:rPr>
          <w:rFonts w:ascii="Arial" w:hAnsi="Arial" w:cs="Arial"/>
          <w:sz w:val="22"/>
          <w:szCs w:val="22"/>
        </w:rPr>
        <w:t xml:space="preserve"> choosing the right tool. </w:t>
      </w:r>
      <w:r w:rsidR="00C96DBD" w:rsidRPr="00603F4A">
        <w:rPr>
          <w:rFonts w:ascii="Arial" w:hAnsi="Arial" w:cs="Arial"/>
          <w:sz w:val="22"/>
          <w:szCs w:val="22"/>
        </w:rPr>
        <w:t xml:space="preserve"> </w:t>
      </w:r>
      <w:r w:rsidR="00477AF2" w:rsidRPr="00603F4A">
        <w:rPr>
          <w:rFonts w:ascii="Arial" w:hAnsi="Arial" w:cs="Arial"/>
          <w:sz w:val="22"/>
          <w:szCs w:val="22"/>
        </w:rPr>
        <w:t xml:space="preserve">Determining the jurisdiction in which disputes </w:t>
      </w:r>
      <w:proofErr w:type="gramStart"/>
      <w:r w:rsidR="00477AF2" w:rsidRPr="00603F4A">
        <w:rPr>
          <w:rFonts w:ascii="Arial" w:hAnsi="Arial" w:cs="Arial"/>
          <w:sz w:val="22"/>
          <w:szCs w:val="22"/>
        </w:rPr>
        <w:t>should be brought</w:t>
      </w:r>
      <w:proofErr w:type="gramEnd"/>
      <w:r w:rsidR="00477AF2" w:rsidRPr="00603F4A">
        <w:rPr>
          <w:rFonts w:ascii="Arial" w:hAnsi="Arial" w:cs="Arial"/>
          <w:sz w:val="22"/>
          <w:szCs w:val="22"/>
        </w:rPr>
        <w:t xml:space="preserve"> needs to consider the enforceability of </w:t>
      </w:r>
      <w:r w:rsidR="00395DEC" w:rsidRPr="00603F4A">
        <w:rPr>
          <w:rFonts w:ascii="Arial" w:hAnsi="Arial" w:cs="Arial"/>
          <w:sz w:val="22"/>
          <w:szCs w:val="22"/>
        </w:rPr>
        <w:t>a judgment, especially in cross</w:t>
      </w:r>
      <w:r w:rsidR="00395DEC" w:rsidRPr="00603F4A">
        <w:rPr>
          <w:rFonts w:ascii="Arial" w:hAnsi="Arial" w:cs="Arial"/>
          <w:sz w:val="22"/>
          <w:szCs w:val="22"/>
        </w:rPr>
        <w:noBreakHyphen/>
      </w:r>
      <w:r w:rsidR="00477AF2" w:rsidRPr="00603F4A">
        <w:rPr>
          <w:rFonts w:ascii="Arial" w:hAnsi="Arial" w:cs="Arial"/>
          <w:sz w:val="22"/>
          <w:szCs w:val="22"/>
        </w:rPr>
        <w:t>border disputes.</w:t>
      </w:r>
    </w:p>
    <w:p w14:paraId="33B0202D" w14:textId="77777777" w:rsidR="007B72FC" w:rsidRPr="00603F4A" w:rsidRDefault="007B72FC" w:rsidP="00054C98">
      <w:pPr>
        <w:spacing w:line="276" w:lineRule="auto"/>
        <w:rPr>
          <w:rFonts w:ascii="Arial" w:hAnsi="Arial" w:cs="Arial"/>
          <w:sz w:val="22"/>
          <w:szCs w:val="22"/>
        </w:rPr>
      </w:pPr>
    </w:p>
    <w:p w14:paraId="6BE01D40" w14:textId="1E6570C6" w:rsidR="00054C98" w:rsidRPr="00603F4A" w:rsidRDefault="00477AF2" w:rsidP="00603F4A">
      <w:pPr>
        <w:spacing w:line="276" w:lineRule="auto"/>
        <w:rPr>
          <w:rFonts w:ascii="Arial" w:hAnsi="Arial" w:cs="Arial"/>
          <w:sz w:val="22"/>
          <w:szCs w:val="22"/>
        </w:rPr>
      </w:pPr>
      <w:r w:rsidRPr="00603F4A">
        <w:rPr>
          <w:rFonts w:ascii="Arial" w:hAnsi="Arial" w:cs="Arial"/>
          <w:sz w:val="22"/>
          <w:szCs w:val="22"/>
        </w:rPr>
        <w:t xml:space="preserve">Section 7 provides a list </w:t>
      </w:r>
      <w:r w:rsidR="00C104BF" w:rsidRPr="00603F4A">
        <w:rPr>
          <w:rFonts w:ascii="Arial" w:hAnsi="Arial" w:cs="Arial"/>
          <w:sz w:val="22"/>
          <w:szCs w:val="22"/>
        </w:rPr>
        <w:t xml:space="preserve">of </w:t>
      </w:r>
      <w:r w:rsidRPr="00603F4A">
        <w:rPr>
          <w:rFonts w:ascii="Arial" w:hAnsi="Arial" w:cs="Arial"/>
          <w:sz w:val="22"/>
          <w:szCs w:val="22"/>
        </w:rPr>
        <w:t xml:space="preserve">relevant resources and hyperlinks. </w:t>
      </w:r>
      <w:r w:rsidR="00C104BF" w:rsidRPr="00603F4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03F4A">
        <w:rPr>
          <w:rFonts w:ascii="Arial" w:hAnsi="Arial" w:cs="Arial"/>
          <w:sz w:val="22"/>
          <w:szCs w:val="22"/>
        </w:rPr>
        <w:t xml:space="preserve">These references can be used by mobile application developers to find more information on the tools discussed, as well as the examples and temples referred to in the </w:t>
      </w:r>
      <w:r w:rsidR="000057C2" w:rsidRPr="00603F4A">
        <w:rPr>
          <w:rFonts w:ascii="Arial" w:hAnsi="Arial" w:cs="Arial"/>
          <w:sz w:val="22"/>
          <w:szCs w:val="22"/>
        </w:rPr>
        <w:t>T</w:t>
      </w:r>
      <w:r w:rsidRPr="00603F4A">
        <w:rPr>
          <w:rFonts w:ascii="Arial" w:hAnsi="Arial" w:cs="Arial"/>
          <w:sz w:val="22"/>
          <w:szCs w:val="22"/>
        </w:rPr>
        <w:t>oolbox</w:t>
      </w:r>
      <w:proofErr w:type="gramEnd"/>
      <w:r w:rsidRPr="00603F4A">
        <w:rPr>
          <w:rFonts w:ascii="Arial" w:hAnsi="Arial" w:cs="Arial"/>
          <w:sz w:val="22"/>
          <w:szCs w:val="22"/>
        </w:rPr>
        <w:t>.</w:t>
      </w:r>
    </w:p>
    <w:p w14:paraId="0FCF082E" w14:textId="77777777" w:rsidR="00054C98" w:rsidRPr="00603F4A" w:rsidRDefault="00054C98" w:rsidP="00054C98">
      <w:pPr>
        <w:spacing w:line="360" w:lineRule="auto"/>
        <w:ind w:left="3402" w:firstLine="567"/>
        <w:jc w:val="both"/>
        <w:rPr>
          <w:rFonts w:ascii="Arial" w:hAnsi="Arial" w:cs="Arial"/>
          <w:sz w:val="22"/>
          <w:szCs w:val="22"/>
        </w:rPr>
      </w:pPr>
    </w:p>
    <w:p w14:paraId="14797DCB" w14:textId="77777777" w:rsidR="000F5E56" w:rsidRPr="00603F4A" w:rsidRDefault="00054C98" w:rsidP="00054C98">
      <w:pPr>
        <w:spacing w:line="360" w:lineRule="auto"/>
        <w:ind w:left="3402" w:firstLine="567"/>
        <w:jc w:val="both"/>
      </w:pPr>
      <w:r w:rsidRPr="00603F4A">
        <w:rPr>
          <w:rFonts w:ascii="Arial" w:hAnsi="Arial" w:cs="Arial"/>
          <w:sz w:val="22"/>
          <w:szCs w:val="22"/>
        </w:rPr>
        <w:t xml:space="preserve"> </w:t>
      </w:r>
      <w:r w:rsidR="004006B6" w:rsidRPr="00603F4A">
        <w:rPr>
          <w:rFonts w:ascii="Arial" w:hAnsi="Arial" w:cs="Arial"/>
          <w:sz w:val="22"/>
          <w:szCs w:val="22"/>
        </w:rPr>
        <w:t>[End of Annex and of document]</w:t>
      </w:r>
    </w:p>
    <w:sectPr w:rsidR="000F5E56" w:rsidRPr="00603F4A" w:rsidSect="007F15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3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5FF2" w14:textId="77777777" w:rsidR="00407E33" w:rsidRDefault="00407E33" w:rsidP="003C710A">
      <w:r>
        <w:separator/>
      </w:r>
    </w:p>
  </w:endnote>
  <w:endnote w:type="continuationSeparator" w:id="0">
    <w:p w14:paraId="75120D90" w14:textId="77777777" w:rsidR="00407E33" w:rsidRDefault="00407E33" w:rsidP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C3E5" w14:textId="77777777" w:rsidR="003C710A" w:rsidRDefault="003C710A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B20D" w14:textId="77777777" w:rsidR="00B24465" w:rsidRDefault="00B2446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5C80B" w14:textId="77777777" w:rsidR="00EB19A5" w:rsidRDefault="00EB19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9E3B" w14:textId="77777777" w:rsidR="003C710A" w:rsidRDefault="003C710A" w:rsidP="003C710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998C" w14:textId="77777777" w:rsidR="00B24465" w:rsidRDefault="00B2446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BDC0" w14:textId="77777777" w:rsidR="00B24465" w:rsidRDefault="00B24465" w:rsidP="008C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AA4F4" w14:textId="77777777" w:rsidR="00407E33" w:rsidRDefault="00407E33" w:rsidP="003C710A">
      <w:r>
        <w:separator/>
      </w:r>
    </w:p>
  </w:footnote>
  <w:footnote w:type="continuationSeparator" w:id="0">
    <w:p w14:paraId="0560A24B" w14:textId="77777777" w:rsidR="00407E33" w:rsidRDefault="00407E33" w:rsidP="003C710A">
      <w:r>
        <w:continuationSeparator/>
      </w:r>
    </w:p>
  </w:footnote>
  <w:footnote w:id="1">
    <w:p w14:paraId="6F110DD9" w14:textId="2889E78E" w:rsidR="009476FA" w:rsidRPr="00603F4A" w:rsidRDefault="009476FA" w:rsidP="00603F4A">
      <w:pPr>
        <w:pStyle w:val="FootnoteText"/>
        <w:rPr>
          <w:rFonts w:asciiTheme="minorBidi" w:hAnsiTheme="minorBidi"/>
        </w:rPr>
      </w:pPr>
      <w:r w:rsidRPr="00603F4A">
        <w:rPr>
          <w:rStyle w:val="FootnoteReference"/>
          <w:rFonts w:asciiTheme="minorBidi" w:hAnsiTheme="minorBidi"/>
        </w:rPr>
        <w:footnoteRef/>
      </w:r>
      <w:r w:rsidRPr="00603F4A">
        <w:rPr>
          <w:rFonts w:asciiTheme="minorBidi" w:hAnsiTheme="minorBidi"/>
        </w:rPr>
        <w:t xml:space="preserve"> The full Intellectual Property Toolbox</w:t>
      </w:r>
      <w:r w:rsidR="00603F4A">
        <w:rPr>
          <w:rFonts w:asciiTheme="minorBidi" w:hAnsiTheme="minorBidi"/>
        </w:rPr>
        <w:t xml:space="preserve"> </w:t>
      </w:r>
      <w:r w:rsidR="00603F4A" w:rsidRPr="00603F4A">
        <w:rPr>
          <w:rFonts w:asciiTheme="minorBidi" w:hAnsiTheme="minorBidi"/>
        </w:rPr>
        <w:t>for Mobile Applications Developers</w:t>
      </w:r>
      <w:r w:rsidRPr="00603F4A">
        <w:rPr>
          <w:rFonts w:asciiTheme="minorBidi" w:hAnsiTheme="minorBidi"/>
        </w:rPr>
        <w:t xml:space="preserve"> is available at:  www.wipo.int/export/sites/www/ip-development/en/agenda/pdf/wipo_ip_toolbox_mobile_apps.pdf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2A06" w14:textId="77777777" w:rsidR="003C710A" w:rsidRPr="00262966" w:rsidRDefault="003C710A" w:rsidP="003C710A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14:paraId="2A7C1DAB" w14:textId="77777777" w:rsidR="003C710A" w:rsidRDefault="003C710A" w:rsidP="003C710A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6913B2">
      <w:rPr>
        <w:noProof/>
      </w:rPr>
      <w:t>4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7574" w14:textId="77777777" w:rsidR="00B24465" w:rsidRPr="00262966" w:rsidRDefault="00B24465" w:rsidP="008C3E9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14:paraId="334BC8AB" w14:textId="77777777" w:rsidR="00B24465" w:rsidRDefault="00B24465" w:rsidP="008C3E9C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6913B2">
      <w:rPr>
        <w:noProof/>
      </w:rPr>
      <w:t>4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E7A2" w14:textId="77777777" w:rsidR="00EB19A5" w:rsidRDefault="00EB19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D50E" w14:textId="6C60354E" w:rsidR="003C710A" w:rsidRPr="003C710A" w:rsidRDefault="003C710A" w:rsidP="003C710A">
    <w:pPr>
      <w:pStyle w:val="Header"/>
      <w:jc w:val="right"/>
      <w:rPr>
        <w:rFonts w:ascii="Arial" w:hAnsi="Arial" w:cs="Arial"/>
      </w:rPr>
    </w:pPr>
    <w:r w:rsidRPr="003C710A">
      <w:rPr>
        <w:rFonts w:ascii="Arial" w:hAnsi="Arial" w:cs="Arial"/>
      </w:rPr>
      <w:t>C</w:t>
    </w:r>
    <w:r w:rsidR="00987DA0">
      <w:rPr>
        <w:rFonts w:ascii="Arial" w:hAnsi="Arial" w:cs="Arial"/>
      </w:rPr>
      <w:t>DIP/28</w:t>
    </w:r>
    <w:r w:rsidR="008D11CA">
      <w:rPr>
        <w:rFonts w:ascii="Arial" w:hAnsi="Arial" w:cs="Arial"/>
      </w:rPr>
      <w:t>/INF/5</w:t>
    </w:r>
  </w:p>
  <w:p w14:paraId="63265A5E" w14:textId="77777777" w:rsidR="003C710A" w:rsidRDefault="003F6146" w:rsidP="003C710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Annex, page 3</w:t>
    </w:r>
  </w:p>
  <w:p w14:paraId="5165B1B9" w14:textId="77777777" w:rsidR="003F6146" w:rsidRPr="003C710A" w:rsidRDefault="003F6146" w:rsidP="003C710A">
    <w:pPr>
      <w:pStyle w:val="Header"/>
      <w:jc w:val="right"/>
      <w:rPr>
        <w:rFonts w:ascii="Arial" w:hAnsi="Arial" w:cs="Arial"/>
      </w:rPr>
    </w:pPr>
  </w:p>
  <w:p w14:paraId="455FDD6C" w14:textId="77777777" w:rsidR="003C710A" w:rsidRDefault="003C710A" w:rsidP="003C710A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D81F" w14:textId="1AF21F6C" w:rsidR="003C710A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C</w:t>
    </w:r>
    <w:r w:rsidR="00987DA0">
      <w:rPr>
        <w:rFonts w:ascii="Arial" w:hAnsi="Arial" w:cs="Arial"/>
        <w:sz w:val="22"/>
        <w:szCs w:val="22"/>
      </w:rPr>
      <w:t>DIP/28</w:t>
    </w:r>
    <w:r w:rsidR="003B37EB">
      <w:rPr>
        <w:rFonts w:ascii="Arial" w:hAnsi="Arial" w:cs="Arial"/>
        <w:sz w:val="22"/>
        <w:szCs w:val="22"/>
      </w:rPr>
      <w:t>/INF/5</w:t>
    </w:r>
  </w:p>
  <w:p w14:paraId="5E8B04BC" w14:textId="77777777" w:rsidR="003C710A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Annex, page 2</w:t>
    </w:r>
  </w:p>
  <w:p w14:paraId="16419A95" w14:textId="77777777" w:rsidR="008B203D" w:rsidRPr="003C710A" w:rsidRDefault="008B203D" w:rsidP="003C710A">
    <w:pPr>
      <w:pStyle w:val="Header"/>
      <w:jc w:val="right"/>
      <w:rPr>
        <w:rFonts w:ascii="Arial" w:hAnsi="Arial" w:cs="Arial"/>
      </w:rPr>
    </w:pPr>
  </w:p>
  <w:p w14:paraId="6DD40A63" w14:textId="77777777" w:rsidR="00B24465" w:rsidRDefault="00B24465" w:rsidP="003C710A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39AA" w14:textId="258CC655" w:rsidR="00B24465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1531AC">
      <w:rPr>
        <w:rFonts w:ascii="Arial" w:hAnsi="Arial" w:cs="Arial"/>
        <w:sz w:val="22"/>
        <w:szCs w:val="22"/>
      </w:rPr>
      <w:t>C</w:t>
    </w:r>
    <w:r w:rsidR="001531AC" w:rsidRPr="001531AC">
      <w:rPr>
        <w:rFonts w:ascii="Arial" w:hAnsi="Arial" w:cs="Arial"/>
        <w:sz w:val="22"/>
        <w:szCs w:val="22"/>
      </w:rPr>
      <w:t>DIP/28</w:t>
    </w:r>
    <w:r w:rsidR="003B37EB" w:rsidRPr="001531AC">
      <w:rPr>
        <w:rFonts w:ascii="Arial" w:hAnsi="Arial" w:cs="Arial"/>
        <w:sz w:val="22"/>
        <w:szCs w:val="22"/>
      </w:rPr>
      <w:t>/INF/5</w:t>
    </w:r>
  </w:p>
  <w:p w14:paraId="088BFBDD" w14:textId="77777777" w:rsidR="003C710A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ANNEX</w:t>
    </w:r>
  </w:p>
  <w:p w14:paraId="7D49FD3C" w14:textId="77777777" w:rsidR="008B203D" w:rsidRDefault="008B203D" w:rsidP="003C710A">
    <w:pPr>
      <w:pStyle w:val="Header"/>
      <w:jc w:val="right"/>
      <w:rPr>
        <w:rFonts w:ascii="Arial" w:hAnsi="Arial" w:cs="Arial"/>
      </w:rPr>
    </w:pPr>
  </w:p>
  <w:p w14:paraId="1A84F098" w14:textId="77777777" w:rsidR="008B203D" w:rsidRPr="003C710A" w:rsidRDefault="008B203D" w:rsidP="003C710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6E0E93"/>
    <w:multiLevelType w:val="hybridMultilevel"/>
    <w:tmpl w:val="9EBE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7A78F0"/>
    <w:multiLevelType w:val="hybridMultilevel"/>
    <w:tmpl w:val="398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E4E61"/>
    <w:multiLevelType w:val="hybridMultilevel"/>
    <w:tmpl w:val="47F8755C"/>
    <w:lvl w:ilvl="0" w:tplc="BAC806D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C"/>
    <w:rsid w:val="000057C2"/>
    <w:rsid w:val="00026663"/>
    <w:rsid w:val="00054C98"/>
    <w:rsid w:val="00067297"/>
    <w:rsid w:val="000726E8"/>
    <w:rsid w:val="00090EA9"/>
    <w:rsid w:val="00096642"/>
    <w:rsid w:val="000B48EB"/>
    <w:rsid w:val="000B6421"/>
    <w:rsid w:val="000C425C"/>
    <w:rsid w:val="000D41E1"/>
    <w:rsid w:val="000E07E6"/>
    <w:rsid w:val="000F5E56"/>
    <w:rsid w:val="001249E3"/>
    <w:rsid w:val="00125323"/>
    <w:rsid w:val="001531AC"/>
    <w:rsid w:val="00182BDC"/>
    <w:rsid w:val="001A3CBD"/>
    <w:rsid w:val="001A4BFC"/>
    <w:rsid w:val="001D0520"/>
    <w:rsid w:val="001F45C9"/>
    <w:rsid w:val="001F6E6E"/>
    <w:rsid w:val="002175D8"/>
    <w:rsid w:val="002677B9"/>
    <w:rsid w:val="002846F6"/>
    <w:rsid w:val="00293942"/>
    <w:rsid w:val="002A02D6"/>
    <w:rsid w:val="002A641A"/>
    <w:rsid w:val="002B052E"/>
    <w:rsid w:val="002C25A2"/>
    <w:rsid w:val="002F5E2F"/>
    <w:rsid w:val="003216A8"/>
    <w:rsid w:val="00334F86"/>
    <w:rsid w:val="003414BA"/>
    <w:rsid w:val="00356914"/>
    <w:rsid w:val="003611F9"/>
    <w:rsid w:val="00363457"/>
    <w:rsid w:val="003949BC"/>
    <w:rsid w:val="00395DEC"/>
    <w:rsid w:val="003A050E"/>
    <w:rsid w:val="003B37EB"/>
    <w:rsid w:val="003C710A"/>
    <w:rsid w:val="003D217E"/>
    <w:rsid w:val="003E6531"/>
    <w:rsid w:val="003F6146"/>
    <w:rsid w:val="004006B6"/>
    <w:rsid w:val="00406A1F"/>
    <w:rsid w:val="00407E33"/>
    <w:rsid w:val="004270B1"/>
    <w:rsid w:val="00427CF8"/>
    <w:rsid w:val="00431118"/>
    <w:rsid w:val="00445085"/>
    <w:rsid w:val="00454B14"/>
    <w:rsid w:val="0046389A"/>
    <w:rsid w:val="00477AF2"/>
    <w:rsid w:val="004870EE"/>
    <w:rsid w:val="00490560"/>
    <w:rsid w:val="004A63C3"/>
    <w:rsid w:val="004C27D6"/>
    <w:rsid w:val="004C3786"/>
    <w:rsid w:val="004F5ECC"/>
    <w:rsid w:val="005015DD"/>
    <w:rsid w:val="005061E0"/>
    <w:rsid w:val="00576941"/>
    <w:rsid w:val="00581453"/>
    <w:rsid w:val="00587E03"/>
    <w:rsid w:val="005B2F95"/>
    <w:rsid w:val="005D0EAB"/>
    <w:rsid w:val="005D2ECA"/>
    <w:rsid w:val="005E6473"/>
    <w:rsid w:val="00603F4A"/>
    <w:rsid w:val="00604B26"/>
    <w:rsid w:val="006634B6"/>
    <w:rsid w:val="006913B2"/>
    <w:rsid w:val="00696927"/>
    <w:rsid w:val="006F0126"/>
    <w:rsid w:val="00740459"/>
    <w:rsid w:val="00751BC3"/>
    <w:rsid w:val="00780FE2"/>
    <w:rsid w:val="007A22E3"/>
    <w:rsid w:val="007B240C"/>
    <w:rsid w:val="007B72FC"/>
    <w:rsid w:val="007D11FE"/>
    <w:rsid w:val="007D1A4C"/>
    <w:rsid w:val="007D53C7"/>
    <w:rsid w:val="007D723C"/>
    <w:rsid w:val="007F1540"/>
    <w:rsid w:val="00804DB7"/>
    <w:rsid w:val="008349A5"/>
    <w:rsid w:val="008477E4"/>
    <w:rsid w:val="00895E34"/>
    <w:rsid w:val="008A02CE"/>
    <w:rsid w:val="008A3A97"/>
    <w:rsid w:val="008B203D"/>
    <w:rsid w:val="008C3E9C"/>
    <w:rsid w:val="008D11CA"/>
    <w:rsid w:val="008F36E9"/>
    <w:rsid w:val="009149F1"/>
    <w:rsid w:val="009271B4"/>
    <w:rsid w:val="0093773E"/>
    <w:rsid w:val="00940663"/>
    <w:rsid w:val="009434F6"/>
    <w:rsid w:val="009476FA"/>
    <w:rsid w:val="0095368D"/>
    <w:rsid w:val="00975365"/>
    <w:rsid w:val="00987DA0"/>
    <w:rsid w:val="009C044B"/>
    <w:rsid w:val="00A45635"/>
    <w:rsid w:val="00A50DA1"/>
    <w:rsid w:val="00A64AAC"/>
    <w:rsid w:val="00A73CED"/>
    <w:rsid w:val="00A97D68"/>
    <w:rsid w:val="00AA11A2"/>
    <w:rsid w:val="00AE38BE"/>
    <w:rsid w:val="00B018BC"/>
    <w:rsid w:val="00B20ED1"/>
    <w:rsid w:val="00B24465"/>
    <w:rsid w:val="00B354A7"/>
    <w:rsid w:val="00B36312"/>
    <w:rsid w:val="00B559FB"/>
    <w:rsid w:val="00BD2DDE"/>
    <w:rsid w:val="00BE13C4"/>
    <w:rsid w:val="00BE1804"/>
    <w:rsid w:val="00C104BF"/>
    <w:rsid w:val="00C134E9"/>
    <w:rsid w:val="00C25D2D"/>
    <w:rsid w:val="00C36086"/>
    <w:rsid w:val="00C554EC"/>
    <w:rsid w:val="00C56D95"/>
    <w:rsid w:val="00C80664"/>
    <w:rsid w:val="00C86DDA"/>
    <w:rsid w:val="00C96DBD"/>
    <w:rsid w:val="00CC665E"/>
    <w:rsid w:val="00CC7307"/>
    <w:rsid w:val="00CE6709"/>
    <w:rsid w:val="00D36F6F"/>
    <w:rsid w:val="00D37603"/>
    <w:rsid w:val="00D41787"/>
    <w:rsid w:val="00D67DE6"/>
    <w:rsid w:val="00D917F7"/>
    <w:rsid w:val="00D92DF7"/>
    <w:rsid w:val="00DF39BC"/>
    <w:rsid w:val="00E03B8F"/>
    <w:rsid w:val="00E24DBF"/>
    <w:rsid w:val="00E335AF"/>
    <w:rsid w:val="00E85320"/>
    <w:rsid w:val="00EB19A5"/>
    <w:rsid w:val="00F06463"/>
    <w:rsid w:val="00F72DAD"/>
    <w:rsid w:val="00F93454"/>
    <w:rsid w:val="00FA169F"/>
    <w:rsid w:val="00FA1E5B"/>
    <w:rsid w:val="00FB363D"/>
    <w:rsid w:val="00FB722D"/>
    <w:rsid w:val="00FC05D4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DC8E68"/>
  <w15:chartTrackingRefBased/>
  <w15:docId w15:val="{608C4431-5130-492E-8E0F-6FFE9AA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9C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C3E9C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3E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3E9C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C3E9C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4006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4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663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536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B2F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F9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F95"/>
    <w:rPr>
      <w:rFonts w:asciiTheme="minorHAnsi" w:eastAsiaTheme="minorHAnsi" w:hAnsiTheme="minorHAnsi" w:cstheme="minorBidi"/>
      <w:sz w:val="18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B2F95"/>
    <w:rPr>
      <w:rFonts w:asciiTheme="minorHAnsi" w:eastAsiaTheme="minorHAnsi" w:hAnsiTheme="minorHAnsi" w:cstheme="minorBidi"/>
      <w:b/>
      <w:bCs/>
      <w:sz w:val="18"/>
      <w:szCs w:val="24"/>
    </w:rPr>
  </w:style>
  <w:style w:type="character" w:styleId="Emphasis">
    <w:name w:val="Emphasis"/>
    <w:basedOn w:val="DefaultParagraphFont"/>
    <w:uiPriority w:val="20"/>
    <w:qFormat/>
    <w:rsid w:val="005B2F95"/>
    <w:rPr>
      <w:i/>
      <w:iCs/>
    </w:rPr>
  </w:style>
  <w:style w:type="character" w:styleId="FootnoteReference">
    <w:name w:val="footnote reference"/>
    <w:basedOn w:val="DefaultParagraphFont"/>
    <w:semiHidden/>
    <w:unhideWhenUsed/>
    <w:rsid w:val="0094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BDD5-F46D-442A-9C20-8EC5AF0B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6195</Characters>
  <Application>Microsoft Office Word</Application>
  <DocSecurity>0</DocSecurity>
  <Lines>132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HUBBARD HERRAN Walter</dc:creator>
  <cp:keywords>FOR OFFICIAL USE ONLY</cp:keywords>
  <dc:description/>
  <cp:lastModifiedBy>CERBARI Mihaela</cp:lastModifiedBy>
  <cp:revision>5</cp:revision>
  <cp:lastPrinted>2019-10-25T08:52:00Z</cp:lastPrinted>
  <dcterms:created xsi:type="dcterms:W3CDTF">2022-04-19T16:47:00Z</dcterms:created>
  <dcterms:modified xsi:type="dcterms:W3CDTF">2022-04-19T17:24:00Z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4b7ef1ac-be02-4458-a525-0a937124dc94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