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25E5" w14:textId="77777777" w:rsidR="00541FEA" w:rsidRPr="00F043DE" w:rsidRDefault="00541FEA" w:rsidP="00DF0D86">
      <w:pPr>
        <w:pBdr>
          <w:bottom w:val="single" w:sz="4" w:space="11" w:color="auto"/>
        </w:pBdr>
        <w:spacing w:before="360" w:after="240"/>
        <w:jc w:val="right"/>
        <w:rPr>
          <w:b/>
          <w:sz w:val="32"/>
          <w:szCs w:val="40"/>
        </w:rPr>
      </w:pPr>
      <w:r>
        <w:rPr>
          <w:noProof/>
          <w:sz w:val="28"/>
          <w:szCs w:val="28"/>
        </w:rPr>
        <w:drawing>
          <wp:inline distT="0" distB="0" distL="0" distR="0" wp14:anchorId="3770195F" wp14:editId="628A1013">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7BA6569" w14:textId="36C44F5B" w:rsidR="00541FEA" w:rsidRPr="002326AB" w:rsidRDefault="00541FEA" w:rsidP="00DF0D86">
      <w:pPr>
        <w:jc w:val="right"/>
        <w:rPr>
          <w:rFonts w:ascii="Arial Black" w:hAnsi="Arial Black"/>
          <w:caps/>
          <w:sz w:val="15"/>
          <w:szCs w:val="15"/>
        </w:rPr>
      </w:pPr>
      <w:r>
        <w:rPr>
          <w:rFonts w:ascii="Arial Black" w:hAnsi="Arial Black"/>
          <w:caps/>
          <w:sz w:val="15"/>
        </w:rPr>
        <w:t>CDIP/31/</w:t>
      </w:r>
      <w:bookmarkStart w:id="0" w:name="Code"/>
      <w:bookmarkEnd w:id="0"/>
      <w:r w:rsidR="0069120D" w:rsidRPr="0069120D">
        <w:rPr>
          <w:rFonts w:ascii="Arial Black" w:hAnsi="Arial Black"/>
          <w:caps/>
          <w:sz w:val="15"/>
        </w:rPr>
        <w:t>6</w:t>
      </w:r>
    </w:p>
    <w:p w14:paraId="04D12EDD" w14:textId="5C5DC329" w:rsidR="00541FEA" w:rsidRPr="000A3D97" w:rsidRDefault="00541FEA" w:rsidP="00DF0D86">
      <w:pPr>
        <w:jc w:val="right"/>
        <w:rPr>
          <w:rFonts w:ascii="Arial Black" w:hAnsi="Arial Black"/>
          <w:caps/>
          <w:sz w:val="15"/>
          <w:szCs w:val="15"/>
        </w:rPr>
      </w:pPr>
      <w:r w:rsidRPr="000A3D97">
        <w:rPr>
          <w:rFonts w:ascii="Arial Black" w:hAnsi="Arial Black"/>
          <w:caps/>
          <w:sz w:val="15"/>
          <w:szCs w:val="15"/>
        </w:rPr>
        <w:t>ORIGINAL:</w:t>
      </w:r>
      <w:bookmarkStart w:id="1" w:name="Original"/>
      <w:r w:rsidRPr="000A3D97">
        <w:rPr>
          <w:rFonts w:ascii="Arial Black" w:hAnsi="Arial Black"/>
          <w:caps/>
          <w:sz w:val="15"/>
          <w:szCs w:val="15"/>
        </w:rPr>
        <w:t xml:space="preserve"> </w:t>
      </w:r>
      <w:r w:rsidR="00326FFD">
        <w:rPr>
          <w:rFonts w:ascii="Arial Black" w:hAnsi="Arial Black"/>
          <w:caps/>
          <w:sz w:val="15"/>
          <w:szCs w:val="15"/>
        </w:rPr>
        <w:t>English</w:t>
      </w:r>
    </w:p>
    <w:bookmarkEnd w:id="1"/>
    <w:p w14:paraId="67FF83DD" w14:textId="3901B69C" w:rsidR="00541FEA" w:rsidRPr="000A3D97" w:rsidRDefault="00541FEA" w:rsidP="00DF0D86">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326FFD">
        <w:rPr>
          <w:rFonts w:ascii="Arial Black" w:hAnsi="Arial Black"/>
          <w:caps/>
          <w:sz w:val="15"/>
          <w:szCs w:val="15"/>
        </w:rPr>
        <w:t xml:space="preserve"> </w:t>
      </w:r>
      <w:r w:rsidR="000D5DB4">
        <w:rPr>
          <w:rFonts w:ascii="Arial Black" w:hAnsi="Arial Black"/>
          <w:caps/>
          <w:sz w:val="15"/>
          <w:szCs w:val="15"/>
        </w:rPr>
        <w:t>SEPTEMBER 15, 2023</w:t>
      </w:r>
    </w:p>
    <w:bookmarkEnd w:id="2"/>
    <w:p w14:paraId="50729C3C" w14:textId="77777777" w:rsidR="00541FEA" w:rsidRPr="00720EFD" w:rsidRDefault="00541FEA" w:rsidP="00DF0D86">
      <w:pPr>
        <w:pStyle w:val="Heading1"/>
        <w:spacing w:before="0" w:after="600"/>
        <w:rPr>
          <w:sz w:val="28"/>
          <w:szCs w:val="28"/>
        </w:rPr>
      </w:pPr>
      <w:r w:rsidRPr="00446147">
        <w:rPr>
          <w:bCs w:val="0"/>
          <w:caps w:val="0"/>
          <w:kern w:val="0"/>
          <w:sz w:val="28"/>
          <w:szCs w:val="28"/>
        </w:rPr>
        <w:t>Committee on Development and Intellectual Property (CDIP)</w:t>
      </w:r>
    </w:p>
    <w:p w14:paraId="57E099AA" w14:textId="1256713F" w:rsidR="00541FEA" w:rsidRDefault="00575AC6" w:rsidP="00DF0D86">
      <w:pPr>
        <w:spacing w:after="720"/>
        <w:outlineLvl w:val="1"/>
        <w:rPr>
          <w:b/>
          <w:bCs/>
          <w:sz w:val="24"/>
          <w:szCs w:val="24"/>
        </w:rPr>
      </w:pPr>
      <w:r>
        <w:rPr>
          <w:b/>
          <w:sz w:val="24"/>
          <w:szCs w:val="24"/>
        </w:rPr>
        <w:t>Thirty-F</w:t>
      </w:r>
      <w:r w:rsidR="00541FEA">
        <w:rPr>
          <w:b/>
          <w:sz w:val="24"/>
          <w:szCs w:val="24"/>
        </w:rPr>
        <w:t>irst Session</w:t>
      </w:r>
      <w:r w:rsidR="00541FEA">
        <w:rPr>
          <w:b/>
          <w:sz w:val="24"/>
          <w:szCs w:val="24"/>
        </w:rPr>
        <w:br/>
        <w:t xml:space="preserve">Geneva, </w:t>
      </w:r>
      <w:r w:rsidR="00541FEA">
        <w:rPr>
          <w:b/>
          <w:bCs/>
          <w:sz w:val="24"/>
          <w:szCs w:val="24"/>
        </w:rPr>
        <w:t>November 27 to December 1, 2023</w:t>
      </w:r>
    </w:p>
    <w:p w14:paraId="5E73EFDD" w14:textId="324D4183" w:rsidR="00541FEA" w:rsidRPr="008823F9" w:rsidRDefault="00326FFD" w:rsidP="00DF0D86">
      <w:pPr>
        <w:pStyle w:val="Heading2"/>
        <w:spacing w:after="360"/>
        <w:rPr>
          <w:sz w:val="24"/>
          <w:szCs w:val="24"/>
        </w:rPr>
      </w:pPr>
      <w:r>
        <w:rPr>
          <w:caps w:val="0"/>
          <w:sz w:val="24"/>
          <w:szCs w:val="24"/>
        </w:rPr>
        <w:t>COMPLETION REPORT OF THE PROJECT ON COPYRIGHT AND THE DISTRIBUTION OF CONTENT IN THE DIGITAL ENVIRONMENT</w:t>
      </w:r>
    </w:p>
    <w:p w14:paraId="20C5DAB6" w14:textId="730DEB96" w:rsidR="00541FEA" w:rsidRDefault="00541FEA" w:rsidP="00DF0D86">
      <w:pPr>
        <w:pStyle w:val="Heading3"/>
        <w:spacing w:after="960"/>
        <w:rPr>
          <w:i/>
          <w:u w:val="none"/>
        </w:rPr>
      </w:pPr>
      <w:bookmarkStart w:id="3" w:name="TitleOfDoc"/>
      <w:bookmarkEnd w:id="3"/>
      <w:r w:rsidRPr="008823F9">
        <w:rPr>
          <w:i/>
          <w:u w:val="none"/>
        </w:rPr>
        <w:t>prepared by</w:t>
      </w:r>
      <w:r w:rsidR="00326FFD">
        <w:rPr>
          <w:i/>
          <w:u w:val="none"/>
        </w:rPr>
        <w:t xml:space="preserve"> the Secretariat</w:t>
      </w:r>
    </w:p>
    <w:p w14:paraId="4E1FB28F" w14:textId="40A597FF" w:rsidR="00326FFD" w:rsidRDefault="00326FFD" w:rsidP="00326FFD">
      <w:pPr>
        <w:pStyle w:val="ONUMFS"/>
        <w:numPr>
          <w:ilvl w:val="0"/>
          <w:numId w:val="10"/>
        </w:numPr>
        <w:tabs>
          <w:tab w:val="left" w:pos="540"/>
        </w:tabs>
        <w:spacing w:after="0"/>
        <w:ind w:left="0" w:firstLine="0"/>
      </w:pPr>
      <w:r w:rsidRPr="00364508">
        <w:t>The Annex</w:t>
      </w:r>
      <w:r w:rsidR="00E12E01">
        <w:t>es</w:t>
      </w:r>
      <w:r w:rsidRPr="00364508">
        <w:t xml:space="preserve"> </w:t>
      </w:r>
      <w:r w:rsidR="00E12E01">
        <w:t>to the present document contain</w:t>
      </w:r>
      <w:r w:rsidRPr="00364508">
        <w:t xml:space="preserve"> the </w:t>
      </w:r>
      <w:r>
        <w:t>C</w:t>
      </w:r>
      <w:r w:rsidRPr="00364508">
        <w:t xml:space="preserve">ompletion </w:t>
      </w:r>
      <w:r>
        <w:t>R</w:t>
      </w:r>
      <w:r w:rsidRPr="00364508">
        <w:t xml:space="preserve">eport of the Development Agenda (DA) </w:t>
      </w:r>
      <w:r>
        <w:t>P</w:t>
      </w:r>
      <w:r w:rsidRPr="00364508">
        <w:t>roject on</w:t>
      </w:r>
      <w:r>
        <w:t xml:space="preserve"> </w:t>
      </w:r>
      <w:r w:rsidRPr="00326FFD">
        <w:t>Copyright and the Distribution of Content in the Digital Environment</w:t>
      </w:r>
      <w:r w:rsidRPr="006B54C1">
        <w:t xml:space="preserve">.  The report covers the entire period of the project implementation, from </w:t>
      </w:r>
      <w:r>
        <w:t>January</w:t>
      </w:r>
      <w:r w:rsidRPr="006B54C1">
        <w:t xml:space="preserve"> 201</w:t>
      </w:r>
      <w:r>
        <w:t>9 to July 2023</w:t>
      </w:r>
      <w:r w:rsidRPr="006B54C1">
        <w:t>.</w:t>
      </w:r>
      <w:r w:rsidRPr="00364508">
        <w:t xml:space="preserve"> </w:t>
      </w:r>
    </w:p>
    <w:p w14:paraId="1DE8C8E7" w14:textId="77777777" w:rsidR="00A820D6" w:rsidRDefault="00A820D6" w:rsidP="00A820D6">
      <w:pPr>
        <w:pStyle w:val="ONUMFS"/>
        <w:numPr>
          <w:ilvl w:val="0"/>
          <w:numId w:val="0"/>
        </w:numPr>
        <w:tabs>
          <w:tab w:val="left" w:pos="540"/>
        </w:tabs>
        <w:spacing w:after="0"/>
      </w:pPr>
    </w:p>
    <w:p w14:paraId="5E7F40B3" w14:textId="4C9085ED" w:rsidR="00326FFD" w:rsidRPr="007B0056" w:rsidRDefault="00326FFD" w:rsidP="00A820D6">
      <w:pPr>
        <w:pStyle w:val="ONUMFS"/>
        <w:numPr>
          <w:ilvl w:val="0"/>
          <w:numId w:val="10"/>
        </w:numPr>
        <w:tabs>
          <w:tab w:val="left" w:pos="540"/>
        </w:tabs>
        <w:spacing w:after="720"/>
        <w:ind w:left="5530" w:firstLine="0"/>
        <w:rPr>
          <w:i/>
        </w:rPr>
      </w:pPr>
      <w:r w:rsidRPr="007B0056">
        <w:rPr>
          <w:i/>
        </w:rPr>
        <w:t>The C</w:t>
      </w:r>
      <w:r w:rsidR="00A820D6" w:rsidRPr="007B0056">
        <w:rPr>
          <w:i/>
        </w:rPr>
        <w:t>ommittee</w:t>
      </w:r>
      <w:r w:rsidRPr="007B0056">
        <w:rPr>
          <w:i/>
        </w:rPr>
        <w:t xml:space="preserve"> is invited to take note of the information contained in the Annex</w:t>
      </w:r>
      <w:r w:rsidR="00E87A44">
        <w:rPr>
          <w:i/>
        </w:rPr>
        <w:t>es</w:t>
      </w:r>
      <w:r w:rsidRPr="007B0056">
        <w:rPr>
          <w:i/>
        </w:rPr>
        <w:t xml:space="preserve"> to this document.</w:t>
      </w:r>
    </w:p>
    <w:p w14:paraId="3903DDBE" w14:textId="5FBDA049" w:rsidR="00326FFD" w:rsidRDefault="00326FFD" w:rsidP="00326FFD">
      <w:pPr>
        <w:pStyle w:val="ONUMFS"/>
        <w:numPr>
          <w:ilvl w:val="0"/>
          <w:numId w:val="0"/>
        </w:numPr>
        <w:tabs>
          <w:tab w:val="left" w:pos="540"/>
        </w:tabs>
        <w:ind w:left="5533"/>
      </w:pPr>
      <w:r w:rsidRPr="00364508">
        <w:rPr>
          <w:rFonts w:eastAsia="Arial"/>
          <w:szCs w:val="22"/>
        </w:rPr>
        <w:t>[</w:t>
      </w:r>
      <w:r w:rsidRPr="00364508">
        <w:rPr>
          <w:szCs w:val="22"/>
        </w:rPr>
        <w:t>Annex</w:t>
      </w:r>
      <w:r w:rsidR="00E87A44">
        <w:rPr>
          <w:szCs w:val="22"/>
        </w:rPr>
        <w:t>es</w:t>
      </w:r>
      <w:r w:rsidR="00E87A44">
        <w:rPr>
          <w:rFonts w:eastAsia="Arial"/>
          <w:szCs w:val="22"/>
        </w:rPr>
        <w:t xml:space="preserve"> follow</w:t>
      </w:r>
      <w:r w:rsidRPr="00364508">
        <w:rPr>
          <w:rFonts w:eastAsia="Arial"/>
          <w:szCs w:val="22"/>
        </w:rPr>
        <w:t>]</w:t>
      </w:r>
    </w:p>
    <w:p w14:paraId="4D380093" w14:textId="77777777" w:rsidR="00541FEA" w:rsidRPr="008823F9" w:rsidRDefault="00541FEA" w:rsidP="00DF0D86"/>
    <w:p w14:paraId="787ADE2B" w14:textId="77777777" w:rsidR="00541FEA" w:rsidRPr="00F9165B" w:rsidRDefault="00541FEA" w:rsidP="00DF0D86">
      <w:pPr>
        <w:spacing w:after="220"/>
        <w:rPr>
          <w:i/>
        </w:rPr>
      </w:pPr>
      <w:bookmarkStart w:id="4" w:name="Prepared"/>
      <w:bookmarkEnd w:id="4"/>
    </w:p>
    <w:p w14:paraId="1CA9FE80" w14:textId="77777777" w:rsidR="00541FEA" w:rsidRDefault="00541FEA" w:rsidP="00DF0D86">
      <w:pPr>
        <w:spacing w:after="220"/>
      </w:pPr>
    </w:p>
    <w:p w14:paraId="1CFF60D9" w14:textId="77777777" w:rsidR="00A820D6" w:rsidRDefault="00B82D9F" w:rsidP="00C933C7">
      <w:pPr>
        <w:spacing w:before="71"/>
        <w:rPr>
          <w:b/>
        </w:rPr>
        <w:sectPr w:rsidR="00A820D6" w:rsidSect="00541FEA">
          <w:headerReference w:type="even" r:id="rId9"/>
          <w:headerReference w:type="default" r:id="rId10"/>
          <w:footerReference w:type="even" r:id="rId11"/>
          <w:footerReference w:type="default" r:id="rId12"/>
          <w:headerReference w:type="first" r:id="rId13"/>
          <w:footerReference w:type="first" r:id="rId14"/>
          <w:pgSz w:w="11907" w:h="16840" w:code="9"/>
          <w:pgMar w:top="540" w:right="1417" w:bottom="1417" w:left="1417" w:header="504" w:footer="1022" w:gutter="0"/>
          <w:cols w:space="720"/>
          <w:titlePg/>
          <w:docGrid w:linePitch="299"/>
        </w:sectPr>
      </w:pPr>
      <w:r>
        <w:rPr>
          <w:b/>
        </w:rPr>
        <w:br w:type="page"/>
      </w:r>
    </w:p>
    <w:p w14:paraId="4827E9DD" w14:textId="44EE1CD9" w:rsidR="00F44760" w:rsidRDefault="00F44760" w:rsidP="00F3367C">
      <w:pPr>
        <w:spacing w:before="71"/>
        <w:ind w:left="136"/>
        <w:rPr>
          <w:b/>
        </w:rPr>
      </w:pPr>
      <w:r w:rsidRPr="000E4390">
        <w:rPr>
          <w:b/>
        </w:rPr>
        <w:lastRenderedPageBreak/>
        <w:t>FORM 7</w:t>
      </w:r>
      <w:r w:rsidRPr="000E4390">
        <w:rPr>
          <w:b/>
          <w:spacing w:val="-2"/>
        </w:rPr>
        <w:t xml:space="preserve"> </w:t>
      </w:r>
      <w:r w:rsidRPr="000E4390">
        <w:rPr>
          <w:b/>
        </w:rPr>
        <w:t>–</w:t>
      </w:r>
      <w:r w:rsidRPr="000E4390">
        <w:rPr>
          <w:b/>
          <w:spacing w:val="-1"/>
        </w:rPr>
        <w:t xml:space="preserve"> </w:t>
      </w:r>
      <w:r w:rsidRPr="000E4390">
        <w:rPr>
          <w:b/>
        </w:rPr>
        <w:t>COMPLETION</w:t>
      </w:r>
      <w:r w:rsidRPr="000E4390">
        <w:rPr>
          <w:b/>
          <w:spacing w:val="-3"/>
        </w:rPr>
        <w:t xml:space="preserve"> </w:t>
      </w:r>
      <w:r w:rsidRPr="000E4390">
        <w:rPr>
          <w:b/>
        </w:rPr>
        <w:t>REPORT</w:t>
      </w:r>
    </w:p>
    <w:p w14:paraId="7DD57D55" w14:textId="77777777" w:rsidR="00A820D6" w:rsidRPr="000E4390" w:rsidRDefault="00A820D6" w:rsidP="00F3367C">
      <w:pPr>
        <w:spacing w:before="71"/>
        <w:ind w:left="136"/>
        <w:rPr>
          <w:b/>
        </w:rPr>
      </w:pPr>
    </w:p>
    <w:tbl>
      <w:tblPr>
        <w:tblW w:w="9290"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7"/>
        <w:gridCol w:w="6913"/>
      </w:tblGrid>
      <w:tr w:rsidR="00F44760" w:rsidRPr="000E4390" w14:paraId="08CA73C0" w14:textId="77777777" w:rsidTr="00A820D6">
        <w:trPr>
          <w:trHeight w:val="431"/>
        </w:trPr>
        <w:tc>
          <w:tcPr>
            <w:tcW w:w="9290" w:type="dxa"/>
            <w:gridSpan w:val="2"/>
          </w:tcPr>
          <w:p w14:paraId="4209B0A5" w14:textId="77777777" w:rsidR="00F44760" w:rsidRPr="000E4390" w:rsidRDefault="00F44760" w:rsidP="00F3367C">
            <w:pPr>
              <w:pStyle w:val="TableParagraph"/>
              <w:spacing w:before="88"/>
              <w:ind w:left="110"/>
            </w:pPr>
            <w:r w:rsidRPr="000E4390">
              <w:t>PROJECT</w:t>
            </w:r>
            <w:r w:rsidRPr="000E4390">
              <w:rPr>
                <w:spacing w:val="-4"/>
              </w:rPr>
              <w:t xml:space="preserve"> </w:t>
            </w:r>
            <w:r w:rsidRPr="000E4390">
              <w:t>SUMMARY</w:t>
            </w:r>
          </w:p>
        </w:tc>
      </w:tr>
      <w:tr w:rsidR="00F44760" w:rsidRPr="000E4390" w14:paraId="7523031D" w14:textId="77777777" w:rsidTr="00A820D6">
        <w:trPr>
          <w:trHeight w:val="414"/>
        </w:trPr>
        <w:tc>
          <w:tcPr>
            <w:tcW w:w="2377" w:type="dxa"/>
            <w:shd w:val="clear" w:color="auto" w:fill="8DB3E1"/>
          </w:tcPr>
          <w:p w14:paraId="59C73D01" w14:textId="77777777" w:rsidR="00F44760" w:rsidRPr="000E4390" w:rsidRDefault="00F44760" w:rsidP="00F3367C">
            <w:pPr>
              <w:pStyle w:val="TableParagraph"/>
              <w:ind w:left="110"/>
            </w:pPr>
            <w:r w:rsidRPr="000E4390">
              <w:rPr>
                <w:u w:val="single"/>
              </w:rPr>
              <w:t>Project Code</w:t>
            </w:r>
          </w:p>
        </w:tc>
        <w:tc>
          <w:tcPr>
            <w:tcW w:w="6913" w:type="dxa"/>
          </w:tcPr>
          <w:p w14:paraId="4B7C284E" w14:textId="77777777" w:rsidR="00F44760" w:rsidRPr="000E4390" w:rsidRDefault="00C3308A" w:rsidP="00F3367C">
            <w:pPr>
              <w:pStyle w:val="TableParagraph"/>
              <w:ind w:left="109"/>
            </w:pPr>
            <w:r w:rsidRPr="000E4390">
              <w:t>DA_1_3_4_10_11_16_25_35_01</w:t>
            </w:r>
          </w:p>
        </w:tc>
      </w:tr>
      <w:tr w:rsidR="00F44760" w:rsidRPr="000E4390" w14:paraId="063EA599" w14:textId="77777777" w:rsidTr="00A820D6">
        <w:trPr>
          <w:trHeight w:val="342"/>
        </w:trPr>
        <w:tc>
          <w:tcPr>
            <w:tcW w:w="2377" w:type="dxa"/>
            <w:shd w:val="clear" w:color="auto" w:fill="8DB3E1"/>
          </w:tcPr>
          <w:p w14:paraId="5B3B5403" w14:textId="77777777" w:rsidR="00F44760" w:rsidRPr="000E4390" w:rsidRDefault="00F44760" w:rsidP="00F3367C">
            <w:pPr>
              <w:pStyle w:val="TableParagraph"/>
              <w:spacing w:before="1"/>
              <w:ind w:left="110"/>
            </w:pPr>
            <w:r w:rsidRPr="000E4390">
              <w:rPr>
                <w:u w:val="single"/>
              </w:rPr>
              <w:t>Title</w:t>
            </w:r>
          </w:p>
        </w:tc>
        <w:tc>
          <w:tcPr>
            <w:tcW w:w="6913" w:type="dxa"/>
          </w:tcPr>
          <w:p w14:paraId="0E12E743" w14:textId="77777777" w:rsidR="00F44760" w:rsidRPr="000E4390" w:rsidRDefault="00804977" w:rsidP="00F3367C">
            <w:pPr>
              <w:pStyle w:val="TableParagraph"/>
              <w:spacing w:before="1"/>
              <w:ind w:left="109"/>
            </w:pPr>
            <w:hyperlink r:id="rId15" w:history="1">
              <w:r w:rsidR="00C3308A" w:rsidRPr="000E4390">
                <w:rPr>
                  <w:rStyle w:val="Hyperlink"/>
                </w:rPr>
                <w:t>Copyright and the Distribution of Content in the Digital Environment</w:t>
              </w:r>
            </w:hyperlink>
          </w:p>
        </w:tc>
      </w:tr>
      <w:tr w:rsidR="00F44760" w:rsidRPr="000E4390" w14:paraId="4BBB56F6" w14:textId="77777777" w:rsidTr="00A820D6">
        <w:trPr>
          <w:trHeight w:val="621"/>
        </w:trPr>
        <w:tc>
          <w:tcPr>
            <w:tcW w:w="2377" w:type="dxa"/>
            <w:shd w:val="clear" w:color="auto" w:fill="8DB3E1"/>
          </w:tcPr>
          <w:p w14:paraId="2C639129" w14:textId="62ECDEA2" w:rsidR="00F44760" w:rsidRPr="000E4390" w:rsidRDefault="00804977" w:rsidP="00F3367C">
            <w:pPr>
              <w:pStyle w:val="TableParagraph"/>
              <w:ind w:left="110" w:right="121"/>
            </w:pPr>
            <w:hyperlink r:id="rId16" w:history="1">
              <w:r w:rsidR="00F44760" w:rsidRPr="00426AF6">
                <w:rPr>
                  <w:rStyle w:val="Hyperlink"/>
                </w:rPr>
                <w:t>Development Agenda</w:t>
              </w:r>
              <w:r w:rsidR="00F44760" w:rsidRPr="00426AF6">
                <w:rPr>
                  <w:rStyle w:val="Hyperlink"/>
                  <w:spacing w:val="-59"/>
                </w:rPr>
                <w:t xml:space="preserve"> </w:t>
              </w:r>
              <w:r w:rsidR="00F44760" w:rsidRPr="00426AF6">
                <w:rPr>
                  <w:rStyle w:val="Hyperlink"/>
                </w:rPr>
                <w:t>Recommendation</w:t>
              </w:r>
            </w:hyperlink>
          </w:p>
        </w:tc>
        <w:tc>
          <w:tcPr>
            <w:tcW w:w="6913" w:type="dxa"/>
          </w:tcPr>
          <w:p w14:paraId="02C49CAD" w14:textId="28EA27DD" w:rsidR="00F44760" w:rsidRPr="000E4390" w:rsidRDefault="00C3308A" w:rsidP="00F3367C">
            <w:pPr>
              <w:pStyle w:val="TableParagraph"/>
              <w:ind w:left="109" w:right="880"/>
            </w:pPr>
            <w:r w:rsidRPr="000E4390">
              <w:t>Recom</w:t>
            </w:r>
            <w:r w:rsidR="001872A7" w:rsidRPr="000E4390">
              <w:t xml:space="preserve">mendations 1; </w:t>
            </w:r>
            <w:r w:rsidR="00725E1E" w:rsidRPr="000E4390">
              <w:t xml:space="preserve"> </w:t>
            </w:r>
            <w:r w:rsidR="001872A7" w:rsidRPr="000E4390">
              <w:t xml:space="preserve">3; </w:t>
            </w:r>
            <w:r w:rsidR="00725E1E" w:rsidRPr="000E4390">
              <w:t xml:space="preserve"> </w:t>
            </w:r>
            <w:r w:rsidR="001872A7" w:rsidRPr="000E4390">
              <w:t xml:space="preserve">4; </w:t>
            </w:r>
            <w:r w:rsidR="00725E1E" w:rsidRPr="000E4390">
              <w:t xml:space="preserve"> </w:t>
            </w:r>
            <w:r w:rsidR="001872A7" w:rsidRPr="000E4390">
              <w:t xml:space="preserve">10; </w:t>
            </w:r>
            <w:r w:rsidR="00725E1E" w:rsidRPr="000E4390">
              <w:t xml:space="preserve"> </w:t>
            </w:r>
            <w:r w:rsidR="00FA3DD8">
              <w:t xml:space="preserve">11;  </w:t>
            </w:r>
            <w:r w:rsidR="001872A7" w:rsidRPr="000E4390">
              <w:t xml:space="preserve">16; </w:t>
            </w:r>
            <w:r w:rsidR="00725E1E" w:rsidRPr="000E4390">
              <w:t xml:space="preserve"> </w:t>
            </w:r>
            <w:r w:rsidR="001872A7" w:rsidRPr="000E4390">
              <w:t>25;</w:t>
            </w:r>
            <w:r w:rsidRPr="000E4390">
              <w:t xml:space="preserve"> </w:t>
            </w:r>
            <w:r w:rsidR="00725E1E" w:rsidRPr="000E4390">
              <w:t xml:space="preserve"> </w:t>
            </w:r>
            <w:r w:rsidRPr="000E4390">
              <w:t>and 35.</w:t>
            </w:r>
          </w:p>
        </w:tc>
      </w:tr>
      <w:tr w:rsidR="00F44760" w:rsidRPr="000E4390" w14:paraId="7302B096" w14:textId="77777777" w:rsidTr="00A820D6">
        <w:trPr>
          <w:trHeight w:val="531"/>
        </w:trPr>
        <w:tc>
          <w:tcPr>
            <w:tcW w:w="2377" w:type="dxa"/>
            <w:shd w:val="clear" w:color="auto" w:fill="8DB3E1"/>
          </w:tcPr>
          <w:p w14:paraId="6D040B76" w14:textId="77777777" w:rsidR="00F44760" w:rsidRPr="000E4390" w:rsidRDefault="00F44760" w:rsidP="00F3367C">
            <w:pPr>
              <w:pStyle w:val="TableParagraph"/>
              <w:ind w:left="110"/>
            </w:pPr>
            <w:r w:rsidRPr="000E4390">
              <w:rPr>
                <w:u w:val="single"/>
              </w:rPr>
              <w:t>Project</w:t>
            </w:r>
            <w:r w:rsidRPr="000E4390">
              <w:rPr>
                <w:spacing w:val="-1"/>
                <w:u w:val="single"/>
              </w:rPr>
              <w:t xml:space="preserve"> </w:t>
            </w:r>
            <w:r w:rsidRPr="000E4390">
              <w:rPr>
                <w:u w:val="single"/>
              </w:rPr>
              <w:t>Budget</w:t>
            </w:r>
          </w:p>
        </w:tc>
        <w:tc>
          <w:tcPr>
            <w:tcW w:w="6913" w:type="dxa"/>
          </w:tcPr>
          <w:p w14:paraId="37813608" w14:textId="3013168F" w:rsidR="00F44760" w:rsidRPr="000E4390" w:rsidRDefault="00050705" w:rsidP="00110BEB">
            <w:pPr>
              <w:pStyle w:val="TableParagraph"/>
              <w:ind w:left="109" w:right="255"/>
            </w:pPr>
            <w:r w:rsidRPr="000E4390">
              <w:t xml:space="preserve">Total project budget: </w:t>
            </w:r>
            <w:r w:rsidR="00725E1E" w:rsidRPr="000E4390">
              <w:t xml:space="preserve"> </w:t>
            </w:r>
            <w:r w:rsidRPr="000E4390">
              <w:t xml:space="preserve">556,000 Swiss francs, of which: </w:t>
            </w:r>
            <w:r w:rsidR="00D83C2C">
              <w:t xml:space="preserve"> </w:t>
            </w:r>
            <w:r w:rsidRPr="000E4390">
              <w:t>385,000 Swiss francs allocated for non-personnel resources,</w:t>
            </w:r>
            <w:r w:rsidR="00D83C2C">
              <w:t xml:space="preserve"> </w:t>
            </w:r>
            <w:r w:rsidRPr="000E4390">
              <w:t>and 171,000 Swiss francs for personnel resources.</w:t>
            </w:r>
          </w:p>
        </w:tc>
      </w:tr>
      <w:tr w:rsidR="00F44760" w:rsidRPr="000E4390" w14:paraId="5B4D3925" w14:textId="77777777" w:rsidTr="00A820D6">
        <w:trPr>
          <w:trHeight w:val="441"/>
        </w:trPr>
        <w:tc>
          <w:tcPr>
            <w:tcW w:w="2377" w:type="dxa"/>
            <w:shd w:val="clear" w:color="auto" w:fill="8DB3E1"/>
          </w:tcPr>
          <w:p w14:paraId="493D68F9" w14:textId="77777777" w:rsidR="00F44760" w:rsidRPr="000E4390" w:rsidRDefault="00F44760" w:rsidP="00F3367C">
            <w:pPr>
              <w:pStyle w:val="TableParagraph"/>
              <w:spacing w:before="1"/>
              <w:ind w:left="110"/>
            </w:pPr>
            <w:r w:rsidRPr="000E4390">
              <w:rPr>
                <w:u w:val="single"/>
              </w:rPr>
              <w:t>Project Duration</w:t>
            </w:r>
          </w:p>
        </w:tc>
        <w:tc>
          <w:tcPr>
            <w:tcW w:w="6913" w:type="dxa"/>
          </w:tcPr>
          <w:p w14:paraId="53F0E34F" w14:textId="77777777" w:rsidR="00F44760" w:rsidRPr="000E4390" w:rsidRDefault="00DA2050" w:rsidP="00F3367C">
            <w:pPr>
              <w:pStyle w:val="TableParagraph"/>
              <w:spacing w:before="1"/>
              <w:ind w:left="109"/>
            </w:pPr>
            <w:r w:rsidRPr="000E4390">
              <w:t>48 months</w:t>
            </w:r>
          </w:p>
        </w:tc>
      </w:tr>
      <w:tr w:rsidR="00F44760" w:rsidRPr="000E4390" w14:paraId="7B5E70F1" w14:textId="77777777" w:rsidTr="00A820D6">
        <w:trPr>
          <w:trHeight w:val="891"/>
        </w:trPr>
        <w:tc>
          <w:tcPr>
            <w:tcW w:w="2377" w:type="dxa"/>
            <w:shd w:val="clear" w:color="auto" w:fill="8DB3E1"/>
          </w:tcPr>
          <w:p w14:paraId="3C962C6A" w14:textId="77777777" w:rsidR="00F44760" w:rsidRPr="000E4390" w:rsidRDefault="00F44760" w:rsidP="00F3367C">
            <w:pPr>
              <w:pStyle w:val="TableParagraph"/>
              <w:spacing w:line="252" w:lineRule="exact"/>
              <w:ind w:left="110"/>
            </w:pPr>
            <w:r w:rsidRPr="000E4390">
              <w:rPr>
                <w:u w:val="single"/>
              </w:rPr>
              <w:t>Key</w:t>
            </w:r>
            <w:r w:rsidRPr="000E4390">
              <w:rPr>
                <w:spacing w:val="-6"/>
                <w:u w:val="single"/>
              </w:rPr>
              <w:t xml:space="preserve"> </w:t>
            </w:r>
            <w:r w:rsidRPr="000E4390">
              <w:rPr>
                <w:u w:val="single"/>
              </w:rPr>
              <w:t xml:space="preserve">WIPO Sectors/Areas Involved in the </w:t>
            </w:r>
            <w:r w:rsidRPr="000E4390">
              <w:rPr>
                <w:spacing w:val="-59"/>
              </w:rPr>
              <w:t xml:space="preserve"> </w:t>
            </w:r>
            <w:r w:rsidRPr="000E4390">
              <w:rPr>
                <w:u w:val="single"/>
              </w:rPr>
              <w:t>Project</w:t>
            </w:r>
            <w:r w:rsidRPr="000E4390">
              <w:rPr>
                <w:spacing w:val="1"/>
              </w:rPr>
              <w:t xml:space="preserve"> </w:t>
            </w:r>
            <w:r w:rsidRPr="000E4390">
              <w:rPr>
                <w:u w:val="single"/>
              </w:rPr>
              <w:t>Implementation</w:t>
            </w:r>
          </w:p>
        </w:tc>
        <w:tc>
          <w:tcPr>
            <w:tcW w:w="6913" w:type="dxa"/>
          </w:tcPr>
          <w:p w14:paraId="51D530EB" w14:textId="77777777" w:rsidR="000F1A02" w:rsidRPr="000E4390" w:rsidRDefault="001872A7" w:rsidP="00F3367C">
            <w:pPr>
              <w:pStyle w:val="TableParagraph"/>
              <w:ind w:left="109" w:right="531"/>
            </w:pPr>
            <w:r w:rsidRPr="000E4390">
              <w:t xml:space="preserve">Implementing Sector: </w:t>
            </w:r>
            <w:r w:rsidR="000F1A02" w:rsidRPr="000E4390">
              <w:t xml:space="preserve"> </w:t>
            </w:r>
            <w:r w:rsidRPr="000E4390">
              <w:t>Copyright and Creative Industries</w:t>
            </w:r>
            <w:r w:rsidR="00A12514" w:rsidRPr="000E4390">
              <w:t xml:space="preserve"> </w:t>
            </w:r>
          </w:p>
          <w:p w14:paraId="6832AE87" w14:textId="04E66A69" w:rsidR="00F44760" w:rsidRPr="000E4390" w:rsidRDefault="000F1A02" w:rsidP="00130FCB">
            <w:pPr>
              <w:pStyle w:val="TableParagraph"/>
              <w:ind w:left="109" w:right="531"/>
            </w:pPr>
            <w:r w:rsidRPr="000E4390">
              <w:t>Other Sectors involved:  I</w:t>
            </w:r>
            <w:r w:rsidR="00C47ED4" w:rsidRPr="000E4390">
              <w:t xml:space="preserve">ntellectual </w:t>
            </w:r>
            <w:r w:rsidRPr="000E4390">
              <w:t>P</w:t>
            </w:r>
            <w:r w:rsidR="00C47ED4" w:rsidRPr="000E4390">
              <w:t>roperty</w:t>
            </w:r>
            <w:r w:rsidR="006C3D2D" w:rsidRPr="000E4390">
              <w:t xml:space="preserve"> (IP)</w:t>
            </w:r>
            <w:r w:rsidRPr="000E4390">
              <w:t xml:space="preserve"> and Innovation Ecosystems Sector</w:t>
            </w:r>
          </w:p>
        </w:tc>
      </w:tr>
      <w:tr w:rsidR="00F44760" w:rsidRPr="000E4390" w14:paraId="104BAF9D" w14:textId="77777777" w:rsidTr="00A820D6">
        <w:trPr>
          <w:trHeight w:val="621"/>
        </w:trPr>
        <w:tc>
          <w:tcPr>
            <w:tcW w:w="2377" w:type="dxa"/>
            <w:shd w:val="clear" w:color="auto" w:fill="8DB3E1"/>
          </w:tcPr>
          <w:p w14:paraId="711FD013" w14:textId="77777777" w:rsidR="00F44760" w:rsidRPr="000E4390" w:rsidRDefault="00F44760" w:rsidP="00F3367C">
            <w:pPr>
              <w:pStyle w:val="TableParagraph"/>
              <w:spacing w:before="1"/>
              <w:ind w:left="110" w:right="378"/>
            </w:pPr>
            <w:r w:rsidRPr="000E4390">
              <w:rPr>
                <w:u w:val="single"/>
              </w:rPr>
              <w:t>Brief Description of</w:t>
            </w:r>
            <w:r w:rsidRPr="000E4390">
              <w:rPr>
                <w:spacing w:val="-60"/>
              </w:rPr>
              <w:t xml:space="preserve"> </w:t>
            </w:r>
            <w:r w:rsidRPr="000E4390">
              <w:rPr>
                <w:u w:val="single"/>
              </w:rPr>
              <w:t>Project</w:t>
            </w:r>
          </w:p>
        </w:tc>
        <w:tc>
          <w:tcPr>
            <w:tcW w:w="6913" w:type="dxa"/>
          </w:tcPr>
          <w:p w14:paraId="6C7E52EC" w14:textId="5EAE6626" w:rsidR="00F44760" w:rsidRPr="000E4390" w:rsidRDefault="00DA2050" w:rsidP="00F12CC7">
            <w:pPr>
              <w:pStyle w:val="TableParagraph"/>
              <w:spacing w:after="240"/>
              <w:ind w:left="115"/>
            </w:pPr>
            <w:r w:rsidRPr="000E4390">
              <w:t>The project aim</w:t>
            </w:r>
            <w:r w:rsidR="007F1A7A" w:rsidRPr="000E4390">
              <w:t>ed</w:t>
            </w:r>
            <w:r w:rsidRPr="000E4390">
              <w:t xml:space="preserve"> at providing clear information about the copyright and related rights national regimes applicable to the audiovisual content that is licensed and distributed in the digital environment. </w:t>
            </w:r>
            <w:r w:rsidR="007F1A7A" w:rsidRPr="000E4390">
              <w:t xml:space="preserve"> </w:t>
            </w:r>
            <w:r w:rsidRPr="000E4390">
              <w:t>In particular, the project raise</w:t>
            </w:r>
            <w:r w:rsidR="007F1A7A" w:rsidRPr="000E4390">
              <w:t>d</w:t>
            </w:r>
            <w:r w:rsidRPr="000E4390">
              <w:t xml:space="preserve"> </w:t>
            </w:r>
            <w:r w:rsidR="007E1C05">
              <w:t xml:space="preserve">the </w:t>
            </w:r>
            <w:r w:rsidRPr="000E4390">
              <w:t xml:space="preserve">awareness </w:t>
            </w:r>
            <w:r w:rsidR="007F1A7A" w:rsidRPr="000E4390">
              <w:t xml:space="preserve">of </w:t>
            </w:r>
            <w:r w:rsidRPr="000E4390">
              <w:t>creators and stakeholders on existing national rules and assess</w:t>
            </w:r>
            <w:r w:rsidR="007F1A7A" w:rsidRPr="000E4390">
              <w:t>ed</w:t>
            </w:r>
            <w:r w:rsidRPr="000E4390">
              <w:t xml:space="preserve"> current issues related to copyright and related rights in digital audiovisual market</w:t>
            </w:r>
            <w:r w:rsidR="007E1C05">
              <w:t>s</w:t>
            </w:r>
            <w:r w:rsidRPr="000E4390">
              <w:t xml:space="preserve"> of the participating countries: </w:t>
            </w:r>
            <w:r w:rsidR="007F1A7A" w:rsidRPr="000E4390">
              <w:t xml:space="preserve"> </w:t>
            </w:r>
            <w:r w:rsidRPr="000E4390">
              <w:t>Argentina, Brazil, Costa Rica, Ecuador, Peru and Uruguay.</w:t>
            </w:r>
          </w:p>
          <w:p w14:paraId="3A0FEEDF" w14:textId="4444AC24" w:rsidR="00A97D7C" w:rsidRPr="000E4390" w:rsidRDefault="002D203F" w:rsidP="00F12CC7">
            <w:pPr>
              <w:pStyle w:val="TableParagraph"/>
              <w:spacing w:after="120"/>
              <w:ind w:left="115"/>
            </w:pPr>
            <w:r w:rsidRPr="000E4390">
              <w:t>The project also aim</w:t>
            </w:r>
            <w:r w:rsidR="007F1A7A" w:rsidRPr="000E4390">
              <w:t>ed</w:t>
            </w:r>
            <w:r w:rsidRPr="000E4390">
              <w:t xml:space="preserve"> at identifying, according to each national legal framework, copyright and related rights in the distribution of audiovisual content in the digital environment, with a view to providing a better understanding of the industry for local creators, right owners and stakeholders.  Enhancing access to relevant information on copyright and related rights for local stakeholders, including creators, producers, digital platforms and policy makers, could assist in the development of the local digital market and in the exploitation of local audiovisual content.</w:t>
            </w:r>
          </w:p>
        </w:tc>
      </w:tr>
      <w:tr w:rsidR="00F44760" w:rsidRPr="000E4390" w14:paraId="3C575F53" w14:textId="77777777" w:rsidTr="00A820D6">
        <w:trPr>
          <w:trHeight w:val="441"/>
        </w:trPr>
        <w:tc>
          <w:tcPr>
            <w:tcW w:w="2377" w:type="dxa"/>
            <w:shd w:val="clear" w:color="auto" w:fill="8DB3E1"/>
          </w:tcPr>
          <w:p w14:paraId="429CE244" w14:textId="77777777" w:rsidR="00F44760" w:rsidRPr="000E4390" w:rsidRDefault="00F44760" w:rsidP="00F3367C">
            <w:pPr>
              <w:pStyle w:val="TableParagraph"/>
              <w:ind w:left="110"/>
            </w:pPr>
            <w:r w:rsidRPr="000E4390">
              <w:rPr>
                <w:u w:val="single"/>
              </w:rPr>
              <w:t>Project Manager</w:t>
            </w:r>
          </w:p>
        </w:tc>
        <w:tc>
          <w:tcPr>
            <w:tcW w:w="6913" w:type="dxa"/>
          </w:tcPr>
          <w:p w14:paraId="1C993372" w14:textId="5CC65AC3" w:rsidR="00A97D7C" w:rsidRPr="000E4390" w:rsidRDefault="00A97D7C" w:rsidP="00F12CC7">
            <w:pPr>
              <w:pStyle w:val="TableParagraph"/>
              <w:spacing w:after="120"/>
              <w:ind w:left="115"/>
            </w:pPr>
            <w:r w:rsidRPr="000E4390">
              <w:t xml:space="preserve">Mr. Rafael Ferraz Vazquez, Legal Officer, Copyright Law Division, Copyright </w:t>
            </w:r>
            <w:r w:rsidR="007F1A7A" w:rsidRPr="000E4390">
              <w:t>and Creative Industries Sector</w:t>
            </w:r>
          </w:p>
        </w:tc>
      </w:tr>
      <w:tr w:rsidR="00F44760" w:rsidRPr="000E4390" w14:paraId="254B64D8" w14:textId="77777777" w:rsidTr="00A820D6">
        <w:trPr>
          <w:trHeight w:val="792"/>
        </w:trPr>
        <w:tc>
          <w:tcPr>
            <w:tcW w:w="2377" w:type="dxa"/>
            <w:shd w:val="clear" w:color="auto" w:fill="8DB3E1"/>
          </w:tcPr>
          <w:p w14:paraId="7EF0D4DB" w14:textId="77777777" w:rsidR="00F44760" w:rsidRPr="000E4390" w:rsidRDefault="00F44760" w:rsidP="00F3367C">
            <w:pPr>
              <w:pStyle w:val="TableParagraph"/>
              <w:ind w:left="110" w:right="221"/>
            </w:pPr>
            <w:r w:rsidRPr="000E4390">
              <w:rPr>
                <w:u w:val="single"/>
              </w:rPr>
              <w:t>Links to Expected</w:t>
            </w:r>
            <w:r w:rsidRPr="000E4390">
              <w:rPr>
                <w:spacing w:val="1"/>
              </w:rPr>
              <w:t xml:space="preserve"> </w:t>
            </w:r>
            <w:r w:rsidRPr="000E4390">
              <w:rPr>
                <w:u w:val="single"/>
              </w:rPr>
              <w:t>Results in the</w:t>
            </w:r>
            <w:r w:rsidRPr="000E4390">
              <w:rPr>
                <w:spacing w:val="1"/>
              </w:rPr>
              <w:t xml:space="preserve"> </w:t>
            </w:r>
            <w:r w:rsidRPr="000E4390">
              <w:rPr>
                <w:u w:val="single"/>
              </w:rPr>
              <w:t>Program</w:t>
            </w:r>
            <w:r w:rsidRPr="000E4390">
              <w:rPr>
                <w:spacing w:val="-7"/>
                <w:u w:val="single"/>
              </w:rPr>
              <w:t xml:space="preserve"> </w:t>
            </w:r>
            <w:r w:rsidRPr="000E4390">
              <w:rPr>
                <w:u w:val="single"/>
              </w:rPr>
              <w:t>and</w:t>
            </w:r>
            <w:r w:rsidRPr="000E4390">
              <w:rPr>
                <w:spacing w:val="-8"/>
                <w:u w:val="single"/>
              </w:rPr>
              <w:t xml:space="preserve"> </w:t>
            </w:r>
            <w:r w:rsidRPr="000E4390">
              <w:rPr>
                <w:u w:val="single"/>
              </w:rPr>
              <w:t>Budget</w:t>
            </w:r>
          </w:p>
        </w:tc>
        <w:tc>
          <w:tcPr>
            <w:tcW w:w="6913" w:type="dxa"/>
          </w:tcPr>
          <w:p w14:paraId="35038D51" w14:textId="77777777" w:rsidR="00F12CC7" w:rsidRDefault="00611717" w:rsidP="00F12CC7">
            <w:pPr>
              <w:pStyle w:val="TableParagraph"/>
              <w:spacing w:after="240"/>
              <w:ind w:left="115" w:right="115"/>
            </w:pPr>
            <w:r w:rsidRPr="000E4390">
              <w:rPr>
                <w:u w:val="single"/>
              </w:rPr>
              <w:t>Program and Budget 2018/19 and 2020/21</w:t>
            </w:r>
            <w:r w:rsidRPr="000E4390">
              <w:t>:</w:t>
            </w:r>
          </w:p>
          <w:p w14:paraId="6AA074E5" w14:textId="1FEB4294" w:rsidR="00C2739A" w:rsidRDefault="00D83C2C" w:rsidP="00F12CC7">
            <w:pPr>
              <w:pStyle w:val="TableParagraph"/>
              <w:spacing w:after="240"/>
              <w:ind w:left="115" w:right="115"/>
            </w:pPr>
            <w:r>
              <w:t xml:space="preserve">Expected Result </w:t>
            </w:r>
            <w:r w:rsidR="00A97D7C" w:rsidRPr="000E4390">
              <w:t xml:space="preserve">I.2: </w:t>
            </w:r>
            <w:r w:rsidR="00611717" w:rsidRPr="000E4390">
              <w:t xml:space="preserve"> </w:t>
            </w:r>
            <w:r w:rsidR="00A97D7C" w:rsidRPr="000E4390">
              <w:t xml:space="preserve">Tailored and balanced IP legislative, regulatory and policy framework. </w:t>
            </w:r>
          </w:p>
          <w:p w14:paraId="28B171CD" w14:textId="1220E9AC" w:rsidR="00C2739A" w:rsidRPr="000E4390" w:rsidRDefault="00D83C2C" w:rsidP="00F12CC7">
            <w:pPr>
              <w:pStyle w:val="TableParagraph"/>
              <w:spacing w:after="240"/>
              <w:ind w:left="115" w:right="115"/>
            </w:pPr>
            <w:r>
              <w:t xml:space="preserve">Expected Result </w:t>
            </w:r>
            <w:r w:rsidR="00A97D7C" w:rsidRPr="000E4390">
              <w:t xml:space="preserve">III.4: </w:t>
            </w:r>
            <w:r w:rsidR="00611717" w:rsidRPr="000E4390">
              <w:t xml:space="preserve"> </w:t>
            </w:r>
            <w:r w:rsidR="00A97D7C" w:rsidRPr="000E4390">
              <w:t>Strengthened cooperation arrangements with institutions in developing countries, LDCs and countries in transition tailored to their needs.</w:t>
            </w:r>
          </w:p>
          <w:p w14:paraId="3A677B92" w14:textId="4227E92A" w:rsidR="00F44760" w:rsidRPr="000E4390" w:rsidRDefault="00D83C2C" w:rsidP="00EE5B0A">
            <w:pPr>
              <w:pStyle w:val="TableParagraph"/>
              <w:spacing w:after="600"/>
              <w:ind w:left="115" w:right="115"/>
            </w:pPr>
            <w:r>
              <w:t xml:space="preserve">Expected Result </w:t>
            </w:r>
            <w:r w:rsidR="00A97D7C" w:rsidRPr="000E4390">
              <w:t xml:space="preserve">IV.2: </w:t>
            </w:r>
            <w:r w:rsidR="00725E1E" w:rsidRPr="000E4390">
              <w:t xml:space="preserve"> </w:t>
            </w:r>
            <w:r w:rsidR="00A97D7C" w:rsidRPr="000E4390">
              <w:t>Enhanced access to, and use of, IP information by IP institutions and the public to promote innovation and creativity.</w:t>
            </w:r>
          </w:p>
          <w:p w14:paraId="678B5BB5" w14:textId="20CBA4FA" w:rsidR="00611717" w:rsidRDefault="00611717" w:rsidP="00F12CC7">
            <w:pPr>
              <w:pStyle w:val="TableParagraph"/>
              <w:spacing w:after="240"/>
              <w:ind w:left="115" w:right="115"/>
            </w:pPr>
            <w:r w:rsidRPr="000E4390">
              <w:rPr>
                <w:u w:val="single"/>
              </w:rPr>
              <w:lastRenderedPageBreak/>
              <w:t>Program and Budget 2022/23</w:t>
            </w:r>
            <w:r w:rsidRPr="000E4390">
              <w:t>:</w:t>
            </w:r>
          </w:p>
          <w:p w14:paraId="584852AC" w14:textId="62F3D485" w:rsidR="001310CA" w:rsidRDefault="00D83C2C" w:rsidP="00F12CC7">
            <w:pPr>
              <w:pStyle w:val="TableParagraph"/>
              <w:spacing w:after="240"/>
              <w:ind w:left="115" w:right="115"/>
            </w:pPr>
            <w:r>
              <w:t xml:space="preserve">Expected Result </w:t>
            </w:r>
            <w:r w:rsidR="00366DDA">
              <w:t>1.1:</w:t>
            </w:r>
            <w:r w:rsidR="001310CA">
              <w:t xml:space="preserve"> </w:t>
            </w:r>
            <w:r w:rsidR="00737C2A">
              <w:t xml:space="preserve"> </w:t>
            </w:r>
            <w:r w:rsidR="001310CA">
              <w:t xml:space="preserve">More effective communication and engagement worldwide to raise awareness of and increase knowledge about the potential of IP to improve the lives of everyone, everywhere. </w:t>
            </w:r>
          </w:p>
          <w:p w14:paraId="1B3AF8D0" w14:textId="240ED36E" w:rsidR="001310CA" w:rsidRPr="000E4390" w:rsidRDefault="00D83C2C" w:rsidP="00F12CC7">
            <w:pPr>
              <w:pStyle w:val="TableParagraph"/>
              <w:spacing w:after="240"/>
              <w:ind w:left="115" w:right="115"/>
            </w:pPr>
            <w:r>
              <w:t xml:space="preserve">Expected Result </w:t>
            </w:r>
            <w:r w:rsidR="00366DDA">
              <w:t>4.1:</w:t>
            </w:r>
            <w:r w:rsidR="001310CA">
              <w:t xml:space="preserve"> </w:t>
            </w:r>
            <w:r w:rsidR="00737C2A">
              <w:t xml:space="preserve"> </w:t>
            </w:r>
            <w:r w:rsidR="001310CA">
              <w:t xml:space="preserve">More effective use of IP to support growth and development of all Member States and their relevant regions and sub-regions, including through the mainstreaming of the Development Agenda recommendations. </w:t>
            </w:r>
          </w:p>
          <w:p w14:paraId="2EFC6F6D" w14:textId="55C17587" w:rsidR="00A97D7C" w:rsidRPr="000E4390" w:rsidRDefault="00D83C2C" w:rsidP="00F12CC7">
            <w:pPr>
              <w:pStyle w:val="TableParagraph"/>
              <w:spacing w:after="120"/>
              <w:ind w:left="115" w:right="115"/>
            </w:pPr>
            <w:r>
              <w:t xml:space="preserve">Expected Result </w:t>
            </w:r>
            <w:r w:rsidR="009B0A92" w:rsidRPr="000E4390">
              <w:t>4.3</w:t>
            </w:r>
            <w:r w:rsidR="00366DDA">
              <w:t>:</w:t>
            </w:r>
            <w:r w:rsidR="009B0A92" w:rsidRPr="000E4390">
              <w:t xml:space="preserve"> </w:t>
            </w:r>
            <w:r w:rsidR="00366DDA">
              <w:t xml:space="preserve"> </w:t>
            </w:r>
            <w:r w:rsidR="009B0A92" w:rsidRPr="000E4390">
              <w:t>Increased IP knowledge and skills in all Member States.</w:t>
            </w:r>
          </w:p>
        </w:tc>
      </w:tr>
      <w:tr w:rsidR="00F44760" w:rsidRPr="000E4390" w14:paraId="4133E4C3" w14:textId="77777777" w:rsidTr="00A820D6">
        <w:trPr>
          <w:trHeight w:val="801"/>
        </w:trPr>
        <w:tc>
          <w:tcPr>
            <w:tcW w:w="2377" w:type="dxa"/>
            <w:shd w:val="clear" w:color="auto" w:fill="8DB3E1"/>
          </w:tcPr>
          <w:p w14:paraId="58686771" w14:textId="77777777" w:rsidR="00F44760" w:rsidRPr="000E4390" w:rsidRDefault="00F44760" w:rsidP="00F3367C">
            <w:pPr>
              <w:pStyle w:val="TableParagraph"/>
              <w:spacing w:before="1"/>
              <w:ind w:left="110" w:right="708"/>
            </w:pPr>
            <w:r w:rsidRPr="000E4390">
              <w:rPr>
                <w:u w:val="single"/>
              </w:rPr>
              <w:lastRenderedPageBreak/>
              <w:t>Overview of the</w:t>
            </w:r>
            <w:r w:rsidRPr="000E4390">
              <w:rPr>
                <w:spacing w:val="-59"/>
              </w:rPr>
              <w:t xml:space="preserve"> </w:t>
            </w:r>
            <w:r w:rsidRPr="000E4390">
              <w:rPr>
                <w:u w:val="single"/>
              </w:rPr>
              <w:t>Project</w:t>
            </w:r>
            <w:r w:rsidRPr="000E4390">
              <w:rPr>
                <w:spacing w:val="1"/>
              </w:rPr>
              <w:t xml:space="preserve"> </w:t>
            </w:r>
            <w:r w:rsidRPr="000E4390">
              <w:rPr>
                <w:u w:val="single"/>
              </w:rPr>
              <w:t>Implementation</w:t>
            </w:r>
          </w:p>
        </w:tc>
        <w:tc>
          <w:tcPr>
            <w:tcW w:w="6913" w:type="dxa"/>
          </w:tcPr>
          <w:p w14:paraId="74A2A5E0" w14:textId="7411F4D7" w:rsidR="004D40F3" w:rsidRPr="000E4390" w:rsidRDefault="00D91996" w:rsidP="00F12CC7">
            <w:pPr>
              <w:spacing w:after="240"/>
            </w:pPr>
            <w:r w:rsidRPr="000E4390">
              <w:t>The following t</w:t>
            </w:r>
            <w:r w:rsidR="00C134D4" w:rsidRPr="000E4390">
              <w:t xml:space="preserve">wo studies, seven case studies and a creative </w:t>
            </w:r>
            <w:r w:rsidRPr="000E4390">
              <w:t xml:space="preserve">economy </w:t>
            </w:r>
            <w:r w:rsidR="00C134D4" w:rsidRPr="000E4390">
              <w:t xml:space="preserve">note were </w:t>
            </w:r>
            <w:r w:rsidR="00713D62" w:rsidRPr="000E4390">
              <w:t>developed</w:t>
            </w:r>
            <w:r w:rsidR="00C134D4" w:rsidRPr="000E4390">
              <w:t xml:space="preserve"> in the framework of the project</w:t>
            </w:r>
            <w:r w:rsidRPr="000E4390">
              <w:t xml:space="preserve"> and </w:t>
            </w:r>
            <w:r w:rsidR="00427DB2" w:rsidRPr="000E4390">
              <w:t xml:space="preserve">all </w:t>
            </w:r>
            <w:r w:rsidR="00044B97" w:rsidRPr="000E4390">
              <w:t>can be found</w:t>
            </w:r>
            <w:r w:rsidRPr="000E4390">
              <w:t xml:space="preserve"> </w:t>
            </w:r>
            <w:r w:rsidR="001310A9">
              <w:t>in</w:t>
            </w:r>
            <w:r w:rsidRPr="000E4390">
              <w:t xml:space="preserve"> the Catalogue of DA Projects and Outputs at: </w:t>
            </w:r>
            <w:hyperlink r:id="rId17" w:history="1">
              <w:r w:rsidRPr="000E4390">
                <w:rPr>
                  <w:rStyle w:val="Hyperlink"/>
                </w:rPr>
                <w:t>dacatalogue.wipo.int/projects/DA_1_3_4_10_11_16_25_35_01</w:t>
              </w:r>
            </w:hyperlink>
            <w:r w:rsidRPr="000E4390">
              <w:t xml:space="preserve">. </w:t>
            </w:r>
          </w:p>
          <w:p w14:paraId="40488D62" w14:textId="3D0DADA0" w:rsidR="002D203F" w:rsidRPr="000E4390" w:rsidRDefault="002D203F" w:rsidP="00F12CC7">
            <w:pPr>
              <w:spacing w:after="240"/>
              <w:rPr>
                <w:b/>
              </w:rPr>
            </w:pPr>
            <w:r w:rsidRPr="000E4390">
              <w:rPr>
                <w:b/>
              </w:rPr>
              <w:t xml:space="preserve">I. STUDY I: </w:t>
            </w:r>
            <w:r w:rsidR="004B616D" w:rsidRPr="000E4390">
              <w:rPr>
                <w:b/>
              </w:rPr>
              <w:t xml:space="preserve"> </w:t>
            </w:r>
            <w:r w:rsidRPr="000E4390">
              <w:rPr>
                <w:b/>
              </w:rPr>
              <w:t>THE COPYRIGHT LEGAL FRAMEWORK AND LICENSING PRACTICES OF AUDIOVISUAL CONTENT IN THE DIGITAL ENVIRONMENT</w:t>
            </w:r>
          </w:p>
          <w:p w14:paraId="05BC22FD" w14:textId="29CC5883" w:rsidR="00CE3747" w:rsidRPr="000E4390" w:rsidRDefault="00725E1E" w:rsidP="00F12CC7">
            <w:pPr>
              <w:spacing w:after="240"/>
            </w:pPr>
            <w:r w:rsidRPr="000E4390">
              <w:t xml:space="preserve">The aim of this </w:t>
            </w:r>
            <w:r w:rsidR="00D83C2C">
              <w:t>s</w:t>
            </w:r>
            <w:r w:rsidR="00CE3747" w:rsidRPr="000E4390">
              <w:t xml:space="preserve">tudy </w:t>
            </w:r>
            <w:r w:rsidR="00875E11">
              <w:t>is</w:t>
            </w:r>
            <w:r w:rsidR="00D83C2C">
              <w:t xml:space="preserve"> </w:t>
            </w:r>
            <w:r w:rsidR="00CE3747" w:rsidRPr="000E4390">
              <w:t xml:space="preserve">to provide information on the current state of the market and on the national and supranational legal framework applicable to the online exploitation of audiovisual content in Argentina, Brazil, Costa Rica, Ecuador, Peru and Uruguay. </w:t>
            </w:r>
            <w:r w:rsidR="00366DDA">
              <w:t xml:space="preserve"> </w:t>
            </w:r>
            <w:r w:rsidRPr="000E4390">
              <w:t xml:space="preserve">The </w:t>
            </w:r>
            <w:r w:rsidR="00D83C2C">
              <w:t>s</w:t>
            </w:r>
            <w:r w:rsidR="00CE3747" w:rsidRPr="000E4390">
              <w:t xml:space="preserve">tudy </w:t>
            </w:r>
            <w:r w:rsidR="00D83C2C">
              <w:t>is</w:t>
            </w:r>
            <w:r w:rsidR="00366DDA">
              <w:t xml:space="preserve"> </w:t>
            </w:r>
            <w:r w:rsidR="00CE3747" w:rsidRPr="000E4390">
              <w:t>divided in</w:t>
            </w:r>
            <w:r w:rsidR="00D83C2C">
              <w:t>to</w:t>
            </w:r>
            <w:r w:rsidR="00CE3747" w:rsidRPr="000E4390">
              <w:t xml:space="preserve"> </w:t>
            </w:r>
            <w:r w:rsidR="00D83C2C">
              <w:t xml:space="preserve">6 </w:t>
            </w:r>
            <w:r w:rsidR="00CE3747" w:rsidRPr="000E4390">
              <w:t>parts, namely:</w:t>
            </w:r>
          </w:p>
          <w:p w14:paraId="4559482C" w14:textId="4A47E6FC" w:rsidR="002D203F" w:rsidRPr="000E4390" w:rsidRDefault="002D203F" w:rsidP="00F12CC7">
            <w:pPr>
              <w:spacing w:after="240"/>
            </w:pPr>
            <w:r w:rsidRPr="000E4390">
              <w:t xml:space="preserve">Part 1: </w:t>
            </w:r>
            <w:r w:rsidR="004B616D" w:rsidRPr="000E4390">
              <w:t xml:space="preserve"> </w:t>
            </w:r>
            <w:r w:rsidR="000A19FF" w:rsidRPr="000E4390">
              <w:t>Audiovisual OTT Business M</w:t>
            </w:r>
            <w:r w:rsidRPr="000E4390">
              <w:t xml:space="preserve">odels in Latin America: </w:t>
            </w:r>
            <w:r w:rsidR="00725E1E" w:rsidRPr="000E4390">
              <w:t xml:space="preserve"> </w:t>
            </w:r>
            <w:r w:rsidR="000A19FF" w:rsidRPr="000E4390">
              <w:t>Recent Trends and Future E</w:t>
            </w:r>
            <w:r w:rsidRPr="000E4390">
              <w:t>volution</w:t>
            </w:r>
            <w:r w:rsidR="007A159E" w:rsidRPr="000E4390">
              <w:t xml:space="preserve">, available at:  </w:t>
            </w:r>
            <w:hyperlink r:id="rId18" w:history="1">
              <w:r w:rsidR="00CE3747" w:rsidRPr="000E4390">
                <w:rPr>
                  <w:rStyle w:val="Hyperlink"/>
                </w:rPr>
                <w:t>dacatalogue.wipo.int/projectfiles/DA_1_3_4_10_11_16_25_35_01/Study_Part_1/EN/LATAM%20AV%20study_part_1_EN%20REV.pdf</w:t>
              </w:r>
            </w:hyperlink>
            <w:r w:rsidR="00CE3747" w:rsidRPr="000E4390">
              <w:t xml:space="preserve"> </w:t>
            </w:r>
          </w:p>
          <w:p w14:paraId="0D329FF9" w14:textId="6571B785" w:rsidR="002D203F" w:rsidRPr="000E4390" w:rsidRDefault="005B6371" w:rsidP="00F12CC7">
            <w:pPr>
              <w:spacing w:after="240"/>
            </w:pPr>
            <w:r w:rsidRPr="000E4390">
              <w:t xml:space="preserve">This </w:t>
            </w:r>
            <w:r w:rsidR="003E3592" w:rsidRPr="000E4390">
              <w:t>part</w:t>
            </w:r>
            <w:r w:rsidRPr="000E4390">
              <w:t xml:space="preserve"> analyze</w:t>
            </w:r>
            <w:r w:rsidR="00366DDA">
              <w:t>s</w:t>
            </w:r>
            <w:r w:rsidRPr="000E4390">
              <w:t xml:space="preserve"> the recent changes and future evolution of different business models of audiovisual </w:t>
            </w:r>
            <w:r w:rsidRPr="00673EEC">
              <w:t>Over-The-Top</w:t>
            </w:r>
            <w:r w:rsidRPr="000E4390">
              <w:t xml:space="preserve"> (OTT) platforms on a worldwide and regional scale. </w:t>
            </w:r>
            <w:r w:rsidR="00366DDA">
              <w:t xml:space="preserve"> </w:t>
            </w:r>
            <w:r w:rsidRPr="000E4390">
              <w:t>It underline</w:t>
            </w:r>
            <w:r w:rsidR="00366DDA">
              <w:t>s</w:t>
            </w:r>
            <w:r w:rsidRPr="000E4390">
              <w:t xml:space="preserve"> that content </w:t>
            </w:r>
            <w:r w:rsidR="00366DDA">
              <w:t>is</w:t>
            </w:r>
            <w:r w:rsidRPr="000E4390">
              <w:t xml:space="preserve"> a critical portion of the value proposition of an audiovisual OTT, which </w:t>
            </w:r>
            <w:r w:rsidR="00366DDA">
              <w:t xml:space="preserve">has </w:t>
            </w:r>
            <w:r w:rsidRPr="000E4390">
              <w:t xml:space="preserve">led to an increase in the product range. </w:t>
            </w:r>
            <w:r w:rsidR="00673EEC">
              <w:t xml:space="preserve"> In that</w:t>
            </w:r>
            <w:r w:rsidRPr="000E4390">
              <w:t xml:space="preserve"> context, the production of “localized” content </w:t>
            </w:r>
            <w:r w:rsidR="00673EEC">
              <w:t>was</w:t>
            </w:r>
            <w:r w:rsidR="00366DDA">
              <w:t xml:space="preserve"> </w:t>
            </w:r>
            <w:r w:rsidRPr="000E4390">
              <w:t xml:space="preserve">being singled out as a competitive advantage for all platforms. </w:t>
            </w:r>
            <w:r w:rsidR="00366DDA">
              <w:t xml:space="preserve"> </w:t>
            </w:r>
            <w:r w:rsidRPr="000E4390">
              <w:t xml:space="preserve">This led global players to increase their efforts to incorporate (and produce) local content. </w:t>
            </w:r>
          </w:p>
          <w:p w14:paraId="6A2FBAB8" w14:textId="62F0BC71" w:rsidR="002D203F" w:rsidRPr="000E4390" w:rsidRDefault="002D203F" w:rsidP="00F12CC7">
            <w:pPr>
              <w:spacing w:after="240"/>
            </w:pPr>
            <w:r w:rsidRPr="000E4390">
              <w:t xml:space="preserve">Part 2: </w:t>
            </w:r>
            <w:r w:rsidR="004B616D" w:rsidRPr="000E4390">
              <w:t xml:space="preserve"> </w:t>
            </w:r>
            <w:r w:rsidRPr="000E4390">
              <w:t>The Legal Framework of the Audiovisual Sector in the Digital Environment</w:t>
            </w:r>
            <w:r w:rsidR="007A159E" w:rsidRPr="000E4390">
              <w:t xml:space="preserve">, available at:  </w:t>
            </w:r>
            <w:hyperlink r:id="rId19" w:history="1">
              <w:r w:rsidR="00CE3747" w:rsidRPr="000E4390">
                <w:rPr>
                  <w:rStyle w:val="Hyperlink"/>
                </w:rPr>
                <w:t>dacatalogue.wipo.int/projectfiles/DA_1_3_4_10_11_16_25_35_01/Part_2/EN/LATAM%20AV%20study_part_2_EN.pdf</w:t>
              </w:r>
            </w:hyperlink>
            <w:r w:rsidR="00CE3747" w:rsidRPr="000E4390">
              <w:t xml:space="preserve"> </w:t>
            </w:r>
          </w:p>
          <w:p w14:paraId="4DECC537" w14:textId="4D413F29" w:rsidR="002D203F" w:rsidRPr="000E4390" w:rsidRDefault="002D203F" w:rsidP="00F12CC7">
            <w:pPr>
              <w:spacing w:after="240"/>
            </w:pPr>
            <w:r w:rsidRPr="000E4390">
              <w:t xml:space="preserve">Annex: </w:t>
            </w:r>
            <w:r w:rsidR="00875E11">
              <w:t xml:space="preserve"> </w:t>
            </w:r>
            <w:r w:rsidR="000A19FF" w:rsidRPr="000E4390">
              <w:t xml:space="preserve">Summary of National </w:t>
            </w:r>
            <w:r w:rsidR="0008367E">
              <w:t>Legal Frameworks</w:t>
            </w:r>
            <w:r w:rsidR="007A159E" w:rsidRPr="000E4390">
              <w:t xml:space="preserve">, available at:  </w:t>
            </w:r>
            <w:hyperlink r:id="rId20" w:history="1">
              <w:r w:rsidR="00CE3747" w:rsidRPr="000E4390">
                <w:rPr>
                  <w:rStyle w:val="Hyperlink"/>
                </w:rPr>
                <w:t>dacatalogue.wipo.int/projectfiles/DA_1_3_4_10_11_16_25_35_01/Part_2/EN/LATAM%20AV%20Annex%20to%20study_part_2_ES.pdf</w:t>
              </w:r>
            </w:hyperlink>
            <w:r w:rsidR="00CE3747" w:rsidRPr="000E4390">
              <w:t xml:space="preserve"> </w:t>
            </w:r>
          </w:p>
          <w:p w14:paraId="10EC0251" w14:textId="58270B05" w:rsidR="005B6371" w:rsidRPr="000E4390" w:rsidRDefault="003E3592" w:rsidP="00F12CC7">
            <w:pPr>
              <w:spacing w:after="240"/>
            </w:pPr>
            <w:r w:rsidRPr="000E4390">
              <w:t>This p</w:t>
            </w:r>
            <w:r w:rsidR="00F07D91" w:rsidRPr="000E4390">
              <w:t>art</w:t>
            </w:r>
            <w:r w:rsidR="00200829" w:rsidRPr="000E4390">
              <w:t xml:space="preserve"> and its annex </w:t>
            </w:r>
            <w:r w:rsidR="005B6371" w:rsidRPr="000E4390">
              <w:t>provide information on the current state o</w:t>
            </w:r>
            <w:r w:rsidR="00200829" w:rsidRPr="000E4390">
              <w:t>f</w:t>
            </w:r>
            <w:r w:rsidR="005B6371" w:rsidRPr="000E4390">
              <w:t xml:space="preserve"> national and supranational legal framework</w:t>
            </w:r>
            <w:r w:rsidR="00366DDA">
              <w:t>s</w:t>
            </w:r>
            <w:r w:rsidR="005B6371" w:rsidRPr="000E4390">
              <w:t xml:space="preserve"> applicable to the online </w:t>
            </w:r>
            <w:r w:rsidR="005B6371" w:rsidRPr="000E4390">
              <w:lastRenderedPageBreak/>
              <w:t xml:space="preserve">exploitation of audiovisual content in the participating countries. </w:t>
            </w:r>
            <w:r w:rsidR="00366DDA">
              <w:t xml:space="preserve"> </w:t>
            </w:r>
            <w:r w:rsidR="00F07D91" w:rsidRPr="000E4390">
              <w:t xml:space="preserve">The </w:t>
            </w:r>
            <w:r w:rsidR="00366DDA">
              <w:t>s</w:t>
            </w:r>
            <w:r w:rsidR="00F07D91" w:rsidRPr="000E4390">
              <w:t xml:space="preserve">tudy </w:t>
            </w:r>
            <w:r w:rsidR="00F3367C" w:rsidRPr="000E4390">
              <w:t>demonstrate</w:t>
            </w:r>
            <w:r w:rsidR="00366DDA">
              <w:t>s</w:t>
            </w:r>
            <w:r w:rsidR="00F3367C" w:rsidRPr="000E4390">
              <w:t xml:space="preserve"> that c</w:t>
            </w:r>
            <w:r w:rsidR="00200829" w:rsidRPr="000E4390">
              <w:t xml:space="preserve">ountries in Latin America </w:t>
            </w:r>
            <w:r w:rsidR="005B6371" w:rsidRPr="000E4390">
              <w:t>have different market realities for audiovisual exploitation and production</w:t>
            </w:r>
            <w:r w:rsidR="00200829" w:rsidRPr="000E4390">
              <w:t xml:space="preserve">. </w:t>
            </w:r>
            <w:r w:rsidR="00283B27">
              <w:t xml:space="preserve"> </w:t>
            </w:r>
            <w:r w:rsidR="00200829" w:rsidRPr="000E4390">
              <w:t xml:space="preserve">Access to online distribution channels is still a challenge for smaller local productions. </w:t>
            </w:r>
            <w:r w:rsidR="00283B27">
              <w:t xml:space="preserve"> </w:t>
            </w:r>
            <w:r w:rsidR="00200829" w:rsidRPr="000E4390">
              <w:t xml:space="preserve">The information in the document </w:t>
            </w:r>
            <w:r w:rsidR="00283B27">
              <w:t xml:space="preserve">seeks </w:t>
            </w:r>
            <w:r w:rsidR="005B6371" w:rsidRPr="000E4390">
              <w:t>to determine the legal treatment of copyright and related rights in the digital environment</w:t>
            </w:r>
            <w:r w:rsidR="00BE61F0" w:rsidRPr="000E4390">
              <w:t>,</w:t>
            </w:r>
            <w:r w:rsidR="005B6371" w:rsidRPr="000E4390">
              <w:t xml:space="preserve"> the licensing systems applied, as well as the ambiguities, challenges and opportunities for the multi-territorial disseminat</w:t>
            </w:r>
            <w:r w:rsidR="00200829" w:rsidRPr="000E4390">
              <w:t>ion of content in Latin America</w:t>
            </w:r>
            <w:r w:rsidR="005B6371" w:rsidRPr="000E4390">
              <w:t>.</w:t>
            </w:r>
          </w:p>
          <w:p w14:paraId="0E040A85" w14:textId="6A0CC7D6" w:rsidR="002D203F" w:rsidRPr="000E4390" w:rsidRDefault="002D203F" w:rsidP="00F12CC7">
            <w:pPr>
              <w:spacing w:after="240"/>
            </w:pPr>
            <w:r w:rsidRPr="000E4390">
              <w:t xml:space="preserve">Part 3: </w:t>
            </w:r>
            <w:r w:rsidR="004B616D" w:rsidRPr="000E4390">
              <w:t xml:space="preserve"> </w:t>
            </w:r>
            <w:r w:rsidRPr="000E4390">
              <w:t>The Legal Treatment of Foreign Authors of Audiovisual Works</w:t>
            </w:r>
            <w:r w:rsidR="007A159E" w:rsidRPr="000E4390">
              <w:t xml:space="preserve">, available at:  </w:t>
            </w:r>
            <w:hyperlink r:id="rId21" w:history="1">
              <w:r w:rsidR="00CE3747" w:rsidRPr="000E4390">
                <w:rPr>
                  <w:rStyle w:val="Hyperlink"/>
                </w:rPr>
                <w:t>dacatalogue.wipo.int/projectfiles/DA_1_3_4_10_11_16_25_35_01/Part_3/EN/LATAM%20AV%20study_part_3_EN.pdf</w:t>
              </w:r>
            </w:hyperlink>
            <w:r w:rsidR="00CE3747" w:rsidRPr="000E4390">
              <w:t xml:space="preserve"> </w:t>
            </w:r>
          </w:p>
          <w:p w14:paraId="1797BAD8" w14:textId="3F5581A2" w:rsidR="00200829" w:rsidRPr="000E4390" w:rsidRDefault="00200829" w:rsidP="00F12CC7">
            <w:pPr>
              <w:spacing w:after="240"/>
            </w:pPr>
            <w:r w:rsidRPr="000E4390">
              <w:t>This part focuse</w:t>
            </w:r>
            <w:r w:rsidR="00137128">
              <w:t xml:space="preserve">s </w:t>
            </w:r>
            <w:r w:rsidRPr="000E4390">
              <w:t>on the figure of the author of audiovisual work, although many of the conclusions reached could be analogically applicable to other rights holders</w:t>
            </w:r>
            <w:r w:rsidR="00F3367C" w:rsidRPr="000E4390">
              <w:t>,</w:t>
            </w:r>
            <w:r w:rsidRPr="000E4390">
              <w:t xml:space="preserve"> such as the interpreters.</w:t>
            </w:r>
            <w:r w:rsidR="00AB074F" w:rsidRPr="000E4390">
              <w:t xml:space="preserve"> </w:t>
            </w:r>
            <w:r w:rsidR="00137128">
              <w:t xml:space="preserve"> </w:t>
            </w:r>
            <w:r w:rsidR="00AB074F" w:rsidRPr="000E4390">
              <w:t xml:space="preserve">This </w:t>
            </w:r>
            <w:r w:rsidR="00137128">
              <w:t>s</w:t>
            </w:r>
            <w:r w:rsidR="00AB074F" w:rsidRPr="000E4390">
              <w:t xml:space="preserve">tudy </w:t>
            </w:r>
            <w:r w:rsidRPr="000E4390">
              <w:t>analyze</w:t>
            </w:r>
            <w:r w:rsidR="00137128">
              <w:t>s</w:t>
            </w:r>
            <w:r w:rsidRPr="000E4390">
              <w:t xml:space="preserve"> the </w:t>
            </w:r>
            <w:r w:rsidR="00AB074F" w:rsidRPr="000E4390">
              <w:t xml:space="preserve">functioning of the management of rights in foreign audiovisual works </w:t>
            </w:r>
            <w:r w:rsidR="004B616D" w:rsidRPr="000E4390">
              <w:t>and examine</w:t>
            </w:r>
            <w:r w:rsidR="00137128">
              <w:t>s</w:t>
            </w:r>
            <w:r w:rsidR="004B616D" w:rsidRPr="000E4390">
              <w:t xml:space="preserve"> the </w:t>
            </w:r>
            <w:r w:rsidRPr="000E4390">
              <w:t xml:space="preserve">reasons that hinder the protection of the author of audiovisual work when </w:t>
            </w:r>
            <w:r w:rsidR="00AB074F" w:rsidRPr="000E4390">
              <w:t xml:space="preserve">it is </w:t>
            </w:r>
            <w:r w:rsidRPr="000E4390">
              <w:t>exploited internationally</w:t>
            </w:r>
            <w:r w:rsidR="00AB074F" w:rsidRPr="000E4390">
              <w:t xml:space="preserve">. </w:t>
            </w:r>
          </w:p>
          <w:p w14:paraId="41C4258C" w14:textId="793F0204" w:rsidR="002D203F" w:rsidRPr="000E4390" w:rsidRDefault="002D203F" w:rsidP="00F12CC7">
            <w:pPr>
              <w:spacing w:after="240"/>
            </w:pPr>
            <w:r w:rsidRPr="000E4390">
              <w:t xml:space="preserve">Part 4: </w:t>
            </w:r>
            <w:r w:rsidR="004B616D" w:rsidRPr="000E4390">
              <w:t xml:space="preserve"> </w:t>
            </w:r>
            <w:r w:rsidRPr="000E4390">
              <w:t>Contractual Practices in the Latin American Audiovisual Sector in the Digital Environment</w:t>
            </w:r>
            <w:r w:rsidR="007A159E" w:rsidRPr="000E4390">
              <w:t xml:space="preserve">, available at:  </w:t>
            </w:r>
            <w:hyperlink r:id="rId22" w:history="1">
              <w:r w:rsidR="00CE3747" w:rsidRPr="000E4390">
                <w:rPr>
                  <w:rStyle w:val="Hyperlink"/>
                </w:rPr>
                <w:t>dacatalogue.wipo.int/projectfiles/DA_1_3_4_10_11_16_25_35_01/Part_4/EN/LATAM%20AV%20study_part_4_EN.pdf</w:t>
              </w:r>
            </w:hyperlink>
            <w:r w:rsidR="00CE3747" w:rsidRPr="000E4390">
              <w:t xml:space="preserve"> </w:t>
            </w:r>
          </w:p>
          <w:p w14:paraId="3DBCCEDD" w14:textId="0A5FF22A" w:rsidR="00AB074F" w:rsidRPr="000E4390" w:rsidRDefault="003E3592" w:rsidP="00F12CC7">
            <w:pPr>
              <w:spacing w:after="240"/>
            </w:pPr>
            <w:r w:rsidRPr="000E4390">
              <w:t>T</w:t>
            </w:r>
            <w:r w:rsidR="00AB074F" w:rsidRPr="000E4390">
              <w:t xml:space="preserve">he particular aspects of Latin American audiovisual sector contractual practice covered in this </w:t>
            </w:r>
            <w:r w:rsidR="00AF6DEE">
              <w:t>s</w:t>
            </w:r>
            <w:r w:rsidR="00AB074F" w:rsidRPr="000E4390">
              <w:t>tudy specifically concern transactions between parties regarding the transfer/disposal/assignment of copyright and related rights and dispositions regarding fees, remuneration</w:t>
            </w:r>
            <w:r w:rsidR="00CB37D2">
              <w:t>,</w:t>
            </w:r>
            <w:r w:rsidR="00AB074F" w:rsidRPr="000E4390">
              <w:t xml:space="preserve"> and revenue-sharing.</w:t>
            </w:r>
            <w:r w:rsidRPr="000E4390">
              <w:t xml:space="preserve"> </w:t>
            </w:r>
            <w:r w:rsidR="00137128">
              <w:t xml:space="preserve"> </w:t>
            </w:r>
            <w:r w:rsidRPr="000E4390">
              <w:t xml:space="preserve">The </w:t>
            </w:r>
            <w:r w:rsidR="00137128">
              <w:t>s</w:t>
            </w:r>
            <w:r w:rsidRPr="000E4390">
              <w:t>tudy</w:t>
            </w:r>
            <w:r w:rsidR="00AB074F" w:rsidRPr="000E4390">
              <w:t xml:space="preserve"> </w:t>
            </w:r>
            <w:r w:rsidRPr="000E4390">
              <w:t>t</w:t>
            </w:r>
            <w:r w:rsidR="00137128">
              <w:t>akes</w:t>
            </w:r>
            <w:r w:rsidRPr="000E4390">
              <w:t xml:space="preserve"> into account the developments in digital distribution technologies, markets and business models and </w:t>
            </w:r>
            <w:r w:rsidR="00AB074F" w:rsidRPr="000E4390">
              <w:t>look</w:t>
            </w:r>
            <w:r w:rsidR="00137128">
              <w:t>s</w:t>
            </w:r>
            <w:r w:rsidR="00AB074F" w:rsidRPr="000E4390">
              <w:t xml:space="preserve"> primarily at distribution and licensing contracts and contracts involving individual authors and performers as creative participants. </w:t>
            </w:r>
            <w:r w:rsidR="00C51230">
              <w:t xml:space="preserve"> </w:t>
            </w:r>
            <w:r w:rsidR="00AB074F" w:rsidRPr="000E4390">
              <w:t>It home</w:t>
            </w:r>
            <w:r w:rsidR="00C51230">
              <w:t>s</w:t>
            </w:r>
            <w:r w:rsidR="00AB074F" w:rsidRPr="000E4390">
              <w:t xml:space="preserve"> in on the changing dynamics brought on by new forms of digital uses tha</w:t>
            </w:r>
            <w:r w:rsidR="006016F2" w:rsidRPr="000E4390">
              <w:t>t have made the audio</w:t>
            </w:r>
            <w:r w:rsidR="00AB074F" w:rsidRPr="000E4390">
              <w:t xml:space="preserve">visual value chain substantially more complex in recent years. </w:t>
            </w:r>
            <w:r w:rsidR="00C51230">
              <w:t xml:space="preserve"> </w:t>
            </w:r>
            <w:r w:rsidR="00AB074F" w:rsidRPr="000E4390">
              <w:t xml:space="preserve">The </w:t>
            </w:r>
            <w:r w:rsidR="00C51230">
              <w:t>s</w:t>
            </w:r>
            <w:r w:rsidR="00AB074F" w:rsidRPr="000E4390">
              <w:t>tudy investigate</w:t>
            </w:r>
            <w:r w:rsidR="00C51230">
              <w:t>s</w:t>
            </w:r>
            <w:r w:rsidR="00AB074F" w:rsidRPr="000E4390">
              <w:t xml:space="preserve"> contracts in the professional audiovisual content industry only.</w:t>
            </w:r>
          </w:p>
          <w:p w14:paraId="07222DE3" w14:textId="48E3C7AD" w:rsidR="002D203F" w:rsidRPr="000E4390" w:rsidRDefault="002D203F" w:rsidP="00F12CC7">
            <w:pPr>
              <w:spacing w:after="240"/>
            </w:pPr>
            <w:r w:rsidRPr="000E4390">
              <w:t xml:space="preserve">Part 5: </w:t>
            </w:r>
            <w:r w:rsidR="004B616D" w:rsidRPr="000E4390">
              <w:t xml:space="preserve"> </w:t>
            </w:r>
            <w:r w:rsidRPr="000E4390">
              <w:t>The Identification and Use of Metadata in Audiovisual Works</w:t>
            </w:r>
            <w:r w:rsidR="007A159E" w:rsidRPr="000E4390">
              <w:t xml:space="preserve">, available at:  </w:t>
            </w:r>
            <w:hyperlink r:id="rId23" w:history="1">
              <w:r w:rsidR="00CE3747" w:rsidRPr="000E4390">
                <w:rPr>
                  <w:rStyle w:val="Hyperlink"/>
                </w:rPr>
                <w:t>dacatalogue.wipo.int/projectfiles/DA_1_3_4_10_11_16_25_35_01/Part_5/EN/LATAM%20AV%20study_part_5_EN.pdf</w:t>
              </w:r>
            </w:hyperlink>
            <w:r w:rsidR="00CE3747" w:rsidRPr="000E4390">
              <w:t xml:space="preserve"> </w:t>
            </w:r>
          </w:p>
          <w:p w14:paraId="6F4754B3" w14:textId="179C920C" w:rsidR="00AB074F" w:rsidRPr="000E4390" w:rsidRDefault="000A4B38" w:rsidP="00F12CC7">
            <w:pPr>
              <w:spacing w:after="240"/>
            </w:pPr>
            <w:r w:rsidRPr="000E4390">
              <w:t>This part explore</w:t>
            </w:r>
            <w:r w:rsidR="007C7642">
              <w:t>s</w:t>
            </w:r>
            <w:r w:rsidRPr="000E4390">
              <w:t xml:space="preserve"> the five basic problems </w:t>
            </w:r>
            <w:r w:rsidR="00406820" w:rsidRPr="000E4390">
              <w:t>about</w:t>
            </w:r>
            <w:r w:rsidRPr="000E4390">
              <w:t xml:space="preserve"> information and metadata related to audiovisual work: </w:t>
            </w:r>
            <w:r w:rsidR="007C7642">
              <w:t xml:space="preserve"> </w:t>
            </w:r>
            <w:r w:rsidRPr="000E4390">
              <w:t>a) delay in data collection and loading;</w:t>
            </w:r>
            <w:r w:rsidR="00C06C79" w:rsidRPr="000E4390">
              <w:t xml:space="preserve"> </w:t>
            </w:r>
            <w:r w:rsidR="00AA646F">
              <w:t xml:space="preserve"> </w:t>
            </w:r>
            <w:r w:rsidRPr="000E4390">
              <w:t xml:space="preserve">b) lack of data; </w:t>
            </w:r>
            <w:r w:rsidR="00AA646F">
              <w:t xml:space="preserve"> </w:t>
            </w:r>
            <w:r w:rsidRPr="000E4390">
              <w:t xml:space="preserve">c) loss of data; </w:t>
            </w:r>
            <w:r w:rsidR="007C7642">
              <w:t xml:space="preserve"> </w:t>
            </w:r>
            <w:r w:rsidRPr="000E4390">
              <w:t xml:space="preserve">d) data contamination and inconsistency; </w:t>
            </w:r>
            <w:r w:rsidR="007C7642">
              <w:t xml:space="preserve"> </w:t>
            </w:r>
            <w:r w:rsidR="005D2458" w:rsidRPr="000E4390">
              <w:t>and e) </w:t>
            </w:r>
            <w:r w:rsidRPr="000E4390">
              <w:t xml:space="preserve">volume of data. </w:t>
            </w:r>
            <w:r w:rsidR="007C7642">
              <w:t xml:space="preserve"> </w:t>
            </w:r>
            <w:r w:rsidRPr="000E4390">
              <w:t xml:space="preserve">In particular, </w:t>
            </w:r>
            <w:r w:rsidR="00406820" w:rsidRPr="000E4390">
              <w:t>it</w:t>
            </w:r>
            <w:r w:rsidRPr="000E4390">
              <w:t xml:space="preserve"> emphasize</w:t>
            </w:r>
            <w:r w:rsidR="007C7642">
              <w:t>s</w:t>
            </w:r>
            <w:r w:rsidRPr="000E4390">
              <w:t xml:space="preserve"> the simplification </w:t>
            </w:r>
            <w:r w:rsidR="00406820" w:rsidRPr="000E4390">
              <w:t>of</w:t>
            </w:r>
            <w:r w:rsidRPr="000E4390">
              <w:t xml:space="preserve"> information management to reduce the costs associated with content distribution. </w:t>
            </w:r>
            <w:r w:rsidR="006016DF">
              <w:t xml:space="preserve"> </w:t>
            </w:r>
            <w:r w:rsidR="00406820" w:rsidRPr="000E4390">
              <w:t>The importance of metadata in streaming distribution channels relie</w:t>
            </w:r>
            <w:r w:rsidR="006016DF">
              <w:t>s</w:t>
            </w:r>
            <w:r w:rsidR="00406820" w:rsidRPr="000E4390">
              <w:t xml:space="preserve"> on the fact that </w:t>
            </w:r>
            <w:r w:rsidRPr="000E4390">
              <w:t xml:space="preserve">it is difficult for the public to access </w:t>
            </w:r>
            <w:r w:rsidR="00406820" w:rsidRPr="000E4390">
              <w:t xml:space="preserve">the content </w:t>
            </w:r>
            <w:r w:rsidRPr="000E4390">
              <w:t>without adequate information</w:t>
            </w:r>
            <w:r w:rsidR="00406820" w:rsidRPr="000E4390">
              <w:t xml:space="preserve"> for its </w:t>
            </w:r>
            <w:r w:rsidR="00406820" w:rsidRPr="000E4390">
              <w:lastRenderedPageBreak/>
              <w:t>discoverability</w:t>
            </w:r>
            <w:r w:rsidRPr="000E4390">
              <w:t xml:space="preserve">. </w:t>
            </w:r>
          </w:p>
          <w:p w14:paraId="57ABE8D5" w14:textId="164F25E8" w:rsidR="002D203F" w:rsidRPr="000E4390" w:rsidRDefault="002D203F" w:rsidP="00F12CC7">
            <w:pPr>
              <w:spacing w:after="240"/>
            </w:pPr>
            <w:r w:rsidRPr="000E4390">
              <w:t xml:space="preserve">Part 6: </w:t>
            </w:r>
            <w:r w:rsidR="004B616D" w:rsidRPr="000E4390">
              <w:t xml:space="preserve"> </w:t>
            </w:r>
            <w:r w:rsidR="00B77C12" w:rsidRPr="000E4390">
              <w:t xml:space="preserve">WIPO </w:t>
            </w:r>
            <w:r w:rsidRPr="000E4390">
              <w:t>Alternative Dispute Resolution</w:t>
            </w:r>
            <w:r w:rsidR="000A19FF" w:rsidRPr="000E4390">
              <w:t xml:space="preserve"> (ADR)</w:t>
            </w:r>
            <w:r w:rsidRPr="000E4390">
              <w:t xml:space="preserve"> Methods </w:t>
            </w:r>
            <w:r w:rsidR="000A19FF" w:rsidRPr="000E4390">
              <w:t>for Audiovisual</w:t>
            </w:r>
            <w:r w:rsidRPr="000E4390">
              <w:t xml:space="preserve"> OTT Business Models</w:t>
            </w:r>
            <w:r w:rsidR="007A159E" w:rsidRPr="000E4390">
              <w:t xml:space="preserve">, available at:  </w:t>
            </w:r>
            <w:hyperlink r:id="rId24" w:history="1">
              <w:r w:rsidR="00CE3747" w:rsidRPr="000E4390">
                <w:rPr>
                  <w:rStyle w:val="Hyperlink"/>
                </w:rPr>
                <w:t>dacatalogue.wipo.int/projectfiles/DA_1_3_4_10_11_16_25_35_01/Part_6/EN/LATAM%20AV%20study_part_6_EN.pdf</w:t>
              </w:r>
            </w:hyperlink>
            <w:r w:rsidR="00CE3747" w:rsidRPr="000E4390">
              <w:t xml:space="preserve"> </w:t>
            </w:r>
          </w:p>
          <w:p w14:paraId="18D6729C" w14:textId="3CA39D2A" w:rsidR="00406820" w:rsidRPr="000E4390" w:rsidRDefault="00406820" w:rsidP="00F12CC7">
            <w:pPr>
              <w:spacing w:after="240"/>
              <w:rPr>
                <w:b/>
              </w:rPr>
            </w:pPr>
            <w:r w:rsidRPr="000E4390">
              <w:t>With the growing number of contracts made for a single audiovisual production, some of them not even initially in written form, disputes frequently arise in the different phases of the audiovisual sector.</w:t>
            </w:r>
            <w:r w:rsidR="00C06C79" w:rsidRPr="000E4390">
              <w:t xml:space="preserve"> </w:t>
            </w:r>
            <w:r w:rsidR="00737C2A">
              <w:t xml:space="preserve"> </w:t>
            </w:r>
            <w:r w:rsidRPr="000E4390">
              <w:t xml:space="preserve">Given the increasing international aspect of distribution through streaming, the WIPO Arbitration and Mediation Center (the WIPO Center) </w:t>
            </w:r>
            <w:r w:rsidR="001310A9">
              <w:t xml:space="preserve">saw </w:t>
            </w:r>
            <w:r w:rsidRPr="000E4390">
              <w:t xml:space="preserve">an increasing number of mediations and arbitrations of cross-border disputes in the film and media industry. </w:t>
            </w:r>
            <w:r w:rsidR="006016DF">
              <w:t xml:space="preserve"> </w:t>
            </w:r>
            <w:r w:rsidR="00EC4705" w:rsidRPr="000E4390">
              <w:t xml:space="preserve">This </w:t>
            </w:r>
            <w:r w:rsidR="00CE3747" w:rsidRPr="000E4390">
              <w:t>part</w:t>
            </w:r>
            <w:r w:rsidR="00EC4705" w:rsidRPr="000E4390">
              <w:t xml:space="preserve"> present</w:t>
            </w:r>
            <w:r w:rsidR="006016DF">
              <w:t>s</w:t>
            </w:r>
            <w:r w:rsidR="00EC4705" w:rsidRPr="000E4390">
              <w:t xml:space="preserve"> an overview of the use of alternative dispute resolution mechanisms to resolve these disputes, WIPO’s experience in this field</w:t>
            </w:r>
            <w:r w:rsidR="006016DF">
              <w:t>,</w:t>
            </w:r>
            <w:r w:rsidR="00EC4705" w:rsidRPr="000E4390">
              <w:t xml:space="preserve"> and the global trends developing in this digital environment.</w:t>
            </w:r>
            <w:r w:rsidR="00EC4705" w:rsidRPr="000E4390">
              <w:rPr>
                <w:b/>
              </w:rPr>
              <w:t xml:space="preserve"> </w:t>
            </w:r>
            <w:r w:rsidR="006016DF">
              <w:rPr>
                <w:b/>
              </w:rPr>
              <w:t xml:space="preserve"> </w:t>
            </w:r>
            <w:r w:rsidR="00EC4705" w:rsidRPr="000E4390">
              <w:t>It show</w:t>
            </w:r>
            <w:r w:rsidR="006016DF">
              <w:t>s</w:t>
            </w:r>
            <w:r w:rsidR="00EC4705" w:rsidRPr="000E4390">
              <w:t xml:space="preserve"> that m</w:t>
            </w:r>
            <w:r w:rsidRPr="000E4390">
              <w:t xml:space="preserve">ore attention </w:t>
            </w:r>
            <w:r w:rsidR="001310A9">
              <w:t>to</w:t>
            </w:r>
            <w:r w:rsidR="001310A9" w:rsidRPr="000E4390">
              <w:t xml:space="preserve"> </w:t>
            </w:r>
            <w:r w:rsidR="007F5ACE" w:rsidRPr="000E4390">
              <w:t xml:space="preserve">Alternative Dispute Resolution in the audiovisual sector could facilitate smaller productions in Latin America.  </w:t>
            </w:r>
          </w:p>
          <w:p w14:paraId="6DFF6D04" w14:textId="508F038E" w:rsidR="00CE3747" w:rsidRPr="006928DE" w:rsidRDefault="002D203F" w:rsidP="00B956AA">
            <w:pPr>
              <w:pStyle w:val="Heading2"/>
              <w:spacing w:before="0" w:after="240"/>
              <w:rPr>
                <w:rFonts w:eastAsia="Times New Roman"/>
                <w:b/>
                <w:szCs w:val="22"/>
              </w:rPr>
            </w:pPr>
            <w:r w:rsidRPr="000E4390">
              <w:rPr>
                <w:rFonts w:eastAsia="Times New Roman"/>
                <w:b/>
                <w:szCs w:val="22"/>
              </w:rPr>
              <w:t xml:space="preserve">II. Study II: </w:t>
            </w:r>
            <w:r w:rsidR="004B616D" w:rsidRPr="000E4390">
              <w:rPr>
                <w:rFonts w:eastAsia="Times New Roman"/>
                <w:b/>
                <w:szCs w:val="22"/>
              </w:rPr>
              <w:t xml:space="preserve"> </w:t>
            </w:r>
            <w:r w:rsidRPr="000E4390">
              <w:rPr>
                <w:rFonts w:eastAsia="Times New Roman"/>
                <w:b/>
                <w:szCs w:val="22"/>
              </w:rPr>
              <w:t xml:space="preserve">The Audiovisual </w:t>
            </w:r>
            <w:r w:rsidR="007A159E" w:rsidRPr="000E4390">
              <w:rPr>
                <w:rFonts w:eastAsia="Times New Roman"/>
                <w:b/>
                <w:szCs w:val="22"/>
              </w:rPr>
              <w:t xml:space="preserve">CONTENT IN THE </w:t>
            </w:r>
            <w:r w:rsidRPr="000E4390">
              <w:rPr>
                <w:rFonts w:eastAsia="Times New Roman"/>
                <w:b/>
                <w:szCs w:val="22"/>
              </w:rPr>
              <w:t>Public Domain</w:t>
            </w:r>
            <w:r w:rsidR="007A159E" w:rsidRPr="000E4390">
              <w:rPr>
                <w:rFonts w:eastAsia="Times New Roman"/>
                <w:b/>
                <w:szCs w:val="22"/>
              </w:rPr>
              <w:t xml:space="preserve"> AND ORPHAN WORK</w:t>
            </w:r>
            <w:r w:rsidR="00EF66B1">
              <w:rPr>
                <w:rFonts w:eastAsia="Times New Roman"/>
                <w:b/>
                <w:szCs w:val="22"/>
              </w:rPr>
              <w:t>S</w:t>
            </w:r>
          </w:p>
          <w:p w14:paraId="35E97EC4" w14:textId="38421146" w:rsidR="00CE3747" w:rsidRPr="000E4390" w:rsidRDefault="00880F9F" w:rsidP="00F12CC7">
            <w:pPr>
              <w:spacing w:after="240"/>
            </w:pPr>
            <w:r w:rsidRPr="000E4390">
              <w:t xml:space="preserve">Audiovisual works, although fairly recent in history, </w:t>
            </w:r>
            <w:r w:rsidR="006016DF">
              <w:t xml:space="preserve">are </w:t>
            </w:r>
            <w:r w:rsidRPr="000E4390">
              <w:t xml:space="preserve">subject to the risks of deterioration and loss due to the fragile media in which the works are fixed. </w:t>
            </w:r>
            <w:r w:rsidR="00C74BDA" w:rsidRPr="000E4390">
              <w:t xml:space="preserve"> </w:t>
            </w:r>
            <w:r w:rsidR="00CE3747" w:rsidRPr="000E4390">
              <w:t xml:space="preserve">This </w:t>
            </w:r>
            <w:r w:rsidR="006016DF">
              <w:t>s</w:t>
            </w:r>
            <w:r w:rsidR="00CE3747" w:rsidRPr="000E4390">
              <w:t>tudy provide</w:t>
            </w:r>
            <w:r w:rsidR="006016DF">
              <w:t>s</w:t>
            </w:r>
            <w:r w:rsidR="00CE3747" w:rsidRPr="000E4390">
              <w:t xml:space="preserve"> an analysis of the legislations of Argentina, Brazil, Costa Rica, Ecuador</w:t>
            </w:r>
            <w:r w:rsidR="00875E11">
              <w:t>,</w:t>
            </w:r>
            <w:r w:rsidR="00CE3747" w:rsidRPr="000E4390">
              <w:t xml:space="preserve"> Peru and Uruguay. </w:t>
            </w:r>
            <w:r w:rsidR="00217E00">
              <w:t xml:space="preserve"> </w:t>
            </w:r>
            <w:r w:rsidR="00CE3747" w:rsidRPr="000E4390">
              <w:t xml:space="preserve">It </w:t>
            </w:r>
            <w:r w:rsidR="00217E00">
              <w:t>is</w:t>
            </w:r>
            <w:r w:rsidR="00CE3747" w:rsidRPr="000E4390">
              <w:t xml:space="preserve"> designed to help researchers, inventors and entrepreneurs gain access to and use technology and business information and knowledge in the public domain for the development of new innovative products and services in their own country. </w:t>
            </w:r>
            <w:r w:rsidR="00217E00">
              <w:t xml:space="preserve"> </w:t>
            </w:r>
            <w:r w:rsidR="00CE3747" w:rsidRPr="000E4390">
              <w:t xml:space="preserve">The focus of the study </w:t>
            </w:r>
            <w:r w:rsidR="00217E00">
              <w:t>is</w:t>
            </w:r>
            <w:r w:rsidR="00CE3747" w:rsidRPr="000E4390">
              <w:t xml:space="preserve"> on information and technology discl</w:t>
            </w:r>
            <w:r w:rsidR="00115EF2" w:rsidRPr="000E4390">
              <w:t xml:space="preserve">osed in patent documents. </w:t>
            </w:r>
            <w:r w:rsidR="00217E00">
              <w:t xml:space="preserve"> </w:t>
            </w:r>
            <w:r w:rsidR="00115EF2" w:rsidRPr="000E4390">
              <w:t>The s</w:t>
            </w:r>
            <w:r w:rsidR="00CE3747" w:rsidRPr="000E4390">
              <w:t xml:space="preserve">tudy is </w:t>
            </w:r>
            <w:r w:rsidR="004E5F05" w:rsidRPr="000E4390">
              <w:t>available</w:t>
            </w:r>
            <w:r w:rsidR="00CE3747" w:rsidRPr="000E4390">
              <w:t xml:space="preserve"> at:  </w:t>
            </w:r>
            <w:hyperlink r:id="rId25" w:history="1">
              <w:r w:rsidR="00CE3747" w:rsidRPr="000E4390">
                <w:rPr>
                  <w:rStyle w:val="Hyperlink"/>
                </w:rPr>
                <w:t>https://dacatalogue.wipo.int/projectfiles/DA_1_3_4_10_11_16_25_35_01/Orphan_Works/EN/LATAM%20AV%20study_Public_Domain_ES.pdf</w:t>
              </w:r>
            </w:hyperlink>
          </w:p>
          <w:p w14:paraId="6CF9D19E" w14:textId="130A2A38" w:rsidR="002D203F" w:rsidRPr="000E4390" w:rsidRDefault="002D203F" w:rsidP="00F12CC7">
            <w:pPr>
              <w:pStyle w:val="Heading2"/>
              <w:spacing w:before="0" w:after="240"/>
              <w:rPr>
                <w:rFonts w:eastAsia="Times New Roman"/>
                <w:b/>
                <w:szCs w:val="22"/>
              </w:rPr>
            </w:pPr>
            <w:r w:rsidRPr="000E4390">
              <w:rPr>
                <w:rFonts w:eastAsia="Times New Roman"/>
                <w:b/>
                <w:szCs w:val="22"/>
              </w:rPr>
              <w:t xml:space="preserve">III. Case Studies: </w:t>
            </w:r>
          </w:p>
          <w:p w14:paraId="6F8D16E6" w14:textId="139E7104" w:rsidR="00C74BDA" w:rsidRPr="000E4390" w:rsidRDefault="00C74BDA" w:rsidP="00F12CC7">
            <w:pPr>
              <w:spacing w:after="240"/>
            </w:pPr>
            <w:r w:rsidRPr="000E4390">
              <w:t xml:space="preserve">The following seven case studies assess the process of content distribution through digital channels in selected countries. </w:t>
            </w:r>
            <w:r w:rsidR="00800741">
              <w:t xml:space="preserve"> </w:t>
            </w:r>
            <w:r w:rsidRPr="000E4390">
              <w:t>They present concrete examples of some local productions distributed online with a view to better understand</w:t>
            </w:r>
            <w:r w:rsidR="001310A9">
              <w:t>ing</w:t>
            </w:r>
            <w:r w:rsidRPr="000E4390">
              <w:t xml:space="preserve"> the steps made by different actors in their attempt to reach users through digital means.</w:t>
            </w:r>
          </w:p>
          <w:p w14:paraId="46EB859F" w14:textId="1CC2B5F4" w:rsidR="002D203F" w:rsidRPr="000E4390" w:rsidRDefault="002D203F" w:rsidP="00F12CC7">
            <w:pPr>
              <w:pStyle w:val="Heading3"/>
              <w:spacing w:before="0" w:after="240"/>
              <w:rPr>
                <w:rFonts w:eastAsia="Times New Roman"/>
                <w:szCs w:val="22"/>
                <w:u w:val="none"/>
              </w:rPr>
            </w:pPr>
            <w:r w:rsidRPr="000E4390">
              <w:rPr>
                <w:rFonts w:eastAsia="Times New Roman"/>
                <w:szCs w:val="22"/>
                <w:u w:val="none"/>
              </w:rPr>
              <w:t xml:space="preserve">Case Study I: </w:t>
            </w:r>
            <w:r w:rsidR="00C74BDA" w:rsidRPr="000E4390">
              <w:rPr>
                <w:rFonts w:eastAsia="Times New Roman"/>
                <w:szCs w:val="22"/>
                <w:u w:val="none"/>
              </w:rPr>
              <w:t xml:space="preserve"> </w:t>
            </w:r>
            <w:r w:rsidRPr="000E4390">
              <w:rPr>
                <w:rFonts w:eastAsia="Times New Roman"/>
                <w:szCs w:val="22"/>
                <w:u w:val="none"/>
              </w:rPr>
              <w:t xml:space="preserve">Women in the Audiovisual Industry: </w:t>
            </w:r>
            <w:r w:rsidR="00B1659A" w:rsidRPr="000E4390">
              <w:rPr>
                <w:rFonts w:eastAsia="Times New Roman"/>
                <w:szCs w:val="22"/>
                <w:u w:val="none"/>
              </w:rPr>
              <w:t xml:space="preserve"> </w:t>
            </w:r>
            <w:r w:rsidRPr="000E4390">
              <w:rPr>
                <w:rFonts w:eastAsia="Times New Roman"/>
                <w:szCs w:val="22"/>
                <w:u w:val="none"/>
              </w:rPr>
              <w:t>A Panorama of Latin American Countries and Spain</w:t>
            </w:r>
            <w:r w:rsidR="00A74309" w:rsidRPr="000E4390">
              <w:rPr>
                <w:rFonts w:eastAsia="Times New Roman"/>
                <w:szCs w:val="22"/>
                <w:u w:val="none"/>
              </w:rPr>
              <w:t xml:space="preserve">, available at:  </w:t>
            </w:r>
            <w:hyperlink r:id="rId26" w:history="1">
              <w:r w:rsidR="00A74309" w:rsidRPr="000E4390">
                <w:rPr>
                  <w:rStyle w:val="Hyperlink"/>
                  <w:rFonts w:eastAsia="Times New Roman"/>
                  <w:szCs w:val="22"/>
                </w:rPr>
                <w:t>dacatalogue.wipo.int/projectfiles/DA_1_3_4_10_11_16_25_35_01/Case_Study_I/EN/LATAM%20AV%20case%20study%201%20EN.pdf</w:t>
              </w:r>
            </w:hyperlink>
            <w:r w:rsidR="00A74309" w:rsidRPr="000E4390">
              <w:rPr>
                <w:rFonts w:eastAsia="Times New Roman"/>
                <w:szCs w:val="22"/>
                <w:u w:val="none"/>
              </w:rPr>
              <w:t xml:space="preserve"> </w:t>
            </w:r>
          </w:p>
          <w:p w14:paraId="30396526" w14:textId="08A75F2B" w:rsidR="00CF2BDF" w:rsidRPr="000E4390" w:rsidRDefault="00CF2BDF" w:rsidP="00F12CC7">
            <w:pPr>
              <w:spacing w:after="240"/>
            </w:pPr>
            <w:r w:rsidRPr="000E4390">
              <w:t xml:space="preserve">This </w:t>
            </w:r>
            <w:r w:rsidR="00C74BDA" w:rsidRPr="000E4390">
              <w:t xml:space="preserve">case </w:t>
            </w:r>
            <w:r w:rsidRPr="000E4390">
              <w:t>study aim</w:t>
            </w:r>
            <w:r w:rsidR="00800741">
              <w:t>s</w:t>
            </w:r>
            <w:r w:rsidRPr="000E4390">
              <w:t xml:space="preserve"> to discuss female participation in the audiovisual industry in some Latin American countries and Spain. </w:t>
            </w:r>
            <w:r w:rsidR="00800741">
              <w:t xml:space="preserve"> </w:t>
            </w:r>
            <w:r w:rsidRPr="000E4390">
              <w:t xml:space="preserve">For this purpose, it </w:t>
            </w:r>
            <w:r w:rsidR="00A74309" w:rsidRPr="000E4390">
              <w:t>ma</w:t>
            </w:r>
            <w:r w:rsidR="00800741">
              <w:t>kes</w:t>
            </w:r>
            <w:r w:rsidR="00A74309" w:rsidRPr="000E4390">
              <w:t xml:space="preserve"> a</w:t>
            </w:r>
            <w:r w:rsidRPr="000E4390">
              <w:t xml:space="preserve"> sketch </w:t>
            </w:r>
            <w:r w:rsidR="00A74309" w:rsidRPr="000E4390">
              <w:t xml:space="preserve">of </w:t>
            </w:r>
            <w:r w:rsidRPr="000E4390">
              <w:t xml:space="preserve">a panorama of the current situation of gender diversity, highlighting the proportion of women in creative leadership roles, </w:t>
            </w:r>
            <w:r w:rsidRPr="000E4390">
              <w:rPr>
                <w:i/>
              </w:rPr>
              <w:t xml:space="preserve">i.e. </w:t>
            </w:r>
            <w:r w:rsidRPr="000E4390">
              <w:t xml:space="preserve">the credits in direction, scriptwriting and </w:t>
            </w:r>
            <w:r w:rsidRPr="000E4390">
              <w:lastRenderedPageBreak/>
              <w:t xml:space="preserve">production. </w:t>
            </w:r>
            <w:r w:rsidR="00800741">
              <w:t xml:space="preserve"> </w:t>
            </w:r>
            <w:r w:rsidRPr="000E4390">
              <w:t xml:space="preserve">Whenever possible, it </w:t>
            </w:r>
            <w:r w:rsidR="00A74309" w:rsidRPr="000E4390">
              <w:t>present</w:t>
            </w:r>
            <w:r w:rsidR="00800741">
              <w:t>s</w:t>
            </w:r>
            <w:r w:rsidRPr="000E4390">
              <w:t xml:space="preserve"> information on other technical-artistic roles, as well as on the sector’s workforce as a whole and on the cast of film narratives. </w:t>
            </w:r>
            <w:r w:rsidR="00800741">
              <w:t xml:space="preserve"> </w:t>
            </w:r>
            <w:r w:rsidRPr="000E4390">
              <w:t xml:space="preserve">This last set of data </w:t>
            </w:r>
            <w:r w:rsidR="00800741">
              <w:t>is</w:t>
            </w:r>
            <w:r w:rsidRPr="000E4390">
              <w:t xml:space="preserve"> not available for all countries and therefore </w:t>
            </w:r>
            <w:r w:rsidR="00800741">
              <w:t>is</w:t>
            </w:r>
            <w:r w:rsidRPr="000E4390">
              <w:t xml:space="preserve"> not comparable; </w:t>
            </w:r>
            <w:r w:rsidR="00800741">
              <w:t xml:space="preserve"> </w:t>
            </w:r>
            <w:r w:rsidRPr="000E4390">
              <w:t>it contribute</w:t>
            </w:r>
            <w:r w:rsidR="00800741">
              <w:t>s</w:t>
            </w:r>
            <w:r w:rsidRPr="000E4390">
              <w:t>, however, to the understanding of the different scenarios and was, thus, included in the sections pertaining to each country.</w:t>
            </w:r>
          </w:p>
          <w:p w14:paraId="2FFFAAA3" w14:textId="06815D78" w:rsidR="00CF2BDF" w:rsidRPr="000E4390" w:rsidRDefault="002D203F" w:rsidP="00DB1152">
            <w:pPr>
              <w:pStyle w:val="Heading3"/>
              <w:spacing w:before="0" w:after="240"/>
              <w:rPr>
                <w:rFonts w:eastAsia="Times New Roman"/>
                <w:szCs w:val="22"/>
                <w:u w:val="none"/>
              </w:rPr>
            </w:pPr>
            <w:r w:rsidRPr="000E4390">
              <w:rPr>
                <w:rFonts w:eastAsia="Times New Roman"/>
                <w:szCs w:val="22"/>
                <w:u w:val="none"/>
              </w:rPr>
              <w:t xml:space="preserve">Case Study II: </w:t>
            </w:r>
            <w:r w:rsidR="00F30BA3" w:rsidRPr="000E4390">
              <w:rPr>
                <w:rFonts w:eastAsia="Times New Roman"/>
                <w:szCs w:val="22"/>
                <w:u w:val="none"/>
              </w:rPr>
              <w:t xml:space="preserve"> </w:t>
            </w:r>
            <w:r w:rsidRPr="000E4390">
              <w:rPr>
                <w:rFonts w:eastAsia="Times New Roman"/>
                <w:szCs w:val="22"/>
                <w:u w:val="none"/>
              </w:rPr>
              <w:t>The expe</w:t>
            </w:r>
            <w:r w:rsidR="000A19FF" w:rsidRPr="000E4390">
              <w:rPr>
                <w:rFonts w:eastAsia="Times New Roman"/>
                <w:szCs w:val="22"/>
                <w:u w:val="none"/>
              </w:rPr>
              <w:t>rience of a Brazilian Independent Producer with Online Distribution of Audiovisual C</w:t>
            </w:r>
            <w:r w:rsidRPr="000E4390">
              <w:rPr>
                <w:rFonts w:eastAsia="Times New Roman"/>
                <w:szCs w:val="22"/>
                <w:u w:val="none"/>
              </w:rPr>
              <w:t>ontent</w:t>
            </w:r>
            <w:r w:rsidR="00F30BA3" w:rsidRPr="000E4390">
              <w:rPr>
                <w:rFonts w:eastAsia="Times New Roman"/>
                <w:szCs w:val="22"/>
                <w:u w:val="none"/>
              </w:rPr>
              <w:t xml:space="preserve">, available at:  </w:t>
            </w:r>
            <w:hyperlink r:id="rId27" w:history="1">
              <w:r w:rsidR="00F30BA3" w:rsidRPr="000E4390">
                <w:rPr>
                  <w:rStyle w:val="Hyperlink"/>
                  <w:rFonts w:eastAsia="Times New Roman"/>
                  <w:szCs w:val="22"/>
                </w:rPr>
                <w:t>dacatalogue.wipo.int/projectfiles/DA_1_3_4_10_11_16_25_35_01/Case_Study_II/EN/LATAM%20AV%20case%20study%202%20EN.pdf</w:t>
              </w:r>
            </w:hyperlink>
            <w:r w:rsidR="00F30BA3" w:rsidRPr="000E4390">
              <w:rPr>
                <w:rFonts w:eastAsia="Times New Roman"/>
                <w:szCs w:val="22"/>
                <w:u w:val="none"/>
              </w:rPr>
              <w:t xml:space="preserve"> </w:t>
            </w:r>
          </w:p>
          <w:p w14:paraId="6EFE99CA" w14:textId="0CFDC4FE" w:rsidR="00CF2BDF" w:rsidRPr="000E4390" w:rsidRDefault="00CF2BDF" w:rsidP="00DB1152">
            <w:pPr>
              <w:spacing w:after="240"/>
            </w:pPr>
            <w:r w:rsidRPr="000E4390">
              <w:t>This case study investigate</w:t>
            </w:r>
            <w:r w:rsidR="00800741">
              <w:t>s</w:t>
            </w:r>
            <w:r w:rsidRPr="000E4390">
              <w:t xml:space="preserve"> the main shifts in the legal structuring of audiovisual production in Brazil as a result of digital distribution, following the perspective of the rights required to ensure </w:t>
            </w:r>
            <w:r w:rsidR="00800741">
              <w:t xml:space="preserve">the </w:t>
            </w:r>
            <w:r w:rsidRPr="000E4390">
              <w:t>efficient distribution of</w:t>
            </w:r>
            <w:r w:rsidR="00800741">
              <w:t xml:space="preserve"> </w:t>
            </w:r>
            <w:r w:rsidRPr="000E4390">
              <w:t xml:space="preserve">audiovisual work. </w:t>
            </w:r>
            <w:r w:rsidR="00800741">
              <w:t xml:space="preserve"> </w:t>
            </w:r>
            <w:r w:rsidR="00F30BA3" w:rsidRPr="000E4390">
              <w:t>It</w:t>
            </w:r>
            <w:r w:rsidRPr="000E4390">
              <w:t xml:space="preserve"> also aim</w:t>
            </w:r>
            <w:r w:rsidR="00800741">
              <w:t>s</w:t>
            </w:r>
            <w:r w:rsidRPr="000E4390">
              <w:t xml:space="preserve"> to point out the main challenges and trends of Brazilian audiovisual producers in this context. </w:t>
            </w:r>
            <w:r w:rsidR="00800741">
              <w:t xml:space="preserve"> </w:t>
            </w:r>
            <w:r w:rsidRPr="000E4390">
              <w:t>In order to understand the practical implications, this case study buil</w:t>
            </w:r>
            <w:r w:rsidR="00800741">
              <w:t>ds</w:t>
            </w:r>
            <w:r w:rsidRPr="000E4390">
              <w:t xml:space="preserve"> on the experience of the Brazilian producer O2 Filmes.</w:t>
            </w:r>
          </w:p>
          <w:p w14:paraId="414C41B9" w14:textId="4619D183" w:rsidR="002D203F" w:rsidRPr="000E4390" w:rsidRDefault="002D203F" w:rsidP="00DB1152">
            <w:pPr>
              <w:spacing w:after="240"/>
            </w:pPr>
            <w:r w:rsidRPr="000E4390">
              <w:t xml:space="preserve">Case Study III: </w:t>
            </w:r>
            <w:r w:rsidR="00E51B26" w:rsidRPr="000E4390">
              <w:t xml:space="preserve"> The Development of a L</w:t>
            </w:r>
            <w:r w:rsidRPr="000E4390">
              <w:t>ocal OTT</w:t>
            </w:r>
            <w:r w:rsidR="008C6EBD" w:rsidRPr="000E4390">
              <w:t xml:space="preserve">, available at:  </w:t>
            </w:r>
            <w:hyperlink r:id="rId28" w:history="1">
              <w:r w:rsidR="008C6EBD" w:rsidRPr="000E4390">
                <w:rPr>
                  <w:rStyle w:val="Hyperlink"/>
                </w:rPr>
                <w:t>dacatalogue.wipo.int/projectfiles/DA_1_3_4_10_11_16_25_35_01/Case_Study_III/EN/LATAM%20AV%20case%20study%203%20EN.pdf</w:t>
              </w:r>
            </w:hyperlink>
            <w:r w:rsidR="008C6EBD" w:rsidRPr="000E4390">
              <w:t xml:space="preserve"> </w:t>
            </w:r>
          </w:p>
          <w:p w14:paraId="25823D4F" w14:textId="705962AB" w:rsidR="002D203F" w:rsidRPr="000E4390" w:rsidRDefault="00CF2BDF" w:rsidP="00DB1152">
            <w:pPr>
              <w:spacing w:after="240"/>
            </w:pPr>
            <w:r w:rsidRPr="000E4390">
              <w:t>Th</w:t>
            </w:r>
            <w:r w:rsidR="00F30BA3" w:rsidRPr="000E4390">
              <w:t>is</w:t>
            </w:r>
            <w:r w:rsidRPr="000E4390">
              <w:t xml:space="preserve"> case study ma</w:t>
            </w:r>
            <w:r w:rsidR="00AA646F">
              <w:t>kes</w:t>
            </w:r>
            <w:r w:rsidRPr="000E4390">
              <w:t xml:space="preserve"> a comparison between Netflix and Claro Video as OTT platforms considering some key elements</w:t>
            </w:r>
            <w:r w:rsidR="00AA646F">
              <w:t>,</w:t>
            </w:r>
            <w:r w:rsidRPr="000E4390">
              <w:t xml:space="preserve"> </w:t>
            </w:r>
            <w:r w:rsidR="00301E84">
              <w:t xml:space="preserve">such </w:t>
            </w:r>
            <w:r w:rsidRPr="000E4390">
              <w:t xml:space="preserve">as price, accessibility, user interface, </w:t>
            </w:r>
            <w:r w:rsidR="00301E84">
              <w:t xml:space="preserve">and </w:t>
            </w:r>
            <w:r w:rsidRPr="000E4390">
              <w:t>internati</w:t>
            </w:r>
            <w:r w:rsidR="00AA646F">
              <w:t>onal and Latin American content</w:t>
            </w:r>
            <w:r w:rsidRPr="000E4390">
              <w:t>.</w:t>
            </w:r>
          </w:p>
          <w:p w14:paraId="1076D725" w14:textId="00C71141" w:rsidR="002D203F" w:rsidRPr="000E4390" w:rsidRDefault="002D203F" w:rsidP="00DB1152">
            <w:pPr>
              <w:spacing w:after="240"/>
            </w:pPr>
            <w:r w:rsidRPr="000E4390">
              <w:t xml:space="preserve">Case Study IV: </w:t>
            </w:r>
            <w:r w:rsidR="008F1748" w:rsidRPr="000E4390">
              <w:t xml:space="preserve"> </w:t>
            </w:r>
            <w:r w:rsidR="00815464" w:rsidRPr="000E4390">
              <w:t>The Clearance of R</w:t>
            </w:r>
            <w:r w:rsidRPr="000E4390">
              <w:t xml:space="preserve">ights </w:t>
            </w:r>
            <w:r w:rsidR="00815464" w:rsidRPr="000E4390">
              <w:t>from the Perspective of a Brazilian Independent Producer</w:t>
            </w:r>
            <w:r w:rsidR="008F1748" w:rsidRPr="000E4390">
              <w:t xml:space="preserve">, available at:  </w:t>
            </w:r>
            <w:hyperlink r:id="rId29" w:history="1">
              <w:r w:rsidR="008F1748" w:rsidRPr="000E4390">
                <w:rPr>
                  <w:rStyle w:val="Hyperlink"/>
                </w:rPr>
                <w:t>dacatalogue.wipo.int/projectfiles/DA_1_3_4_10_11_16_25_35_01/Case_Study_IV/EN/LATAM%20AV%20case%20study%204%20EN.pdf</w:t>
              </w:r>
            </w:hyperlink>
            <w:r w:rsidR="008F1748" w:rsidRPr="000E4390">
              <w:t xml:space="preserve">  </w:t>
            </w:r>
          </w:p>
          <w:p w14:paraId="3C12E091" w14:textId="3B4EBC7E" w:rsidR="00A32FA0" w:rsidRPr="000E4390" w:rsidRDefault="00A32FA0" w:rsidP="00DB1152">
            <w:pPr>
              <w:spacing w:after="240"/>
            </w:pPr>
            <w:r w:rsidRPr="000E4390">
              <w:t>This case study describe</w:t>
            </w:r>
            <w:r w:rsidR="00AA646F">
              <w:t>s</w:t>
            </w:r>
            <w:r w:rsidRPr="000E4390">
              <w:t xml:space="preserve"> the clearance practices commonly adopted in Brazilian audiovisual production through the experience of independent producers, such as the Brazilian O2 Filmes. </w:t>
            </w:r>
            <w:r w:rsidR="00AA646F">
              <w:t xml:space="preserve"> </w:t>
            </w:r>
            <w:r w:rsidRPr="000E4390">
              <w:t>The case study discusse</w:t>
            </w:r>
            <w:r w:rsidR="00AA646F">
              <w:t>s</w:t>
            </w:r>
            <w:r w:rsidRPr="000E4390">
              <w:t xml:space="preserve"> the importance of clearance of rights, </w:t>
            </w:r>
            <w:r w:rsidR="00AA646F">
              <w:t>which pre</w:t>
            </w:r>
            <w:r w:rsidR="00AA646F">
              <w:noBreakHyphen/>
            </w:r>
            <w:r w:rsidRPr="000E4390">
              <w:t>existing rights are commonly assessed, the execution of clearance in the different stages of production, and whether clearance has been impacted by increased digital distribution.</w:t>
            </w:r>
          </w:p>
          <w:p w14:paraId="38E8FFBA" w14:textId="7130648A" w:rsidR="002D203F" w:rsidRPr="000E4390" w:rsidRDefault="002D203F" w:rsidP="00DB1152">
            <w:pPr>
              <w:spacing w:after="240"/>
            </w:pPr>
            <w:r w:rsidRPr="000E4390">
              <w:t xml:space="preserve">Case Study V: </w:t>
            </w:r>
            <w:r w:rsidR="00BC3C00" w:rsidRPr="000E4390">
              <w:t xml:space="preserve"> </w:t>
            </w:r>
            <w:r w:rsidR="001408B3" w:rsidRPr="000E4390">
              <w:t>The R</w:t>
            </w:r>
            <w:r w:rsidRPr="000E4390">
              <w:t xml:space="preserve">ole of an Aggregator in VOD Distribution in Brazil and Latin America: </w:t>
            </w:r>
            <w:r w:rsidR="001408B3" w:rsidRPr="000E4390">
              <w:t xml:space="preserve"> </w:t>
            </w:r>
            <w:r w:rsidRPr="000E4390">
              <w:t>The Experience of Sof</w:t>
            </w:r>
            <w:r w:rsidR="00033C25" w:rsidRPr="00875E11">
              <w:t>á</w:t>
            </w:r>
            <w:r w:rsidRPr="000E4390">
              <w:t xml:space="preserve"> Digital</w:t>
            </w:r>
            <w:r w:rsidR="00BC3C00" w:rsidRPr="000E4390">
              <w:t xml:space="preserve">, available at:  </w:t>
            </w:r>
            <w:hyperlink r:id="rId30" w:history="1">
              <w:r w:rsidR="00BC3C00" w:rsidRPr="000E4390">
                <w:rPr>
                  <w:rStyle w:val="Hyperlink"/>
                </w:rPr>
                <w:t>dacatalogue.wipo.int/projectfiles/DA_1_3_4_10_11_16_25_35_01/Case_Study_V/EN/LATAM%20AV%20case%20study%205%20EN.pdf</w:t>
              </w:r>
            </w:hyperlink>
            <w:r w:rsidR="00BC3C00" w:rsidRPr="000E4390">
              <w:t xml:space="preserve"> </w:t>
            </w:r>
            <w:r w:rsidRPr="000E4390">
              <w:t xml:space="preserve">  </w:t>
            </w:r>
          </w:p>
          <w:p w14:paraId="19393716" w14:textId="37DDF3BA" w:rsidR="00A32FA0" w:rsidRPr="000E4390" w:rsidRDefault="00A32FA0" w:rsidP="00DB1152">
            <w:pPr>
              <w:spacing w:after="240"/>
            </w:pPr>
            <w:r w:rsidRPr="000E4390">
              <w:t>This case study investigate</w:t>
            </w:r>
            <w:r w:rsidR="00AA646F">
              <w:t>s</w:t>
            </w:r>
            <w:r w:rsidRPr="000E4390">
              <w:t xml:space="preserve"> the role of a Brazilian-based aggregator, Sofá Digital, in the evolving Video-on-Demand (“VoD”) distribution market in Latin America. </w:t>
            </w:r>
            <w:r w:rsidR="00AA646F">
              <w:t xml:space="preserve"> </w:t>
            </w:r>
            <w:r w:rsidRPr="000E4390">
              <w:t>The metho</w:t>
            </w:r>
            <w:r w:rsidR="009E4A11">
              <w:t>dology for this work was a semi</w:t>
            </w:r>
            <w:r w:rsidR="009E4A11">
              <w:noBreakHyphen/>
            </w:r>
            <w:r w:rsidRPr="000E4390">
              <w:t>structured interview</w:t>
            </w:r>
            <w:r w:rsidR="009E4A11">
              <w:t>,</w:t>
            </w:r>
            <w:r w:rsidRPr="000E4390">
              <w:t xml:space="preserve"> held by teleconference with Fabio Lima, Executive Partner of Sofá Digital. </w:t>
            </w:r>
            <w:r w:rsidR="00AA646F">
              <w:t xml:space="preserve"> </w:t>
            </w:r>
            <w:r w:rsidRPr="000E4390">
              <w:t>Aggregators surfaced as intermediaries in the distribution of audiovisual works, providing technical, business and marketing expertise and acting as gatekeepers between individual producers and local distributors</w:t>
            </w:r>
            <w:r w:rsidR="00AA646F">
              <w:t>,</w:t>
            </w:r>
            <w:r w:rsidRPr="000E4390">
              <w:t xml:space="preserve"> on </w:t>
            </w:r>
            <w:r w:rsidRPr="000E4390">
              <w:lastRenderedPageBreak/>
              <w:t>one side</w:t>
            </w:r>
            <w:r w:rsidR="00AA646F">
              <w:t>,</w:t>
            </w:r>
            <w:r w:rsidRPr="000E4390">
              <w:t xml:space="preserve"> and digital platforms on the other side.</w:t>
            </w:r>
          </w:p>
          <w:p w14:paraId="7507828D" w14:textId="7B6F66F1" w:rsidR="002D203F" w:rsidRPr="000E4390" w:rsidRDefault="002D203F" w:rsidP="00DB1152">
            <w:pPr>
              <w:spacing w:after="240"/>
            </w:pPr>
            <w:r w:rsidRPr="000E4390">
              <w:t xml:space="preserve">Case Study VI: </w:t>
            </w:r>
            <w:r w:rsidR="00AA646F">
              <w:t xml:space="preserve"> </w:t>
            </w:r>
            <w:r w:rsidRPr="000E4390">
              <w:t xml:space="preserve">Data in the Audiovisual Business: </w:t>
            </w:r>
            <w:r w:rsidR="008223C5" w:rsidRPr="000E4390">
              <w:t xml:space="preserve"> </w:t>
            </w:r>
            <w:r w:rsidRPr="000E4390">
              <w:t>Trends and Opportunities</w:t>
            </w:r>
            <w:r w:rsidR="001B4DF1" w:rsidRPr="000E4390">
              <w:t xml:space="preserve">, available at:  </w:t>
            </w:r>
            <w:hyperlink r:id="rId31" w:history="1">
              <w:r w:rsidR="001B4DF1" w:rsidRPr="000E4390">
                <w:rPr>
                  <w:rStyle w:val="Hyperlink"/>
                </w:rPr>
                <w:t>dacatalogue.wipo.int/projectfiles/DA_1_3_4_10_11_16_25_35_01/Case_Study_VI/EN/LATAM%20AV%20case%20study%206%20EN.pdf</w:t>
              </w:r>
            </w:hyperlink>
            <w:r w:rsidR="001B4DF1" w:rsidRPr="000E4390">
              <w:t xml:space="preserve"> </w:t>
            </w:r>
            <w:r w:rsidRPr="000E4390">
              <w:t xml:space="preserve">  </w:t>
            </w:r>
          </w:p>
          <w:p w14:paraId="3C2854C2" w14:textId="58DC09D9" w:rsidR="002D203F" w:rsidRPr="000E4390" w:rsidRDefault="00AA646F" w:rsidP="00DB1152">
            <w:pPr>
              <w:spacing w:after="240"/>
            </w:pPr>
            <w:r>
              <w:t>T</w:t>
            </w:r>
            <w:r w:rsidR="00CF2BDF" w:rsidRPr="000E4390">
              <w:t xml:space="preserve">he technologies involved in the Fourth Industrial Revolution </w:t>
            </w:r>
            <w:r w:rsidR="000E4080">
              <w:t>are</w:t>
            </w:r>
            <w:r w:rsidR="000E4080" w:rsidRPr="000E4390">
              <w:t xml:space="preserve"> directly</w:t>
            </w:r>
            <w:r w:rsidR="00CF2BDF" w:rsidRPr="000E4390">
              <w:t xml:space="preserve"> related to collecting, processing and analyzing data. </w:t>
            </w:r>
            <w:r>
              <w:t xml:space="preserve"> </w:t>
            </w:r>
            <w:r w:rsidR="00CF2BDF" w:rsidRPr="000E4390">
              <w:t xml:space="preserve">The creative industry </w:t>
            </w:r>
            <w:r>
              <w:t xml:space="preserve">is </w:t>
            </w:r>
            <w:r w:rsidR="00CF2BDF" w:rsidRPr="000E4390">
              <w:t xml:space="preserve">also a big part of this revolution. </w:t>
            </w:r>
            <w:r>
              <w:t xml:space="preserve"> </w:t>
            </w:r>
            <w:r w:rsidR="00CF2BDF" w:rsidRPr="000E4390">
              <w:t>Because OTT platforms provide services directly to consumers, the</w:t>
            </w:r>
            <w:r>
              <w:t>y</w:t>
            </w:r>
            <w:r w:rsidR="00CF2BDF" w:rsidRPr="000E4390">
              <w:t xml:space="preserve"> can collect, manage and measure data related to their catalogs and specific users. </w:t>
            </w:r>
            <w:r>
              <w:t xml:space="preserve"> </w:t>
            </w:r>
            <w:r w:rsidR="00737C2A">
              <w:t xml:space="preserve"> </w:t>
            </w:r>
            <w:r w:rsidR="00CF2BDF" w:rsidRPr="000E4390">
              <w:t>This</w:t>
            </w:r>
            <w:r w:rsidR="001C0962" w:rsidRPr="000E4390">
              <w:t xml:space="preserve"> case</w:t>
            </w:r>
            <w:r w:rsidR="00CF2BDF" w:rsidRPr="000E4390">
              <w:t xml:space="preserve"> study analyze</w:t>
            </w:r>
            <w:r>
              <w:t>s</w:t>
            </w:r>
            <w:r w:rsidR="00CF2BDF" w:rsidRPr="000E4390">
              <w:t xml:space="preserve"> some of the most important trends and opportunities involving data in OTT business models.</w:t>
            </w:r>
          </w:p>
          <w:p w14:paraId="724861ED" w14:textId="751D384F" w:rsidR="00C2739A" w:rsidRPr="000E4390" w:rsidRDefault="002D203F" w:rsidP="00DB1152">
            <w:pPr>
              <w:spacing w:after="240"/>
            </w:pPr>
            <w:r w:rsidRPr="000E4390">
              <w:t xml:space="preserve">Case Study VII: </w:t>
            </w:r>
            <w:r w:rsidR="00F86C0D" w:rsidRPr="000E4390">
              <w:t xml:space="preserve"> </w:t>
            </w:r>
            <w:r w:rsidRPr="000E4390">
              <w:t xml:space="preserve">The </w:t>
            </w:r>
            <w:r w:rsidR="00F86C0D" w:rsidRPr="000E4390">
              <w:t>CINE.AR and CINE.AR P</w:t>
            </w:r>
            <w:r w:rsidRPr="000E4390">
              <w:t>lay</w:t>
            </w:r>
            <w:r w:rsidR="00F86C0D" w:rsidRPr="000E4390">
              <w:t xml:space="preserve"> Streaming Platforms</w:t>
            </w:r>
            <w:r w:rsidR="00F656AD" w:rsidRPr="000E4390">
              <w:t xml:space="preserve">, available at:  </w:t>
            </w:r>
            <w:hyperlink r:id="rId32" w:history="1">
              <w:r w:rsidR="00F656AD" w:rsidRPr="000E4390">
                <w:rPr>
                  <w:rStyle w:val="Hyperlink"/>
                </w:rPr>
                <w:t>dacatalogue.wipo.int/projectfiles/DA_1_3_4_10_11_16_25_35_01/Case_Study_VII/EN/LATAM%20AV%20case%20study%207%20ES.pdf</w:t>
              </w:r>
            </w:hyperlink>
            <w:r w:rsidR="00F656AD" w:rsidRPr="000E4390">
              <w:t xml:space="preserve"> </w:t>
            </w:r>
            <w:r w:rsidRPr="000E4390">
              <w:t xml:space="preserve">  </w:t>
            </w:r>
          </w:p>
          <w:p w14:paraId="4681B644" w14:textId="550E8466" w:rsidR="00CF2BDF" w:rsidRPr="000E4390" w:rsidRDefault="00CF2BDF" w:rsidP="00DB1152">
            <w:pPr>
              <w:spacing w:after="240"/>
            </w:pPr>
            <w:r w:rsidRPr="000E4390">
              <w:t>This case study showcase</w:t>
            </w:r>
            <w:r w:rsidR="00AA646F">
              <w:t>s</w:t>
            </w:r>
            <w:r w:rsidRPr="000E4390">
              <w:t xml:space="preserve"> two initiatives to make local content available through local platforms. </w:t>
            </w:r>
          </w:p>
          <w:p w14:paraId="0EF0DAFF" w14:textId="466A879A" w:rsidR="002D203F" w:rsidRPr="000E4390" w:rsidRDefault="00C2739A" w:rsidP="00DB1152">
            <w:pPr>
              <w:spacing w:after="240"/>
              <w:rPr>
                <w:b/>
              </w:rPr>
            </w:pPr>
            <w:r w:rsidRPr="000E4390">
              <w:rPr>
                <w:b/>
              </w:rPr>
              <w:t>IV. CREATIVE ECONOMY NOTE</w:t>
            </w:r>
          </w:p>
          <w:p w14:paraId="2CC38363" w14:textId="4F5B5615" w:rsidR="00263A47" w:rsidRPr="000E4390" w:rsidRDefault="000E4080" w:rsidP="00DB1152">
            <w:pPr>
              <w:spacing w:after="240"/>
            </w:pPr>
            <w:r>
              <w:t>M</w:t>
            </w:r>
            <w:r w:rsidR="00AA2EB6" w:rsidRPr="000E4390">
              <w:t>edia streaming platforms are increas</w:t>
            </w:r>
            <w:r w:rsidR="00985121" w:rsidRPr="000E4390">
              <w:t>ingly</w:t>
            </w:r>
            <w:r w:rsidR="00AA2EB6" w:rsidRPr="000E4390">
              <w:t xml:space="preserve"> </w:t>
            </w:r>
            <w:r w:rsidR="00985121" w:rsidRPr="000E4390">
              <w:t>trying</w:t>
            </w:r>
            <w:r w:rsidR="00AA2EB6" w:rsidRPr="000E4390">
              <w:t xml:space="preserve"> to </w:t>
            </w:r>
            <w:r w:rsidR="001A385E" w:rsidRPr="000E4390">
              <w:t>attract</w:t>
            </w:r>
            <w:r w:rsidR="00AA2EB6" w:rsidRPr="000E4390">
              <w:t xml:space="preserve"> new subscribers. </w:t>
            </w:r>
            <w:r w:rsidR="00301E84">
              <w:t xml:space="preserve">This </w:t>
            </w:r>
            <w:r w:rsidR="00AA2EB6" w:rsidRPr="000E4390">
              <w:t>is the case in large markets and ha</w:t>
            </w:r>
            <w:r>
              <w:t>s</w:t>
            </w:r>
            <w:r w:rsidR="00AA2EB6" w:rsidRPr="000E4390">
              <w:t xml:space="preserve"> been a feature of the global lockdown where consumers are inevitably focused on digitally distributed media. </w:t>
            </w:r>
            <w:r>
              <w:t xml:space="preserve"> </w:t>
            </w:r>
            <w:r w:rsidR="00AA2EB6" w:rsidRPr="000E4390">
              <w:t xml:space="preserve">The competition </w:t>
            </w:r>
            <w:r>
              <w:t xml:space="preserve">is </w:t>
            </w:r>
            <w:r w:rsidR="00AA2EB6" w:rsidRPr="000E4390">
              <w:t>extremely tight for online platforms</w:t>
            </w:r>
            <w:r w:rsidR="00985121" w:rsidRPr="000E4390">
              <w:t xml:space="preserve">. </w:t>
            </w:r>
            <w:r>
              <w:t xml:space="preserve"> </w:t>
            </w:r>
            <w:r w:rsidR="00985121" w:rsidRPr="000E4390">
              <w:t>To differentiate themselves in the market, online platforms</w:t>
            </w:r>
            <w:r w:rsidR="00AA2EB6" w:rsidRPr="000E4390">
              <w:t xml:space="preserve"> </w:t>
            </w:r>
            <w:r w:rsidR="00985121" w:rsidRPr="000E4390">
              <w:t xml:space="preserve">adopt various strategies, including </w:t>
            </w:r>
            <w:r w:rsidR="00AA2EB6" w:rsidRPr="000E4390">
              <w:t xml:space="preserve">offering </w:t>
            </w:r>
            <w:r w:rsidR="00985121" w:rsidRPr="000E4390">
              <w:t xml:space="preserve">of </w:t>
            </w:r>
            <w:r w:rsidR="00AA2EB6" w:rsidRPr="000E4390">
              <w:t>exclusive content, some of which they</w:t>
            </w:r>
            <w:r w:rsidR="001A385E" w:rsidRPr="000E4390">
              <w:t xml:space="preserve"> a</w:t>
            </w:r>
            <w:r w:rsidR="00AA2EB6" w:rsidRPr="000E4390">
              <w:t xml:space="preserve">re producing themselves. </w:t>
            </w:r>
            <w:r>
              <w:t xml:space="preserve"> </w:t>
            </w:r>
            <w:r w:rsidR="00AA2EB6" w:rsidRPr="000E4390">
              <w:t>This research shed</w:t>
            </w:r>
            <w:r>
              <w:t>s</w:t>
            </w:r>
            <w:r w:rsidR="00AA2EB6" w:rsidRPr="000E4390">
              <w:t xml:space="preserve"> light on the potential drawbacks of this landscape</w:t>
            </w:r>
            <w:r w:rsidR="009F3D41" w:rsidRPr="000E4390">
              <w:t xml:space="preserve"> and </w:t>
            </w:r>
            <w:r w:rsidR="001A385E" w:rsidRPr="000E4390">
              <w:t xml:space="preserve">can be found at:  </w:t>
            </w:r>
            <w:hyperlink r:id="rId33" w:anchor="streaming-wars" w:history="1">
              <w:r w:rsidR="009F3D41" w:rsidRPr="000E4390">
                <w:rPr>
                  <w:rStyle w:val="Hyperlink"/>
                </w:rPr>
                <w:t>www.wipo.int/edocs/infogdocs/creative_industries/en/streaming-wars/#streaming-wars</w:t>
              </w:r>
            </w:hyperlink>
            <w:r w:rsidR="009F3D41" w:rsidRPr="000E4390">
              <w:t xml:space="preserve"> </w:t>
            </w:r>
            <w:r w:rsidR="009F3D41" w:rsidRPr="000E4390" w:rsidDel="009F3D41">
              <w:t xml:space="preserve"> </w:t>
            </w:r>
          </w:p>
          <w:p w14:paraId="40F73A06" w14:textId="47F50E67" w:rsidR="00787701" w:rsidRPr="000E4390" w:rsidRDefault="00787701" w:rsidP="00DB1152">
            <w:pPr>
              <w:spacing w:after="240"/>
              <w:rPr>
                <w:b/>
              </w:rPr>
            </w:pPr>
            <w:r w:rsidRPr="000E4390">
              <w:rPr>
                <w:b/>
              </w:rPr>
              <w:t xml:space="preserve">V. </w:t>
            </w:r>
            <w:r w:rsidR="007964B3" w:rsidRPr="000E4390">
              <w:rPr>
                <w:b/>
              </w:rPr>
              <w:t xml:space="preserve">SEMINARS </w:t>
            </w:r>
          </w:p>
          <w:p w14:paraId="70BA0939" w14:textId="113AEE4C" w:rsidR="006D1548" w:rsidRPr="000E4390" w:rsidRDefault="006D1548" w:rsidP="00DB1152">
            <w:pPr>
              <w:spacing w:after="240"/>
            </w:pPr>
            <w:r w:rsidRPr="000E4390">
              <w:t xml:space="preserve">In the course of the project, the following </w:t>
            </w:r>
            <w:r w:rsidR="00706199" w:rsidRPr="000E4390">
              <w:t>seminars</w:t>
            </w:r>
            <w:r w:rsidRPr="000E4390">
              <w:t xml:space="preserve"> were organized: </w:t>
            </w:r>
          </w:p>
          <w:p w14:paraId="4221DDD6" w14:textId="37998EEC" w:rsidR="00787701" w:rsidRPr="000E4390" w:rsidRDefault="00263A47" w:rsidP="00DB1152">
            <w:pPr>
              <w:spacing w:after="240"/>
            </w:pPr>
            <w:r w:rsidRPr="000E4390">
              <w:t>The First</w:t>
            </w:r>
            <w:r w:rsidR="00AE5CFD" w:rsidRPr="000E4390">
              <w:t xml:space="preserve"> </w:t>
            </w:r>
            <w:r w:rsidR="00F1632E" w:rsidRPr="000E4390">
              <w:t>Sub</w:t>
            </w:r>
            <w:r w:rsidR="006C217C" w:rsidRPr="000E4390">
              <w:t>-</w:t>
            </w:r>
            <w:r w:rsidR="00F1632E" w:rsidRPr="000E4390">
              <w:t>regional</w:t>
            </w:r>
            <w:r w:rsidR="00787701" w:rsidRPr="000E4390">
              <w:t xml:space="preserve"> Seminar</w:t>
            </w:r>
            <w:r w:rsidR="006D1548" w:rsidRPr="000E4390">
              <w:t xml:space="preserve"> </w:t>
            </w:r>
            <w:r w:rsidR="00787701" w:rsidRPr="000E4390">
              <w:t xml:space="preserve">was held </w:t>
            </w:r>
            <w:r w:rsidR="00875E11">
              <w:t>on</w:t>
            </w:r>
            <w:r w:rsidR="00787701" w:rsidRPr="000E4390">
              <w:t xml:space="preserve"> September 20, 2022</w:t>
            </w:r>
            <w:r w:rsidR="00875E11">
              <w:t>,</w:t>
            </w:r>
            <w:r w:rsidR="00787701" w:rsidRPr="000E4390">
              <w:t xml:space="preserve"> in Lima, Peru.  </w:t>
            </w:r>
            <w:r w:rsidR="00AE5CFD" w:rsidRPr="000E4390">
              <w:t xml:space="preserve">The </w:t>
            </w:r>
            <w:r w:rsidR="00947DEF" w:rsidRPr="000E4390">
              <w:t>Seminar</w:t>
            </w:r>
            <w:r w:rsidR="00AE5CFD" w:rsidRPr="000E4390">
              <w:t xml:space="preserve"> </w:t>
            </w:r>
            <w:r w:rsidR="00947DEF" w:rsidRPr="000E4390">
              <w:t xml:space="preserve">was attended by </w:t>
            </w:r>
            <w:r w:rsidR="00AE5CFD" w:rsidRPr="000E4390">
              <w:t>governmental representatives from Peru, Costa Rica and Ecuador and stakeholders from Peru</w:t>
            </w:r>
            <w:r w:rsidR="00DB1489" w:rsidRPr="000E4390">
              <w:t>, who</w:t>
            </w:r>
            <w:r w:rsidR="00AE5CFD" w:rsidRPr="000E4390">
              <w:t xml:space="preserve"> discuss</w:t>
            </w:r>
            <w:r w:rsidR="00DB1489" w:rsidRPr="000E4390">
              <w:t>ed</w:t>
            </w:r>
            <w:r w:rsidR="00AE5CFD" w:rsidRPr="000E4390">
              <w:t xml:space="preserve"> the reality of smaller audiovisual markets in the post-COVID-19 context in the digital environment. </w:t>
            </w:r>
          </w:p>
          <w:p w14:paraId="062767CA" w14:textId="06F7FDF6" w:rsidR="00762761" w:rsidRPr="000E4390" w:rsidRDefault="006C217C" w:rsidP="00EE5B0A">
            <w:pPr>
              <w:spacing w:after="120"/>
            </w:pPr>
            <w:r w:rsidRPr="000E4390">
              <w:t>The Second</w:t>
            </w:r>
            <w:r w:rsidR="00AE5CFD" w:rsidRPr="000E4390">
              <w:t xml:space="preserve"> </w:t>
            </w:r>
            <w:r w:rsidR="00F1632E" w:rsidRPr="000E4390">
              <w:t>Sub</w:t>
            </w:r>
            <w:r w:rsidRPr="000E4390">
              <w:t>-</w:t>
            </w:r>
            <w:r w:rsidR="00F1632E" w:rsidRPr="000E4390">
              <w:t>regional</w:t>
            </w:r>
            <w:r w:rsidR="00AE5CFD" w:rsidRPr="000E4390">
              <w:t xml:space="preserve"> Seminar</w:t>
            </w:r>
            <w:r w:rsidRPr="000E4390">
              <w:t xml:space="preserve"> </w:t>
            </w:r>
            <w:r w:rsidR="00F1632E" w:rsidRPr="000E4390">
              <w:t xml:space="preserve">was held from 28 </w:t>
            </w:r>
            <w:r w:rsidR="001E28C9">
              <w:t xml:space="preserve">November </w:t>
            </w:r>
            <w:r w:rsidR="00F1632E" w:rsidRPr="000E4390">
              <w:t xml:space="preserve">to </w:t>
            </w:r>
            <w:r w:rsidR="001E28C9">
              <w:t xml:space="preserve">2 December </w:t>
            </w:r>
            <w:r w:rsidR="00F1632E" w:rsidRPr="000E4390">
              <w:t xml:space="preserve">2022 in Buenos Aires, Argentina. </w:t>
            </w:r>
            <w:r w:rsidR="00926ED4">
              <w:t xml:space="preserve"> </w:t>
            </w:r>
            <w:r w:rsidR="001C64BE" w:rsidRPr="000E4390">
              <w:t xml:space="preserve">The meeting </w:t>
            </w:r>
            <w:r w:rsidRPr="000E4390">
              <w:t>was attended by</w:t>
            </w:r>
            <w:r w:rsidR="001C64BE" w:rsidRPr="000E4390">
              <w:t xml:space="preserve"> governmental representatives from </w:t>
            </w:r>
            <w:r w:rsidR="00527307" w:rsidRPr="000E4390">
              <w:t>Argentina,</w:t>
            </w:r>
            <w:r w:rsidR="001C64BE" w:rsidRPr="000E4390">
              <w:t xml:space="preserve"> Brazil and Uruguay. </w:t>
            </w:r>
            <w:r w:rsidR="005A5ECB">
              <w:t xml:space="preserve"> </w:t>
            </w:r>
            <w:r w:rsidR="001C64BE" w:rsidRPr="000E4390">
              <w:t>It also combined a stand-alone event and presentations during one of the most relevant audiovisual events in Latin America, the Ventana Sur.</w:t>
            </w:r>
            <w:r w:rsidR="005A5ECB">
              <w:t xml:space="preserve">  </w:t>
            </w:r>
            <w:r w:rsidR="001C64BE" w:rsidRPr="000E4390">
              <w:t xml:space="preserve">This allowed </w:t>
            </w:r>
            <w:r w:rsidR="008512D2" w:rsidRPr="000E4390">
              <w:t xml:space="preserve">to </w:t>
            </w:r>
            <w:r w:rsidR="001C64BE" w:rsidRPr="000E4390">
              <w:t xml:space="preserve">reach out </w:t>
            </w:r>
            <w:r w:rsidR="008512D2" w:rsidRPr="000E4390">
              <w:t>to</w:t>
            </w:r>
            <w:r w:rsidR="001C64BE" w:rsidRPr="000E4390">
              <w:t xml:space="preserve"> professional</w:t>
            </w:r>
            <w:r w:rsidR="008512D2" w:rsidRPr="000E4390">
              <w:t>s</w:t>
            </w:r>
            <w:r w:rsidR="001C64BE" w:rsidRPr="000E4390">
              <w:t xml:space="preserve"> from the audiovisual industry and </w:t>
            </w:r>
            <w:r w:rsidR="008512D2" w:rsidRPr="000E4390">
              <w:t xml:space="preserve">to </w:t>
            </w:r>
            <w:r w:rsidR="001C64BE" w:rsidRPr="000E4390">
              <w:t xml:space="preserve">provide useful information </w:t>
            </w:r>
            <w:r w:rsidR="005A5ECB">
              <w:t xml:space="preserve">for </w:t>
            </w:r>
            <w:r w:rsidR="001C64BE" w:rsidRPr="000E4390">
              <w:t xml:space="preserve">their daily activities. </w:t>
            </w:r>
          </w:p>
          <w:p w14:paraId="0EE34DFF" w14:textId="3791A4A6" w:rsidR="00AA2EB6" w:rsidRPr="000E4390" w:rsidRDefault="00762761" w:rsidP="00DB1152">
            <w:pPr>
              <w:spacing w:after="120"/>
            </w:pPr>
            <w:r w:rsidRPr="000E4390">
              <w:lastRenderedPageBreak/>
              <w:t>The</w:t>
            </w:r>
            <w:r w:rsidR="008512D2" w:rsidRPr="000E4390">
              <w:t xml:space="preserve"> Regional Seminar on the Latin American Audiovisual Industry in the </w:t>
            </w:r>
            <w:r w:rsidR="009B2D18" w:rsidRPr="000E4390">
              <w:t>E</w:t>
            </w:r>
            <w:r w:rsidR="008512D2" w:rsidRPr="000E4390">
              <w:t>ra of Streaming</w:t>
            </w:r>
            <w:r w:rsidRPr="000E4390">
              <w:t xml:space="preserve"> was held in Brasilia, Brazil from </w:t>
            </w:r>
            <w:r w:rsidR="00875E11">
              <w:t xml:space="preserve">June </w:t>
            </w:r>
            <w:r w:rsidRPr="000E4390">
              <w:t>12 to 13, 2023</w:t>
            </w:r>
            <w:r w:rsidR="008512D2" w:rsidRPr="000E4390">
              <w:t xml:space="preserve">. </w:t>
            </w:r>
            <w:r w:rsidR="005A5ECB">
              <w:t xml:space="preserve"> </w:t>
            </w:r>
            <w:r w:rsidR="008512D2" w:rsidRPr="000E4390">
              <w:t xml:space="preserve">The </w:t>
            </w:r>
            <w:r w:rsidR="00564EBA" w:rsidRPr="000E4390">
              <w:t xml:space="preserve">participants of the </w:t>
            </w:r>
            <w:r w:rsidR="008512D2" w:rsidRPr="000E4390">
              <w:t xml:space="preserve">Seminar </w:t>
            </w:r>
            <w:r w:rsidR="00564EBA" w:rsidRPr="000E4390">
              <w:t>included</w:t>
            </w:r>
            <w:r w:rsidRPr="000E4390">
              <w:t xml:space="preserve"> representatives f</w:t>
            </w:r>
            <w:r w:rsidR="000E4390" w:rsidRPr="000E4390">
              <w:t xml:space="preserve">rom the governments of 19 Latin </w:t>
            </w:r>
            <w:r w:rsidRPr="000E4390">
              <w:t>American countries</w:t>
            </w:r>
            <w:r w:rsidR="00B2417B" w:rsidRPr="000E4390">
              <w:t>,</w:t>
            </w:r>
            <w:r w:rsidRPr="000E4390">
              <w:t xml:space="preserve"> as well as </w:t>
            </w:r>
            <w:r w:rsidR="0050595D" w:rsidRPr="000E4390">
              <w:t xml:space="preserve">experts from </w:t>
            </w:r>
            <w:r w:rsidR="00A504BE">
              <w:t xml:space="preserve">the </w:t>
            </w:r>
            <w:r w:rsidR="0050595D" w:rsidRPr="000E4390">
              <w:t xml:space="preserve">audiovisual sector. </w:t>
            </w:r>
            <w:r w:rsidR="005A5ECB">
              <w:t xml:space="preserve"> </w:t>
            </w:r>
            <w:r w:rsidR="0050595D" w:rsidRPr="000E4390">
              <w:t xml:space="preserve">The seminar offered an opportunity to evaluate and discuss possible approaches on how to foster the local and regional audiovisual market in </w:t>
            </w:r>
            <w:r w:rsidR="00A504BE">
              <w:t xml:space="preserve">the </w:t>
            </w:r>
            <w:r w:rsidR="0050595D" w:rsidRPr="000E4390">
              <w:t xml:space="preserve">face of common problems that exist in many of the countries in Latin America. </w:t>
            </w:r>
            <w:r w:rsidR="005A5ECB">
              <w:t xml:space="preserve"> </w:t>
            </w:r>
            <w:r w:rsidR="0050595D" w:rsidRPr="000E4390">
              <w:t xml:space="preserve">One of the key conclusions </w:t>
            </w:r>
            <w:r w:rsidR="00875E11">
              <w:t>of</w:t>
            </w:r>
            <w:r w:rsidR="00926ED4">
              <w:t xml:space="preserve"> </w:t>
            </w:r>
            <w:r w:rsidR="0050595D" w:rsidRPr="000E4390">
              <w:t xml:space="preserve">the seminar was the lack of opportunities to have precise information and explore solutions as a region. </w:t>
            </w:r>
            <w:r w:rsidRPr="000E4390">
              <w:t xml:space="preserve"> </w:t>
            </w:r>
            <w:r w:rsidR="001C64BE" w:rsidRPr="000E4390">
              <w:t xml:space="preserve"> </w:t>
            </w:r>
          </w:p>
        </w:tc>
      </w:tr>
      <w:tr w:rsidR="00F44760" w:rsidRPr="000E4390" w14:paraId="2DDF3FD3" w14:textId="77777777" w:rsidTr="00A820D6">
        <w:trPr>
          <w:trHeight w:val="801"/>
        </w:trPr>
        <w:tc>
          <w:tcPr>
            <w:tcW w:w="2377" w:type="dxa"/>
            <w:shd w:val="clear" w:color="auto" w:fill="8DB3E1"/>
          </w:tcPr>
          <w:p w14:paraId="7EDBDE5C" w14:textId="77777777" w:rsidR="00F44760" w:rsidRPr="000E4390" w:rsidRDefault="00F44760" w:rsidP="00F3367C">
            <w:pPr>
              <w:pStyle w:val="TableParagraph"/>
              <w:spacing w:line="242" w:lineRule="auto"/>
              <w:ind w:left="110" w:right="235"/>
            </w:pPr>
            <w:r w:rsidRPr="000E4390">
              <w:rPr>
                <w:u w:val="single"/>
              </w:rPr>
              <w:lastRenderedPageBreak/>
              <w:t>Key Results and</w:t>
            </w:r>
            <w:r w:rsidRPr="000E4390">
              <w:rPr>
                <w:spacing w:val="1"/>
              </w:rPr>
              <w:t xml:space="preserve"> </w:t>
            </w:r>
            <w:r w:rsidRPr="000E4390">
              <w:rPr>
                <w:u w:val="single"/>
              </w:rPr>
              <w:t>Impact</w:t>
            </w:r>
            <w:r w:rsidRPr="000E4390">
              <w:rPr>
                <w:spacing w:val="-3"/>
                <w:u w:val="single"/>
              </w:rPr>
              <w:t xml:space="preserve"> </w:t>
            </w:r>
            <w:r w:rsidRPr="000E4390">
              <w:rPr>
                <w:u w:val="single"/>
              </w:rPr>
              <w:t>of</w:t>
            </w:r>
            <w:r w:rsidRPr="000E4390">
              <w:rPr>
                <w:spacing w:val="-6"/>
                <w:u w:val="single"/>
              </w:rPr>
              <w:t xml:space="preserve"> </w:t>
            </w:r>
            <w:r w:rsidRPr="000E4390">
              <w:rPr>
                <w:u w:val="single"/>
              </w:rPr>
              <w:t>the</w:t>
            </w:r>
            <w:r w:rsidRPr="000E4390">
              <w:rPr>
                <w:spacing w:val="-7"/>
                <w:u w:val="single"/>
              </w:rPr>
              <w:t xml:space="preserve"> </w:t>
            </w:r>
            <w:r w:rsidRPr="000E4390">
              <w:rPr>
                <w:u w:val="single"/>
              </w:rPr>
              <w:t>Project</w:t>
            </w:r>
          </w:p>
        </w:tc>
        <w:tc>
          <w:tcPr>
            <w:tcW w:w="6913" w:type="dxa"/>
          </w:tcPr>
          <w:p w14:paraId="13DC8224" w14:textId="2E1E80CD" w:rsidR="00EB2EFD" w:rsidRPr="000E4390" w:rsidRDefault="00345C86" w:rsidP="00F55479">
            <w:pPr>
              <w:pStyle w:val="TableParagraph"/>
              <w:numPr>
                <w:ilvl w:val="0"/>
                <w:numId w:val="9"/>
              </w:numPr>
              <w:spacing w:after="240"/>
              <w:ind w:left="432" w:right="806"/>
            </w:pPr>
            <w:r w:rsidRPr="000E4390">
              <w:t>Mapping of different legislations applicable to the distribution of audiovisual works through OTTs in Latin America</w:t>
            </w:r>
            <w:r w:rsidR="00EB2EFD" w:rsidRPr="000E4390">
              <w:t>.</w:t>
            </w:r>
          </w:p>
          <w:p w14:paraId="4051291D" w14:textId="53FE172C" w:rsidR="00345C86" w:rsidRPr="000E4390" w:rsidRDefault="00345C86" w:rsidP="00F55479">
            <w:pPr>
              <w:pStyle w:val="TableParagraph"/>
              <w:numPr>
                <w:ilvl w:val="0"/>
                <w:numId w:val="8"/>
              </w:numPr>
              <w:spacing w:after="240"/>
              <w:ind w:left="475" w:right="806"/>
            </w:pPr>
            <w:r w:rsidRPr="000E4390">
              <w:t>Identification of current issues that impact th</w:t>
            </w:r>
            <w:r w:rsidR="00EB2EFD" w:rsidRPr="000E4390">
              <w:t>e Latin American digital market.</w:t>
            </w:r>
          </w:p>
          <w:p w14:paraId="00D2C365" w14:textId="60C42502" w:rsidR="00345C86" w:rsidRPr="000E4390" w:rsidRDefault="00345C86" w:rsidP="00F55479">
            <w:pPr>
              <w:pStyle w:val="TableParagraph"/>
              <w:numPr>
                <w:ilvl w:val="0"/>
                <w:numId w:val="8"/>
              </w:numPr>
              <w:spacing w:after="240"/>
              <w:ind w:left="475" w:right="806"/>
            </w:pPr>
            <w:r w:rsidRPr="000E4390">
              <w:t>Identification of examples and experiences with</w:t>
            </w:r>
            <w:r w:rsidR="004B310D" w:rsidRPr="000E4390">
              <w:t>in</w:t>
            </w:r>
            <w:r w:rsidRPr="000E4390">
              <w:t xml:space="preserve"> the current digital market in Latin America</w:t>
            </w:r>
            <w:r w:rsidR="00EB2EFD" w:rsidRPr="000E4390">
              <w:t>.</w:t>
            </w:r>
            <w:r w:rsidRPr="000E4390">
              <w:t xml:space="preserve">  </w:t>
            </w:r>
          </w:p>
          <w:p w14:paraId="1A673339" w14:textId="54439AEF" w:rsidR="00EB2EFD" w:rsidRPr="000E4390" w:rsidRDefault="00C2739A" w:rsidP="00F55479">
            <w:pPr>
              <w:pStyle w:val="TableParagraph"/>
              <w:numPr>
                <w:ilvl w:val="0"/>
                <w:numId w:val="8"/>
              </w:numPr>
              <w:spacing w:after="240"/>
              <w:ind w:left="475" w:right="806"/>
            </w:pPr>
            <w:r w:rsidRPr="000E4390">
              <w:t>Data-based analysis of the i</w:t>
            </w:r>
            <w:r w:rsidR="004A1BD1" w:rsidRPr="000E4390">
              <w:t>mpact of the COVID-19 p</w:t>
            </w:r>
            <w:r w:rsidR="00345C86" w:rsidRPr="000E4390">
              <w:t>andemic on the audiovisual OTT market in Latin America</w:t>
            </w:r>
            <w:r w:rsidR="00EB2EFD" w:rsidRPr="000E4390">
              <w:t>.</w:t>
            </w:r>
          </w:p>
          <w:p w14:paraId="20DA597D" w14:textId="1A25EEE2" w:rsidR="00EB2EFD" w:rsidRPr="000E4390" w:rsidRDefault="000E4390" w:rsidP="00F55479">
            <w:pPr>
              <w:pStyle w:val="TableParagraph"/>
              <w:numPr>
                <w:ilvl w:val="0"/>
                <w:numId w:val="8"/>
              </w:numPr>
              <w:spacing w:after="240"/>
              <w:ind w:left="475" w:right="806"/>
            </w:pPr>
            <w:r w:rsidRPr="000E4390">
              <w:t xml:space="preserve">Insight information to Latin </w:t>
            </w:r>
            <w:r w:rsidR="00C2739A" w:rsidRPr="000E4390">
              <w:t xml:space="preserve">American governments </w:t>
            </w:r>
            <w:r w:rsidR="00C47ED4" w:rsidRPr="000E4390">
              <w:t xml:space="preserve">about </w:t>
            </w:r>
            <w:r w:rsidR="00C2739A" w:rsidRPr="000E4390">
              <w:t>the current status of the audiovisual sector in the region</w:t>
            </w:r>
            <w:r w:rsidR="00EB2EFD" w:rsidRPr="000E4390">
              <w:t>.</w:t>
            </w:r>
          </w:p>
          <w:p w14:paraId="68D1A5AE" w14:textId="77777777" w:rsidR="00EB2EFD" w:rsidRPr="000E4390" w:rsidRDefault="00C2739A" w:rsidP="00F55479">
            <w:pPr>
              <w:pStyle w:val="TableParagraph"/>
              <w:numPr>
                <w:ilvl w:val="0"/>
                <w:numId w:val="8"/>
              </w:numPr>
              <w:spacing w:after="240"/>
              <w:ind w:left="475" w:right="806"/>
            </w:pPr>
            <w:r w:rsidRPr="000E4390">
              <w:t>Initial approximation between participating countries on how to search for joint initiatives in the audiovisual area</w:t>
            </w:r>
            <w:r w:rsidR="00EB2EFD" w:rsidRPr="000E4390">
              <w:t>.</w:t>
            </w:r>
            <w:r w:rsidRPr="000E4390">
              <w:t xml:space="preserve"> </w:t>
            </w:r>
          </w:p>
          <w:p w14:paraId="472B52A2" w14:textId="0C4B269C" w:rsidR="00EB2EFD" w:rsidRPr="000E4390" w:rsidRDefault="00EB2EFD" w:rsidP="00F55479">
            <w:pPr>
              <w:pStyle w:val="TableParagraph"/>
              <w:numPr>
                <w:ilvl w:val="0"/>
                <w:numId w:val="8"/>
              </w:numPr>
              <w:spacing w:after="240"/>
              <w:ind w:left="475" w:right="806"/>
            </w:pPr>
            <w:r w:rsidRPr="000E4390">
              <w:t>I</w:t>
            </w:r>
            <w:r w:rsidR="00AF6CEA" w:rsidRPr="000E4390">
              <w:t>dentif</w:t>
            </w:r>
            <w:r w:rsidRPr="000E4390">
              <w:t>ication of</w:t>
            </w:r>
            <w:r w:rsidR="00AF6CEA" w:rsidRPr="000E4390">
              <w:t xml:space="preserve"> the needs of both the industry and governmental representatives in understanding the use of </w:t>
            </w:r>
            <w:r w:rsidR="00E13815" w:rsidRPr="000E4390">
              <w:t>IP</w:t>
            </w:r>
            <w:r w:rsidR="00AF6CEA" w:rsidRPr="000E4390">
              <w:t xml:space="preserve"> as a key element in the development of local audiovisual industry and, in particular, for micro, small and medium</w:t>
            </w:r>
            <w:r w:rsidR="00C47ED4" w:rsidRPr="000E4390">
              <w:t>-sized</w:t>
            </w:r>
            <w:r w:rsidR="00AF6CEA" w:rsidRPr="000E4390">
              <w:t xml:space="preserve"> enterprises</w:t>
            </w:r>
            <w:r w:rsidR="009500F9" w:rsidRPr="000E4390">
              <w:t xml:space="preserve"> (SMEs)</w:t>
            </w:r>
            <w:r w:rsidR="00AF6CEA" w:rsidRPr="000E4390">
              <w:t xml:space="preserve">. </w:t>
            </w:r>
          </w:p>
          <w:p w14:paraId="4D7C98B0" w14:textId="2DDC8FF3" w:rsidR="00E4599F" w:rsidRPr="000E4390" w:rsidRDefault="00AF6CEA" w:rsidP="00F55479">
            <w:pPr>
              <w:pStyle w:val="TableParagraph"/>
              <w:numPr>
                <w:ilvl w:val="0"/>
                <w:numId w:val="8"/>
              </w:numPr>
              <w:spacing w:after="240"/>
              <w:ind w:left="475" w:right="806"/>
            </w:pPr>
            <w:r w:rsidRPr="000E4390">
              <w:t xml:space="preserve">Milestone recompilation of initiatives to measure the participation of women in key roles in the audiovisual industry. </w:t>
            </w:r>
          </w:p>
          <w:p w14:paraId="69B708F3" w14:textId="72C222CB" w:rsidR="00C2739A" w:rsidRPr="000E4390" w:rsidRDefault="00F0387F" w:rsidP="00DB1152">
            <w:pPr>
              <w:pStyle w:val="TableParagraph"/>
              <w:numPr>
                <w:ilvl w:val="0"/>
                <w:numId w:val="8"/>
              </w:numPr>
              <w:spacing w:after="120"/>
              <w:ind w:left="475" w:right="806"/>
            </w:pPr>
            <w:r w:rsidRPr="000E4390">
              <w:t>Provision of information to audiovisual professionals, in particular</w:t>
            </w:r>
            <w:r w:rsidR="00AA4FEC" w:rsidRPr="000E4390">
              <w:t>,</w:t>
            </w:r>
            <w:r w:rsidRPr="000E4390">
              <w:t xml:space="preserve"> Latin American small and medium</w:t>
            </w:r>
            <w:r w:rsidR="00B62102" w:rsidRPr="000E4390">
              <w:t>-sized</w:t>
            </w:r>
            <w:r w:rsidRPr="000E4390">
              <w:t xml:space="preserve"> audiovisual producers, regarding the challenges in navigating the copyright and related rights framework in the audiovisual sector. </w:t>
            </w:r>
          </w:p>
        </w:tc>
      </w:tr>
      <w:tr w:rsidR="00F44760" w:rsidRPr="000E4390" w14:paraId="3BB872B1" w14:textId="77777777" w:rsidTr="00A820D6">
        <w:trPr>
          <w:trHeight w:val="711"/>
        </w:trPr>
        <w:tc>
          <w:tcPr>
            <w:tcW w:w="2377" w:type="dxa"/>
            <w:shd w:val="clear" w:color="auto" w:fill="8DB3E1"/>
          </w:tcPr>
          <w:p w14:paraId="68A04A8E" w14:textId="77777777" w:rsidR="00F44760" w:rsidRPr="000E4390" w:rsidRDefault="00F44760" w:rsidP="00F3367C">
            <w:pPr>
              <w:pStyle w:val="TableParagraph"/>
              <w:spacing w:before="1"/>
              <w:ind w:left="110" w:right="279"/>
            </w:pPr>
            <w:r w:rsidRPr="000E4390">
              <w:rPr>
                <w:u w:val="single"/>
              </w:rPr>
              <w:t>Experience gained</w:t>
            </w:r>
            <w:r w:rsidRPr="000E4390">
              <w:rPr>
                <w:spacing w:val="1"/>
              </w:rPr>
              <w:t xml:space="preserve"> </w:t>
            </w:r>
            <w:r w:rsidRPr="000E4390">
              <w:rPr>
                <w:u w:val="single"/>
              </w:rPr>
              <w:t>and</w:t>
            </w:r>
            <w:r w:rsidRPr="000E4390">
              <w:rPr>
                <w:spacing w:val="-7"/>
                <w:u w:val="single"/>
              </w:rPr>
              <w:t xml:space="preserve"> </w:t>
            </w:r>
            <w:r w:rsidRPr="000E4390">
              <w:rPr>
                <w:u w:val="single"/>
              </w:rPr>
              <w:t>lessons</w:t>
            </w:r>
            <w:r w:rsidRPr="000E4390">
              <w:rPr>
                <w:spacing w:val="-5"/>
                <w:u w:val="single"/>
              </w:rPr>
              <w:t xml:space="preserve"> </w:t>
            </w:r>
            <w:r w:rsidRPr="000E4390">
              <w:rPr>
                <w:u w:val="single"/>
              </w:rPr>
              <w:t>learned</w:t>
            </w:r>
          </w:p>
        </w:tc>
        <w:tc>
          <w:tcPr>
            <w:tcW w:w="6913" w:type="dxa"/>
          </w:tcPr>
          <w:p w14:paraId="1044A73D" w14:textId="53E1DBA8" w:rsidR="00345C86" w:rsidRPr="000E4390" w:rsidRDefault="00345C86" w:rsidP="00F55479">
            <w:pPr>
              <w:pStyle w:val="TableParagraph"/>
              <w:numPr>
                <w:ilvl w:val="0"/>
                <w:numId w:val="7"/>
              </w:numPr>
              <w:spacing w:after="240"/>
              <w:ind w:right="84"/>
            </w:pPr>
            <w:r w:rsidRPr="000E4390">
              <w:t xml:space="preserve">Identification of cross-cutting </w:t>
            </w:r>
            <w:r w:rsidR="00557964" w:rsidRPr="000E4390">
              <w:t>IP</w:t>
            </w:r>
            <w:r w:rsidRPr="000E4390">
              <w:t xml:space="preserve"> issues that are also applicable to the digital audiovisual sector</w:t>
            </w:r>
            <w:r w:rsidR="00557964" w:rsidRPr="000E4390">
              <w:t>.</w:t>
            </w:r>
            <w:r w:rsidRPr="000E4390">
              <w:t xml:space="preserve"> </w:t>
            </w:r>
          </w:p>
          <w:p w14:paraId="75F6B4A4" w14:textId="1B785612" w:rsidR="00345C86" w:rsidRPr="000E4390" w:rsidRDefault="00345C86" w:rsidP="00F55479">
            <w:pPr>
              <w:pStyle w:val="TableParagraph"/>
              <w:numPr>
                <w:ilvl w:val="0"/>
                <w:numId w:val="7"/>
              </w:numPr>
              <w:spacing w:after="240"/>
              <w:ind w:right="84"/>
            </w:pPr>
            <w:r w:rsidRPr="000E4390">
              <w:t>Challenges to engag</w:t>
            </w:r>
            <w:r w:rsidR="00875E11">
              <w:t>e</w:t>
            </w:r>
            <w:r w:rsidRPr="000E4390">
              <w:t xml:space="preserve"> with the industry in a horizontal manner about </w:t>
            </w:r>
            <w:r w:rsidR="00557964" w:rsidRPr="000E4390">
              <w:t>IP</w:t>
            </w:r>
            <w:r w:rsidRPr="000E4390">
              <w:t xml:space="preserve"> due to compartmentalized parts of </w:t>
            </w:r>
            <w:r w:rsidR="00800C36">
              <w:t xml:space="preserve">the </w:t>
            </w:r>
            <w:r w:rsidRPr="000E4390">
              <w:t>industry (</w:t>
            </w:r>
            <w:r w:rsidR="00557964" w:rsidRPr="000E4390">
              <w:t>information technology (</w:t>
            </w:r>
            <w:r w:rsidRPr="000E4390">
              <w:t>IT</w:t>
            </w:r>
            <w:r w:rsidR="00557964" w:rsidRPr="000E4390">
              <w:t>)</w:t>
            </w:r>
            <w:r w:rsidRPr="000E4390">
              <w:t xml:space="preserve">, telecommunications, audiovisual, legal, </w:t>
            </w:r>
            <w:r w:rsidRPr="000E4390">
              <w:rPr>
                <w:i/>
              </w:rPr>
              <w:t>etc</w:t>
            </w:r>
            <w:r w:rsidRPr="000E4390">
              <w:t xml:space="preserve">.) rendering it cumbersome to reach </w:t>
            </w:r>
            <w:r w:rsidR="00886057" w:rsidRPr="000E4390">
              <w:t xml:space="preserve">out to </w:t>
            </w:r>
            <w:r w:rsidRPr="000E4390">
              <w:t xml:space="preserve">the professionals </w:t>
            </w:r>
            <w:r w:rsidR="00555F0F" w:rsidRPr="000E4390">
              <w:t xml:space="preserve">on </w:t>
            </w:r>
            <w:r w:rsidRPr="000E4390">
              <w:t>the ground</w:t>
            </w:r>
            <w:r w:rsidR="00555F0F" w:rsidRPr="000E4390">
              <w:t>.</w:t>
            </w:r>
          </w:p>
          <w:p w14:paraId="147CE820" w14:textId="190957C7" w:rsidR="00345C86" w:rsidRPr="000E4390" w:rsidRDefault="00345C86" w:rsidP="00F55479">
            <w:pPr>
              <w:pStyle w:val="TableParagraph"/>
              <w:numPr>
                <w:ilvl w:val="0"/>
                <w:numId w:val="7"/>
              </w:numPr>
              <w:spacing w:after="240"/>
              <w:ind w:right="84"/>
            </w:pPr>
            <w:r w:rsidRPr="000E4390">
              <w:lastRenderedPageBreak/>
              <w:t>Scarce information available about the digital Latin American market and the role of copyright and related rights for the market and creators</w:t>
            </w:r>
            <w:r w:rsidR="00555F0F" w:rsidRPr="000E4390">
              <w:t>.</w:t>
            </w:r>
          </w:p>
          <w:p w14:paraId="6DA30D7F" w14:textId="0D5A13C9" w:rsidR="00345C86" w:rsidRPr="000E4390" w:rsidRDefault="00345C86" w:rsidP="00F55479">
            <w:pPr>
              <w:pStyle w:val="TableParagraph"/>
              <w:numPr>
                <w:ilvl w:val="0"/>
                <w:numId w:val="7"/>
              </w:numPr>
              <w:spacing w:after="240"/>
              <w:ind w:right="84"/>
            </w:pPr>
            <w:r w:rsidRPr="000E4390">
              <w:t xml:space="preserve">Little interaction between </w:t>
            </w:r>
            <w:r w:rsidR="00555F0F" w:rsidRPr="000E4390">
              <w:t>IP</w:t>
            </w:r>
            <w:r w:rsidRPr="000E4390">
              <w:t xml:space="preserve"> experts and audiovisual professionals in spite of the great interest of professionals to learn more about current copyright issues that are relevant </w:t>
            </w:r>
            <w:r w:rsidR="00555F0F" w:rsidRPr="000E4390">
              <w:t xml:space="preserve">to </w:t>
            </w:r>
            <w:r w:rsidRPr="000E4390">
              <w:t>their business</w:t>
            </w:r>
            <w:r w:rsidR="00555F0F" w:rsidRPr="000E4390">
              <w:t>.</w:t>
            </w:r>
          </w:p>
          <w:p w14:paraId="283A4530" w14:textId="77777777" w:rsidR="004A1BD1" w:rsidRPr="000E4390" w:rsidRDefault="00345C86" w:rsidP="00F55479">
            <w:pPr>
              <w:pStyle w:val="TableParagraph"/>
              <w:numPr>
                <w:ilvl w:val="0"/>
                <w:numId w:val="7"/>
              </w:numPr>
              <w:spacing w:after="240"/>
              <w:ind w:right="84"/>
            </w:pPr>
            <w:r w:rsidRPr="000E4390">
              <w:t xml:space="preserve">Positive experience in engaging with the audiovisual industry through international events where a wide array of relevant topics is discussed but where </w:t>
            </w:r>
            <w:r w:rsidR="00555F0F" w:rsidRPr="000E4390">
              <w:t>IP</w:t>
            </w:r>
            <w:r w:rsidRPr="000E4390">
              <w:t xml:space="preserve"> is normally not addressed</w:t>
            </w:r>
            <w:r w:rsidR="00555F0F" w:rsidRPr="000E4390">
              <w:t>.</w:t>
            </w:r>
            <w:r w:rsidRPr="000E4390">
              <w:t xml:space="preserve">  </w:t>
            </w:r>
          </w:p>
          <w:p w14:paraId="3650DC65" w14:textId="15182EB9" w:rsidR="003D4736" w:rsidRPr="000E4390" w:rsidRDefault="00DE7ABA" w:rsidP="00F55479">
            <w:pPr>
              <w:pStyle w:val="TableParagraph"/>
              <w:numPr>
                <w:ilvl w:val="0"/>
                <w:numId w:val="7"/>
              </w:numPr>
              <w:spacing w:after="240"/>
              <w:ind w:right="84"/>
            </w:pPr>
            <w:r w:rsidRPr="000E4390">
              <w:t xml:space="preserve">Whenever possible and within available resources, it is important to include more beneficiary countries in the pilot project. </w:t>
            </w:r>
            <w:r w:rsidR="002116A2">
              <w:t xml:space="preserve"> </w:t>
            </w:r>
            <w:r w:rsidRPr="000E4390">
              <w:t>This was demonstrated by the involvement of several Latin American countries, beyond the initial six participants, who had the opportunity to benefit from the project's deliverables.</w:t>
            </w:r>
          </w:p>
          <w:p w14:paraId="1E12BA7F" w14:textId="7EC86FA5" w:rsidR="00DE7ABA" w:rsidRPr="000E4390" w:rsidRDefault="00DE7ABA" w:rsidP="00F55479">
            <w:pPr>
              <w:pStyle w:val="TableParagraph"/>
              <w:numPr>
                <w:ilvl w:val="0"/>
                <w:numId w:val="7"/>
              </w:numPr>
              <w:spacing w:after="240"/>
              <w:ind w:right="84"/>
            </w:pPr>
            <w:r w:rsidRPr="000E4390">
              <w:t xml:space="preserve">Virtual activities cannot always replace in-person meetings effectively, but when combined, they provide a highly valuable approach to engage a wider audience and feature speakers from diverse backgrounds. </w:t>
            </w:r>
            <w:r w:rsidR="002116A2">
              <w:t xml:space="preserve"> </w:t>
            </w:r>
            <w:r w:rsidRPr="000E4390">
              <w:t>It is important to note that in-person events remain a more efficient strategy for reaching stakeholders who may not be well-versed in IP, while online meetings are typically preferred by the specialized audience.</w:t>
            </w:r>
          </w:p>
          <w:p w14:paraId="4DB3F382" w14:textId="6B9C5491" w:rsidR="008541D1" w:rsidRPr="000E4390" w:rsidRDefault="008541D1" w:rsidP="00F55479">
            <w:pPr>
              <w:pStyle w:val="TableParagraph"/>
              <w:numPr>
                <w:ilvl w:val="0"/>
                <w:numId w:val="7"/>
              </w:numPr>
              <w:spacing w:after="240"/>
              <w:ind w:left="475" w:right="86"/>
            </w:pPr>
            <w:r w:rsidRPr="000E4390">
              <w:t xml:space="preserve">Engaging with professionals </w:t>
            </w:r>
            <w:r w:rsidR="00AA4FEC" w:rsidRPr="000E4390">
              <w:t>on</w:t>
            </w:r>
            <w:r w:rsidRPr="000E4390">
              <w:t xml:space="preserve"> the ground and</w:t>
            </w:r>
            <w:r w:rsidR="00446ED3" w:rsidRPr="000E4390">
              <w:t>,</w:t>
            </w:r>
            <w:r w:rsidRPr="000E4390">
              <w:t xml:space="preserve"> in particular</w:t>
            </w:r>
            <w:r w:rsidR="00446ED3" w:rsidRPr="000E4390">
              <w:t>,</w:t>
            </w:r>
            <w:r w:rsidRPr="000E4390">
              <w:t xml:space="preserve"> with SMEs in the audiovisual sector is </w:t>
            </w:r>
            <w:r w:rsidR="00256936" w:rsidRPr="000E4390">
              <w:t>crucial</w:t>
            </w:r>
            <w:r w:rsidRPr="000E4390">
              <w:t xml:space="preserve">. </w:t>
            </w:r>
            <w:r w:rsidR="002116A2">
              <w:t xml:space="preserve"> </w:t>
            </w:r>
            <w:r w:rsidRPr="000E4390">
              <w:t>The experience in organizing activities at Ventana Sur, the most important Latin American audiovisual market, has proven to be an extremely efficient way to</w:t>
            </w:r>
            <w:r w:rsidR="00F97F29" w:rsidRPr="000E4390">
              <w:t xml:space="preserve"> </w:t>
            </w:r>
            <w:r w:rsidRPr="000E4390">
              <w:t xml:space="preserve">directly reach </w:t>
            </w:r>
            <w:r w:rsidR="00462E2D" w:rsidRPr="000E4390">
              <w:t xml:space="preserve">out to </w:t>
            </w:r>
            <w:r w:rsidRPr="000E4390">
              <w:t xml:space="preserve">the industry and </w:t>
            </w:r>
            <w:r w:rsidR="00462E2D" w:rsidRPr="000E4390">
              <w:t>present</w:t>
            </w:r>
            <w:r w:rsidRPr="000E4390">
              <w:t xml:space="preserve"> valuable information about IP. </w:t>
            </w:r>
            <w:r w:rsidR="002116A2">
              <w:t xml:space="preserve"> </w:t>
            </w:r>
            <w:r w:rsidRPr="000E4390">
              <w:t xml:space="preserve">The </w:t>
            </w:r>
            <w:r w:rsidR="00F97F29" w:rsidRPr="000E4390">
              <w:t xml:space="preserve">occasion generated high </w:t>
            </w:r>
            <w:r w:rsidRPr="000E4390">
              <w:t xml:space="preserve">demand </w:t>
            </w:r>
            <w:r w:rsidR="00F97F29" w:rsidRPr="000E4390">
              <w:t xml:space="preserve">and featured </w:t>
            </w:r>
            <w:r w:rsidRPr="000E4390">
              <w:t>very interesting discussions with professionals from different countries of Latin America</w:t>
            </w:r>
            <w:r w:rsidR="00462E2D" w:rsidRPr="000E4390">
              <w:t>, who</w:t>
            </w:r>
            <w:r w:rsidR="00F97F29" w:rsidRPr="000E4390">
              <w:t xml:space="preserve"> </w:t>
            </w:r>
            <w:r w:rsidRPr="000E4390">
              <w:t>attend</w:t>
            </w:r>
            <w:r w:rsidR="00462E2D" w:rsidRPr="000E4390">
              <w:t>ed</w:t>
            </w:r>
            <w:r w:rsidRPr="000E4390">
              <w:t xml:space="preserve"> </w:t>
            </w:r>
            <w:r w:rsidR="00462E2D" w:rsidRPr="000E4390">
              <w:t>the</w:t>
            </w:r>
            <w:r w:rsidRPr="000E4390">
              <w:t xml:space="preserve"> event for business opportunities.  Other similar events exist in the region and should provide future opportunities.</w:t>
            </w:r>
          </w:p>
          <w:p w14:paraId="322DF73E" w14:textId="7EA84939" w:rsidR="00105D75" w:rsidRPr="000E4390" w:rsidRDefault="00CF67BA" w:rsidP="00EE5B0A">
            <w:pPr>
              <w:pStyle w:val="TableParagraph"/>
              <w:numPr>
                <w:ilvl w:val="0"/>
                <w:numId w:val="7"/>
              </w:numPr>
              <w:spacing w:after="240"/>
              <w:ind w:left="475" w:right="86"/>
            </w:pPr>
            <w:r w:rsidRPr="000E4390">
              <w:t>The organization of e</w:t>
            </w:r>
            <w:r w:rsidR="008541D1" w:rsidRPr="000E4390">
              <w:t xml:space="preserve">vents with the participation of </w:t>
            </w:r>
            <w:r w:rsidRPr="000E4390">
              <w:t xml:space="preserve">both </w:t>
            </w:r>
            <w:r w:rsidR="008541D1" w:rsidRPr="000E4390">
              <w:t xml:space="preserve">governmental and audiovisual authorities from </w:t>
            </w:r>
            <w:r w:rsidR="00A0734E" w:rsidRPr="000E4390">
              <w:t>Latin America provided an innovative forum to discuss copyright and related rights not only from a legal perspective but also from a practical point</w:t>
            </w:r>
            <w:r w:rsidR="002116A2">
              <w:t xml:space="preserve"> </w:t>
            </w:r>
            <w:r w:rsidR="00A0734E" w:rsidRPr="000E4390">
              <w:t>of</w:t>
            </w:r>
            <w:r w:rsidR="002116A2">
              <w:t xml:space="preserve"> </w:t>
            </w:r>
            <w:r w:rsidR="00A0734E" w:rsidRPr="000E4390">
              <w:t xml:space="preserve">view. </w:t>
            </w:r>
            <w:r w:rsidR="002116A2">
              <w:t xml:space="preserve"> </w:t>
            </w:r>
            <w:r w:rsidR="00A0734E" w:rsidRPr="000E4390">
              <w:t xml:space="preserve">The combination </w:t>
            </w:r>
            <w:r w:rsidRPr="000E4390">
              <w:t xml:space="preserve">of different profiles </w:t>
            </w:r>
            <w:r w:rsidR="00A0734E" w:rsidRPr="000E4390">
              <w:t xml:space="preserve">also enabled south-south cooperation </w:t>
            </w:r>
            <w:r w:rsidR="00F97F29" w:rsidRPr="000E4390">
              <w:t>between</w:t>
            </w:r>
            <w:r w:rsidR="00A0734E" w:rsidRPr="000E4390">
              <w:t xml:space="preserve"> countries with more developed expertise in this field </w:t>
            </w:r>
            <w:r w:rsidR="00F97F29" w:rsidRPr="000E4390">
              <w:t>and those</w:t>
            </w:r>
            <w:r w:rsidR="00A0734E" w:rsidRPr="000E4390">
              <w:t xml:space="preserve"> looking to develop </w:t>
            </w:r>
            <w:r w:rsidR="00F97F29" w:rsidRPr="000E4390">
              <w:t>their</w:t>
            </w:r>
            <w:r w:rsidR="00A0734E" w:rsidRPr="000E4390">
              <w:t xml:space="preserve"> audiovisual industry.  </w:t>
            </w:r>
          </w:p>
          <w:p w14:paraId="42863AA5" w14:textId="52C9E04A" w:rsidR="00105D75" w:rsidRPr="000E4390" w:rsidRDefault="00105D75" w:rsidP="00EE5B0A">
            <w:pPr>
              <w:pStyle w:val="TableParagraph"/>
              <w:numPr>
                <w:ilvl w:val="0"/>
                <w:numId w:val="7"/>
              </w:numPr>
              <w:spacing w:after="240"/>
              <w:ind w:right="84"/>
            </w:pPr>
            <w:r w:rsidRPr="000E4390">
              <w:t>The topic of gender balance</w:t>
            </w:r>
            <w:r w:rsidR="00446ED3" w:rsidRPr="000E4390">
              <w:t xml:space="preserve"> </w:t>
            </w:r>
            <w:r w:rsidRPr="000E4390">
              <w:t>in the audiovisual industry generated a lot of interest from many governments.</w:t>
            </w:r>
            <w:r w:rsidR="002116A2">
              <w:t xml:space="preserve">  </w:t>
            </w:r>
            <w:r w:rsidRPr="000E4390">
              <w:t xml:space="preserve">This was mainly due to the recompilation of concrete statistical data that exist in </w:t>
            </w:r>
            <w:r w:rsidR="00953194" w:rsidRPr="000E4390">
              <w:t>Latin America</w:t>
            </w:r>
            <w:r w:rsidRPr="000E4390">
              <w:t xml:space="preserve">. </w:t>
            </w:r>
            <w:r w:rsidR="002116A2">
              <w:t xml:space="preserve"> </w:t>
            </w:r>
            <w:r w:rsidRPr="000E4390">
              <w:t xml:space="preserve">A continuation of the recompilation of this category of data and the work towards </w:t>
            </w:r>
            <w:r w:rsidR="00245E46" w:rsidRPr="000E4390">
              <w:t>data</w:t>
            </w:r>
            <w:r w:rsidRPr="000E4390">
              <w:t xml:space="preserve"> tracking from national audiovisual productions could finally provide a precise identification of the participation of women in this creative </w:t>
            </w:r>
            <w:r w:rsidRPr="000E4390">
              <w:lastRenderedPageBreak/>
              <w:t xml:space="preserve">industry.  </w:t>
            </w:r>
          </w:p>
          <w:p w14:paraId="534D0D55" w14:textId="0C591E8F" w:rsidR="00AB67F4" w:rsidRPr="000E4390" w:rsidRDefault="00AB67F4" w:rsidP="00F55479">
            <w:pPr>
              <w:pStyle w:val="TableParagraph"/>
              <w:numPr>
                <w:ilvl w:val="0"/>
                <w:numId w:val="7"/>
              </w:numPr>
              <w:spacing w:after="240"/>
              <w:ind w:right="84"/>
            </w:pPr>
            <w:r w:rsidRPr="000E4390">
              <w:t>Facilitating the knowledge and experience from leading audiovisual markets (for example United States, South Korea and Spain)</w:t>
            </w:r>
            <w:r w:rsidR="00446ED3" w:rsidRPr="000E4390">
              <w:t xml:space="preserve"> </w:t>
            </w:r>
            <w:r w:rsidR="00E4599F" w:rsidRPr="000E4390">
              <w:t>not only</w:t>
            </w:r>
            <w:r w:rsidRPr="000E4390">
              <w:t xml:space="preserve"> has provided information that was not previously available in a detailed manner</w:t>
            </w:r>
            <w:r w:rsidR="00E4599F" w:rsidRPr="000E4390">
              <w:t>,</w:t>
            </w:r>
            <w:r w:rsidRPr="000E4390">
              <w:t xml:space="preserve"> but also offered a number of strategies that were unknown by countries in </w:t>
            </w:r>
            <w:r w:rsidR="00446ED3" w:rsidRPr="000E4390">
              <w:t xml:space="preserve">the Latin </w:t>
            </w:r>
            <w:r w:rsidRPr="000E4390">
              <w:t xml:space="preserve">American region. </w:t>
            </w:r>
            <w:r w:rsidR="00E4599F" w:rsidRPr="000E4390">
              <w:t xml:space="preserve"> </w:t>
            </w:r>
            <w:r w:rsidRPr="000E4390">
              <w:t xml:space="preserve">This led to the indication that international cooperation could provide an even richer dialogue between governments. </w:t>
            </w:r>
          </w:p>
          <w:p w14:paraId="1888307A" w14:textId="6A401891" w:rsidR="00C25CE2" w:rsidRPr="000E4390" w:rsidRDefault="00AB67F4" w:rsidP="00F55479">
            <w:pPr>
              <w:pStyle w:val="TableParagraph"/>
              <w:numPr>
                <w:ilvl w:val="0"/>
                <w:numId w:val="7"/>
              </w:numPr>
              <w:spacing w:after="240"/>
              <w:ind w:right="84"/>
            </w:pPr>
            <w:r w:rsidRPr="000E4390">
              <w:t xml:space="preserve">The combination between the private and the public sector is fundamental when discussing the creative industries. </w:t>
            </w:r>
            <w:r w:rsidR="002116A2">
              <w:t xml:space="preserve"> </w:t>
            </w:r>
            <w:r w:rsidRPr="000E4390">
              <w:t>The mutual presence not only</w:t>
            </w:r>
            <w:r w:rsidR="00E4599F" w:rsidRPr="000E4390">
              <w:t xml:space="preserve"> has</w:t>
            </w:r>
            <w:r w:rsidRPr="000E4390">
              <w:t xml:space="preserve"> provided moments of questions and answers</w:t>
            </w:r>
            <w:r w:rsidR="00370DBB" w:rsidRPr="000E4390">
              <w:t xml:space="preserve"> from both sides</w:t>
            </w:r>
            <w:r w:rsidR="00E4599F" w:rsidRPr="000E4390">
              <w:t>,</w:t>
            </w:r>
            <w:r w:rsidR="00370DBB" w:rsidRPr="000E4390">
              <w:t xml:space="preserve"> but</w:t>
            </w:r>
            <w:r w:rsidR="00E4599F" w:rsidRPr="000E4390">
              <w:t xml:space="preserve"> also</w:t>
            </w:r>
            <w:r w:rsidR="00370DBB" w:rsidRPr="000E4390">
              <w:t xml:space="preserve"> an enriching learning process about the challenges and objectives from different perspectives but still in the same area. </w:t>
            </w:r>
            <w:r w:rsidRPr="000E4390">
              <w:t xml:space="preserve">   </w:t>
            </w:r>
          </w:p>
        </w:tc>
      </w:tr>
      <w:tr w:rsidR="00F44760" w:rsidRPr="000E4390" w14:paraId="3021933D" w14:textId="77777777" w:rsidTr="00A820D6">
        <w:trPr>
          <w:trHeight w:val="631"/>
        </w:trPr>
        <w:tc>
          <w:tcPr>
            <w:tcW w:w="2377" w:type="dxa"/>
            <w:shd w:val="clear" w:color="auto" w:fill="8DB3E1"/>
          </w:tcPr>
          <w:p w14:paraId="2E14B6E2" w14:textId="77777777" w:rsidR="00F44760" w:rsidRPr="000E4390" w:rsidRDefault="00F44760" w:rsidP="00F3367C">
            <w:pPr>
              <w:pStyle w:val="TableParagraph"/>
              <w:spacing w:before="1"/>
              <w:ind w:left="110"/>
            </w:pPr>
            <w:r w:rsidRPr="000E4390">
              <w:rPr>
                <w:u w:val="single"/>
              </w:rPr>
              <w:lastRenderedPageBreak/>
              <w:t>Risks</w:t>
            </w:r>
            <w:r w:rsidRPr="000E4390">
              <w:rPr>
                <w:spacing w:val="-1"/>
                <w:u w:val="single"/>
              </w:rPr>
              <w:t xml:space="preserve"> </w:t>
            </w:r>
            <w:r w:rsidRPr="000E4390">
              <w:rPr>
                <w:u w:val="single"/>
              </w:rPr>
              <w:t>and</w:t>
            </w:r>
            <w:r w:rsidRPr="000E4390">
              <w:rPr>
                <w:spacing w:val="-3"/>
                <w:u w:val="single"/>
              </w:rPr>
              <w:t xml:space="preserve"> </w:t>
            </w:r>
            <w:r w:rsidRPr="000E4390">
              <w:rPr>
                <w:u w:val="single"/>
              </w:rPr>
              <w:t>Mitigation</w:t>
            </w:r>
          </w:p>
        </w:tc>
        <w:tc>
          <w:tcPr>
            <w:tcW w:w="6913" w:type="dxa"/>
          </w:tcPr>
          <w:p w14:paraId="7D49620A" w14:textId="77777777" w:rsidR="002D0A82" w:rsidRDefault="002D0A82" w:rsidP="00F55479">
            <w:pPr>
              <w:pStyle w:val="TableParagraph"/>
              <w:spacing w:after="240"/>
              <w:ind w:left="115" w:right="720"/>
            </w:pPr>
            <w:r w:rsidRPr="00875E11">
              <w:rPr>
                <w:u w:val="single"/>
              </w:rPr>
              <w:t>Risks</w:t>
            </w:r>
            <w:r>
              <w:t>:</w:t>
            </w:r>
          </w:p>
          <w:p w14:paraId="7690CA30" w14:textId="03C7F046" w:rsidR="00345C86" w:rsidRPr="000E4390" w:rsidRDefault="000E4390" w:rsidP="00F55479">
            <w:pPr>
              <w:pStyle w:val="TableParagraph"/>
              <w:spacing w:after="240"/>
              <w:ind w:left="115" w:right="720"/>
            </w:pPr>
            <w:r w:rsidRPr="000E4390">
              <w:t>The COVID-19 p</w:t>
            </w:r>
            <w:r w:rsidR="00345C86" w:rsidRPr="000E4390">
              <w:t xml:space="preserve">andemic made impossible </w:t>
            </w:r>
            <w:r w:rsidR="004F49B5" w:rsidRPr="000E4390">
              <w:t xml:space="preserve">the </w:t>
            </w:r>
            <w:r w:rsidR="00345C86" w:rsidRPr="000E4390">
              <w:t xml:space="preserve">timely organization of events included in the approved project (output 2, activities 3 and 4). </w:t>
            </w:r>
            <w:r w:rsidR="002D0A82">
              <w:t xml:space="preserve"> </w:t>
            </w:r>
            <w:r w:rsidR="00345C86" w:rsidRPr="000E4390">
              <w:t>The possibility of organizing online webinars was explored but initial discussions with stakeholders indicated that there would be little engagement with the industry, in particular</w:t>
            </w:r>
            <w:r>
              <w:t>,</w:t>
            </w:r>
            <w:r w:rsidR="00345C86" w:rsidRPr="000E4390">
              <w:t xml:space="preserve"> because a significant part of the relevant professionals and companies were under the negative market effects of the pandemic. </w:t>
            </w:r>
            <w:r w:rsidR="002D0A82">
              <w:t xml:space="preserve"> </w:t>
            </w:r>
            <w:r w:rsidR="00345C86" w:rsidRPr="000E4390">
              <w:t xml:space="preserve">The organization of the activities remotely during the early years of the COVID-19 </w:t>
            </w:r>
            <w:r w:rsidR="004F49B5" w:rsidRPr="000E4390">
              <w:t>p</w:t>
            </w:r>
            <w:r w:rsidR="00345C86" w:rsidRPr="000E4390">
              <w:t xml:space="preserve">andemic would not have </w:t>
            </w:r>
            <w:r>
              <w:t>achieved the objectives of the p</w:t>
            </w:r>
            <w:r w:rsidR="00345C86" w:rsidRPr="000E4390">
              <w:t>roject.</w:t>
            </w:r>
          </w:p>
          <w:p w14:paraId="24DC5D88" w14:textId="46F6630E" w:rsidR="00345C86" w:rsidRPr="000E4390" w:rsidRDefault="00345C86" w:rsidP="00F55479">
            <w:pPr>
              <w:pStyle w:val="TableParagraph"/>
              <w:spacing w:after="240"/>
              <w:ind w:left="115" w:right="720"/>
            </w:pPr>
            <w:r w:rsidRPr="000E4390">
              <w:t xml:space="preserve">Considering the economic circumstances of the audiovisual market, the outputs of the pilot project could serve as </w:t>
            </w:r>
            <w:r w:rsidR="00875E11">
              <w:t>a</w:t>
            </w:r>
            <w:r w:rsidR="004A09FE">
              <w:t xml:space="preserve"> </w:t>
            </w:r>
            <w:r w:rsidRPr="000E4390">
              <w:t xml:space="preserve">valuable basis for engaging with stakeholders towards the objectives of the project. </w:t>
            </w:r>
            <w:r w:rsidR="00CB1072">
              <w:t xml:space="preserve"> </w:t>
            </w:r>
            <w:r w:rsidRPr="000E4390">
              <w:t>In this sense, the new timeframe t</w:t>
            </w:r>
            <w:r w:rsidR="000E4390">
              <w:t>ook</w:t>
            </w:r>
            <w:r w:rsidRPr="000E4390">
              <w:t xml:space="preserve"> into account major events taking place in Latin America where the outputs of the project could be made available to wider audiences. </w:t>
            </w:r>
          </w:p>
          <w:p w14:paraId="6AB86347" w14:textId="77777777" w:rsidR="00386391" w:rsidRDefault="00386391" w:rsidP="00F55479">
            <w:pPr>
              <w:pStyle w:val="TableParagraph"/>
              <w:spacing w:after="240"/>
              <w:ind w:left="115" w:right="720"/>
            </w:pPr>
            <w:r>
              <w:rPr>
                <w:u w:val="single"/>
              </w:rPr>
              <w:t>Mitigation:</w:t>
            </w:r>
          </w:p>
          <w:p w14:paraId="63D618E7" w14:textId="3EC57D06" w:rsidR="00345C86" w:rsidRPr="000E4390" w:rsidRDefault="00345C86" w:rsidP="00F55479">
            <w:pPr>
              <w:pStyle w:val="TableParagraph"/>
              <w:spacing w:after="240"/>
              <w:ind w:left="115" w:right="720"/>
            </w:pPr>
            <w:r w:rsidRPr="000E4390">
              <w:t xml:space="preserve">The mitigation strategy adopted included: </w:t>
            </w:r>
          </w:p>
          <w:p w14:paraId="2786336E" w14:textId="405789AC" w:rsidR="00345C86" w:rsidRPr="000E4390" w:rsidRDefault="009F216A" w:rsidP="00EE5B0A">
            <w:pPr>
              <w:pStyle w:val="TableParagraph"/>
              <w:numPr>
                <w:ilvl w:val="0"/>
                <w:numId w:val="7"/>
              </w:numPr>
              <w:spacing w:after="240" w:line="252" w:lineRule="exact"/>
              <w:ind w:left="475" w:right="720"/>
            </w:pPr>
            <w:r w:rsidRPr="000E4390">
              <w:t>p</w:t>
            </w:r>
            <w:r w:rsidR="00C25CE2" w:rsidRPr="000E4390">
              <w:t>ostponement</w:t>
            </w:r>
            <w:r w:rsidR="00345C86" w:rsidRPr="000E4390">
              <w:t xml:space="preserve"> of the planned activities</w:t>
            </w:r>
            <w:r w:rsidR="00C25CE2" w:rsidRPr="000E4390">
              <w:t xml:space="preserve"> until the audiovisual industry was back into activity and transformation of in-person events into hybrid meetings.</w:t>
            </w:r>
            <w:r w:rsidR="00345C86" w:rsidRPr="000E4390">
              <w:t xml:space="preserve"> </w:t>
            </w:r>
          </w:p>
          <w:p w14:paraId="626FD0CF" w14:textId="2C97F076" w:rsidR="00345C86" w:rsidRPr="000E4390" w:rsidRDefault="00345C86" w:rsidP="00F55479">
            <w:pPr>
              <w:pStyle w:val="TableParagraph"/>
              <w:numPr>
                <w:ilvl w:val="0"/>
                <w:numId w:val="7"/>
              </w:numPr>
              <w:spacing w:after="240"/>
              <w:ind w:right="720"/>
            </w:pPr>
            <w:r w:rsidRPr="000E4390">
              <w:t xml:space="preserve">updating of information about the Latin America OTT market in order to reflect the impact of the COVID-19 </w:t>
            </w:r>
            <w:r w:rsidR="009F216A" w:rsidRPr="000E4390">
              <w:t>p</w:t>
            </w:r>
            <w:r w:rsidRPr="000E4390">
              <w:t>andemic</w:t>
            </w:r>
            <w:r w:rsidR="009F216A" w:rsidRPr="000E4390">
              <w:t>.</w:t>
            </w:r>
            <w:r w:rsidRPr="000E4390">
              <w:t xml:space="preserve"> </w:t>
            </w:r>
          </w:p>
          <w:p w14:paraId="76AA8AD5" w14:textId="5BF09EB4" w:rsidR="00345C86" w:rsidRPr="000E4390" w:rsidRDefault="00345C86" w:rsidP="00F55479">
            <w:pPr>
              <w:pStyle w:val="TableParagraph"/>
              <w:numPr>
                <w:ilvl w:val="0"/>
                <w:numId w:val="7"/>
              </w:numPr>
              <w:spacing w:after="240"/>
              <w:ind w:right="720"/>
            </w:pPr>
            <w:r w:rsidRPr="000E4390">
              <w:t xml:space="preserve">strengthening contact with key stakeholders aiming at including the topic of </w:t>
            </w:r>
            <w:r w:rsidR="009F216A" w:rsidRPr="000E4390">
              <w:t>IP</w:t>
            </w:r>
            <w:r w:rsidRPr="000E4390">
              <w:t xml:space="preserve"> in the post-pandemic reactivation </w:t>
            </w:r>
            <w:r w:rsidRPr="000E4390">
              <w:lastRenderedPageBreak/>
              <w:t>of the audiovisual market.</w:t>
            </w:r>
          </w:p>
          <w:p w14:paraId="079D1454" w14:textId="5D13963D" w:rsidR="00345C86" w:rsidRPr="000E4390" w:rsidRDefault="00345C86" w:rsidP="00F55479">
            <w:pPr>
              <w:pStyle w:val="TableParagraph"/>
              <w:numPr>
                <w:ilvl w:val="0"/>
                <w:numId w:val="7"/>
              </w:numPr>
              <w:spacing w:after="240"/>
              <w:ind w:right="720"/>
            </w:pPr>
            <w:r w:rsidRPr="000E4390">
              <w:t xml:space="preserve">liaising with local stakeholders in order to combine existing major activities with the outputs of the project. </w:t>
            </w:r>
            <w:r w:rsidR="00CB1072">
              <w:t xml:space="preserve"> </w:t>
            </w:r>
            <w:r w:rsidR="00CF67BA" w:rsidRPr="000E4390">
              <w:t xml:space="preserve">For example, combining WIPO events with international audiovisual markets in order to attract the attention of audiovisual professionals from the region. </w:t>
            </w:r>
            <w:r w:rsidRPr="000E4390">
              <w:t xml:space="preserve">  </w:t>
            </w:r>
          </w:p>
        </w:tc>
      </w:tr>
      <w:tr w:rsidR="00F44760" w:rsidRPr="000E4390" w14:paraId="54FB5FC1" w14:textId="77777777" w:rsidTr="00A820D6">
        <w:trPr>
          <w:trHeight w:val="703"/>
        </w:trPr>
        <w:tc>
          <w:tcPr>
            <w:tcW w:w="2377" w:type="dxa"/>
            <w:shd w:val="clear" w:color="auto" w:fill="8DB3E1"/>
          </w:tcPr>
          <w:p w14:paraId="131A51E5" w14:textId="77777777" w:rsidR="00F44760" w:rsidRPr="000E4390" w:rsidRDefault="00F44760" w:rsidP="00F3367C">
            <w:pPr>
              <w:pStyle w:val="TableParagraph"/>
              <w:ind w:left="110" w:right="212"/>
            </w:pPr>
            <w:r w:rsidRPr="000E4390">
              <w:rPr>
                <w:u w:val="single"/>
              </w:rPr>
              <w:lastRenderedPageBreak/>
              <w:t>Project</w:t>
            </w:r>
            <w:r w:rsidRPr="000E4390">
              <w:rPr>
                <w:spacing w:val="1"/>
              </w:rPr>
              <w:t xml:space="preserve"> </w:t>
            </w:r>
            <w:r w:rsidRPr="000E4390">
              <w:rPr>
                <w:u w:val="single"/>
              </w:rPr>
              <w:t>Implementation</w:t>
            </w:r>
            <w:r w:rsidRPr="000E4390">
              <w:rPr>
                <w:spacing w:val="-5"/>
                <w:u w:val="single"/>
              </w:rPr>
              <w:t xml:space="preserve"> </w:t>
            </w:r>
            <w:r w:rsidRPr="000E4390">
              <w:rPr>
                <w:u w:val="single"/>
              </w:rPr>
              <w:t>Rate</w:t>
            </w:r>
          </w:p>
        </w:tc>
        <w:tc>
          <w:tcPr>
            <w:tcW w:w="6913" w:type="dxa"/>
          </w:tcPr>
          <w:p w14:paraId="73C483A6" w14:textId="11B5EAF4" w:rsidR="00F44760" w:rsidRPr="000E4390" w:rsidRDefault="00092E5C" w:rsidP="00CB37D2">
            <w:pPr>
              <w:pStyle w:val="TableParagraph"/>
              <w:ind w:left="109" w:right="683"/>
            </w:pPr>
            <w:r w:rsidRPr="008C2443">
              <w:t xml:space="preserve">The budget implementation rate at the end of </w:t>
            </w:r>
            <w:r w:rsidR="008C2443" w:rsidRPr="008C2443">
              <w:t>July</w:t>
            </w:r>
            <w:r w:rsidRPr="008C2443">
              <w:t xml:space="preserve"> 2023, proportional to the project’s total allocated budget is: </w:t>
            </w:r>
            <w:r w:rsidR="00431012" w:rsidRPr="008C2443">
              <w:t xml:space="preserve"> </w:t>
            </w:r>
            <w:r w:rsidR="00CB37D2" w:rsidRPr="008C2443">
              <w:t>54</w:t>
            </w:r>
            <w:r w:rsidRPr="008C2443">
              <w:t>%.</w:t>
            </w:r>
            <w:r w:rsidR="00CB37D2">
              <w:t xml:space="preserve">  Further details are available in </w:t>
            </w:r>
            <w:r w:rsidR="00164FEB">
              <w:t>Annex II to this document.</w:t>
            </w:r>
          </w:p>
        </w:tc>
      </w:tr>
      <w:tr w:rsidR="00F44760" w:rsidRPr="000E4390" w14:paraId="53A7A4A5" w14:textId="77777777" w:rsidTr="00A820D6">
        <w:trPr>
          <w:trHeight w:val="631"/>
        </w:trPr>
        <w:tc>
          <w:tcPr>
            <w:tcW w:w="2377" w:type="dxa"/>
            <w:shd w:val="clear" w:color="auto" w:fill="8DB3E1"/>
          </w:tcPr>
          <w:p w14:paraId="4A95510B" w14:textId="77777777" w:rsidR="00F44760" w:rsidRPr="000E4390" w:rsidRDefault="00F44760" w:rsidP="00F3367C">
            <w:pPr>
              <w:pStyle w:val="TableParagraph"/>
              <w:ind w:left="110"/>
            </w:pPr>
            <w:r w:rsidRPr="000E4390">
              <w:rPr>
                <w:u w:val="single"/>
              </w:rPr>
              <w:t>Previous</w:t>
            </w:r>
            <w:r w:rsidRPr="000E4390">
              <w:rPr>
                <w:spacing w:val="-1"/>
                <w:u w:val="single"/>
              </w:rPr>
              <w:t xml:space="preserve"> </w:t>
            </w:r>
            <w:r w:rsidRPr="000E4390">
              <w:rPr>
                <w:u w:val="single"/>
              </w:rPr>
              <w:t>Reports</w:t>
            </w:r>
          </w:p>
        </w:tc>
        <w:tc>
          <w:tcPr>
            <w:tcW w:w="6913" w:type="dxa"/>
          </w:tcPr>
          <w:p w14:paraId="7C57D868" w14:textId="01C71109" w:rsidR="00D519DE" w:rsidRPr="000E4390" w:rsidRDefault="00D519DE" w:rsidP="00F12CC7">
            <w:pPr>
              <w:pStyle w:val="TableParagraph"/>
              <w:spacing w:after="80"/>
              <w:ind w:left="115" w:right="255"/>
            </w:pPr>
            <w:r w:rsidRPr="000E4390">
              <w:t xml:space="preserve">1. The first progress report was contained in Annex </w:t>
            </w:r>
            <w:r w:rsidR="00163ADC" w:rsidRPr="000E4390">
              <w:t xml:space="preserve">V to </w:t>
            </w:r>
            <w:r w:rsidRPr="000E4390">
              <w:t>document CDIP/24/2;</w:t>
            </w:r>
          </w:p>
          <w:p w14:paraId="57B5BC30" w14:textId="72F68E0B" w:rsidR="00D519DE" w:rsidRPr="000E4390" w:rsidRDefault="00D519DE" w:rsidP="00F12CC7">
            <w:pPr>
              <w:pStyle w:val="TableParagraph"/>
              <w:spacing w:after="80"/>
              <w:ind w:left="115"/>
            </w:pPr>
            <w:r w:rsidRPr="000E4390">
              <w:t>2. The second progress report was contained in Annex VI to</w:t>
            </w:r>
            <w:r w:rsidR="00163ADC" w:rsidRPr="000E4390">
              <w:t xml:space="preserve"> </w:t>
            </w:r>
            <w:r w:rsidRPr="000E4390">
              <w:t>document CDIP/26/2;</w:t>
            </w:r>
          </w:p>
          <w:p w14:paraId="5D52FC58" w14:textId="0C72BD86" w:rsidR="006928DE" w:rsidRPr="000E4390" w:rsidRDefault="00D519DE" w:rsidP="00F12CC7">
            <w:pPr>
              <w:pStyle w:val="TableParagraph"/>
              <w:spacing w:after="80"/>
              <w:ind w:left="115" w:right="892"/>
            </w:pPr>
            <w:r w:rsidRPr="000E4390">
              <w:t>3. The third progress report was contained in Annex I to</w:t>
            </w:r>
            <w:r w:rsidR="00163ADC" w:rsidRPr="000E4390">
              <w:t xml:space="preserve"> </w:t>
            </w:r>
            <w:r w:rsidRPr="000E4390">
              <w:t>document CDIP/29/2.</w:t>
            </w:r>
          </w:p>
        </w:tc>
      </w:tr>
      <w:tr w:rsidR="00F44760" w:rsidRPr="000E4390" w14:paraId="424F691E" w14:textId="77777777" w:rsidTr="00A820D6">
        <w:trPr>
          <w:trHeight w:val="846"/>
        </w:trPr>
        <w:tc>
          <w:tcPr>
            <w:tcW w:w="2377" w:type="dxa"/>
            <w:shd w:val="clear" w:color="auto" w:fill="8DB3E1"/>
          </w:tcPr>
          <w:p w14:paraId="61641E43" w14:textId="77777777" w:rsidR="00F44760" w:rsidRPr="000E4390" w:rsidRDefault="00F44760" w:rsidP="00F3367C">
            <w:pPr>
              <w:pStyle w:val="TableParagraph"/>
              <w:ind w:left="110" w:right="855"/>
            </w:pPr>
            <w:r w:rsidRPr="000E4390">
              <w:rPr>
                <w:u w:val="single"/>
              </w:rPr>
              <w:t>Follow-up and</w:t>
            </w:r>
            <w:r w:rsidRPr="000E4390">
              <w:rPr>
                <w:spacing w:val="-59"/>
              </w:rPr>
              <w:t xml:space="preserve"> </w:t>
            </w:r>
            <w:r w:rsidRPr="000E4390">
              <w:rPr>
                <w:u w:val="single"/>
              </w:rPr>
              <w:t>dissemination</w:t>
            </w:r>
          </w:p>
        </w:tc>
        <w:tc>
          <w:tcPr>
            <w:tcW w:w="6913" w:type="dxa"/>
          </w:tcPr>
          <w:p w14:paraId="3BDC7098" w14:textId="77777777" w:rsidR="00D37FA0" w:rsidRDefault="00D37FA0" w:rsidP="00F55479">
            <w:pPr>
              <w:pStyle w:val="TableParagraph"/>
              <w:spacing w:after="240"/>
              <w:ind w:left="115"/>
            </w:pPr>
            <w:r w:rsidRPr="00875E11">
              <w:rPr>
                <w:u w:val="single"/>
              </w:rPr>
              <w:t>Follow-up</w:t>
            </w:r>
            <w:r>
              <w:t xml:space="preserve">: </w:t>
            </w:r>
          </w:p>
          <w:p w14:paraId="1C49A320" w14:textId="4BADC78F" w:rsidR="00CF67BA" w:rsidRPr="000E4390" w:rsidRDefault="00DE7ABA" w:rsidP="00F55479">
            <w:pPr>
              <w:pStyle w:val="TableParagraph"/>
              <w:spacing w:after="240"/>
              <w:ind w:left="115"/>
            </w:pPr>
            <w:r w:rsidRPr="000E4390">
              <w:t>Member States are encouraged to utilize the knowledge and resources generated through this project in order to initiate practical initiatives that c</w:t>
            </w:r>
            <w:r w:rsidR="004A09FE">
              <w:t>ould</w:t>
            </w:r>
            <w:r w:rsidRPr="000E4390">
              <w:t xml:space="preserve"> benefit local governments and stakeholders.</w:t>
            </w:r>
            <w:r w:rsidR="000E4390">
              <w:t xml:space="preserve"> </w:t>
            </w:r>
            <w:r w:rsidRPr="000E4390">
              <w:t xml:space="preserve"> Possible actions could involve expanding the range of reference materials to encompass additional territories, organizing practical workshops, creating instructional mate</w:t>
            </w:r>
            <w:r w:rsidR="00114DAB">
              <w:t>rials to assist micro and small</w:t>
            </w:r>
            <w:r w:rsidR="00114DAB">
              <w:noBreakHyphen/>
            </w:r>
            <w:r w:rsidRPr="000E4390">
              <w:t>sized enterprises in navigating the intricate licensing processes of the audiovisual market, providing online courses, and fostering collaboration among governments to evaluate the audiovisual market.</w:t>
            </w:r>
          </w:p>
          <w:p w14:paraId="69E1A28C" w14:textId="1025D36B" w:rsidR="00D37FA0" w:rsidRDefault="00D37FA0" w:rsidP="00F55479">
            <w:pPr>
              <w:pStyle w:val="TableParagraph"/>
              <w:spacing w:after="240"/>
              <w:ind w:left="115"/>
            </w:pPr>
            <w:r w:rsidRPr="00875E11">
              <w:rPr>
                <w:u w:val="single"/>
              </w:rPr>
              <w:t>Dissemination</w:t>
            </w:r>
            <w:r>
              <w:t xml:space="preserve">: </w:t>
            </w:r>
          </w:p>
          <w:p w14:paraId="319FA29E" w14:textId="00201566" w:rsidR="00105D75" w:rsidRPr="000E4390" w:rsidRDefault="00CF67BA" w:rsidP="00F55479">
            <w:pPr>
              <w:pStyle w:val="TableParagraph"/>
              <w:spacing w:after="240"/>
              <w:ind w:left="115"/>
            </w:pPr>
            <w:r w:rsidRPr="000E4390">
              <w:t xml:space="preserve">WIPO could </w:t>
            </w:r>
            <w:r w:rsidR="00105D75" w:rsidRPr="000E4390">
              <w:t xml:space="preserve">enhance and expand the benefits of the project through different initiatives, including: </w:t>
            </w:r>
          </w:p>
          <w:p w14:paraId="3B33A343" w14:textId="528DF9E7" w:rsidR="00105D75" w:rsidRPr="000E4390" w:rsidRDefault="00105D75" w:rsidP="00F55479">
            <w:pPr>
              <w:pStyle w:val="TableParagraph"/>
              <w:spacing w:after="240"/>
              <w:ind w:left="115"/>
            </w:pPr>
            <w:r w:rsidRPr="000E4390">
              <w:t xml:space="preserve">- </w:t>
            </w:r>
            <w:r w:rsidR="00E90888" w:rsidRPr="000E4390">
              <w:t>E</w:t>
            </w:r>
            <w:r w:rsidR="006D292D">
              <w:t>xploring</w:t>
            </w:r>
            <w:r w:rsidR="00CF67BA" w:rsidRPr="000E4390">
              <w:t xml:space="preserve"> </w:t>
            </w:r>
            <w:r w:rsidR="00E90888" w:rsidRPr="000E4390">
              <w:t>engaging with stakeholder</w:t>
            </w:r>
            <w:r w:rsidR="0059189E" w:rsidRPr="000E4390">
              <w:t>s</w:t>
            </w:r>
            <w:r w:rsidR="00E90888" w:rsidRPr="000E4390">
              <w:t xml:space="preserve"> during audiovisual markets and other events that are relevant </w:t>
            </w:r>
            <w:r w:rsidR="00875E11">
              <w:t>to</w:t>
            </w:r>
            <w:r w:rsidR="003628A9">
              <w:t xml:space="preserve"> </w:t>
            </w:r>
            <w:r w:rsidR="00E90888" w:rsidRPr="000E4390">
              <w:t>the audiovisual industry in order to provide customized information about IP commercialization</w:t>
            </w:r>
            <w:r w:rsidRPr="000E4390">
              <w:t xml:space="preserve">. </w:t>
            </w:r>
          </w:p>
          <w:p w14:paraId="0B3F802D" w14:textId="17600C03" w:rsidR="00AB67F4" w:rsidRPr="000E4390" w:rsidRDefault="006D292D" w:rsidP="00F55479">
            <w:pPr>
              <w:pStyle w:val="TableParagraph"/>
              <w:spacing w:after="240"/>
              <w:ind w:left="115"/>
            </w:pPr>
            <w:r>
              <w:t>- Organizing</w:t>
            </w:r>
            <w:r w:rsidR="00105D75" w:rsidRPr="000E4390">
              <w:t xml:space="preserve"> </w:t>
            </w:r>
            <w:r w:rsidR="00CF67BA" w:rsidRPr="000E4390">
              <w:t xml:space="preserve">tailored workshops offering the opportunity to </w:t>
            </w:r>
            <w:r w:rsidR="00105D75" w:rsidRPr="000E4390">
              <w:t>SME</w:t>
            </w:r>
            <w:r w:rsidR="00AB67F4" w:rsidRPr="000E4390">
              <w:t xml:space="preserve">s to </w:t>
            </w:r>
            <w:r w:rsidR="00CF67BA" w:rsidRPr="000E4390">
              <w:t>learn in detail about</w:t>
            </w:r>
            <w:r w:rsidR="00105D75" w:rsidRPr="000E4390">
              <w:t xml:space="preserve"> licensing within the audiovisual environment </w:t>
            </w:r>
            <w:r w:rsidR="00AB67F4" w:rsidRPr="000E4390">
              <w:t xml:space="preserve">and learn from experienced professionals in this area. </w:t>
            </w:r>
          </w:p>
          <w:p w14:paraId="2FF98A66" w14:textId="7FD42323" w:rsidR="00105D75" w:rsidRPr="000E4390" w:rsidRDefault="00AB67F4" w:rsidP="00F55479">
            <w:pPr>
              <w:pStyle w:val="TableParagraph"/>
              <w:spacing w:after="240"/>
              <w:ind w:left="115"/>
            </w:pPr>
            <w:r w:rsidRPr="000E4390">
              <w:t xml:space="preserve">- </w:t>
            </w:r>
            <w:r w:rsidR="006D292D">
              <w:t>Facilitating</w:t>
            </w:r>
            <w:r w:rsidR="003B1FFE" w:rsidRPr="000E4390">
              <w:t xml:space="preserve"> forums for governmental officials to exchange experiences and practices on copyright and related rights in the audiovisual sector.</w:t>
            </w:r>
          </w:p>
          <w:p w14:paraId="6AE67D2B" w14:textId="630F00C9" w:rsidR="00AB67F4" w:rsidRPr="000E4390" w:rsidRDefault="006D292D" w:rsidP="00F55479">
            <w:pPr>
              <w:pStyle w:val="TableParagraph"/>
              <w:spacing w:after="240"/>
              <w:ind w:left="115"/>
            </w:pPr>
            <w:r>
              <w:t>- Exploring</w:t>
            </w:r>
            <w:r w:rsidR="00AB67F4" w:rsidRPr="000E4390">
              <w:t xml:space="preserve"> the area of co-productions and the role of copyright and related rights in conditions imposed by international financing tools. </w:t>
            </w:r>
          </w:p>
          <w:p w14:paraId="033278C2" w14:textId="25A41ABB" w:rsidR="000A0635" w:rsidRPr="000E4390" w:rsidRDefault="00AB67F4" w:rsidP="00EE5B0A">
            <w:pPr>
              <w:pStyle w:val="TableParagraph"/>
              <w:spacing w:after="120"/>
              <w:ind w:left="115"/>
            </w:pPr>
            <w:r w:rsidRPr="000E4390">
              <w:t xml:space="preserve">- </w:t>
            </w:r>
            <w:r w:rsidR="001D65CD" w:rsidRPr="000E4390">
              <w:t>Conduct</w:t>
            </w:r>
            <w:r w:rsidR="006D292D">
              <w:t>ing</w:t>
            </w:r>
            <w:r w:rsidRPr="000E4390">
              <w:t xml:space="preserve"> </w:t>
            </w:r>
            <w:r w:rsidR="00875E11">
              <w:t>an</w:t>
            </w:r>
            <w:r w:rsidR="004A09FE">
              <w:t xml:space="preserve"> </w:t>
            </w:r>
            <w:r w:rsidRPr="000E4390">
              <w:t xml:space="preserve">economic analysis of private and public financing of the audiovisual sector and the role of copyright and related rights in this field. </w:t>
            </w:r>
            <w:r w:rsidR="00CF67BA" w:rsidRPr="000E4390">
              <w:t xml:space="preserve"> </w:t>
            </w:r>
          </w:p>
        </w:tc>
      </w:tr>
    </w:tbl>
    <w:p w14:paraId="5C7EDD73" w14:textId="268D8633" w:rsidR="005635C7" w:rsidRDefault="005635C7" w:rsidP="005635C7">
      <w:pPr>
        <w:pStyle w:val="BodyText"/>
        <w:spacing w:after="240"/>
        <w:ind w:left="130"/>
        <w:rPr>
          <w:szCs w:val="22"/>
        </w:rPr>
      </w:pPr>
      <w:r>
        <w:rPr>
          <w:szCs w:val="22"/>
        </w:rPr>
        <w:br w:type="page"/>
      </w:r>
    </w:p>
    <w:p w14:paraId="60F61712" w14:textId="1F6E1095" w:rsidR="00F44760" w:rsidRPr="000E4390" w:rsidRDefault="00F44760" w:rsidP="005635C7">
      <w:pPr>
        <w:pStyle w:val="BodyText"/>
        <w:spacing w:after="240"/>
        <w:ind w:left="130"/>
        <w:rPr>
          <w:szCs w:val="22"/>
        </w:rPr>
      </w:pPr>
      <w:r w:rsidRPr="000E4390">
        <w:rPr>
          <w:szCs w:val="22"/>
        </w:rPr>
        <w:lastRenderedPageBreak/>
        <w:t>PROJECT</w:t>
      </w:r>
      <w:r w:rsidRPr="000E4390">
        <w:rPr>
          <w:spacing w:val="-3"/>
          <w:szCs w:val="22"/>
        </w:rPr>
        <w:t xml:space="preserve"> </w:t>
      </w:r>
      <w:r w:rsidRPr="000E4390">
        <w:rPr>
          <w:szCs w:val="22"/>
        </w:rPr>
        <w:t>SELF-EVALUATION</w:t>
      </w:r>
    </w:p>
    <w:p w14:paraId="37EA43D7" w14:textId="1FFD7B26" w:rsidR="00F44760" w:rsidRPr="000E4390" w:rsidRDefault="00F44760" w:rsidP="00F3367C">
      <w:pPr>
        <w:pStyle w:val="BodyText"/>
        <w:ind w:left="136"/>
        <w:rPr>
          <w:szCs w:val="22"/>
        </w:rPr>
      </w:pPr>
      <w:r w:rsidRPr="000E4390">
        <w:rPr>
          <w:szCs w:val="22"/>
        </w:rPr>
        <w:t>Key</w:t>
      </w:r>
      <w:r w:rsidRPr="000E4390">
        <w:rPr>
          <w:spacing w:val="-4"/>
          <w:szCs w:val="22"/>
        </w:rPr>
        <w:t xml:space="preserve"> </w:t>
      </w:r>
      <w:r w:rsidRPr="000E4390">
        <w:rPr>
          <w:szCs w:val="22"/>
        </w:rPr>
        <w:t>to</w:t>
      </w:r>
      <w:r w:rsidRPr="000E4390">
        <w:rPr>
          <w:spacing w:val="-3"/>
          <w:szCs w:val="22"/>
        </w:rPr>
        <w:t xml:space="preserve"> </w:t>
      </w:r>
      <w:r w:rsidRPr="000E4390">
        <w:rPr>
          <w:szCs w:val="22"/>
        </w:rPr>
        <w:t>Traffic</w:t>
      </w:r>
      <w:r w:rsidRPr="000E4390">
        <w:rPr>
          <w:spacing w:val="-3"/>
          <w:szCs w:val="22"/>
        </w:rPr>
        <w:t xml:space="preserve"> </w:t>
      </w:r>
      <w:r w:rsidRPr="000E4390">
        <w:rPr>
          <w:szCs w:val="22"/>
        </w:rPr>
        <w:t>Light System</w:t>
      </w:r>
      <w:r w:rsidRPr="000E4390">
        <w:rPr>
          <w:spacing w:val="-2"/>
          <w:szCs w:val="22"/>
        </w:rPr>
        <w:t xml:space="preserve"> </w:t>
      </w:r>
      <w:r w:rsidRPr="000E4390">
        <w:rPr>
          <w:szCs w:val="22"/>
        </w:rPr>
        <w:t>(TLS)</w:t>
      </w:r>
    </w:p>
    <w:tbl>
      <w:tblPr>
        <w:tblW w:w="0" w:type="auto"/>
        <w:tblInd w:w="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416"/>
        <w:gridCol w:w="1678"/>
        <w:gridCol w:w="1798"/>
        <w:gridCol w:w="1894"/>
        <w:gridCol w:w="2564"/>
      </w:tblGrid>
      <w:tr w:rsidR="00F44760" w:rsidRPr="000E4390" w14:paraId="662FE621" w14:textId="77777777" w:rsidTr="003A7C75">
        <w:trPr>
          <w:trHeight w:val="470"/>
        </w:trPr>
        <w:tc>
          <w:tcPr>
            <w:tcW w:w="1416" w:type="dxa"/>
            <w:shd w:val="clear" w:color="auto" w:fill="7BBEDA"/>
          </w:tcPr>
          <w:p w14:paraId="31397349" w14:textId="77777777" w:rsidR="00F44760" w:rsidRPr="000E4390" w:rsidRDefault="00F44760" w:rsidP="00F3367C">
            <w:pPr>
              <w:pStyle w:val="TableParagraph"/>
              <w:spacing w:before="105"/>
              <w:ind w:left="110"/>
            </w:pPr>
            <w:r w:rsidRPr="000E4390">
              <w:t>****</w:t>
            </w:r>
          </w:p>
        </w:tc>
        <w:tc>
          <w:tcPr>
            <w:tcW w:w="1678" w:type="dxa"/>
            <w:shd w:val="clear" w:color="auto" w:fill="7BBEDA"/>
          </w:tcPr>
          <w:p w14:paraId="04088BBE" w14:textId="77777777" w:rsidR="00F44760" w:rsidRPr="000E4390" w:rsidRDefault="00F44760" w:rsidP="00F3367C">
            <w:pPr>
              <w:pStyle w:val="TableParagraph"/>
              <w:spacing w:before="105"/>
              <w:ind w:left="110"/>
            </w:pPr>
            <w:r w:rsidRPr="000E4390">
              <w:t>***</w:t>
            </w:r>
          </w:p>
        </w:tc>
        <w:tc>
          <w:tcPr>
            <w:tcW w:w="1798" w:type="dxa"/>
            <w:shd w:val="clear" w:color="auto" w:fill="7BBEDA"/>
          </w:tcPr>
          <w:p w14:paraId="56E5B1CB" w14:textId="77777777" w:rsidR="00F44760" w:rsidRPr="000E4390" w:rsidRDefault="00F44760" w:rsidP="00F3367C">
            <w:pPr>
              <w:pStyle w:val="TableParagraph"/>
              <w:spacing w:before="105"/>
              <w:ind w:left="108"/>
            </w:pPr>
            <w:r w:rsidRPr="000E4390">
              <w:t>**</w:t>
            </w:r>
          </w:p>
        </w:tc>
        <w:tc>
          <w:tcPr>
            <w:tcW w:w="1894" w:type="dxa"/>
            <w:shd w:val="clear" w:color="auto" w:fill="7BBEDA"/>
          </w:tcPr>
          <w:p w14:paraId="44E2944F" w14:textId="77777777" w:rsidR="00F44760" w:rsidRPr="000E4390" w:rsidRDefault="00F44760" w:rsidP="00F3367C">
            <w:pPr>
              <w:pStyle w:val="TableParagraph"/>
              <w:spacing w:before="105"/>
              <w:ind w:left="108"/>
            </w:pPr>
            <w:r w:rsidRPr="000E4390">
              <w:t>NP</w:t>
            </w:r>
          </w:p>
        </w:tc>
        <w:tc>
          <w:tcPr>
            <w:tcW w:w="2564" w:type="dxa"/>
            <w:shd w:val="clear" w:color="auto" w:fill="7BBEDA"/>
          </w:tcPr>
          <w:p w14:paraId="43607331" w14:textId="77777777" w:rsidR="00F44760" w:rsidRPr="000E4390" w:rsidRDefault="00F44760" w:rsidP="00F3367C">
            <w:pPr>
              <w:pStyle w:val="TableParagraph"/>
              <w:spacing w:before="105"/>
              <w:ind w:left="110"/>
            </w:pPr>
            <w:r w:rsidRPr="000E4390">
              <w:t>NA</w:t>
            </w:r>
          </w:p>
        </w:tc>
      </w:tr>
      <w:tr w:rsidR="00F44760" w:rsidRPr="000E4390" w14:paraId="3CB62A1C" w14:textId="77777777" w:rsidTr="003A7C75">
        <w:trPr>
          <w:trHeight w:val="506"/>
        </w:trPr>
        <w:tc>
          <w:tcPr>
            <w:tcW w:w="1416" w:type="dxa"/>
            <w:shd w:val="clear" w:color="auto" w:fill="7BBEDA"/>
          </w:tcPr>
          <w:p w14:paraId="569C7D31" w14:textId="77777777" w:rsidR="00F44760" w:rsidRPr="000E4390" w:rsidRDefault="00F44760" w:rsidP="00F3367C">
            <w:pPr>
              <w:pStyle w:val="TableParagraph"/>
              <w:spacing w:line="252" w:lineRule="exact"/>
              <w:ind w:left="110" w:right="408"/>
            </w:pPr>
            <w:r w:rsidRPr="000E4390">
              <w:t>Fully</w:t>
            </w:r>
            <w:r w:rsidRPr="000E4390">
              <w:rPr>
                <w:spacing w:val="1"/>
              </w:rPr>
              <w:t xml:space="preserve"> </w:t>
            </w:r>
            <w:r w:rsidRPr="000E4390">
              <w:rPr>
                <w:spacing w:val="-1"/>
              </w:rPr>
              <w:t>achieved</w:t>
            </w:r>
          </w:p>
        </w:tc>
        <w:tc>
          <w:tcPr>
            <w:tcW w:w="1678" w:type="dxa"/>
            <w:shd w:val="clear" w:color="auto" w:fill="7BBEDA"/>
          </w:tcPr>
          <w:p w14:paraId="4C7BAEA5" w14:textId="77777777" w:rsidR="00F44760" w:rsidRPr="000E4390" w:rsidRDefault="00F44760" w:rsidP="00F3367C">
            <w:pPr>
              <w:pStyle w:val="TableParagraph"/>
              <w:spacing w:line="252" w:lineRule="exact"/>
              <w:ind w:left="110" w:right="687"/>
            </w:pPr>
            <w:r w:rsidRPr="000E4390">
              <w:t>Strong</w:t>
            </w:r>
            <w:r w:rsidRPr="000E4390">
              <w:rPr>
                <w:spacing w:val="1"/>
              </w:rPr>
              <w:t xml:space="preserve"> </w:t>
            </w:r>
            <w:r w:rsidRPr="000E4390">
              <w:t>progress</w:t>
            </w:r>
          </w:p>
        </w:tc>
        <w:tc>
          <w:tcPr>
            <w:tcW w:w="1798" w:type="dxa"/>
            <w:shd w:val="clear" w:color="auto" w:fill="7BBEDA"/>
          </w:tcPr>
          <w:p w14:paraId="3FE7D4B8" w14:textId="77777777" w:rsidR="00F44760" w:rsidRPr="000E4390" w:rsidRDefault="00F44760" w:rsidP="00F3367C">
            <w:pPr>
              <w:pStyle w:val="TableParagraph"/>
              <w:spacing w:line="251" w:lineRule="exact"/>
              <w:ind w:left="108"/>
            </w:pPr>
            <w:r w:rsidRPr="000E4390">
              <w:t>Some progress</w:t>
            </w:r>
          </w:p>
        </w:tc>
        <w:tc>
          <w:tcPr>
            <w:tcW w:w="1894" w:type="dxa"/>
            <w:shd w:val="clear" w:color="auto" w:fill="7BBEDA"/>
          </w:tcPr>
          <w:p w14:paraId="3BD87C72" w14:textId="77777777" w:rsidR="00F44760" w:rsidRPr="000E4390" w:rsidRDefault="00F44760" w:rsidP="00F3367C">
            <w:pPr>
              <w:pStyle w:val="TableParagraph"/>
              <w:spacing w:line="251" w:lineRule="exact"/>
              <w:ind w:left="108"/>
            </w:pPr>
            <w:r w:rsidRPr="000E4390">
              <w:t>No</w:t>
            </w:r>
            <w:r w:rsidRPr="000E4390">
              <w:rPr>
                <w:spacing w:val="-2"/>
              </w:rPr>
              <w:t xml:space="preserve"> </w:t>
            </w:r>
            <w:r w:rsidRPr="000E4390">
              <w:t>progress</w:t>
            </w:r>
          </w:p>
        </w:tc>
        <w:tc>
          <w:tcPr>
            <w:tcW w:w="2564" w:type="dxa"/>
            <w:shd w:val="clear" w:color="auto" w:fill="7BBEDA"/>
          </w:tcPr>
          <w:p w14:paraId="7B2B06F0" w14:textId="77777777" w:rsidR="00F44760" w:rsidRPr="000E4390" w:rsidRDefault="00F44760" w:rsidP="00F3367C">
            <w:pPr>
              <w:pStyle w:val="TableParagraph"/>
              <w:spacing w:line="252" w:lineRule="exact"/>
              <w:ind w:left="110" w:right="203"/>
            </w:pPr>
            <w:r w:rsidRPr="000E4390">
              <w:t>Not yet</w:t>
            </w:r>
            <w:r w:rsidRPr="000E4390">
              <w:rPr>
                <w:spacing w:val="1"/>
              </w:rPr>
              <w:t xml:space="preserve"> </w:t>
            </w:r>
            <w:r w:rsidRPr="000E4390">
              <w:t>assessed/discontinued</w:t>
            </w:r>
          </w:p>
        </w:tc>
      </w:tr>
    </w:tbl>
    <w:p w14:paraId="337A5701" w14:textId="77777777" w:rsidR="00F44760" w:rsidRPr="000E4390" w:rsidRDefault="00F44760" w:rsidP="00F3367C">
      <w:pPr>
        <w:pStyle w:val="BodyText"/>
        <w:spacing w:before="10"/>
        <w:rPr>
          <w:szCs w:val="22"/>
        </w:rPr>
      </w:pPr>
    </w:p>
    <w:tbl>
      <w:tblPr>
        <w:tblW w:w="938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10"/>
        <w:gridCol w:w="2695"/>
        <w:gridCol w:w="3401"/>
        <w:gridCol w:w="876"/>
      </w:tblGrid>
      <w:tr w:rsidR="00F44760" w:rsidRPr="000E4390" w14:paraId="6D65B3A9" w14:textId="77777777" w:rsidTr="00345C86">
        <w:trPr>
          <w:trHeight w:val="1265"/>
        </w:trPr>
        <w:tc>
          <w:tcPr>
            <w:tcW w:w="2410" w:type="dxa"/>
            <w:shd w:val="clear" w:color="auto" w:fill="8DB3E1"/>
          </w:tcPr>
          <w:p w14:paraId="77688B3D" w14:textId="77777777" w:rsidR="00F44760" w:rsidRPr="000E4390" w:rsidRDefault="00F44760" w:rsidP="00F3367C">
            <w:pPr>
              <w:pStyle w:val="TableParagraph"/>
              <w:spacing w:before="10"/>
            </w:pPr>
          </w:p>
          <w:p w14:paraId="00B2A71D" w14:textId="33BE1E24" w:rsidR="00F44760" w:rsidRPr="000E4390" w:rsidRDefault="00F44760" w:rsidP="00F3367C">
            <w:pPr>
              <w:pStyle w:val="TableParagraph"/>
              <w:ind w:left="110" w:right="624"/>
            </w:pPr>
            <w:r w:rsidRPr="000E4390">
              <w:rPr>
                <w:u w:val="single"/>
              </w:rPr>
              <w:t>Project Outputs</w:t>
            </w:r>
            <w:r w:rsidRPr="000E4390">
              <w:rPr>
                <w:spacing w:val="1"/>
              </w:rPr>
              <w:t xml:space="preserve"> </w:t>
            </w:r>
            <w:r w:rsidRPr="000E4390">
              <w:t>(Expected</w:t>
            </w:r>
            <w:r w:rsidRPr="000E4390">
              <w:rPr>
                <w:spacing w:val="-12"/>
              </w:rPr>
              <w:t xml:space="preserve"> </w:t>
            </w:r>
            <w:r w:rsidRPr="000E4390">
              <w:t>result)</w:t>
            </w:r>
          </w:p>
        </w:tc>
        <w:tc>
          <w:tcPr>
            <w:tcW w:w="2695" w:type="dxa"/>
            <w:shd w:val="clear" w:color="auto" w:fill="8DB3E1"/>
          </w:tcPr>
          <w:p w14:paraId="60C1B210" w14:textId="77777777" w:rsidR="00F44760" w:rsidRPr="000E4390" w:rsidRDefault="00F44760" w:rsidP="00F3367C">
            <w:pPr>
              <w:pStyle w:val="TableParagraph"/>
              <w:spacing w:before="10"/>
            </w:pPr>
          </w:p>
          <w:p w14:paraId="01D9084D" w14:textId="77777777" w:rsidR="00F44760" w:rsidRPr="000E4390" w:rsidRDefault="00F44760" w:rsidP="00F3367C">
            <w:pPr>
              <w:pStyle w:val="TableParagraph"/>
              <w:ind w:left="110" w:right="236"/>
            </w:pPr>
            <w:r w:rsidRPr="000E4390">
              <w:rPr>
                <w:u w:val="single"/>
              </w:rPr>
              <w:t>Indicators of Successful</w:t>
            </w:r>
            <w:r w:rsidRPr="000E4390">
              <w:rPr>
                <w:spacing w:val="-59"/>
              </w:rPr>
              <w:t xml:space="preserve"> </w:t>
            </w:r>
            <w:r w:rsidRPr="000E4390">
              <w:rPr>
                <w:u w:val="single"/>
              </w:rPr>
              <w:t>Completion</w:t>
            </w:r>
          </w:p>
          <w:p w14:paraId="7E2033E8" w14:textId="77777777" w:rsidR="00F44760" w:rsidRPr="000E4390" w:rsidRDefault="00F44760" w:rsidP="00F3367C">
            <w:pPr>
              <w:pStyle w:val="TableParagraph"/>
              <w:spacing w:line="252" w:lineRule="exact"/>
              <w:ind w:left="110"/>
            </w:pPr>
            <w:r w:rsidRPr="000E4390">
              <w:t>(Output</w:t>
            </w:r>
            <w:r w:rsidRPr="000E4390">
              <w:rPr>
                <w:spacing w:val="-4"/>
              </w:rPr>
              <w:t xml:space="preserve"> </w:t>
            </w:r>
            <w:r w:rsidRPr="000E4390">
              <w:t>Indicators)</w:t>
            </w:r>
          </w:p>
        </w:tc>
        <w:tc>
          <w:tcPr>
            <w:tcW w:w="3401" w:type="dxa"/>
            <w:shd w:val="clear" w:color="auto" w:fill="8DB3E1"/>
          </w:tcPr>
          <w:p w14:paraId="3474457E" w14:textId="77777777" w:rsidR="00F44760" w:rsidRPr="000E4390" w:rsidRDefault="00F44760" w:rsidP="00F3367C">
            <w:pPr>
              <w:pStyle w:val="TableParagraph"/>
              <w:spacing w:before="10"/>
            </w:pPr>
          </w:p>
          <w:p w14:paraId="6B9AC711" w14:textId="77777777" w:rsidR="00F44760" w:rsidRPr="000E4390" w:rsidRDefault="00F44760" w:rsidP="00F3367C">
            <w:pPr>
              <w:pStyle w:val="TableParagraph"/>
              <w:ind w:left="108"/>
            </w:pPr>
            <w:r w:rsidRPr="000E4390">
              <w:rPr>
                <w:u w:val="single"/>
              </w:rPr>
              <w:t>Performance</w:t>
            </w:r>
            <w:r w:rsidRPr="000E4390">
              <w:rPr>
                <w:spacing w:val="-2"/>
                <w:u w:val="single"/>
              </w:rPr>
              <w:t xml:space="preserve"> </w:t>
            </w:r>
            <w:r w:rsidRPr="000E4390">
              <w:rPr>
                <w:u w:val="single"/>
              </w:rPr>
              <w:t>Data</w:t>
            </w:r>
          </w:p>
        </w:tc>
        <w:tc>
          <w:tcPr>
            <w:tcW w:w="876" w:type="dxa"/>
            <w:shd w:val="clear" w:color="auto" w:fill="8DB3E1"/>
          </w:tcPr>
          <w:p w14:paraId="2BD3BE47" w14:textId="77777777" w:rsidR="00F44760" w:rsidRPr="000E4390" w:rsidRDefault="00F44760" w:rsidP="00F3367C">
            <w:pPr>
              <w:pStyle w:val="TableParagraph"/>
              <w:spacing w:before="10"/>
            </w:pPr>
          </w:p>
          <w:p w14:paraId="7537813B" w14:textId="77777777" w:rsidR="00F44760" w:rsidRPr="000E4390" w:rsidRDefault="00F44760" w:rsidP="00F3367C">
            <w:pPr>
              <w:pStyle w:val="TableParagraph"/>
              <w:ind w:left="111"/>
            </w:pPr>
            <w:r w:rsidRPr="000E4390">
              <w:rPr>
                <w:u w:val="single"/>
              </w:rPr>
              <w:t>TLS</w:t>
            </w:r>
          </w:p>
        </w:tc>
      </w:tr>
      <w:tr w:rsidR="00345C86" w:rsidRPr="000E4390" w14:paraId="1DD45771" w14:textId="77777777" w:rsidTr="00345C86">
        <w:trPr>
          <w:trHeight w:val="508"/>
        </w:trPr>
        <w:tc>
          <w:tcPr>
            <w:tcW w:w="2410" w:type="dxa"/>
            <w:tcBorders>
              <w:right w:val="single" w:sz="6" w:space="0" w:color="000000"/>
            </w:tcBorders>
            <w:vAlign w:val="center"/>
          </w:tcPr>
          <w:p w14:paraId="71AA44B7" w14:textId="77777777" w:rsidR="00345C86" w:rsidRPr="000E4390" w:rsidRDefault="00345C86" w:rsidP="00F3367C">
            <w:pPr>
              <w:rPr>
                <w:bCs/>
              </w:rPr>
            </w:pPr>
            <w:r w:rsidRPr="000E4390">
              <w:rPr>
                <w:bCs/>
              </w:rPr>
              <w:t>Output 1:  Increased awareness of the role of copyright and related rights in the distribution of audiovisual content online</w:t>
            </w:r>
          </w:p>
        </w:tc>
        <w:tc>
          <w:tcPr>
            <w:tcW w:w="2695" w:type="dxa"/>
            <w:tcBorders>
              <w:left w:val="single" w:sz="6" w:space="0" w:color="000000"/>
              <w:bottom w:val="single" w:sz="6" w:space="0" w:color="000000"/>
            </w:tcBorders>
            <w:vAlign w:val="center"/>
          </w:tcPr>
          <w:p w14:paraId="2C1B1718" w14:textId="7CAAD389" w:rsidR="00345C86" w:rsidRPr="000E4390" w:rsidRDefault="006D292D" w:rsidP="00DB1152">
            <w:pPr>
              <w:spacing w:after="240"/>
            </w:pPr>
            <w:r>
              <w:t xml:space="preserve">Activity 1. </w:t>
            </w:r>
            <w:r w:rsidR="00345C86" w:rsidRPr="000E4390">
              <w:t>Delivery of a study on the copyright legal framework and licensing of audiovisual works in the digital environment.</w:t>
            </w:r>
          </w:p>
          <w:p w14:paraId="28A15725" w14:textId="57CBA98F" w:rsidR="00345C86" w:rsidRPr="000E4390" w:rsidRDefault="00345C86" w:rsidP="00DB1152">
            <w:pPr>
              <w:spacing w:after="240"/>
            </w:pPr>
            <w:r w:rsidRPr="000E4390">
              <w:t>Ac</w:t>
            </w:r>
            <w:r w:rsidR="006D292D">
              <w:t xml:space="preserve">tivity 2. </w:t>
            </w:r>
            <w:r w:rsidRPr="000E4390">
              <w:t>Delivery of a summary of national copyright and related rights applicable for the licensing of audiovisual content online</w:t>
            </w:r>
            <w:r w:rsidR="00C971AF">
              <w:t>.</w:t>
            </w:r>
          </w:p>
          <w:p w14:paraId="14E1078B" w14:textId="4EA65EF3" w:rsidR="00345C86" w:rsidRPr="000E4390" w:rsidRDefault="006D292D" w:rsidP="00DB1152">
            <w:pPr>
              <w:spacing w:after="240"/>
            </w:pPr>
            <w:r>
              <w:t xml:space="preserve">Activity 3. </w:t>
            </w:r>
            <w:r w:rsidR="00345C86" w:rsidRPr="000E4390">
              <w:t xml:space="preserve">Delivery of a study on audiovisual works in </w:t>
            </w:r>
            <w:r w:rsidR="00DC3EA2">
              <w:t xml:space="preserve">the </w:t>
            </w:r>
            <w:r w:rsidR="00345C86" w:rsidRPr="000E4390">
              <w:t>public domain</w:t>
            </w:r>
            <w:r w:rsidR="00DC3EA2">
              <w:t xml:space="preserve"> and orphan works</w:t>
            </w:r>
            <w:r w:rsidR="00345C86" w:rsidRPr="000E4390">
              <w:t xml:space="preserve"> in the participating countries</w:t>
            </w:r>
            <w:r w:rsidR="00C971AF">
              <w:t>.</w:t>
            </w:r>
          </w:p>
          <w:p w14:paraId="17EB1E5D" w14:textId="77777777" w:rsidR="00345C86" w:rsidRPr="000E4390" w:rsidRDefault="00345C86" w:rsidP="00F3367C"/>
        </w:tc>
        <w:tc>
          <w:tcPr>
            <w:tcW w:w="3401" w:type="dxa"/>
            <w:vAlign w:val="center"/>
          </w:tcPr>
          <w:p w14:paraId="31F89879" w14:textId="77777777" w:rsidR="00345C86" w:rsidRPr="000E4390" w:rsidRDefault="00345C86" w:rsidP="00DB1152">
            <w:pPr>
              <w:spacing w:after="480"/>
            </w:pPr>
            <w:r w:rsidRPr="000E4390">
              <w:t>Completed under Study I of the project.</w:t>
            </w:r>
          </w:p>
          <w:p w14:paraId="51E7C99B" w14:textId="02B4C0D8" w:rsidR="005635C7" w:rsidRDefault="005635C7" w:rsidP="00F3367C"/>
          <w:p w14:paraId="5CE14A0A" w14:textId="77777777" w:rsidR="00345C86" w:rsidRPr="000E4390" w:rsidRDefault="00345C86" w:rsidP="00DB1152">
            <w:pPr>
              <w:spacing w:before="240" w:after="480"/>
            </w:pPr>
            <w:r w:rsidRPr="000E4390">
              <w:t xml:space="preserve">Completed under Study I, Part 2, Annex of the project. </w:t>
            </w:r>
          </w:p>
          <w:p w14:paraId="2070D1F1" w14:textId="5CD0567D" w:rsidR="005635C7" w:rsidRPr="000E4390" w:rsidRDefault="005635C7" w:rsidP="00F3367C"/>
          <w:p w14:paraId="586546E6" w14:textId="77777777" w:rsidR="00345C86" w:rsidRPr="000E4390" w:rsidRDefault="00345C86" w:rsidP="00F3367C"/>
          <w:p w14:paraId="405DC490" w14:textId="77777777" w:rsidR="00345C86" w:rsidRPr="000E4390" w:rsidRDefault="00345C86" w:rsidP="00F3367C"/>
          <w:p w14:paraId="684AAE70" w14:textId="77777777" w:rsidR="00345C86" w:rsidRPr="000E4390" w:rsidRDefault="00345C86" w:rsidP="00DB1152">
            <w:pPr>
              <w:spacing w:after="480"/>
            </w:pPr>
            <w:r w:rsidRPr="000E4390">
              <w:t xml:space="preserve">Completed under Study II of the project. </w:t>
            </w:r>
          </w:p>
        </w:tc>
        <w:tc>
          <w:tcPr>
            <w:tcW w:w="876" w:type="dxa"/>
          </w:tcPr>
          <w:p w14:paraId="1412EEA2" w14:textId="77777777" w:rsidR="00345C86" w:rsidRPr="000E4390" w:rsidRDefault="00345C86" w:rsidP="00F3367C">
            <w:pPr>
              <w:pStyle w:val="TableParagraph"/>
            </w:pPr>
            <w:r w:rsidRPr="000E4390">
              <w:t>****</w:t>
            </w:r>
          </w:p>
          <w:p w14:paraId="35597E91" w14:textId="77777777" w:rsidR="00345C86" w:rsidRPr="000E4390" w:rsidRDefault="00345C86" w:rsidP="00F3367C">
            <w:pPr>
              <w:pStyle w:val="TableParagraph"/>
            </w:pPr>
          </w:p>
          <w:p w14:paraId="45593F9E" w14:textId="77777777" w:rsidR="00345C86" w:rsidRPr="000E4390" w:rsidRDefault="00345C86" w:rsidP="00F3367C">
            <w:pPr>
              <w:pStyle w:val="TableParagraph"/>
            </w:pPr>
          </w:p>
          <w:p w14:paraId="0BEA5A0E" w14:textId="77777777" w:rsidR="00345C86" w:rsidRPr="000E4390" w:rsidRDefault="00345C86" w:rsidP="00F3367C">
            <w:pPr>
              <w:pStyle w:val="TableParagraph"/>
            </w:pPr>
          </w:p>
          <w:p w14:paraId="388D93C4" w14:textId="77777777" w:rsidR="00345C86" w:rsidRPr="000E4390" w:rsidRDefault="00345C86" w:rsidP="00F3367C">
            <w:pPr>
              <w:pStyle w:val="TableParagraph"/>
            </w:pPr>
          </w:p>
          <w:p w14:paraId="2A6AA763" w14:textId="77777777" w:rsidR="00345C86" w:rsidRPr="000E4390" w:rsidRDefault="00345C86" w:rsidP="00F3367C">
            <w:pPr>
              <w:pStyle w:val="TableParagraph"/>
            </w:pPr>
          </w:p>
          <w:p w14:paraId="58A44AFE" w14:textId="4222D45B" w:rsidR="00345C86" w:rsidRPr="000E4390" w:rsidRDefault="00345C86" w:rsidP="00F3367C">
            <w:pPr>
              <w:pStyle w:val="TableParagraph"/>
            </w:pPr>
            <w:r w:rsidRPr="000E4390">
              <w:t>****</w:t>
            </w:r>
          </w:p>
          <w:p w14:paraId="31DDDDCC" w14:textId="77777777" w:rsidR="00345C86" w:rsidRPr="000E4390" w:rsidRDefault="00345C86" w:rsidP="00F3367C">
            <w:pPr>
              <w:pStyle w:val="TableParagraph"/>
            </w:pPr>
          </w:p>
          <w:p w14:paraId="2792A7B0" w14:textId="77777777" w:rsidR="00345C86" w:rsidRPr="000E4390" w:rsidRDefault="00345C86" w:rsidP="00F3367C">
            <w:pPr>
              <w:pStyle w:val="TableParagraph"/>
            </w:pPr>
          </w:p>
          <w:p w14:paraId="4037D6D7" w14:textId="77777777" w:rsidR="00345C86" w:rsidRPr="000E4390" w:rsidRDefault="00345C86" w:rsidP="00F3367C">
            <w:pPr>
              <w:pStyle w:val="TableParagraph"/>
            </w:pPr>
          </w:p>
          <w:p w14:paraId="3939D005" w14:textId="77777777" w:rsidR="00345C86" w:rsidRPr="000E4390" w:rsidRDefault="00345C86" w:rsidP="00F3367C">
            <w:pPr>
              <w:pStyle w:val="TableParagraph"/>
            </w:pPr>
          </w:p>
          <w:p w14:paraId="79EE2874" w14:textId="77777777" w:rsidR="00345C86" w:rsidRPr="000E4390" w:rsidRDefault="00345C86" w:rsidP="00F3367C">
            <w:pPr>
              <w:pStyle w:val="TableParagraph"/>
            </w:pPr>
          </w:p>
          <w:p w14:paraId="4092E5C6" w14:textId="77777777" w:rsidR="00345C86" w:rsidRPr="000E4390" w:rsidRDefault="00345C86" w:rsidP="00F3367C">
            <w:pPr>
              <w:pStyle w:val="TableParagraph"/>
            </w:pPr>
          </w:p>
          <w:p w14:paraId="5E85ABAE" w14:textId="77777777" w:rsidR="00345C86" w:rsidRPr="000E4390" w:rsidRDefault="00345C86" w:rsidP="00F3367C">
            <w:pPr>
              <w:pStyle w:val="TableParagraph"/>
            </w:pPr>
            <w:r w:rsidRPr="000E4390">
              <w:t>****</w:t>
            </w:r>
          </w:p>
          <w:p w14:paraId="49180861" w14:textId="77777777" w:rsidR="00345C86" w:rsidRPr="000E4390" w:rsidRDefault="00345C86" w:rsidP="00F3367C">
            <w:pPr>
              <w:pStyle w:val="TableParagraph"/>
            </w:pPr>
          </w:p>
          <w:p w14:paraId="3A0646BB" w14:textId="77777777" w:rsidR="00345C86" w:rsidRPr="000E4390" w:rsidRDefault="00345C86" w:rsidP="00F3367C">
            <w:pPr>
              <w:pStyle w:val="TableParagraph"/>
            </w:pPr>
          </w:p>
        </w:tc>
      </w:tr>
      <w:tr w:rsidR="00345C86" w:rsidRPr="000E4390" w14:paraId="7D31F4E5" w14:textId="77777777" w:rsidTr="00345C86">
        <w:trPr>
          <w:trHeight w:val="510"/>
        </w:trPr>
        <w:tc>
          <w:tcPr>
            <w:tcW w:w="2410" w:type="dxa"/>
            <w:tcBorders>
              <w:right w:val="single" w:sz="6" w:space="0" w:color="000000"/>
            </w:tcBorders>
            <w:vAlign w:val="center"/>
          </w:tcPr>
          <w:p w14:paraId="762B45EA" w14:textId="77777777" w:rsidR="00345C86" w:rsidRPr="000E4390" w:rsidRDefault="00345C86" w:rsidP="00F3367C">
            <w:pPr>
              <w:rPr>
                <w:bCs/>
              </w:rPr>
            </w:pPr>
            <w:r w:rsidRPr="000E4390">
              <w:rPr>
                <w:bCs/>
              </w:rPr>
              <w:t>Output 2:  Better understanding the current status of licensing in the digital environment</w:t>
            </w:r>
          </w:p>
        </w:tc>
        <w:tc>
          <w:tcPr>
            <w:tcW w:w="2695" w:type="dxa"/>
            <w:tcBorders>
              <w:top w:val="single" w:sz="6" w:space="0" w:color="000000"/>
              <w:left w:val="single" w:sz="6" w:space="0" w:color="000000"/>
              <w:bottom w:val="single" w:sz="6" w:space="0" w:color="000000"/>
            </w:tcBorders>
          </w:tcPr>
          <w:p w14:paraId="4B22E76F" w14:textId="6ED2466D" w:rsidR="006D292D" w:rsidRDefault="00345C86" w:rsidP="00DB1152">
            <w:r w:rsidRPr="000E4390">
              <w:t xml:space="preserve">Activity </w:t>
            </w:r>
            <w:r w:rsidR="006D292D">
              <w:t xml:space="preserve">1. </w:t>
            </w:r>
            <w:r w:rsidRPr="000E4390">
              <w:t>Delivery of an assessment regarding the process of content distribution through digital channels in selected countries</w:t>
            </w:r>
            <w:r w:rsidR="008C6B1F" w:rsidRPr="000E4390">
              <w:t>.</w:t>
            </w:r>
          </w:p>
          <w:p w14:paraId="13E4B006" w14:textId="77777777" w:rsidR="00DB1152" w:rsidRPr="000E4390" w:rsidRDefault="00DB1152" w:rsidP="00DB1152"/>
          <w:p w14:paraId="5C1A7122" w14:textId="005EA716" w:rsidR="006D292D" w:rsidRPr="000E4390" w:rsidRDefault="006D292D" w:rsidP="006D292D">
            <w:pPr>
              <w:spacing w:after="240"/>
            </w:pPr>
            <w:r>
              <w:t xml:space="preserve">Activity 2. </w:t>
            </w:r>
            <w:r w:rsidR="00345C86" w:rsidRPr="000E4390">
              <w:t>Delivery of economic study on the digital audiovisual market</w:t>
            </w:r>
            <w:r>
              <w:t>.</w:t>
            </w:r>
          </w:p>
          <w:p w14:paraId="095FBCD2" w14:textId="77777777" w:rsidR="00DB1152" w:rsidRDefault="00DB1152" w:rsidP="006D292D">
            <w:pPr>
              <w:spacing w:after="240"/>
            </w:pPr>
          </w:p>
          <w:p w14:paraId="3441E70D" w14:textId="23D270AB" w:rsidR="00345C86" w:rsidRPr="000E4390" w:rsidRDefault="006D292D" w:rsidP="006D292D">
            <w:pPr>
              <w:spacing w:after="240"/>
            </w:pPr>
            <w:r>
              <w:t xml:space="preserve">Activity 3. </w:t>
            </w:r>
            <w:r w:rsidR="00345C86" w:rsidRPr="000E4390">
              <w:t>Holding two workshops (two days each) to exchange information and assess the implementation of output one and two</w:t>
            </w:r>
            <w:r>
              <w:t>.</w:t>
            </w:r>
          </w:p>
          <w:p w14:paraId="5F49AAE6" w14:textId="5CDAE8B0" w:rsidR="00345C86" w:rsidRPr="000E4390" w:rsidRDefault="006D292D" w:rsidP="00F3367C">
            <w:r>
              <w:lastRenderedPageBreak/>
              <w:t xml:space="preserve">Activity 4. </w:t>
            </w:r>
            <w:r w:rsidR="00345C86" w:rsidRPr="000E4390">
              <w:t>Holding a seminar on copyright and the distribution of content in the Digital Environment.</w:t>
            </w:r>
          </w:p>
        </w:tc>
        <w:tc>
          <w:tcPr>
            <w:tcW w:w="3401" w:type="dxa"/>
            <w:vAlign w:val="center"/>
          </w:tcPr>
          <w:p w14:paraId="282E16D8" w14:textId="36355854" w:rsidR="00345C86" w:rsidRPr="000E4390" w:rsidRDefault="00345C86" w:rsidP="00DB1152">
            <w:pPr>
              <w:spacing w:after="720"/>
            </w:pPr>
            <w:r w:rsidRPr="000E4390">
              <w:lastRenderedPageBreak/>
              <w:t xml:space="preserve">Completed </w:t>
            </w:r>
            <w:r w:rsidR="00370DBB" w:rsidRPr="000E4390">
              <w:t xml:space="preserve">in the form of </w:t>
            </w:r>
            <w:r w:rsidRPr="000E4390">
              <w:t>seven case studies .</w:t>
            </w:r>
            <w:r w:rsidR="001D65CD" w:rsidRPr="000E4390">
              <w:t xml:space="preserve"> dacatalogue.wipo.int/projects/DA_1_3_4_10_11_16_25_35_01 </w:t>
            </w:r>
          </w:p>
          <w:p w14:paraId="354B6416" w14:textId="6C5C79D1" w:rsidR="00345C86" w:rsidRPr="000E4390" w:rsidRDefault="00345C86" w:rsidP="00DB1152">
            <w:pPr>
              <w:spacing w:before="480" w:after="240"/>
            </w:pPr>
            <w:r w:rsidRPr="000E4390">
              <w:t>Completed</w:t>
            </w:r>
            <w:r w:rsidR="001D65CD" w:rsidRPr="000E4390">
              <w:t xml:space="preserve"> and available at:  </w:t>
            </w:r>
            <w:hyperlink r:id="rId34" w:history="1">
              <w:r w:rsidR="001D65CD" w:rsidRPr="000E4390">
                <w:rPr>
                  <w:rStyle w:val="Hyperlink"/>
                </w:rPr>
                <w:t>dacatalogue.wipo.int/projectfiles/DA_1_3_4_10_11_16_25_35_01/Orphan_Works/EN/LATAM%20AV%20study_Public_Domain_ES.pdf</w:t>
              </w:r>
            </w:hyperlink>
            <w:r w:rsidR="001D65CD" w:rsidRPr="000E4390">
              <w:t xml:space="preserve"> </w:t>
            </w:r>
            <w:r w:rsidRPr="000E4390">
              <w:t xml:space="preserve"> </w:t>
            </w:r>
            <w:r w:rsidR="001D65CD" w:rsidRPr="000E4390" w:rsidDel="00DE7ABA">
              <w:t xml:space="preserve"> </w:t>
            </w:r>
          </w:p>
          <w:p w14:paraId="3D7F8CA5" w14:textId="3A2EEB19" w:rsidR="00345C86" w:rsidRPr="000E4390" w:rsidRDefault="00B12FE6" w:rsidP="00F3367C">
            <w:r w:rsidRPr="000E4390">
              <w:t xml:space="preserve">Completed in </w:t>
            </w:r>
            <w:r w:rsidR="00DC3EA2">
              <w:t>December</w:t>
            </w:r>
            <w:r w:rsidR="00DC3EA2" w:rsidRPr="000E4390">
              <w:t xml:space="preserve"> </w:t>
            </w:r>
            <w:r w:rsidRPr="000E4390">
              <w:t>202</w:t>
            </w:r>
            <w:r w:rsidR="00370DBB" w:rsidRPr="000E4390">
              <w:t>2</w:t>
            </w:r>
            <w:r w:rsidR="00F44832">
              <w:t>.</w:t>
            </w:r>
          </w:p>
          <w:p w14:paraId="61435E2C" w14:textId="77777777" w:rsidR="00345C86" w:rsidRPr="000E4390" w:rsidRDefault="00345C86" w:rsidP="00F3367C"/>
          <w:p w14:paraId="70809BB8" w14:textId="77777777" w:rsidR="00345C86" w:rsidRPr="000E4390" w:rsidRDefault="00345C86" w:rsidP="00F3367C"/>
          <w:p w14:paraId="177EB9EE" w14:textId="7953D28E" w:rsidR="00345C86" w:rsidRPr="000E4390" w:rsidRDefault="00345C86" w:rsidP="00F3367C"/>
          <w:p w14:paraId="313D70A8" w14:textId="77777777" w:rsidR="00DB1152" w:rsidRDefault="00DB1152" w:rsidP="00F3367C"/>
          <w:p w14:paraId="3D275F5E" w14:textId="77777777" w:rsidR="00DB1152" w:rsidRDefault="00DB1152" w:rsidP="00F3367C"/>
          <w:p w14:paraId="5DEC18B0" w14:textId="77777777" w:rsidR="00DB1152" w:rsidRDefault="00DB1152" w:rsidP="00F3367C"/>
          <w:p w14:paraId="73AFAEE2" w14:textId="0C8930F2" w:rsidR="00345C86" w:rsidRPr="000E4390" w:rsidRDefault="00B12FE6" w:rsidP="00F3367C">
            <w:r w:rsidRPr="000E4390">
              <w:lastRenderedPageBreak/>
              <w:t xml:space="preserve">Completed in </w:t>
            </w:r>
            <w:r w:rsidR="00370DBB" w:rsidRPr="000E4390">
              <w:t xml:space="preserve">June </w:t>
            </w:r>
            <w:r w:rsidRPr="000E4390">
              <w:t>2023</w:t>
            </w:r>
            <w:r w:rsidR="00F44832">
              <w:t>.</w:t>
            </w:r>
          </w:p>
        </w:tc>
        <w:tc>
          <w:tcPr>
            <w:tcW w:w="876" w:type="dxa"/>
          </w:tcPr>
          <w:p w14:paraId="47D2649A" w14:textId="77777777" w:rsidR="00345C86" w:rsidRPr="000E4390" w:rsidRDefault="00345C86" w:rsidP="00F3367C">
            <w:pPr>
              <w:pStyle w:val="TableParagraph"/>
            </w:pPr>
            <w:r w:rsidRPr="000E4390">
              <w:lastRenderedPageBreak/>
              <w:t>****</w:t>
            </w:r>
          </w:p>
          <w:p w14:paraId="6D6A55CA" w14:textId="77777777" w:rsidR="00345C86" w:rsidRPr="000E4390" w:rsidRDefault="00345C86" w:rsidP="00F3367C">
            <w:pPr>
              <w:pStyle w:val="TableParagraph"/>
            </w:pPr>
          </w:p>
          <w:p w14:paraId="236A0B2A" w14:textId="77777777" w:rsidR="00345C86" w:rsidRPr="000E4390" w:rsidRDefault="00345C86" w:rsidP="00F3367C">
            <w:pPr>
              <w:pStyle w:val="TableParagraph"/>
            </w:pPr>
          </w:p>
          <w:p w14:paraId="363B0993" w14:textId="77777777" w:rsidR="00345C86" w:rsidRPr="000E4390" w:rsidRDefault="00345C86" w:rsidP="00F3367C">
            <w:pPr>
              <w:pStyle w:val="TableParagraph"/>
            </w:pPr>
          </w:p>
          <w:p w14:paraId="11EB128A" w14:textId="77777777" w:rsidR="00345C86" w:rsidRPr="000E4390" w:rsidRDefault="00345C86" w:rsidP="00F3367C">
            <w:pPr>
              <w:pStyle w:val="TableParagraph"/>
            </w:pPr>
          </w:p>
          <w:p w14:paraId="0232EC36" w14:textId="61F14C92" w:rsidR="00345C86" w:rsidRDefault="00345C86" w:rsidP="00F3367C">
            <w:pPr>
              <w:pStyle w:val="TableParagraph"/>
            </w:pPr>
          </w:p>
          <w:p w14:paraId="0113663E" w14:textId="35E09136" w:rsidR="00DB1152" w:rsidRDefault="00DB1152" w:rsidP="00F3367C">
            <w:pPr>
              <w:pStyle w:val="TableParagraph"/>
            </w:pPr>
          </w:p>
          <w:p w14:paraId="769C904E" w14:textId="270E7EEB" w:rsidR="00345C86" w:rsidRPr="000E4390" w:rsidRDefault="00345C86" w:rsidP="00DB1152">
            <w:pPr>
              <w:pStyle w:val="TableParagraph"/>
            </w:pPr>
            <w:r w:rsidRPr="000E4390">
              <w:t>****</w:t>
            </w:r>
          </w:p>
          <w:p w14:paraId="6F59057C" w14:textId="77777777" w:rsidR="00345C86" w:rsidRPr="000E4390" w:rsidRDefault="00345C86" w:rsidP="00F3367C">
            <w:pPr>
              <w:pStyle w:val="TableParagraph"/>
            </w:pPr>
          </w:p>
          <w:p w14:paraId="45344E46" w14:textId="77777777" w:rsidR="00345C86" w:rsidRPr="000E4390" w:rsidRDefault="00345C86" w:rsidP="00F3367C">
            <w:pPr>
              <w:pStyle w:val="TableParagraph"/>
            </w:pPr>
          </w:p>
          <w:p w14:paraId="02ABA063" w14:textId="77777777" w:rsidR="00345C86" w:rsidRPr="000E4390" w:rsidRDefault="00345C86" w:rsidP="00F3367C">
            <w:pPr>
              <w:pStyle w:val="TableParagraph"/>
            </w:pPr>
          </w:p>
          <w:p w14:paraId="0D3497FC" w14:textId="423393AC" w:rsidR="00345C86" w:rsidRDefault="00345C86" w:rsidP="00F3367C">
            <w:pPr>
              <w:pStyle w:val="TableParagraph"/>
            </w:pPr>
          </w:p>
          <w:p w14:paraId="4FB51050" w14:textId="77777777" w:rsidR="00DB1152" w:rsidRPr="000E4390" w:rsidRDefault="00DB1152" w:rsidP="00F3367C">
            <w:pPr>
              <w:pStyle w:val="TableParagraph"/>
            </w:pPr>
          </w:p>
          <w:p w14:paraId="35B763DC" w14:textId="77777777" w:rsidR="00345C86" w:rsidRPr="000E4390" w:rsidRDefault="00345C86" w:rsidP="00F3367C">
            <w:pPr>
              <w:pStyle w:val="TableParagraph"/>
            </w:pPr>
            <w:r w:rsidRPr="000E4390">
              <w:t>**</w:t>
            </w:r>
            <w:r w:rsidR="00B12FE6" w:rsidRPr="000E4390">
              <w:t>**</w:t>
            </w:r>
          </w:p>
          <w:p w14:paraId="577EBA11" w14:textId="77777777" w:rsidR="00345C86" w:rsidRPr="000E4390" w:rsidRDefault="00345C86" w:rsidP="00F3367C">
            <w:pPr>
              <w:pStyle w:val="TableParagraph"/>
            </w:pPr>
          </w:p>
          <w:p w14:paraId="36E0B2BE" w14:textId="446F50C7" w:rsidR="00345C86" w:rsidRPr="000E4390" w:rsidRDefault="00345C86" w:rsidP="00F3367C">
            <w:pPr>
              <w:pStyle w:val="TableParagraph"/>
            </w:pPr>
          </w:p>
          <w:p w14:paraId="6536040E" w14:textId="71F102B0" w:rsidR="00345C86" w:rsidRDefault="00345C86" w:rsidP="00F3367C">
            <w:pPr>
              <w:pStyle w:val="TableParagraph"/>
            </w:pPr>
          </w:p>
          <w:p w14:paraId="46011160" w14:textId="4F5F917C" w:rsidR="00DB1152" w:rsidRDefault="00DB1152" w:rsidP="00F3367C">
            <w:pPr>
              <w:pStyle w:val="TableParagraph"/>
            </w:pPr>
          </w:p>
          <w:p w14:paraId="205D2C73" w14:textId="2FFA4581" w:rsidR="00DB1152" w:rsidRDefault="00DB1152" w:rsidP="00F3367C">
            <w:pPr>
              <w:pStyle w:val="TableParagraph"/>
            </w:pPr>
          </w:p>
          <w:p w14:paraId="2F493417" w14:textId="77777777" w:rsidR="00DB1152" w:rsidRPr="000E4390" w:rsidRDefault="00DB1152" w:rsidP="00F3367C">
            <w:pPr>
              <w:pStyle w:val="TableParagraph"/>
            </w:pPr>
          </w:p>
          <w:p w14:paraId="64466F8A" w14:textId="77777777" w:rsidR="00345C86" w:rsidRPr="000E4390" w:rsidRDefault="00345C86" w:rsidP="00F3367C">
            <w:pPr>
              <w:pStyle w:val="TableParagraph"/>
            </w:pPr>
            <w:r w:rsidRPr="000E4390">
              <w:lastRenderedPageBreak/>
              <w:t>**</w:t>
            </w:r>
            <w:r w:rsidR="00B12FE6" w:rsidRPr="000E4390">
              <w:t>**</w:t>
            </w:r>
          </w:p>
        </w:tc>
      </w:tr>
    </w:tbl>
    <w:p w14:paraId="600747CF" w14:textId="4AF94B88" w:rsidR="00E12E01" w:rsidRDefault="00E12E01" w:rsidP="005635C7">
      <w:pPr>
        <w:pStyle w:val="Endofdocument-Annex"/>
        <w:spacing w:before="720"/>
        <w:ind w:left="5530"/>
      </w:pPr>
      <w:r>
        <w:lastRenderedPageBreak/>
        <w:t>[Annex II follows</w:t>
      </w:r>
      <w:r w:rsidR="005635C7" w:rsidRPr="007A6952">
        <w:t>]</w:t>
      </w:r>
      <w:r>
        <w:br w:type="page"/>
      </w:r>
    </w:p>
    <w:p w14:paraId="5FCF4A24" w14:textId="77777777" w:rsidR="00E12E01" w:rsidRDefault="00E12E01" w:rsidP="00566FA6">
      <w:pPr>
        <w:pStyle w:val="Endofdocument-Annex"/>
        <w:spacing w:before="720"/>
        <w:ind w:left="0"/>
        <w:sectPr w:rsidR="00E12E01" w:rsidSect="00A820D6">
          <w:headerReference w:type="first" r:id="rId35"/>
          <w:pgSz w:w="11907" w:h="16840" w:code="9"/>
          <w:pgMar w:top="540" w:right="1417" w:bottom="1417" w:left="1417" w:header="504" w:footer="1022" w:gutter="0"/>
          <w:pgNumType w:start="1"/>
          <w:cols w:space="720"/>
          <w:titlePg/>
          <w:docGrid w:linePitch="299"/>
        </w:sectPr>
      </w:pPr>
    </w:p>
    <w:tbl>
      <w:tblPr>
        <w:tblW w:w="10055" w:type="dxa"/>
        <w:tblLook w:val="04A0" w:firstRow="1" w:lastRow="0" w:firstColumn="1" w:lastColumn="0" w:noHBand="0" w:noVBand="1"/>
      </w:tblPr>
      <w:tblGrid>
        <w:gridCol w:w="4942"/>
        <w:gridCol w:w="1890"/>
        <w:gridCol w:w="1323"/>
        <w:gridCol w:w="1900"/>
      </w:tblGrid>
      <w:tr w:rsidR="00E12E01" w:rsidRPr="00A61F96" w14:paraId="2647A95E" w14:textId="77777777" w:rsidTr="00E12E01">
        <w:trPr>
          <w:trHeight w:val="240"/>
        </w:trPr>
        <w:tc>
          <w:tcPr>
            <w:tcW w:w="4942" w:type="dxa"/>
            <w:tcBorders>
              <w:top w:val="nil"/>
              <w:left w:val="nil"/>
              <w:bottom w:val="nil"/>
              <w:right w:val="nil"/>
            </w:tcBorders>
            <w:shd w:val="clear" w:color="auto" w:fill="auto"/>
            <w:noWrap/>
            <w:vAlign w:val="bottom"/>
            <w:hideMark/>
          </w:tcPr>
          <w:p w14:paraId="208B36FF" w14:textId="77777777" w:rsidR="00E12E01" w:rsidRPr="00A61F9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17C992E8" w14:textId="77777777" w:rsidR="00E12E01" w:rsidRPr="00A61F9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2B157F96" w14:textId="77777777" w:rsidR="00E12E01" w:rsidRPr="00A61F9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72CC64E5" w14:textId="77777777" w:rsidR="00E12E01" w:rsidRPr="00A61F96" w:rsidRDefault="00E12E01" w:rsidP="0037217B">
            <w:pPr>
              <w:rPr>
                <w:rFonts w:ascii="Times New Roman" w:hAnsi="Times New Roman" w:cs="Times New Roman"/>
                <w:sz w:val="20"/>
              </w:rPr>
            </w:pPr>
          </w:p>
        </w:tc>
      </w:tr>
      <w:tr w:rsidR="00E12E01" w:rsidRPr="00A61F96" w14:paraId="32C5E5D8" w14:textId="77777777" w:rsidTr="00E12E01">
        <w:trPr>
          <w:trHeight w:val="240"/>
        </w:trPr>
        <w:tc>
          <w:tcPr>
            <w:tcW w:w="4942" w:type="dxa"/>
            <w:tcBorders>
              <w:top w:val="nil"/>
              <w:left w:val="nil"/>
              <w:bottom w:val="nil"/>
              <w:right w:val="nil"/>
            </w:tcBorders>
            <w:shd w:val="clear" w:color="auto" w:fill="auto"/>
            <w:noWrap/>
            <w:vAlign w:val="bottom"/>
          </w:tcPr>
          <w:p w14:paraId="1E9A575E" w14:textId="77777777" w:rsidR="00E12E01" w:rsidRPr="00A61F9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tcPr>
          <w:p w14:paraId="22167D6D" w14:textId="77777777" w:rsidR="00E12E01" w:rsidRPr="00A61F9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tcPr>
          <w:p w14:paraId="53D694FD" w14:textId="77777777" w:rsidR="00E12E01" w:rsidRPr="00A61F9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tcPr>
          <w:p w14:paraId="6A1E984E" w14:textId="77777777" w:rsidR="00E12E01" w:rsidRPr="00A61F96" w:rsidRDefault="00E12E01" w:rsidP="0037217B">
            <w:pPr>
              <w:rPr>
                <w:rFonts w:ascii="Times New Roman" w:hAnsi="Times New Roman" w:cs="Times New Roman"/>
                <w:sz w:val="20"/>
              </w:rPr>
            </w:pPr>
          </w:p>
        </w:tc>
      </w:tr>
      <w:tr w:rsidR="00E12E01" w:rsidRPr="00A61F96" w14:paraId="7D1FE660" w14:textId="77777777" w:rsidTr="00E12E01">
        <w:trPr>
          <w:trHeight w:val="677"/>
        </w:trPr>
        <w:tc>
          <w:tcPr>
            <w:tcW w:w="10055" w:type="dxa"/>
            <w:gridSpan w:val="4"/>
            <w:tcBorders>
              <w:top w:val="nil"/>
              <w:left w:val="nil"/>
              <w:bottom w:val="nil"/>
              <w:right w:val="nil"/>
            </w:tcBorders>
            <w:shd w:val="clear" w:color="auto" w:fill="auto"/>
            <w:vAlign w:val="center"/>
            <w:hideMark/>
          </w:tcPr>
          <w:p w14:paraId="26393E83" w14:textId="7E03EC8A" w:rsidR="00E12E01" w:rsidRPr="00A61F96" w:rsidRDefault="00F44832" w:rsidP="00746685">
            <w:pPr>
              <w:rPr>
                <w:rFonts w:ascii="Arial Narrow" w:hAnsi="Arial Narrow"/>
                <w:b/>
                <w:bCs/>
                <w:color w:val="002839"/>
                <w:sz w:val="28"/>
                <w:szCs w:val="28"/>
              </w:rPr>
            </w:pPr>
            <w:r>
              <w:rPr>
                <w:rFonts w:ascii="Arial Narrow" w:hAnsi="Arial Narrow"/>
                <w:b/>
                <w:bCs/>
                <w:color w:val="002839"/>
                <w:sz w:val="28"/>
                <w:szCs w:val="28"/>
              </w:rPr>
              <w:t xml:space="preserve">DA Project </w:t>
            </w:r>
            <w:r w:rsidR="00E12E01" w:rsidRPr="00A61F96">
              <w:rPr>
                <w:rFonts w:ascii="Arial Narrow" w:hAnsi="Arial Narrow"/>
                <w:b/>
                <w:bCs/>
                <w:color w:val="002839"/>
                <w:sz w:val="28"/>
                <w:szCs w:val="28"/>
              </w:rPr>
              <w:t xml:space="preserve">on Copyright and the Distribution of Content in the Digital </w:t>
            </w:r>
            <w:r w:rsidR="00746685">
              <w:rPr>
                <w:rFonts w:ascii="Arial Narrow" w:hAnsi="Arial Narrow"/>
                <w:b/>
                <w:bCs/>
                <w:color w:val="002839"/>
                <w:sz w:val="28"/>
                <w:szCs w:val="28"/>
              </w:rPr>
              <w:t>Enviro</w:t>
            </w:r>
            <w:r w:rsidR="00E12E01" w:rsidRPr="00A61F96">
              <w:rPr>
                <w:rFonts w:ascii="Arial Narrow" w:hAnsi="Arial Narrow"/>
                <w:b/>
                <w:bCs/>
                <w:color w:val="002839"/>
                <w:sz w:val="28"/>
                <w:szCs w:val="28"/>
              </w:rPr>
              <w:t xml:space="preserve">nment </w:t>
            </w:r>
          </w:p>
        </w:tc>
      </w:tr>
      <w:tr w:rsidR="00E12E01" w:rsidRPr="00A61F96" w14:paraId="06E606E6" w14:textId="77777777" w:rsidTr="00E12E01">
        <w:trPr>
          <w:trHeight w:val="220"/>
        </w:trPr>
        <w:tc>
          <w:tcPr>
            <w:tcW w:w="4942" w:type="dxa"/>
            <w:tcBorders>
              <w:top w:val="nil"/>
              <w:left w:val="nil"/>
              <w:bottom w:val="single" w:sz="4" w:space="0" w:color="005172"/>
              <w:right w:val="nil"/>
            </w:tcBorders>
            <w:shd w:val="clear" w:color="auto" w:fill="auto"/>
            <w:noWrap/>
            <w:vAlign w:val="bottom"/>
            <w:hideMark/>
          </w:tcPr>
          <w:p w14:paraId="4BD5F952" w14:textId="77777777" w:rsidR="00E12E01" w:rsidRPr="00A61F96" w:rsidRDefault="00E12E01" w:rsidP="0037217B">
            <w:pPr>
              <w:rPr>
                <w:color w:val="000000"/>
                <w:sz w:val="20"/>
              </w:rPr>
            </w:pPr>
            <w:r w:rsidRPr="00A61F96">
              <w:rPr>
                <w:color w:val="000000"/>
                <w:sz w:val="20"/>
              </w:rPr>
              <w:t> </w:t>
            </w:r>
          </w:p>
        </w:tc>
        <w:tc>
          <w:tcPr>
            <w:tcW w:w="1890" w:type="dxa"/>
            <w:tcBorders>
              <w:top w:val="nil"/>
              <w:left w:val="nil"/>
              <w:bottom w:val="single" w:sz="4" w:space="0" w:color="005172"/>
              <w:right w:val="nil"/>
            </w:tcBorders>
            <w:shd w:val="clear" w:color="auto" w:fill="auto"/>
            <w:noWrap/>
            <w:vAlign w:val="bottom"/>
            <w:hideMark/>
          </w:tcPr>
          <w:p w14:paraId="6ACA8FC9" w14:textId="77777777" w:rsidR="00E12E01" w:rsidRPr="00A61F96" w:rsidRDefault="00E12E01" w:rsidP="0037217B">
            <w:pPr>
              <w:rPr>
                <w:color w:val="000000"/>
                <w:sz w:val="20"/>
              </w:rPr>
            </w:pPr>
            <w:r w:rsidRPr="00A61F96">
              <w:rPr>
                <w:color w:val="000000"/>
                <w:sz w:val="20"/>
              </w:rPr>
              <w:t> </w:t>
            </w:r>
          </w:p>
        </w:tc>
        <w:tc>
          <w:tcPr>
            <w:tcW w:w="1323" w:type="dxa"/>
            <w:tcBorders>
              <w:top w:val="nil"/>
              <w:left w:val="nil"/>
              <w:bottom w:val="single" w:sz="4" w:space="0" w:color="005172"/>
              <w:right w:val="nil"/>
            </w:tcBorders>
            <w:shd w:val="clear" w:color="auto" w:fill="auto"/>
            <w:noWrap/>
            <w:vAlign w:val="bottom"/>
            <w:hideMark/>
          </w:tcPr>
          <w:p w14:paraId="77FAF96B" w14:textId="77777777" w:rsidR="00E12E01" w:rsidRPr="00A61F96" w:rsidRDefault="00E12E01" w:rsidP="0037217B">
            <w:pPr>
              <w:rPr>
                <w:color w:val="000000"/>
                <w:sz w:val="20"/>
              </w:rPr>
            </w:pPr>
            <w:r w:rsidRPr="00A61F96">
              <w:rPr>
                <w:color w:val="000000"/>
                <w:sz w:val="20"/>
              </w:rPr>
              <w:t> </w:t>
            </w:r>
          </w:p>
        </w:tc>
        <w:tc>
          <w:tcPr>
            <w:tcW w:w="1900" w:type="dxa"/>
            <w:tcBorders>
              <w:top w:val="nil"/>
              <w:left w:val="nil"/>
              <w:bottom w:val="single" w:sz="4" w:space="0" w:color="005172"/>
              <w:right w:val="nil"/>
            </w:tcBorders>
            <w:shd w:val="clear" w:color="auto" w:fill="auto"/>
            <w:noWrap/>
            <w:vAlign w:val="bottom"/>
            <w:hideMark/>
          </w:tcPr>
          <w:p w14:paraId="723F712F" w14:textId="77777777" w:rsidR="00E12E01" w:rsidRPr="00A61F96" w:rsidRDefault="00E12E01" w:rsidP="0037217B">
            <w:pPr>
              <w:rPr>
                <w:color w:val="000000"/>
                <w:sz w:val="20"/>
              </w:rPr>
            </w:pPr>
            <w:r w:rsidRPr="00A61F96">
              <w:rPr>
                <w:color w:val="000000"/>
                <w:sz w:val="20"/>
              </w:rPr>
              <w:t> </w:t>
            </w:r>
          </w:p>
        </w:tc>
      </w:tr>
      <w:tr w:rsidR="00E12E01" w:rsidRPr="00A61F96" w14:paraId="2B6AC7D0" w14:textId="77777777" w:rsidTr="00E12E01">
        <w:trPr>
          <w:trHeight w:val="273"/>
        </w:trPr>
        <w:tc>
          <w:tcPr>
            <w:tcW w:w="4942" w:type="dxa"/>
            <w:tcBorders>
              <w:top w:val="nil"/>
              <w:left w:val="nil"/>
              <w:bottom w:val="nil"/>
              <w:right w:val="nil"/>
            </w:tcBorders>
            <w:shd w:val="clear" w:color="auto" w:fill="auto"/>
            <w:noWrap/>
            <w:vAlign w:val="bottom"/>
            <w:hideMark/>
          </w:tcPr>
          <w:p w14:paraId="41A34B8B" w14:textId="77777777" w:rsidR="00E12E01" w:rsidRPr="00A61F9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3095F0DC" w14:textId="77777777" w:rsidR="00E12E01" w:rsidRPr="00A61F9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0345E7D7" w14:textId="77777777" w:rsidR="00E12E01" w:rsidRPr="00A61F9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2BDBD443" w14:textId="77777777" w:rsidR="00E12E01" w:rsidRPr="00A61F96" w:rsidRDefault="00E12E01" w:rsidP="0037217B">
            <w:pPr>
              <w:rPr>
                <w:rFonts w:ascii="Times New Roman" w:hAnsi="Times New Roman" w:cs="Times New Roman"/>
                <w:sz w:val="20"/>
              </w:rPr>
            </w:pPr>
          </w:p>
        </w:tc>
      </w:tr>
      <w:tr w:rsidR="00E12E01" w:rsidRPr="00A61F96" w14:paraId="67209685" w14:textId="77777777" w:rsidTr="00E12E01">
        <w:trPr>
          <w:trHeight w:val="331"/>
        </w:trPr>
        <w:tc>
          <w:tcPr>
            <w:tcW w:w="10055" w:type="dxa"/>
            <w:gridSpan w:val="4"/>
            <w:tcBorders>
              <w:top w:val="nil"/>
              <w:left w:val="nil"/>
              <w:bottom w:val="nil"/>
              <w:right w:val="nil"/>
            </w:tcBorders>
            <w:shd w:val="clear" w:color="auto" w:fill="auto"/>
            <w:noWrap/>
            <w:vAlign w:val="bottom"/>
            <w:hideMark/>
          </w:tcPr>
          <w:p w14:paraId="3A804D41" w14:textId="2A0872EC" w:rsidR="00E12E01" w:rsidRPr="00A61F96" w:rsidRDefault="00E12E01" w:rsidP="0037217B">
            <w:pPr>
              <w:jc w:val="center"/>
              <w:rPr>
                <w:rFonts w:ascii="Arial Narrow" w:hAnsi="Arial Narrow"/>
                <w:b/>
                <w:bCs/>
                <w:color w:val="002839"/>
                <w:sz w:val="24"/>
                <w:szCs w:val="24"/>
              </w:rPr>
            </w:pPr>
            <w:r w:rsidRPr="00A61F96">
              <w:rPr>
                <w:rFonts w:ascii="Arial Narrow" w:hAnsi="Arial Narrow"/>
                <w:b/>
                <w:bCs/>
                <w:color w:val="002839"/>
                <w:sz w:val="24"/>
                <w:szCs w:val="24"/>
              </w:rPr>
              <w:t>Reso</w:t>
            </w:r>
            <w:r w:rsidR="00021982">
              <w:rPr>
                <w:rFonts w:ascii="Arial Narrow" w:hAnsi="Arial Narrow"/>
                <w:b/>
                <w:bCs/>
                <w:color w:val="002839"/>
                <w:sz w:val="24"/>
                <w:szCs w:val="24"/>
              </w:rPr>
              <w:t xml:space="preserve">urce Utilization as at end </w:t>
            </w:r>
            <w:r w:rsidR="00F44832">
              <w:rPr>
                <w:rFonts w:ascii="Arial Narrow" w:hAnsi="Arial Narrow"/>
                <w:b/>
                <w:bCs/>
                <w:color w:val="002839"/>
                <w:sz w:val="24"/>
                <w:szCs w:val="24"/>
              </w:rPr>
              <w:t>July</w:t>
            </w:r>
            <w:r w:rsidRPr="00A61F96">
              <w:rPr>
                <w:rFonts w:ascii="Arial Narrow" w:hAnsi="Arial Narrow"/>
                <w:b/>
                <w:bCs/>
                <w:color w:val="002839"/>
                <w:sz w:val="24"/>
                <w:szCs w:val="24"/>
              </w:rPr>
              <w:t xml:space="preserve"> 2023</w:t>
            </w:r>
          </w:p>
        </w:tc>
      </w:tr>
      <w:tr w:rsidR="00E12E01" w:rsidRPr="00A61F96" w14:paraId="47DF1D18" w14:textId="77777777" w:rsidTr="00E12E01">
        <w:trPr>
          <w:trHeight w:val="331"/>
        </w:trPr>
        <w:tc>
          <w:tcPr>
            <w:tcW w:w="10055" w:type="dxa"/>
            <w:gridSpan w:val="4"/>
            <w:tcBorders>
              <w:top w:val="nil"/>
              <w:left w:val="nil"/>
              <w:bottom w:val="nil"/>
              <w:right w:val="nil"/>
            </w:tcBorders>
            <w:shd w:val="clear" w:color="auto" w:fill="auto"/>
            <w:noWrap/>
            <w:vAlign w:val="bottom"/>
            <w:hideMark/>
          </w:tcPr>
          <w:p w14:paraId="683B5956" w14:textId="77777777" w:rsidR="00E12E01" w:rsidRPr="00A61F96" w:rsidRDefault="00E12E01" w:rsidP="0037217B">
            <w:pPr>
              <w:jc w:val="center"/>
              <w:rPr>
                <w:rFonts w:ascii="Arial Narrow" w:hAnsi="Arial Narrow"/>
                <w:i/>
                <w:iCs/>
                <w:color w:val="002839"/>
                <w:sz w:val="20"/>
              </w:rPr>
            </w:pPr>
            <w:r w:rsidRPr="00A61F96">
              <w:rPr>
                <w:rFonts w:ascii="Arial Narrow" w:hAnsi="Arial Narrow"/>
                <w:i/>
                <w:iCs/>
                <w:color w:val="002839"/>
                <w:sz w:val="20"/>
              </w:rPr>
              <w:t>(in Swiss francs)</w:t>
            </w:r>
          </w:p>
        </w:tc>
      </w:tr>
      <w:tr w:rsidR="00E12E01" w:rsidRPr="00A61F96" w14:paraId="6A2589B1" w14:textId="77777777" w:rsidTr="00E12E01">
        <w:trPr>
          <w:trHeight w:val="345"/>
        </w:trPr>
        <w:tc>
          <w:tcPr>
            <w:tcW w:w="4942" w:type="dxa"/>
            <w:tcBorders>
              <w:top w:val="nil"/>
              <w:left w:val="nil"/>
              <w:bottom w:val="nil"/>
              <w:right w:val="nil"/>
            </w:tcBorders>
            <w:shd w:val="clear" w:color="auto" w:fill="auto"/>
            <w:noWrap/>
            <w:vAlign w:val="bottom"/>
            <w:hideMark/>
          </w:tcPr>
          <w:p w14:paraId="556C0E4A" w14:textId="77777777" w:rsidR="00E12E01" w:rsidRPr="00A61F9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2D6D0E4B" w14:textId="77777777" w:rsidR="00E12E01" w:rsidRPr="00A61F9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4BCA0BD1" w14:textId="77777777" w:rsidR="00E12E01" w:rsidRPr="00A61F9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21343016" w14:textId="77777777" w:rsidR="00E12E01" w:rsidRPr="00A61F96" w:rsidRDefault="00E12E01" w:rsidP="0037217B">
            <w:pPr>
              <w:rPr>
                <w:rFonts w:ascii="Times New Roman" w:hAnsi="Times New Roman" w:cs="Times New Roman"/>
                <w:sz w:val="20"/>
              </w:rPr>
            </w:pPr>
          </w:p>
        </w:tc>
      </w:tr>
      <w:tr w:rsidR="00E12E01" w:rsidRPr="00A61F96" w14:paraId="573FC05A" w14:textId="77777777" w:rsidTr="00E12E01">
        <w:trPr>
          <w:trHeight w:val="619"/>
        </w:trPr>
        <w:tc>
          <w:tcPr>
            <w:tcW w:w="4942" w:type="dxa"/>
            <w:tcBorders>
              <w:top w:val="nil"/>
              <w:left w:val="nil"/>
              <w:bottom w:val="nil"/>
              <w:right w:val="nil"/>
            </w:tcBorders>
            <w:shd w:val="clear" w:color="000000" w:fill="C7CFD8"/>
            <w:noWrap/>
            <w:vAlign w:val="center"/>
            <w:hideMark/>
          </w:tcPr>
          <w:p w14:paraId="3D203301" w14:textId="77777777" w:rsidR="00E12E01" w:rsidRPr="00A61F96" w:rsidRDefault="00E12E01" w:rsidP="0037217B">
            <w:pPr>
              <w:rPr>
                <w:rFonts w:ascii="Arial Narrow" w:hAnsi="Arial Narrow"/>
                <w:b/>
                <w:bCs/>
                <w:color w:val="002839"/>
              </w:rPr>
            </w:pPr>
            <w:r w:rsidRPr="00A61F96">
              <w:rPr>
                <w:rFonts w:ascii="Arial Narrow" w:hAnsi="Arial Narrow"/>
                <w:b/>
                <w:bCs/>
                <w:color w:val="002839"/>
              </w:rPr>
              <w:t>Cost Category</w:t>
            </w:r>
          </w:p>
        </w:tc>
        <w:tc>
          <w:tcPr>
            <w:tcW w:w="1890" w:type="dxa"/>
            <w:tcBorders>
              <w:top w:val="nil"/>
              <w:left w:val="nil"/>
              <w:bottom w:val="nil"/>
              <w:right w:val="nil"/>
            </w:tcBorders>
            <w:shd w:val="clear" w:color="000000" w:fill="C7CFD8"/>
            <w:vAlign w:val="center"/>
            <w:hideMark/>
          </w:tcPr>
          <w:p w14:paraId="17516FD4" w14:textId="77777777" w:rsidR="00E12E01" w:rsidRPr="00A61F96" w:rsidRDefault="00E12E01" w:rsidP="0037217B">
            <w:pPr>
              <w:rPr>
                <w:rFonts w:ascii="Arial Narrow" w:hAnsi="Arial Narrow"/>
                <w:b/>
                <w:bCs/>
                <w:color w:val="002839"/>
              </w:rPr>
            </w:pPr>
            <w:r w:rsidRPr="00A61F96">
              <w:rPr>
                <w:rFonts w:ascii="Arial Narrow" w:hAnsi="Arial Narrow"/>
                <w:b/>
                <w:bCs/>
                <w:color w:val="002839"/>
              </w:rPr>
              <w:t>Project Budget</w:t>
            </w:r>
          </w:p>
        </w:tc>
        <w:tc>
          <w:tcPr>
            <w:tcW w:w="1323" w:type="dxa"/>
            <w:tcBorders>
              <w:top w:val="nil"/>
              <w:left w:val="nil"/>
              <w:bottom w:val="nil"/>
              <w:right w:val="nil"/>
            </w:tcBorders>
            <w:shd w:val="clear" w:color="000000" w:fill="C7CFD8"/>
            <w:vAlign w:val="center"/>
            <w:hideMark/>
          </w:tcPr>
          <w:p w14:paraId="2A3BCFEA" w14:textId="77777777" w:rsidR="00E12E01" w:rsidRPr="00A61F96" w:rsidRDefault="00E12E01" w:rsidP="0037217B">
            <w:pPr>
              <w:rPr>
                <w:rFonts w:ascii="Arial Narrow" w:hAnsi="Arial Narrow"/>
                <w:b/>
                <w:bCs/>
                <w:color w:val="002839"/>
              </w:rPr>
            </w:pPr>
            <w:r w:rsidRPr="00A61F96">
              <w:rPr>
                <w:rFonts w:ascii="Arial Narrow" w:hAnsi="Arial Narrow"/>
                <w:b/>
                <w:bCs/>
                <w:color w:val="002839"/>
              </w:rPr>
              <w:t>Expenditure</w:t>
            </w:r>
            <w:r w:rsidRPr="00A61F96">
              <w:rPr>
                <w:rFonts w:ascii="Arial Narrow" w:hAnsi="Arial Narrow"/>
                <w:b/>
                <w:bCs/>
                <w:color w:val="002839"/>
                <w:vertAlign w:val="superscript"/>
              </w:rPr>
              <w:t>1</w:t>
            </w:r>
          </w:p>
        </w:tc>
        <w:tc>
          <w:tcPr>
            <w:tcW w:w="1900" w:type="dxa"/>
            <w:tcBorders>
              <w:top w:val="nil"/>
              <w:left w:val="nil"/>
              <w:bottom w:val="nil"/>
              <w:right w:val="nil"/>
            </w:tcBorders>
            <w:shd w:val="clear" w:color="000000" w:fill="C7CFD8"/>
            <w:vAlign w:val="center"/>
            <w:hideMark/>
          </w:tcPr>
          <w:p w14:paraId="53A40AD0" w14:textId="7F45EFBF" w:rsidR="00E12E01" w:rsidRPr="00A61F96" w:rsidRDefault="00785B36" w:rsidP="0037217B">
            <w:pPr>
              <w:rPr>
                <w:rFonts w:ascii="Arial Narrow" w:hAnsi="Arial Narrow"/>
                <w:b/>
                <w:bCs/>
                <w:color w:val="002839"/>
              </w:rPr>
            </w:pPr>
            <w:r>
              <w:rPr>
                <w:rFonts w:ascii="Arial Narrow" w:hAnsi="Arial Narrow"/>
                <w:b/>
                <w:bCs/>
                <w:color w:val="002839"/>
              </w:rPr>
              <w:t xml:space="preserve">   </w:t>
            </w:r>
            <w:r w:rsidR="00E12E01" w:rsidRPr="00A61F96">
              <w:rPr>
                <w:rFonts w:ascii="Arial Narrow" w:hAnsi="Arial Narrow"/>
                <w:b/>
                <w:bCs/>
                <w:color w:val="002839"/>
              </w:rPr>
              <w:t>Budget Utilization</w:t>
            </w:r>
          </w:p>
        </w:tc>
      </w:tr>
      <w:tr w:rsidR="00E12E01" w:rsidRPr="00A61F96" w14:paraId="7E409B34" w14:textId="77777777" w:rsidTr="00E12E01">
        <w:trPr>
          <w:trHeight w:val="547"/>
        </w:trPr>
        <w:tc>
          <w:tcPr>
            <w:tcW w:w="4942" w:type="dxa"/>
            <w:tcBorders>
              <w:top w:val="nil"/>
              <w:left w:val="nil"/>
              <w:bottom w:val="nil"/>
              <w:right w:val="nil"/>
            </w:tcBorders>
            <w:shd w:val="clear" w:color="auto" w:fill="auto"/>
            <w:vAlign w:val="center"/>
            <w:hideMark/>
          </w:tcPr>
          <w:p w14:paraId="43C32106" w14:textId="77777777" w:rsidR="00E12E01" w:rsidRPr="00A61F96" w:rsidRDefault="00E12E01" w:rsidP="0037217B">
            <w:pPr>
              <w:rPr>
                <w:rFonts w:ascii="Arial Narrow" w:hAnsi="Arial Narrow"/>
                <w:color w:val="002839"/>
              </w:rPr>
            </w:pPr>
            <w:r w:rsidRPr="00A61F96">
              <w:rPr>
                <w:rFonts w:ascii="Arial Narrow" w:hAnsi="Arial Narrow"/>
                <w:color w:val="002839"/>
              </w:rPr>
              <w:t>Personnel Resources</w:t>
            </w:r>
          </w:p>
        </w:tc>
        <w:tc>
          <w:tcPr>
            <w:tcW w:w="1890" w:type="dxa"/>
            <w:tcBorders>
              <w:top w:val="nil"/>
              <w:left w:val="nil"/>
              <w:bottom w:val="nil"/>
              <w:right w:val="nil"/>
            </w:tcBorders>
            <w:shd w:val="clear" w:color="auto" w:fill="auto"/>
            <w:noWrap/>
            <w:vAlign w:val="center"/>
            <w:hideMark/>
          </w:tcPr>
          <w:p w14:paraId="2FD6C556" w14:textId="7B7558A3" w:rsidR="00E12E01" w:rsidRPr="00A61F96" w:rsidRDefault="00E12E01" w:rsidP="0037217B">
            <w:pPr>
              <w:rPr>
                <w:rFonts w:ascii="Arial Narrow" w:hAnsi="Arial Narrow"/>
                <w:color w:val="002839"/>
              </w:rPr>
            </w:pPr>
            <w:r>
              <w:rPr>
                <w:rFonts w:ascii="Arial Narrow" w:hAnsi="Arial Narrow"/>
                <w:color w:val="002839"/>
              </w:rPr>
              <w:t xml:space="preserve">          171,000</w:t>
            </w:r>
          </w:p>
        </w:tc>
        <w:tc>
          <w:tcPr>
            <w:tcW w:w="1323" w:type="dxa"/>
            <w:tcBorders>
              <w:top w:val="nil"/>
              <w:left w:val="nil"/>
              <w:bottom w:val="nil"/>
              <w:right w:val="nil"/>
            </w:tcBorders>
            <w:shd w:val="clear" w:color="auto" w:fill="auto"/>
            <w:vAlign w:val="center"/>
            <w:hideMark/>
          </w:tcPr>
          <w:p w14:paraId="5D5D4C22" w14:textId="77777777" w:rsidR="00E12E01" w:rsidRPr="00A61F96" w:rsidRDefault="00E12E01" w:rsidP="0037217B">
            <w:pPr>
              <w:rPr>
                <w:rFonts w:ascii="Arial Narrow" w:hAnsi="Arial Narrow"/>
                <w:color w:val="000000"/>
              </w:rPr>
            </w:pPr>
            <w:r>
              <w:rPr>
                <w:rFonts w:ascii="Arial Narrow" w:hAnsi="Arial Narrow"/>
                <w:color w:val="000000"/>
              </w:rPr>
              <w:t xml:space="preserve">                   </w:t>
            </w:r>
            <w:r w:rsidRPr="00A61F96">
              <w:rPr>
                <w:rFonts w:ascii="Arial Narrow" w:hAnsi="Arial Narrow"/>
                <w:color w:val="000000"/>
              </w:rPr>
              <w:t xml:space="preserve"> -   </w:t>
            </w:r>
          </w:p>
        </w:tc>
        <w:tc>
          <w:tcPr>
            <w:tcW w:w="1900" w:type="dxa"/>
            <w:tcBorders>
              <w:top w:val="nil"/>
              <w:left w:val="nil"/>
              <w:bottom w:val="nil"/>
              <w:right w:val="nil"/>
            </w:tcBorders>
            <w:shd w:val="clear" w:color="auto" w:fill="auto"/>
            <w:vAlign w:val="center"/>
            <w:hideMark/>
          </w:tcPr>
          <w:p w14:paraId="5F3E90A9" w14:textId="77777777" w:rsidR="00E12E01" w:rsidRPr="00A61F96" w:rsidRDefault="00E12E01" w:rsidP="0037217B">
            <w:pPr>
              <w:jc w:val="right"/>
              <w:rPr>
                <w:rFonts w:ascii="Arial Narrow" w:hAnsi="Arial Narrow"/>
                <w:color w:val="000000"/>
              </w:rPr>
            </w:pPr>
            <w:r w:rsidRPr="00A61F96">
              <w:rPr>
                <w:rFonts w:ascii="Arial Narrow" w:hAnsi="Arial Narrow"/>
                <w:color w:val="000000"/>
              </w:rPr>
              <w:t>0%</w:t>
            </w:r>
          </w:p>
        </w:tc>
      </w:tr>
      <w:tr w:rsidR="00E12E01" w:rsidRPr="00A61F96" w14:paraId="1C36E047" w14:textId="77777777" w:rsidTr="00E12E01">
        <w:trPr>
          <w:trHeight w:val="475"/>
        </w:trPr>
        <w:tc>
          <w:tcPr>
            <w:tcW w:w="4942" w:type="dxa"/>
            <w:tcBorders>
              <w:top w:val="nil"/>
              <w:left w:val="nil"/>
              <w:bottom w:val="nil"/>
              <w:right w:val="nil"/>
            </w:tcBorders>
            <w:shd w:val="clear" w:color="auto" w:fill="auto"/>
            <w:vAlign w:val="center"/>
            <w:hideMark/>
          </w:tcPr>
          <w:p w14:paraId="0F8F04BE" w14:textId="77777777" w:rsidR="00E12E01" w:rsidRPr="00A61F96" w:rsidRDefault="00E12E01" w:rsidP="0037217B">
            <w:pPr>
              <w:rPr>
                <w:rFonts w:ascii="Arial Narrow" w:hAnsi="Arial Narrow"/>
                <w:color w:val="002839"/>
              </w:rPr>
            </w:pPr>
            <w:r w:rsidRPr="00A61F96">
              <w:rPr>
                <w:rFonts w:ascii="Arial Narrow" w:hAnsi="Arial Narrow"/>
                <w:color w:val="002839"/>
              </w:rPr>
              <w:t>Non-personnel Resources</w:t>
            </w:r>
          </w:p>
        </w:tc>
        <w:tc>
          <w:tcPr>
            <w:tcW w:w="1890" w:type="dxa"/>
            <w:tcBorders>
              <w:top w:val="nil"/>
              <w:left w:val="nil"/>
              <w:bottom w:val="nil"/>
              <w:right w:val="nil"/>
            </w:tcBorders>
            <w:shd w:val="clear" w:color="auto" w:fill="auto"/>
            <w:noWrap/>
            <w:vAlign w:val="center"/>
            <w:hideMark/>
          </w:tcPr>
          <w:p w14:paraId="7CB5A165" w14:textId="00F135AA" w:rsidR="00E12E01" w:rsidRPr="00A61F96" w:rsidRDefault="00E12E01" w:rsidP="0037217B">
            <w:pPr>
              <w:rPr>
                <w:rFonts w:ascii="Arial Narrow" w:hAnsi="Arial Narrow"/>
                <w:color w:val="002839"/>
              </w:rPr>
            </w:pPr>
            <w:r>
              <w:rPr>
                <w:rFonts w:ascii="Arial Narrow" w:hAnsi="Arial Narrow"/>
                <w:color w:val="002839"/>
              </w:rPr>
              <w:t xml:space="preserve">          385,000</w:t>
            </w:r>
          </w:p>
        </w:tc>
        <w:tc>
          <w:tcPr>
            <w:tcW w:w="1323" w:type="dxa"/>
            <w:tcBorders>
              <w:top w:val="nil"/>
              <w:left w:val="nil"/>
              <w:bottom w:val="nil"/>
              <w:right w:val="nil"/>
            </w:tcBorders>
            <w:shd w:val="clear" w:color="auto" w:fill="auto"/>
            <w:vAlign w:val="center"/>
            <w:hideMark/>
          </w:tcPr>
          <w:p w14:paraId="5EFD9E9E" w14:textId="1504368B" w:rsidR="00E12E01" w:rsidRPr="00A61F96" w:rsidRDefault="00E12E01" w:rsidP="0037217B">
            <w:pPr>
              <w:rPr>
                <w:rFonts w:ascii="Arial Narrow" w:hAnsi="Arial Narrow"/>
                <w:color w:val="000000"/>
              </w:rPr>
            </w:pPr>
            <w:r>
              <w:rPr>
                <w:rFonts w:ascii="Arial Narrow" w:hAnsi="Arial Narrow"/>
                <w:color w:val="000000"/>
              </w:rPr>
              <w:t xml:space="preserve">        </w:t>
            </w:r>
            <w:r w:rsidR="00785B36">
              <w:rPr>
                <w:rFonts w:ascii="Arial Narrow" w:hAnsi="Arial Narrow"/>
                <w:color w:val="000000"/>
              </w:rPr>
              <w:t xml:space="preserve"> </w:t>
            </w:r>
            <w:r>
              <w:rPr>
                <w:rFonts w:ascii="Arial Narrow" w:hAnsi="Arial Narrow"/>
                <w:color w:val="000000"/>
              </w:rPr>
              <w:t>299,382</w:t>
            </w:r>
          </w:p>
        </w:tc>
        <w:tc>
          <w:tcPr>
            <w:tcW w:w="1900" w:type="dxa"/>
            <w:tcBorders>
              <w:top w:val="nil"/>
              <w:left w:val="nil"/>
              <w:bottom w:val="nil"/>
              <w:right w:val="nil"/>
            </w:tcBorders>
            <w:shd w:val="clear" w:color="auto" w:fill="auto"/>
            <w:vAlign w:val="center"/>
            <w:hideMark/>
          </w:tcPr>
          <w:p w14:paraId="42BB0836" w14:textId="77777777" w:rsidR="00E12E01" w:rsidRPr="00A61F96" w:rsidRDefault="00E12E01" w:rsidP="0037217B">
            <w:pPr>
              <w:jc w:val="right"/>
              <w:rPr>
                <w:rFonts w:ascii="Arial Narrow" w:hAnsi="Arial Narrow"/>
                <w:color w:val="000000"/>
              </w:rPr>
            </w:pPr>
            <w:r w:rsidRPr="00A61F96">
              <w:rPr>
                <w:rFonts w:ascii="Arial Narrow" w:hAnsi="Arial Narrow"/>
                <w:color w:val="000000"/>
              </w:rPr>
              <w:t>78%</w:t>
            </w:r>
          </w:p>
        </w:tc>
      </w:tr>
      <w:tr w:rsidR="00E12E01" w:rsidRPr="00A61F96" w14:paraId="04DCE1FB" w14:textId="77777777" w:rsidTr="00E12E01">
        <w:trPr>
          <w:trHeight w:val="403"/>
        </w:trPr>
        <w:tc>
          <w:tcPr>
            <w:tcW w:w="4942" w:type="dxa"/>
            <w:tcBorders>
              <w:top w:val="single" w:sz="4" w:space="0" w:color="AAB8C4"/>
              <w:left w:val="nil"/>
              <w:bottom w:val="single" w:sz="8" w:space="0" w:color="AAB8C4"/>
              <w:right w:val="nil"/>
            </w:tcBorders>
            <w:shd w:val="clear" w:color="auto" w:fill="auto"/>
            <w:noWrap/>
            <w:vAlign w:val="center"/>
            <w:hideMark/>
          </w:tcPr>
          <w:p w14:paraId="0046C369" w14:textId="77777777" w:rsidR="00E12E01" w:rsidRPr="00A61F96" w:rsidRDefault="00E12E01" w:rsidP="0037217B">
            <w:pPr>
              <w:rPr>
                <w:rFonts w:ascii="Arial Narrow" w:hAnsi="Arial Narrow"/>
                <w:b/>
                <w:bCs/>
                <w:color w:val="002839"/>
              </w:rPr>
            </w:pPr>
            <w:r w:rsidRPr="00A61F96">
              <w:rPr>
                <w:rFonts w:ascii="Arial Narrow" w:hAnsi="Arial Narrow"/>
                <w:b/>
                <w:bCs/>
                <w:color w:val="002839"/>
              </w:rPr>
              <w:t>Total</w:t>
            </w:r>
          </w:p>
        </w:tc>
        <w:tc>
          <w:tcPr>
            <w:tcW w:w="1890" w:type="dxa"/>
            <w:tcBorders>
              <w:top w:val="single" w:sz="4" w:space="0" w:color="AAB8C4"/>
              <w:left w:val="nil"/>
              <w:bottom w:val="single" w:sz="8" w:space="0" w:color="AAB8C4"/>
              <w:right w:val="nil"/>
            </w:tcBorders>
            <w:shd w:val="clear" w:color="auto" w:fill="auto"/>
            <w:noWrap/>
            <w:vAlign w:val="center"/>
            <w:hideMark/>
          </w:tcPr>
          <w:p w14:paraId="35C34ECA" w14:textId="39270516" w:rsidR="00E12E01" w:rsidRPr="00A61F96" w:rsidRDefault="00E12E01" w:rsidP="0037217B">
            <w:pPr>
              <w:rPr>
                <w:rFonts w:ascii="Arial Narrow" w:hAnsi="Arial Narrow"/>
                <w:b/>
                <w:bCs/>
                <w:color w:val="002839"/>
              </w:rPr>
            </w:pPr>
            <w:r>
              <w:rPr>
                <w:rFonts w:ascii="Arial Narrow" w:hAnsi="Arial Narrow"/>
                <w:b/>
                <w:bCs/>
                <w:color w:val="002839"/>
              </w:rPr>
              <w:t xml:space="preserve">          556,000</w:t>
            </w:r>
          </w:p>
        </w:tc>
        <w:tc>
          <w:tcPr>
            <w:tcW w:w="1323" w:type="dxa"/>
            <w:tcBorders>
              <w:top w:val="single" w:sz="4" w:space="0" w:color="AAB8C4"/>
              <w:left w:val="nil"/>
              <w:bottom w:val="single" w:sz="8" w:space="0" w:color="AAB8C4"/>
              <w:right w:val="nil"/>
            </w:tcBorders>
            <w:shd w:val="clear" w:color="auto" w:fill="auto"/>
            <w:noWrap/>
            <w:vAlign w:val="center"/>
            <w:hideMark/>
          </w:tcPr>
          <w:p w14:paraId="20B26557" w14:textId="557F9050" w:rsidR="00E12E01" w:rsidRPr="00A61F96" w:rsidRDefault="00E12E01" w:rsidP="0037217B">
            <w:pPr>
              <w:rPr>
                <w:rFonts w:ascii="Arial Narrow" w:hAnsi="Arial Narrow"/>
                <w:b/>
                <w:bCs/>
                <w:color w:val="002839"/>
              </w:rPr>
            </w:pPr>
            <w:r>
              <w:rPr>
                <w:rFonts w:ascii="Arial Narrow" w:hAnsi="Arial Narrow"/>
                <w:b/>
                <w:bCs/>
                <w:color w:val="002839"/>
              </w:rPr>
              <w:t xml:space="preserve">        </w:t>
            </w:r>
            <w:r w:rsidR="00785B36">
              <w:rPr>
                <w:rFonts w:ascii="Arial Narrow" w:hAnsi="Arial Narrow"/>
                <w:b/>
                <w:bCs/>
                <w:color w:val="002839"/>
              </w:rPr>
              <w:t xml:space="preserve"> </w:t>
            </w:r>
            <w:r>
              <w:rPr>
                <w:rFonts w:ascii="Arial Narrow" w:hAnsi="Arial Narrow"/>
                <w:b/>
                <w:bCs/>
                <w:color w:val="002839"/>
              </w:rPr>
              <w:t>299,382</w:t>
            </w:r>
          </w:p>
        </w:tc>
        <w:tc>
          <w:tcPr>
            <w:tcW w:w="1900" w:type="dxa"/>
            <w:tcBorders>
              <w:top w:val="single" w:sz="4" w:space="0" w:color="AAB8C4"/>
              <w:left w:val="nil"/>
              <w:bottom w:val="single" w:sz="8" w:space="0" w:color="AAB8C4"/>
              <w:right w:val="nil"/>
            </w:tcBorders>
            <w:shd w:val="clear" w:color="auto" w:fill="auto"/>
            <w:noWrap/>
            <w:vAlign w:val="center"/>
            <w:hideMark/>
          </w:tcPr>
          <w:p w14:paraId="76E6872E" w14:textId="77777777" w:rsidR="00E12E01" w:rsidRPr="00A61F96" w:rsidRDefault="00E12E01" w:rsidP="0037217B">
            <w:pPr>
              <w:jc w:val="right"/>
              <w:rPr>
                <w:rFonts w:ascii="Arial Narrow" w:hAnsi="Arial Narrow"/>
                <w:b/>
                <w:bCs/>
                <w:color w:val="002839"/>
              </w:rPr>
            </w:pPr>
            <w:r w:rsidRPr="00A61F96">
              <w:rPr>
                <w:rFonts w:ascii="Arial Narrow" w:hAnsi="Arial Narrow"/>
                <w:b/>
                <w:bCs/>
                <w:color w:val="002839"/>
              </w:rPr>
              <w:t>54%</w:t>
            </w:r>
          </w:p>
        </w:tc>
      </w:tr>
      <w:tr w:rsidR="00F40A95" w:rsidRPr="00A61F96" w14:paraId="7479F125" w14:textId="77777777" w:rsidTr="00D64AF6">
        <w:trPr>
          <w:trHeight w:val="278"/>
        </w:trPr>
        <w:tc>
          <w:tcPr>
            <w:tcW w:w="10055" w:type="dxa"/>
            <w:gridSpan w:val="4"/>
            <w:tcBorders>
              <w:top w:val="nil"/>
              <w:left w:val="nil"/>
              <w:bottom w:val="nil"/>
              <w:right w:val="nil"/>
            </w:tcBorders>
            <w:shd w:val="clear" w:color="auto" w:fill="auto"/>
            <w:noWrap/>
            <w:vAlign w:val="bottom"/>
            <w:hideMark/>
          </w:tcPr>
          <w:p w14:paraId="1FAABF4F" w14:textId="65571DAD" w:rsidR="00F40A95" w:rsidRPr="00A61F96" w:rsidRDefault="00F40A95" w:rsidP="0037217B">
            <w:pPr>
              <w:rPr>
                <w:rFonts w:ascii="Times New Roman" w:hAnsi="Times New Roman" w:cs="Times New Roman"/>
                <w:sz w:val="20"/>
              </w:rPr>
            </w:pPr>
            <w:r w:rsidRPr="00A61F96">
              <w:rPr>
                <w:color w:val="002839"/>
                <w:sz w:val="20"/>
                <w:vertAlign w:val="superscript"/>
              </w:rPr>
              <w:t>1</w:t>
            </w:r>
            <w:r w:rsidRPr="00A61F96">
              <w:rPr>
                <w:color w:val="002839"/>
                <w:sz w:val="20"/>
              </w:rPr>
              <w:t xml:space="preserve"> Excludes expenditure for</w:t>
            </w:r>
            <w:r>
              <w:rPr>
                <w:color w:val="002839"/>
                <w:sz w:val="20"/>
              </w:rPr>
              <w:t xml:space="preserve"> project evaluation and</w:t>
            </w:r>
            <w:r w:rsidRPr="00A61F96">
              <w:rPr>
                <w:color w:val="002839"/>
                <w:sz w:val="20"/>
              </w:rPr>
              <w:t xml:space="preserve"> the CDIP side event.</w:t>
            </w:r>
          </w:p>
        </w:tc>
      </w:tr>
      <w:tr w:rsidR="00E12E01" w:rsidRPr="00A61F96" w14:paraId="5E7D7DA6" w14:textId="77777777" w:rsidTr="00E12E01">
        <w:trPr>
          <w:trHeight w:val="240"/>
        </w:trPr>
        <w:tc>
          <w:tcPr>
            <w:tcW w:w="4942" w:type="dxa"/>
            <w:tcBorders>
              <w:top w:val="nil"/>
              <w:left w:val="nil"/>
              <w:bottom w:val="nil"/>
              <w:right w:val="nil"/>
            </w:tcBorders>
            <w:shd w:val="clear" w:color="auto" w:fill="auto"/>
            <w:noWrap/>
            <w:vAlign w:val="bottom"/>
            <w:hideMark/>
          </w:tcPr>
          <w:p w14:paraId="0525022B" w14:textId="77777777" w:rsidR="00E12E01" w:rsidRPr="00A61F96" w:rsidRDefault="00E12E01" w:rsidP="0037217B">
            <w:pPr>
              <w:rPr>
                <w:rFonts w:ascii="Times New Roman" w:hAnsi="Times New Roman" w:cs="Times New Roman"/>
                <w:sz w:val="20"/>
              </w:rPr>
            </w:pPr>
          </w:p>
        </w:tc>
        <w:tc>
          <w:tcPr>
            <w:tcW w:w="1890" w:type="dxa"/>
            <w:tcBorders>
              <w:top w:val="nil"/>
              <w:left w:val="nil"/>
              <w:bottom w:val="nil"/>
              <w:right w:val="nil"/>
            </w:tcBorders>
            <w:shd w:val="clear" w:color="auto" w:fill="auto"/>
            <w:noWrap/>
            <w:vAlign w:val="bottom"/>
            <w:hideMark/>
          </w:tcPr>
          <w:p w14:paraId="77D0EA7C" w14:textId="77777777" w:rsidR="00E12E01" w:rsidRPr="00A61F96" w:rsidRDefault="00E12E01" w:rsidP="0037217B">
            <w:pPr>
              <w:rPr>
                <w:rFonts w:ascii="Times New Roman" w:hAnsi="Times New Roman" w:cs="Times New Roman"/>
                <w:sz w:val="20"/>
              </w:rPr>
            </w:pPr>
          </w:p>
        </w:tc>
        <w:tc>
          <w:tcPr>
            <w:tcW w:w="1323" w:type="dxa"/>
            <w:tcBorders>
              <w:top w:val="nil"/>
              <w:left w:val="nil"/>
              <w:bottom w:val="nil"/>
              <w:right w:val="nil"/>
            </w:tcBorders>
            <w:shd w:val="clear" w:color="auto" w:fill="auto"/>
            <w:noWrap/>
            <w:vAlign w:val="bottom"/>
            <w:hideMark/>
          </w:tcPr>
          <w:p w14:paraId="24C08019" w14:textId="77777777" w:rsidR="00E12E01" w:rsidRPr="00A61F96" w:rsidRDefault="00E12E01" w:rsidP="0037217B">
            <w:pPr>
              <w:rPr>
                <w:rFonts w:ascii="Times New Roman" w:hAnsi="Times New Roman" w:cs="Times New Roman"/>
                <w:sz w:val="20"/>
              </w:rPr>
            </w:pPr>
          </w:p>
        </w:tc>
        <w:tc>
          <w:tcPr>
            <w:tcW w:w="1900" w:type="dxa"/>
            <w:tcBorders>
              <w:top w:val="nil"/>
              <w:left w:val="nil"/>
              <w:bottom w:val="nil"/>
              <w:right w:val="nil"/>
            </w:tcBorders>
            <w:shd w:val="clear" w:color="auto" w:fill="auto"/>
            <w:noWrap/>
            <w:vAlign w:val="bottom"/>
            <w:hideMark/>
          </w:tcPr>
          <w:p w14:paraId="07FF0C0A" w14:textId="77777777" w:rsidR="00E12E01" w:rsidRPr="00A61F96" w:rsidRDefault="00E12E01" w:rsidP="0037217B">
            <w:pPr>
              <w:rPr>
                <w:rFonts w:ascii="Times New Roman" w:hAnsi="Times New Roman" w:cs="Times New Roman"/>
                <w:sz w:val="20"/>
              </w:rPr>
            </w:pPr>
          </w:p>
        </w:tc>
      </w:tr>
    </w:tbl>
    <w:p w14:paraId="3D43CD93" w14:textId="2E0FEA33" w:rsidR="00E12E01" w:rsidRPr="007A6952" w:rsidRDefault="00E12E01" w:rsidP="00E12E01">
      <w:pPr>
        <w:pStyle w:val="Endofdocument-Annex"/>
        <w:spacing w:before="720"/>
        <w:ind w:left="5530"/>
      </w:pPr>
      <w:r>
        <w:t xml:space="preserve">[End of Annex </w:t>
      </w:r>
      <w:r w:rsidR="00785B36">
        <w:t xml:space="preserve">II </w:t>
      </w:r>
      <w:r>
        <w:t xml:space="preserve">and of </w:t>
      </w:r>
      <w:r w:rsidRPr="007A6952">
        <w:t>document]</w:t>
      </w:r>
    </w:p>
    <w:p w14:paraId="4D56C7FA" w14:textId="77777777" w:rsidR="00E12E01" w:rsidRPr="000E4390" w:rsidRDefault="00E12E01" w:rsidP="00F3367C"/>
    <w:sectPr w:rsidR="00E12E01" w:rsidRPr="000E4390" w:rsidSect="00746685">
      <w:headerReference w:type="first" r:id="rId36"/>
      <w:pgSz w:w="16840" w:h="11907" w:orient="landscape" w:code="9"/>
      <w:pgMar w:top="1417" w:right="540" w:bottom="1417" w:left="1417"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F7A6C" w14:textId="77777777" w:rsidR="00DF0D86" w:rsidRDefault="00DF0D86" w:rsidP="00F44760">
      <w:r>
        <w:separator/>
      </w:r>
    </w:p>
  </w:endnote>
  <w:endnote w:type="continuationSeparator" w:id="0">
    <w:p w14:paraId="1D77020E" w14:textId="77777777" w:rsidR="00DF0D86" w:rsidRDefault="00DF0D86" w:rsidP="00F4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16302" w14:textId="77777777" w:rsidR="00746685" w:rsidRDefault="00746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26FE" w14:textId="77777777" w:rsidR="00746685" w:rsidRDefault="007466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2D2DC" w14:textId="77777777" w:rsidR="00746685" w:rsidRDefault="00746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3131C" w14:textId="77777777" w:rsidR="00DF0D86" w:rsidRDefault="00DF0D86" w:rsidP="00F44760">
      <w:r>
        <w:separator/>
      </w:r>
    </w:p>
  </w:footnote>
  <w:footnote w:type="continuationSeparator" w:id="0">
    <w:p w14:paraId="746E0832" w14:textId="77777777" w:rsidR="00DF0D86" w:rsidRDefault="00DF0D86" w:rsidP="00F4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8AEC" w14:textId="77777777" w:rsidR="00746685" w:rsidRDefault="00746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0A73" w14:textId="2CCE3D7D" w:rsidR="00A820D6" w:rsidRPr="002326AB" w:rsidRDefault="00A820D6" w:rsidP="00A820D6">
    <w:pPr>
      <w:jc w:val="right"/>
      <w:rPr>
        <w:caps/>
      </w:rPr>
    </w:pPr>
    <w:r>
      <w:rPr>
        <w:caps/>
      </w:rPr>
      <w:t>CDIP/31/6</w:t>
    </w:r>
  </w:p>
  <w:p w14:paraId="248F948D" w14:textId="0BB2557B" w:rsidR="00A820D6" w:rsidRDefault="00A820D6" w:rsidP="00A820D6">
    <w:pPr>
      <w:jc w:val="right"/>
    </w:pPr>
    <w:r>
      <w:t>Annex</w:t>
    </w:r>
    <w:r w:rsidR="00E12E01">
      <w:t xml:space="preserve"> I</w:t>
    </w:r>
    <w:r>
      <w:t xml:space="preserve">, page </w:t>
    </w:r>
    <w:r>
      <w:fldChar w:fldCharType="begin"/>
    </w:r>
    <w:r>
      <w:instrText xml:space="preserve"> PAGE  \* MERGEFORMAT </w:instrText>
    </w:r>
    <w:r>
      <w:fldChar w:fldCharType="separate"/>
    </w:r>
    <w:r w:rsidR="007964B3">
      <w:rPr>
        <w:noProof/>
      </w:rPr>
      <w:t>9</w:t>
    </w:r>
    <w:r>
      <w:fldChar w:fldCharType="end"/>
    </w:r>
  </w:p>
  <w:p w14:paraId="2B26A7B6" w14:textId="7333E1F2" w:rsidR="00A820D6" w:rsidRDefault="00A820D6">
    <w:pPr>
      <w:pStyle w:val="Header"/>
    </w:pPr>
  </w:p>
  <w:p w14:paraId="28700072" w14:textId="77777777" w:rsidR="00A820D6" w:rsidRDefault="00A82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0DDF0" w14:textId="77777777" w:rsidR="00746685" w:rsidRDefault="007466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258DA" w14:textId="77777777" w:rsidR="00A820D6" w:rsidRDefault="00A820D6" w:rsidP="00A820D6">
    <w:pPr>
      <w:pStyle w:val="Header"/>
      <w:jc w:val="right"/>
      <w:rPr>
        <w:lang w:val="fr-CH"/>
      </w:rPr>
    </w:pPr>
    <w:r>
      <w:rPr>
        <w:lang w:val="fr-CH"/>
      </w:rPr>
      <w:t>CDIP/31/6</w:t>
    </w:r>
  </w:p>
  <w:p w14:paraId="04775AA5" w14:textId="5B027D74" w:rsidR="00A820D6" w:rsidRDefault="00A820D6" w:rsidP="00A820D6">
    <w:pPr>
      <w:pStyle w:val="Header"/>
      <w:jc w:val="right"/>
      <w:rPr>
        <w:lang w:val="fr-CH"/>
      </w:rPr>
    </w:pPr>
    <w:r>
      <w:rPr>
        <w:lang w:val="fr-CH"/>
      </w:rPr>
      <w:t>ANNEX</w:t>
    </w:r>
    <w:r w:rsidR="00746685">
      <w:rPr>
        <w:lang w:val="fr-CH"/>
      </w:rPr>
      <w:t xml:space="preserve"> I</w:t>
    </w:r>
  </w:p>
  <w:p w14:paraId="71DD2F4D" w14:textId="77777777" w:rsidR="00A820D6" w:rsidRDefault="00A820D6">
    <w:pPr>
      <w:pStyle w:val="Header"/>
    </w:pPr>
  </w:p>
  <w:p w14:paraId="4D6C8220" w14:textId="77777777" w:rsidR="00A820D6" w:rsidRDefault="00A820D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3D5E" w14:textId="77777777" w:rsidR="00746685" w:rsidRDefault="00746685" w:rsidP="00A820D6">
    <w:pPr>
      <w:pStyle w:val="Header"/>
      <w:jc w:val="right"/>
      <w:rPr>
        <w:lang w:val="fr-CH"/>
      </w:rPr>
    </w:pPr>
    <w:r>
      <w:rPr>
        <w:lang w:val="fr-CH"/>
      </w:rPr>
      <w:t>CDIP/31/6</w:t>
    </w:r>
  </w:p>
  <w:p w14:paraId="4E99F579" w14:textId="77777777" w:rsidR="00746685" w:rsidRDefault="00746685" w:rsidP="00A820D6">
    <w:pPr>
      <w:pStyle w:val="Header"/>
      <w:jc w:val="right"/>
      <w:rPr>
        <w:lang w:val="fr-CH"/>
      </w:rPr>
    </w:pPr>
    <w:r>
      <w:rPr>
        <w:lang w:val="fr-CH"/>
      </w:rPr>
      <w:t>ANNEX II</w:t>
    </w:r>
  </w:p>
  <w:p w14:paraId="036AF0E3" w14:textId="77777777" w:rsidR="00746685" w:rsidRDefault="00746685">
    <w:pPr>
      <w:pStyle w:val="Header"/>
    </w:pPr>
  </w:p>
  <w:p w14:paraId="38A7E458" w14:textId="77777777" w:rsidR="00746685" w:rsidRDefault="00746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0A17A1C"/>
    <w:multiLevelType w:val="hybridMultilevel"/>
    <w:tmpl w:val="CDFCBC26"/>
    <w:lvl w:ilvl="0" w:tplc="F014CD62">
      <w:start w:val="4"/>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4" w15:restartNumberingAfterBreak="0">
    <w:nsid w:val="2C957A06"/>
    <w:multiLevelType w:val="hybridMultilevel"/>
    <w:tmpl w:val="C9C65F10"/>
    <w:lvl w:ilvl="0" w:tplc="59268DAE">
      <w:start w:val="3"/>
      <w:numFmt w:val="bullet"/>
      <w:lvlText w:val="-"/>
      <w:lvlJc w:val="left"/>
      <w:pPr>
        <w:ind w:left="469" w:hanging="360"/>
      </w:pPr>
      <w:rPr>
        <w:rFonts w:ascii="Arial" w:eastAsia="Arial" w:hAnsi="Arial" w:cs="Aria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5" w15:restartNumberingAfterBreak="0">
    <w:nsid w:val="3D286F8B"/>
    <w:multiLevelType w:val="hybridMultilevel"/>
    <w:tmpl w:val="E87213C4"/>
    <w:lvl w:ilvl="0" w:tplc="59268DAE">
      <w:start w:val="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F7E6728"/>
    <w:multiLevelType w:val="hybridMultilevel"/>
    <w:tmpl w:val="B81CAB7A"/>
    <w:lvl w:ilvl="0" w:tplc="F4562110">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78631529">
    <w:abstractNumId w:val="2"/>
  </w:num>
  <w:num w:numId="2" w16cid:durableId="1855730134">
    <w:abstractNumId w:val="6"/>
  </w:num>
  <w:num w:numId="3" w16cid:durableId="1560941827">
    <w:abstractNumId w:val="10"/>
  </w:num>
  <w:num w:numId="4" w16cid:durableId="531773628">
    <w:abstractNumId w:val="9"/>
  </w:num>
  <w:num w:numId="5" w16cid:durableId="939918361">
    <w:abstractNumId w:val="0"/>
  </w:num>
  <w:num w:numId="6" w16cid:durableId="444811777">
    <w:abstractNumId w:val="8"/>
  </w:num>
  <w:num w:numId="7" w16cid:durableId="1520655183">
    <w:abstractNumId w:val="4"/>
  </w:num>
  <w:num w:numId="8" w16cid:durableId="335234939">
    <w:abstractNumId w:val="3"/>
  </w:num>
  <w:num w:numId="9" w16cid:durableId="544950848">
    <w:abstractNumId w:val="5"/>
  </w:num>
  <w:num w:numId="10" w16cid:durableId="52312925">
    <w:abstractNumId w:val="7"/>
  </w:num>
  <w:num w:numId="11" w16cid:durableId="37928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760"/>
    <w:rsid w:val="00021982"/>
    <w:rsid w:val="00033C25"/>
    <w:rsid w:val="00044B97"/>
    <w:rsid w:val="00050705"/>
    <w:rsid w:val="0008367E"/>
    <w:rsid w:val="00092E5C"/>
    <w:rsid w:val="000A0635"/>
    <w:rsid w:val="000A19FF"/>
    <w:rsid w:val="000A4B38"/>
    <w:rsid w:val="000A62CA"/>
    <w:rsid w:val="000B6F0C"/>
    <w:rsid w:val="000D5DB4"/>
    <w:rsid w:val="000E4080"/>
    <w:rsid w:val="000E4390"/>
    <w:rsid w:val="000F1A02"/>
    <w:rsid w:val="000F5E56"/>
    <w:rsid w:val="00105D75"/>
    <w:rsid w:val="0010790E"/>
    <w:rsid w:val="00110BEB"/>
    <w:rsid w:val="00114DAB"/>
    <w:rsid w:val="00115EF2"/>
    <w:rsid w:val="0011699E"/>
    <w:rsid w:val="00130FCB"/>
    <w:rsid w:val="001310A9"/>
    <w:rsid w:val="001310CA"/>
    <w:rsid w:val="00137128"/>
    <w:rsid w:val="001408B3"/>
    <w:rsid w:val="00162225"/>
    <w:rsid w:val="00163ADC"/>
    <w:rsid w:val="00164FEB"/>
    <w:rsid w:val="00184D75"/>
    <w:rsid w:val="001872A7"/>
    <w:rsid w:val="001A33A5"/>
    <w:rsid w:val="001A385E"/>
    <w:rsid w:val="001B4DF1"/>
    <w:rsid w:val="001C0962"/>
    <w:rsid w:val="001C64BE"/>
    <w:rsid w:val="001D129F"/>
    <w:rsid w:val="001D65CD"/>
    <w:rsid w:val="001E28C9"/>
    <w:rsid w:val="00200829"/>
    <w:rsid w:val="002116A2"/>
    <w:rsid w:val="00217E00"/>
    <w:rsid w:val="00245E46"/>
    <w:rsid w:val="00256936"/>
    <w:rsid w:val="00263A47"/>
    <w:rsid w:val="002718B8"/>
    <w:rsid w:val="00283B27"/>
    <w:rsid w:val="002B7CE2"/>
    <w:rsid w:val="002D0A82"/>
    <w:rsid w:val="002D203F"/>
    <w:rsid w:val="002F3BD6"/>
    <w:rsid w:val="00301E84"/>
    <w:rsid w:val="00321D8C"/>
    <w:rsid w:val="00326FFD"/>
    <w:rsid w:val="00345C86"/>
    <w:rsid w:val="003628A9"/>
    <w:rsid w:val="00362B6F"/>
    <w:rsid w:val="00366DDA"/>
    <w:rsid w:val="00370DBB"/>
    <w:rsid w:val="00386391"/>
    <w:rsid w:val="00391236"/>
    <w:rsid w:val="003A7C75"/>
    <w:rsid w:val="003B1FFE"/>
    <w:rsid w:val="003B4AD7"/>
    <w:rsid w:val="003D2533"/>
    <w:rsid w:val="003D4736"/>
    <w:rsid w:val="003E3592"/>
    <w:rsid w:val="003E6531"/>
    <w:rsid w:val="0040251E"/>
    <w:rsid w:val="00406820"/>
    <w:rsid w:val="00426AF6"/>
    <w:rsid w:val="00427DB2"/>
    <w:rsid w:val="00431012"/>
    <w:rsid w:val="00431118"/>
    <w:rsid w:val="004400DB"/>
    <w:rsid w:val="00446ED3"/>
    <w:rsid w:val="00462E2D"/>
    <w:rsid w:val="0046468D"/>
    <w:rsid w:val="00465E60"/>
    <w:rsid w:val="004A09FE"/>
    <w:rsid w:val="004A1BD1"/>
    <w:rsid w:val="004B310D"/>
    <w:rsid w:val="004B616D"/>
    <w:rsid w:val="004D34C3"/>
    <w:rsid w:val="004D40F3"/>
    <w:rsid w:val="004E5F05"/>
    <w:rsid w:val="004F49B5"/>
    <w:rsid w:val="0050595D"/>
    <w:rsid w:val="00520FA4"/>
    <w:rsid w:val="00527307"/>
    <w:rsid w:val="00541FEA"/>
    <w:rsid w:val="00555F0F"/>
    <w:rsid w:val="00557964"/>
    <w:rsid w:val="005635C7"/>
    <w:rsid w:val="00564EBA"/>
    <w:rsid w:val="00566F02"/>
    <w:rsid w:val="00566FA6"/>
    <w:rsid w:val="00575AC6"/>
    <w:rsid w:val="0059189E"/>
    <w:rsid w:val="005A5ECB"/>
    <w:rsid w:val="005B6371"/>
    <w:rsid w:val="005D2458"/>
    <w:rsid w:val="006016DF"/>
    <w:rsid w:val="006016F2"/>
    <w:rsid w:val="006075D1"/>
    <w:rsid w:val="00611717"/>
    <w:rsid w:val="00627957"/>
    <w:rsid w:val="006565D6"/>
    <w:rsid w:val="00664A42"/>
    <w:rsid w:val="006657B9"/>
    <w:rsid w:val="00673EEC"/>
    <w:rsid w:val="0069120D"/>
    <w:rsid w:val="006928DE"/>
    <w:rsid w:val="006B600D"/>
    <w:rsid w:val="006C217C"/>
    <w:rsid w:val="006C3D2D"/>
    <w:rsid w:val="006D1548"/>
    <w:rsid w:val="006D292D"/>
    <w:rsid w:val="006D544B"/>
    <w:rsid w:val="006D62F0"/>
    <w:rsid w:val="00706199"/>
    <w:rsid w:val="00713D62"/>
    <w:rsid w:val="00725E1E"/>
    <w:rsid w:val="00737C2A"/>
    <w:rsid w:val="00746685"/>
    <w:rsid w:val="00762761"/>
    <w:rsid w:val="00785B36"/>
    <w:rsid w:val="00787701"/>
    <w:rsid w:val="007964B3"/>
    <w:rsid w:val="007A159E"/>
    <w:rsid w:val="007B0056"/>
    <w:rsid w:val="007B240C"/>
    <w:rsid w:val="007C7642"/>
    <w:rsid w:val="007D53C7"/>
    <w:rsid w:val="007E1C05"/>
    <w:rsid w:val="007E45F0"/>
    <w:rsid w:val="007F1A7A"/>
    <w:rsid w:val="007F5ACE"/>
    <w:rsid w:val="00800741"/>
    <w:rsid w:val="00800C36"/>
    <w:rsid w:val="00804977"/>
    <w:rsid w:val="00804DB7"/>
    <w:rsid w:val="00815464"/>
    <w:rsid w:val="0081704B"/>
    <w:rsid w:val="008223C5"/>
    <w:rsid w:val="00844EE0"/>
    <w:rsid w:val="008512D2"/>
    <w:rsid w:val="008541D1"/>
    <w:rsid w:val="00864346"/>
    <w:rsid w:val="00875155"/>
    <w:rsid w:val="00875E11"/>
    <w:rsid w:val="00880F9F"/>
    <w:rsid w:val="00881BFF"/>
    <w:rsid w:val="00883498"/>
    <w:rsid w:val="00886057"/>
    <w:rsid w:val="008944C1"/>
    <w:rsid w:val="008C2443"/>
    <w:rsid w:val="008C6B1F"/>
    <w:rsid w:val="008C6EBD"/>
    <w:rsid w:val="008F1748"/>
    <w:rsid w:val="00926ED4"/>
    <w:rsid w:val="00947DEF"/>
    <w:rsid w:val="009500F9"/>
    <w:rsid w:val="00953194"/>
    <w:rsid w:val="0095613A"/>
    <w:rsid w:val="00965F32"/>
    <w:rsid w:val="00985121"/>
    <w:rsid w:val="00991972"/>
    <w:rsid w:val="009B0A92"/>
    <w:rsid w:val="009B2D18"/>
    <w:rsid w:val="009E4A11"/>
    <w:rsid w:val="009F216A"/>
    <w:rsid w:val="009F3D41"/>
    <w:rsid w:val="00A0733F"/>
    <w:rsid w:val="00A0734E"/>
    <w:rsid w:val="00A12514"/>
    <w:rsid w:val="00A32FA0"/>
    <w:rsid w:val="00A504BE"/>
    <w:rsid w:val="00A56528"/>
    <w:rsid w:val="00A74309"/>
    <w:rsid w:val="00A820D6"/>
    <w:rsid w:val="00A97D7C"/>
    <w:rsid w:val="00AA2EB6"/>
    <w:rsid w:val="00AA4FEC"/>
    <w:rsid w:val="00AA646F"/>
    <w:rsid w:val="00AB069E"/>
    <w:rsid w:val="00AB074F"/>
    <w:rsid w:val="00AB67F4"/>
    <w:rsid w:val="00AC0897"/>
    <w:rsid w:val="00AE03F0"/>
    <w:rsid w:val="00AE5CFD"/>
    <w:rsid w:val="00AF224F"/>
    <w:rsid w:val="00AF6CEA"/>
    <w:rsid w:val="00AF6DEE"/>
    <w:rsid w:val="00B12FE6"/>
    <w:rsid w:val="00B1659A"/>
    <w:rsid w:val="00B2417B"/>
    <w:rsid w:val="00B60E4C"/>
    <w:rsid w:val="00B62102"/>
    <w:rsid w:val="00B77C12"/>
    <w:rsid w:val="00B82D9F"/>
    <w:rsid w:val="00B8572A"/>
    <w:rsid w:val="00B956AA"/>
    <w:rsid w:val="00BC3C00"/>
    <w:rsid w:val="00BE1A1F"/>
    <w:rsid w:val="00BE61F0"/>
    <w:rsid w:val="00BF533F"/>
    <w:rsid w:val="00C0098D"/>
    <w:rsid w:val="00C00B6E"/>
    <w:rsid w:val="00C06C79"/>
    <w:rsid w:val="00C134D4"/>
    <w:rsid w:val="00C25CE2"/>
    <w:rsid w:val="00C2739A"/>
    <w:rsid w:val="00C3308A"/>
    <w:rsid w:val="00C44241"/>
    <w:rsid w:val="00C47ED4"/>
    <w:rsid w:val="00C51230"/>
    <w:rsid w:val="00C554EC"/>
    <w:rsid w:val="00C74BDA"/>
    <w:rsid w:val="00C75A55"/>
    <w:rsid w:val="00C77E22"/>
    <w:rsid w:val="00C933C7"/>
    <w:rsid w:val="00C971AF"/>
    <w:rsid w:val="00CA5E8A"/>
    <w:rsid w:val="00CB1072"/>
    <w:rsid w:val="00CB1E66"/>
    <w:rsid w:val="00CB37D2"/>
    <w:rsid w:val="00CB5016"/>
    <w:rsid w:val="00CC3AF0"/>
    <w:rsid w:val="00CD6A7E"/>
    <w:rsid w:val="00CE3747"/>
    <w:rsid w:val="00CF2BDF"/>
    <w:rsid w:val="00CF67BA"/>
    <w:rsid w:val="00D37FA0"/>
    <w:rsid w:val="00D519DE"/>
    <w:rsid w:val="00D829A1"/>
    <w:rsid w:val="00D83C2C"/>
    <w:rsid w:val="00D91996"/>
    <w:rsid w:val="00DA2050"/>
    <w:rsid w:val="00DB1152"/>
    <w:rsid w:val="00DB1489"/>
    <w:rsid w:val="00DC3EA2"/>
    <w:rsid w:val="00DC5FC5"/>
    <w:rsid w:val="00DD0EEA"/>
    <w:rsid w:val="00DE7ABA"/>
    <w:rsid w:val="00DF0D86"/>
    <w:rsid w:val="00DF6AF9"/>
    <w:rsid w:val="00E12E01"/>
    <w:rsid w:val="00E13815"/>
    <w:rsid w:val="00E4599F"/>
    <w:rsid w:val="00E51B26"/>
    <w:rsid w:val="00E87A44"/>
    <w:rsid w:val="00E90888"/>
    <w:rsid w:val="00EB0A03"/>
    <w:rsid w:val="00EB2EFD"/>
    <w:rsid w:val="00EC4705"/>
    <w:rsid w:val="00ED1615"/>
    <w:rsid w:val="00EE5B0A"/>
    <w:rsid w:val="00EF66B1"/>
    <w:rsid w:val="00F0387F"/>
    <w:rsid w:val="00F07D91"/>
    <w:rsid w:val="00F12CC7"/>
    <w:rsid w:val="00F1632E"/>
    <w:rsid w:val="00F30BA3"/>
    <w:rsid w:val="00F3367C"/>
    <w:rsid w:val="00F40A95"/>
    <w:rsid w:val="00F44760"/>
    <w:rsid w:val="00F44832"/>
    <w:rsid w:val="00F55479"/>
    <w:rsid w:val="00F656AD"/>
    <w:rsid w:val="00F67CC3"/>
    <w:rsid w:val="00F76882"/>
    <w:rsid w:val="00F86C0D"/>
    <w:rsid w:val="00F97F29"/>
    <w:rsid w:val="00FA3DD8"/>
    <w:rsid w:val="00FD748E"/>
    <w:rsid w:val="00FE7699"/>
    <w:rsid w:val="00FF6B3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2384881"/>
  <w15:chartTrackingRefBased/>
  <w15:docId w15:val="{6AD807FE-DB21-403C-B1CB-4E2695300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F44760"/>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widowControl/>
      <w:autoSpaceDE/>
      <w:autoSpaceDN/>
      <w:spacing w:before="240" w:after="60"/>
      <w:outlineLvl w:val="0"/>
    </w:pPr>
    <w:rPr>
      <w:rFonts w:eastAsia="SimSun"/>
      <w:b/>
      <w:bCs/>
      <w:caps/>
      <w:kern w:val="32"/>
      <w:szCs w:val="32"/>
    </w:rPr>
  </w:style>
  <w:style w:type="paragraph" w:styleId="Heading2">
    <w:name w:val="heading 2"/>
    <w:basedOn w:val="Normal"/>
    <w:next w:val="Normal"/>
    <w:link w:val="Heading2Char"/>
    <w:qFormat/>
    <w:rsid w:val="00804DB7"/>
    <w:pPr>
      <w:keepNext/>
      <w:widowControl/>
      <w:autoSpaceDE/>
      <w:autoSpaceDN/>
      <w:spacing w:before="240" w:after="60"/>
      <w:outlineLvl w:val="1"/>
    </w:pPr>
    <w:rPr>
      <w:rFonts w:eastAsia="SimSun"/>
      <w:bCs/>
      <w:iCs/>
      <w:caps/>
      <w:szCs w:val="28"/>
    </w:rPr>
  </w:style>
  <w:style w:type="paragraph" w:styleId="Heading3">
    <w:name w:val="heading 3"/>
    <w:basedOn w:val="Normal"/>
    <w:next w:val="Normal"/>
    <w:link w:val="Heading3Char"/>
    <w:qFormat/>
    <w:rsid w:val="00804DB7"/>
    <w:pPr>
      <w:keepNext/>
      <w:widowControl/>
      <w:autoSpaceDE/>
      <w:autoSpaceDN/>
      <w:spacing w:before="240" w:after="60"/>
      <w:outlineLvl w:val="2"/>
    </w:pPr>
    <w:rPr>
      <w:rFonts w:eastAsia="SimSun"/>
      <w:bCs/>
      <w:szCs w:val="26"/>
      <w:u w:val="single"/>
    </w:rPr>
  </w:style>
  <w:style w:type="paragraph" w:styleId="Heading4">
    <w:name w:val="heading 4"/>
    <w:basedOn w:val="Normal"/>
    <w:next w:val="Normal"/>
    <w:qFormat/>
    <w:rsid w:val="00804DB7"/>
    <w:pPr>
      <w:keepNext/>
      <w:widowControl/>
      <w:autoSpaceDE/>
      <w:autoSpaceDN/>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tabs>
        <w:tab w:val="center" w:pos="4536"/>
        <w:tab w:val="right" w:pos="9072"/>
      </w:tabs>
      <w:autoSpaceDE/>
      <w:autoSpaceDN/>
    </w:pPr>
    <w:rPr>
      <w:rFonts w:eastAsia="Times New Roman"/>
      <w:szCs w:val="20"/>
    </w:rPr>
  </w:style>
  <w:style w:type="paragraph" w:styleId="Footer">
    <w:name w:val="footer"/>
    <w:basedOn w:val="Normal"/>
    <w:semiHidden/>
    <w:rsid w:val="00804DB7"/>
    <w:pPr>
      <w:widowControl/>
      <w:tabs>
        <w:tab w:val="center" w:pos="4320"/>
        <w:tab w:val="right" w:pos="8640"/>
      </w:tabs>
      <w:autoSpaceDE/>
      <w:autoSpaceDN/>
    </w:pPr>
    <w:rPr>
      <w:rFonts w:eastAsia="Times New Roman"/>
      <w:szCs w:val="20"/>
    </w:rPr>
  </w:style>
  <w:style w:type="paragraph" w:styleId="Salutation">
    <w:name w:val="Salutation"/>
    <w:basedOn w:val="Normal"/>
    <w:next w:val="Normal"/>
    <w:semiHidden/>
    <w:rsid w:val="00804DB7"/>
    <w:pPr>
      <w:widowControl/>
      <w:autoSpaceDE/>
      <w:autoSpaceDN/>
    </w:pPr>
    <w:rPr>
      <w:rFonts w:eastAsia="Times New Roman"/>
      <w:szCs w:val="20"/>
    </w:rPr>
  </w:style>
  <w:style w:type="paragraph" w:styleId="Signature">
    <w:name w:val="Signature"/>
    <w:basedOn w:val="Normal"/>
    <w:semiHidden/>
    <w:rsid w:val="00804DB7"/>
    <w:pPr>
      <w:widowControl/>
      <w:autoSpaceDE/>
      <w:autoSpaceDN/>
      <w:ind w:left="5250"/>
    </w:pPr>
    <w:rPr>
      <w:rFonts w:eastAsia="Times New Roman"/>
      <w:szCs w:val="20"/>
    </w:rPr>
  </w:style>
  <w:style w:type="paragraph" w:styleId="FootnoteText">
    <w:name w:val="footnote text"/>
    <w:basedOn w:val="Normal"/>
    <w:semiHidden/>
    <w:rsid w:val="00804DB7"/>
    <w:pPr>
      <w:widowControl/>
      <w:autoSpaceDE/>
      <w:autoSpaceDN/>
    </w:pPr>
    <w:rPr>
      <w:rFonts w:eastAsia="Times New Roman"/>
      <w:sz w:val="18"/>
      <w:szCs w:val="20"/>
    </w:rPr>
  </w:style>
  <w:style w:type="paragraph" w:styleId="EndnoteText">
    <w:name w:val="endnote text"/>
    <w:basedOn w:val="Normal"/>
    <w:semiHidden/>
    <w:rsid w:val="00804DB7"/>
    <w:pPr>
      <w:widowControl/>
      <w:autoSpaceDE/>
      <w:autoSpaceDN/>
    </w:pPr>
    <w:rPr>
      <w:rFonts w:eastAsia="Times New Roman"/>
      <w:sz w:val="18"/>
      <w:szCs w:val="20"/>
    </w:rPr>
  </w:style>
  <w:style w:type="paragraph" w:styleId="Caption">
    <w:name w:val="caption"/>
    <w:basedOn w:val="Normal"/>
    <w:next w:val="Normal"/>
    <w:qFormat/>
    <w:rsid w:val="00804DB7"/>
    <w:pPr>
      <w:widowControl/>
      <w:autoSpaceDE/>
      <w:autoSpaceDN/>
    </w:pPr>
    <w:rPr>
      <w:rFonts w:eastAsia="Times New Roman"/>
      <w:b/>
      <w:bCs/>
      <w:sz w:val="18"/>
      <w:szCs w:val="20"/>
    </w:rPr>
  </w:style>
  <w:style w:type="paragraph" w:styleId="CommentText">
    <w:name w:val="annotation text"/>
    <w:basedOn w:val="Normal"/>
    <w:link w:val="CommentTextChar"/>
    <w:semiHidden/>
    <w:rsid w:val="00804DB7"/>
    <w:pPr>
      <w:widowControl/>
      <w:autoSpaceDE/>
      <w:autoSpaceDN/>
    </w:pPr>
    <w:rPr>
      <w:rFonts w:eastAsia="Times New Roman"/>
      <w:sz w:val="18"/>
      <w:szCs w:val="20"/>
    </w:rPr>
  </w:style>
  <w:style w:type="paragraph" w:styleId="BodyText">
    <w:name w:val="Body Text"/>
    <w:basedOn w:val="Normal"/>
    <w:uiPriority w:val="1"/>
    <w:qFormat/>
    <w:rsid w:val="00804DB7"/>
    <w:pPr>
      <w:widowControl/>
      <w:autoSpaceDE/>
      <w:autoSpaceDN/>
      <w:spacing w:after="220"/>
    </w:pPr>
    <w:rPr>
      <w:rFonts w:eastAsia="Times New Roman"/>
      <w:szCs w:val="20"/>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widowControl/>
      <w:numPr>
        <w:numId w:val="6"/>
      </w:numPr>
      <w:autoSpaceDE/>
      <w:autoSpaceDN/>
    </w:pPr>
    <w:rPr>
      <w:rFonts w:eastAsia="Times New Roman"/>
      <w:szCs w:val="20"/>
    </w:rPr>
  </w:style>
  <w:style w:type="paragraph" w:customStyle="1" w:styleId="TableParagraph">
    <w:name w:val="Table Paragraph"/>
    <w:basedOn w:val="Normal"/>
    <w:uiPriority w:val="1"/>
    <w:qFormat/>
    <w:rsid w:val="00F44760"/>
  </w:style>
  <w:style w:type="character" w:styleId="Hyperlink">
    <w:name w:val="Hyperlink"/>
    <w:basedOn w:val="DefaultParagraphFont"/>
    <w:unhideWhenUsed/>
    <w:rsid w:val="00C3308A"/>
    <w:rPr>
      <w:color w:val="0000FF" w:themeColor="hyperlink"/>
      <w:u w:val="single"/>
    </w:rPr>
  </w:style>
  <w:style w:type="character" w:styleId="FollowedHyperlink">
    <w:name w:val="FollowedHyperlink"/>
    <w:basedOn w:val="DefaultParagraphFont"/>
    <w:semiHidden/>
    <w:unhideWhenUsed/>
    <w:rsid w:val="00DA2050"/>
    <w:rPr>
      <w:color w:val="800080" w:themeColor="followedHyperlink"/>
      <w:u w:val="single"/>
    </w:rPr>
  </w:style>
  <w:style w:type="character" w:customStyle="1" w:styleId="Heading3Char">
    <w:name w:val="Heading 3 Char"/>
    <w:link w:val="Heading3"/>
    <w:rsid w:val="002D203F"/>
    <w:rPr>
      <w:rFonts w:ascii="Arial" w:eastAsia="SimSun" w:hAnsi="Arial" w:cs="Arial"/>
      <w:bCs/>
      <w:sz w:val="22"/>
      <w:szCs w:val="26"/>
      <w:u w:val="single"/>
    </w:rPr>
  </w:style>
  <w:style w:type="character" w:customStyle="1" w:styleId="Heading2Char">
    <w:name w:val="Heading 2 Char"/>
    <w:link w:val="Heading2"/>
    <w:rsid w:val="002D203F"/>
    <w:rPr>
      <w:rFonts w:ascii="Arial" w:eastAsia="SimSun" w:hAnsi="Arial" w:cs="Arial"/>
      <w:bCs/>
      <w:iCs/>
      <w:caps/>
      <w:sz w:val="22"/>
      <w:szCs w:val="28"/>
    </w:rPr>
  </w:style>
  <w:style w:type="character" w:styleId="CommentReference">
    <w:name w:val="annotation reference"/>
    <w:basedOn w:val="DefaultParagraphFont"/>
    <w:semiHidden/>
    <w:unhideWhenUsed/>
    <w:rsid w:val="007F1A7A"/>
    <w:rPr>
      <w:sz w:val="16"/>
      <w:szCs w:val="16"/>
    </w:rPr>
  </w:style>
  <w:style w:type="paragraph" w:styleId="CommentSubject">
    <w:name w:val="annotation subject"/>
    <w:basedOn w:val="CommentText"/>
    <w:next w:val="CommentText"/>
    <w:link w:val="CommentSubjectChar"/>
    <w:semiHidden/>
    <w:unhideWhenUsed/>
    <w:rsid w:val="007F1A7A"/>
    <w:pPr>
      <w:widowControl w:val="0"/>
      <w:autoSpaceDE w:val="0"/>
      <w:autoSpaceDN w:val="0"/>
    </w:pPr>
    <w:rPr>
      <w:rFonts w:eastAsia="Arial"/>
      <w:b/>
      <w:bCs/>
      <w:sz w:val="20"/>
    </w:rPr>
  </w:style>
  <w:style w:type="character" w:customStyle="1" w:styleId="CommentTextChar">
    <w:name w:val="Comment Text Char"/>
    <w:basedOn w:val="DefaultParagraphFont"/>
    <w:link w:val="CommentText"/>
    <w:semiHidden/>
    <w:rsid w:val="007F1A7A"/>
    <w:rPr>
      <w:rFonts w:ascii="Arial" w:hAnsi="Arial" w:cs="Arial"/>
      <w:sz w:val="18"/>
    </w:rPr>
  </w:style>
  <w:style w:type="character" w:customStyle="1" w:styleId="CommentSubjectChar">
    <w:name w:val="Comment Subject Char"/>
    <w:basedOn w:val="CommentTextChar"/>
    <w:link w:val="CommentSubject"/>
    <w:semiHidden/>
    <w:rsid w:val="007F1A7A"/>
    <w:rPr>
      <w:rFonts w:ascii="Arial" w:eastAsia="Arial" w:hAnsi="Arial" w:cs="Arial"/>
      <w:b/>
      <w:bCs/>
      <w:sz w:val="18"/>
    </w:rPr>
  </w:style>
  <w:style w:type="paragraph" w:styleId="BalloonText">
    <w:name w:val="Balloon Text"/>
    <w:basedOn w:val="Normal"/>
    <w:link w:val="BalloonTextChar"/>
    <w:semiHidden/>
    <w:unhideWhenUsed/>
    <w:rsid w:val="007F1A7A"/>
    <w:rPr>
      <w:rFonts w:ascii="Segoe UI" w:hAnsi="Segoe UI" w:cs="Segoe UI"/>
      <w:sz w:val="18"/>
      <w:szCs w:val="18"/>
    </w:rPr>
  </w:style>
  <w:style w:type="character" w:customStyle="1" w:styleId="BalloonTextChar">
    <w:name w:val="Balloon Text Char"/>
    <w:basedOn w:val="DefaultParagraphFont"/>
    <w:link w:val="BalloonText"/>
    <w:semiHidden/>
    <w:rsid w:val="007F1A7A"/>
    <w:rPr>
      <w:rFonts w:ascii="Segoe UI" w:eastAsia="Arial" w:hAnsi="Segoe UI" w:cs="Segoe UI"/>
      <w:sz w:val="18"/>
      <w:szCs w:val="18"/>
    </w:rPr>
  </w:style>
  <w:style w:type="paragraph" w:styleId="ListParagraph">
    <w:name w:val="List Paragraph"/>
    <w:basedOn w:val="Normal"/>
    <w:uiPriority w:val="34"/>
    <w:qFormat/>
    <w:rsid w:val="00EB2EFD"/>
    <w:pPr>
      <w:ind w:left="720"/>
      <w:contextualSpacing/>
    </w:pPr>
  </w:style>
  <w:style w:type="character" w:styleId="FootnoteReference">
    <w:name w:val="footnote reference"/>
    <w:basedOn w:val="DefaultParagraphFont"/>
    <w:semiHidden/>
    <w:unhideWhenUsed/>
    <w:rsid w:val="00DC3EA2"/>
    <w:rPr>
      <w:vertAlign w:val="superscript"/>
    </w:rPr>
  </w:style>
  <w:style w:type="paragraph" w:customStyle="1" w:styleId="Endofdocument-Annex">
    <w:name w:val="[End of document - Annex]"/>
    <w:basedOn w:val="Normal"/>
    <w:rsid w:val="005635C7"/>
    <w:pPr>
      <w:widowControl/>
      <w:autoSpaceDE/>
      <w:autoSpaceDN/>
      <w:ind w:left="5534"/>
    </w:pPr>
    <w:rPr>
      <w:rFonts w:eastAsia="SimSu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122304">
      <w:bodyDiv w:val="1"/>
      <w:marLeft w:val="0"/>
      <w:marRight w:val="0"/>
      <w:marTop w:val="0"/>
      <w:marBottom w:val="0"/>
      <w:divBdr>
        <w:top w:val="none" w:sz="0" w:space="0" w:color="auto"/>
        <w:left w:val="none" w:sz="0" w:space="0" w:color="auto"/>
        <w:bottom w:val="none" w:sz="0" w:space="0" w:color="auto"/>
        <w:right w:val="none" w:sz="0" w:space="0" w:color="auto"/>
      </w:divBdr>
    </w:div>
    <w:div w:id="960261342">
      <w:bodyDiv w:val="1"/>
      <w:marLeft w:val="0"/>
      <w:marRight w:val="0"/>
      <w:marTop w:val="0"/>
      <w:marBottom w:val="0"/>
      <w:divBdr>
        <w:top w:val="none" w:sz="0" w:space="0" w:color="auto"/>
        <w:left w:val="none" w:sz="0" w:space="0" w:color="auto"/>
        <w:bottom w:val="none" w:sz="0" w:space="0" w:color="auto"/>
        <w:right w:val="none" w:sz="0" w:space="0" w:color="auto"/>
      </w:divBdr>
    </w:div>
    <w:div w:id="1413696468">
      <w:bodyDiv w:val="1"/>
      <w:marLeft w:val="0"/>
      <w:marRight w:val="0"/>
      <w:marTop w:val="0"/>
      <w:marBottom w:val="0"/>
      <w:divBdr>
        <w:top w:val="none" w:sz="0" w:space="0" w:color="auto"/>
        <w:left w:val="none" w:sz="0" w:space="0" w:color="auto"/>
        <w:bottom w:val="none" w:sz="0" w:space="0" w:color="auto"/>
        <w:right w:val="none" w:sz="0" w:space="0" w:color="auto"/>
      </w:divBdr>
    </w:div>
    <w:div w:id="1441989282">
      <w:bodyDiv w:val="1"/>
      <w:marLeft w:val="0"/>
      <w:marRight w:val="0"/>
      <w:marTop w:val="0"/>
      <w:marBottom w:val="0"/>
      <w:divBdr>
        <w:top w:val="none" w:sz="0" w:space="0" w:color="auto"/>
        <w:left w:val="none" w:sz="0" w:space="0" w:color="auto"/>
        <w:bottom w:val="none" w:sz="0" w:space="0" w:color="auto"/>
        <w:right w:val="none" w:sz="0" w:space="0" w:color="auto"/>
      </w:divBdr>
      <w:divsChild>
        <w:div w:id="1316298202">
          <w:marLeft w:val="0"/>
          <w:marRight w:val="0"/>
          <w:marTop w:val="0"/>
          <w:marBottom w:val="0"/>
          <w:divBdr>
            <w:top w:val="single" w:sz="2" w:space="0" w:color="auto"/>
            <w:left w:val="single" w:sz="2" w:space="0" w:color="auto"/>
            <w:bottom w:val="single" w:sz="6" w:space="0" w:color="auto"/>
            <w:right w:val="single" w:sz="2" w:space="0" w:color="auto"/>
          </w:divBdr>
          <w:divsChild>
            <w:div w:id="1903830971">
              <w:marLeft w:val="0"/>
              <w:marRight w:val="0"/>
              <w:marTop w:val="100"/>
              <w:marBottom w:val="100"/>
              <w:divBdr>
                <w:top w:val="single" w:sz="2" w:space="0" w:color="D9D9E3"/>
                <w:left w:val="single" w:sz="2" w:space="0" w:color="D9D9E3"/>
                <w:bottom w:val="single" w:sz="2" w:space="0" w:color="D9D9E3"/>
                <w:right w:val="single" w:sz="2" w:space="0" w:color="D9D9E3"/>
              </w:divBdr>
              <w:divsChild>
                <w:div w:id="776603748">
                  <w:marLeft w:val="0"/>
                  <w:marRight w:val="0"/>
                  <w:marTop w:val="0"/>
                  <w:marBottom w:val="0"/>
                  <w:divBdr>
                    <w:top w:val="single" w:sz="2" w:space="0" w:color="D9D9E3"/>
                    <w:left w:val="single" w:sz="2" w:space="0" w:color="D9D9E3"/>
                    <w:bottom w:val="single" w:sz="2" w:space="0" w:color="D9D9E3"/>
                    <w:right w:val="single" w:sz="2" w:space="0" w:color="D9D9E3"/>
                  </w:divBdr>
                  <w:divsChild>
                    <w:div w:id="392000818">
                      <w:marLeft w:val="0"/>
                      <w:marRight w:val="0"/>
                      <w:marTop w:val="0"/>
                      <w:marBottom w:val="0"/>
                      <w:divBdr>
                        <w:top w:val="single" w:sz="2" w:space="0" w:color="D9D9E3"/>
                        <w:left w:val="single" w:sz="2" w:space="0" w:color="D9D9E3"/>
                        <w:bottom w:val="single" w:sz="2" w:space="0" w:color="D9D9E3"/>
                        <w:right w:val="single" w:sz="2" w:space="0" w:color="D9D9E3"/>
                      </w:divBdr>
                      <w:divsChild>
                        <w:div w:id="1413550342">
                          <w:marLeft w:val="0"/>
                          <w:marRight w:val="0"/>
                          <w:marTop w:val="0"/>
                          <w:marBottom w:val="0"/>
                          <w:divBdr>
                            <w:top w:val="single" w:sz="2" w:space="0" w:color="D9D9E3"/>
                            <w:left w:val="single" w:sz="2" w:space="0" w:color="D9D9E3"/>
                            <w:bottom w:val="single" w:sz="2" w:space="0" w:color="D9D9E3"/>
                            <w:right w:val="single" w:sz="2" w:space="0" w:color="D9D9E3"/>
                          </w:divBdr>
                          <w:divsChild>
                            <w:div w:id="1861119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1344734">
      <w:bodyDiv w:val="1"/>
      <w:marLeft w:val="0"/>
      <w:marRight w:val="0"/>
      <w:marTop w:val="0"/>
      <w:marBottom w:val="0"/>
      <w:divBdr>
        <w:top w:val="none" w:sz="0" w:space="0" w:color="auto"/>
        <w:left w:val="none" w:sz="0" w:space="0" w:color="auto"/>
        <w:bottom w:val="none" w:sz="0" w:space="0" w:color="auto"/>
        <w:right w:val="none" w:sz="0" w:space="0" w:color="auto"/>
      </w:divBdr>
    </w:div>
    <w:div w:id="182002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acatalogue.wipo.int/projectfiles/DA_1_3_4_10_11_16_25_35_01/Study_Part_1/EN/LATAM%20AV%20study_part_1_EN%20REV.pdf" TargetMode="External"/><Relationship Id="rId26" Type="http://schemas.openxmlformats.org/officeDocument/2006/relationships/hyperlink" Target="https://dacatalogue.wipo.int/projectfiles/DA_1_3_4_10_11_16_25_35_01/Case_Study_I/EN/LATAM%20AV%20case%20study%201%20EN.pdf" TargetMode="External"/><Relationship Id="rId21" Type="http://schemas.openxmlformats.org/officeDocument/2006/relationships/hyperlink" Target="https://dacatalogue.wipo.int/projectfiles/DA_1_3_4_10_11_16_25_35_01/Part_3/EN/LATAM%20AV%20study_part_3_EN.pdf" TargetMode="External"/><Relationship Id="rId34" Type="http://schemas.openxmlformats.org/officeDocument/2006/relationships/hyperlink" Target="https://dacatalogue.wipo.int/projectfiles/DA_1_3_4_10_11_16_25_35_01/Orphan_Works/EN/LATAM%20AV%20study_Public_Domain_ES.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3_4_10_11_16_25_35_01" TargetMode="External"/><Relationship Id="rId25" Type="http://schemas.openxmlformats.org/officeDocument/2006/relationships/hyperlink" Target="https://dacatalogue.wipo.int/projectfiles/DA_1_3_4_10_11_16_25_35_01/Orphan_Works/EN/LATAM%20AV%20study_Public_Domain_ES.pdf" TargetMode="External"/><Relationship Id="rId33" Type="http://schemas.openxmlformats.org/officeDocument/2006/relationships/hyperlink" Target="https://www.wipo.int/edocs/infogdocs/creative_industries/en/streaming-wa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ip-development/en/agenda/recommendations.html" TargetMode="External"/><Relationship Id="rId20" Type="http://schemas.openxmlformats.org/officeDocument/2006/relationships/hyperlink" Target="https://dacatalogue.wipo.int/projectfiles/DA_1_3_4_10_11_16_25_35_01/Part_2/EN/LATAM%20AV%20Annex%20to%20study_part_2_ES.pdf" TargetMode="External"/><Relationship Id="rId29" Type="http://schemas.openxmlformats.org/officeDocument/2006/relationships/hyperlink" Target="https://dacatalogue.wipo.int/projectfiles/DA_1_3_4_10_11_16_25_35_01/Case_Study_IV/EN/LATAM%20AV%20case%20study%204%20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acatalogue.wipo.int/projectfiles/DA_1_3_4_10_11_16_25_35_01/Part_6/EN/LATAM%20AV%20study_part_6_EN.pdf" TargetMode="External"/><Relationship Id="rId32" Type="http://schemas.openxmlformats.org/officeDocument/2006/relationships/hyperlink" Target="https://dacatalogue.wipo.int/projectfiles/DA_1_3_4_10_11_16_25_35_01/Case_Study_VII/EN/LATAM%20AV%20case%20study%207%20ES.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meetings/en/doc_details.jsp?doc_id=421771" TargetMode="External"/><Relationship Id="rId23" Type="http://schemas.openxmlformats.org/officeDocument/2006/relationships/hyperlink" Target="https://dacatalogue.wipo.int/projectfiles/DA_1_3_4_10_11_16_25_35_01/Part_5/EN/LATAM%20AV%20study_part_5_EN.pdf" TargetMode="External"/><Relationship Id="rId28" Type="http://schemas.openxmlformats.org/officeDocument/2006/relationships/hyperlink" Target="https://dacatalogue.wipo.int/projectfiles/DA_1_3_4_10_11_16_25_35_01/Case_Study_III/EN/LATAM%20AV%20case%20study%203%20EN.pdf" TargetMode="External"/><Relationship Id="rId36"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dacatalogue.wipo.int/projectfiles/DA_1_3_4_10_11_16_25_35_01/Part_2/EN/LATAM%20AV%20study_part_2_EN.pdf" TargetMode="External"/><Relationship Id="rId31" Type="http://schemas.openxmlformats.org/officeDocument/2006/relationships/hyperlink" Target="https://dacatalogue.wipo.int/projectfiles/DA_1_3_4_10_11_16_25_35_01/Case_Study_VI/EN/LATAM%20AV%20case%20study%206%20E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acatalogue.wipo.int/projectfiles/DA_1_3_4_10_11_16_25_35_01/Part_4/EN/LATAM%20AV%20study_part_4_EN.pdf" TargetMode="External"/><Relationship Id="rId27" Type="http://schemas.openxmlformats.org/officeDocument/2006/relationships/hyperlink" Target="https://dacatalogue.wipo.int/projectfiles/DA_1_3_4_10_11_16_25_35_01/Case_Study_II/EN/LATAM%20AV%20case%20study%202%20EN.pdf" TargetMode="External"/><Relationship Id="rId30" Type="http://schemas.openxmlformats.org/officeDocument/2006/relationships/hyperlink" Target="https://dacatalogue.wipo.int/projectfiles/DA_1_3_4_10_11_16_25_35_01/Case_Study_V/EN/LATAM%20AV%20case%20study%205%20EN.pdf" TargetMode="External"/><Relationship Id="rId35" Type="http://schemas.openxmlformats.org/officeDocument/2006/relationships/header" Target="head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63A58-8EA0-4A6E-8875-C190B94D8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3162</TotalTime>
  <Pages>14</Pages>
  <Words>3968</Words>
  <Characters>27592</Characters>
  <Application>Microsoft Office Word</Application>
  <DocSecurity>0</DocSecurity>
  <Lines>229</Lines>
  <Paragraphs>62</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31498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CERBARI Mihaela</dc:creator>
  <cp:keywords>FOR OFFICIAL USE ONLY</cp:keywords>
  <dc:description/>
  <cp:lastModifiedBy>ESTEVES DOS SANTOS Anabela</cp:lastModifiedBy>
  <cp:revision>63</cp:revision>
  <cp:lastPrinted>2021-12-14T22:20:00Z</cp:lastPrinted>
  <dcterms:created xsi:type="dcterms:W3CDTF">2023-07-11T14:48:00Z</dcterms:created>
  <dcterms:modified xsi:type="dcterms:W3CDTF">2023-09-26T15:47:00Z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ad359dd2-f8f2-43aa-ba48-1365bdb9f857</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2023-06-21T16:09:54Z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a7d8c4c0-7519-462f-942c-4ee6b0352848</vt:lpwstr>
  </property>
  <property fmtid="{D5CDD505-2E9C-101B-9397-08002B2CF9AE}" pid="13" name="MSIP_Label_20773ee6-353b-4fb9-a59d-0b94c8c67bea_ContentBits">
    <vt:lpwstr>0</vt:lpwstr>
  </property>
</Properties>
</file>