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7E8E" w14:textId="77777777" w:rsidR="008B2CC1" w:rsidRPr="00F043DE" w:rsidRDefault="00B92F1F" w:rsidP="00A8389F">
      <w:pPr>
        <w:pBdr>
          <w:bottom w:val="single" w:sz="4" w:space="11" w:color="auto"/>
        </w:pBdr>
        <w:spacing w:before="360" w:after="240"/>
        <w:jc w:val="right"/>
        <w:rPr>
          <w:b/>
          <w:sz w:val="32"/>
          <w:szCs w:val="40"/>
        </w:rPr>
      </w:pPr>
      <w:r>
        <w:rPr>
          <w:noProof/>
          <w:sz w:val="28"/>
          <w:szCs w:val="28"/>
          <w:lang w:eastAsia="en-US"/>
        </w:rPr>
        <w:drawing>
          <wp:inline distT="0" distB="0" distL="0" distR="0" wp14:anchorId="293E2940" wp14:editId="50C13C5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42FD00C" w14:textId="1A05051B" w:rsidR="008B2CC1" w:rsidRPr="002326AB" w:rsidRDefault="00E41552" w:rsidP="00EB2F76">
      <w:pPr>
        <w:jc w:val="right"/>
        <w:rPr>
          <w:rFonts w:ascii="Arial Black" w:hAnsi="Arial Black"/>
          <w:caps/>
          <w:sz w:val="15"/>
          <w:szCs w:val="15"/>
        </w:rPr>
      </w:pPr>
      <w:r>
        <w:rPr>
          <w:rFonts w:ascii="Arial Black" w:hAnsi="Arial Black"/>
          <w:caps/>
          <w:sz w:val="15"/>
          <w:szCs w:val="15"/>
        </w:rPr>
        <w:t>CDIP/3</w:t>
      </w:r>
      <w:r w:rsidR="00EB76CE">
        <w:rPr>
          <w:rFonts w:ascii="Arial Black" w:hAnsi="Arial Black"/>
          <w:caps/>
          <w:sz w:val="15"/>
          <w:szCs w:val="15"/>
        </w:rPr>
        <w:t>1</w:t>
      </w:r>
      <w:r>
        <w:rPr>
          <w:rFonts w:ascii="Arial Black" w:hAnsi="Arial Black"/>
          <w:caps/>
          <w:sz w:val="15"/>
          <w:szCs w:val="15"/>
        </w:rPr>
        <w:t>/</w:t>
      </w:r>
      <w:bookmarkStart w:id="0" w:name="Code"/>
      <w:bookmarkEnd w:id="0"/>
      <w:r w:rsidR="000D3411">
        <w:rPr>
          <w:rFonts w:ascii="Arial Black" w:hAnsi="Arial Black"/>
          <w:caps/>
          <w:sz w:val="15"/>
          <w:szCs w:val="15"/>
        </w:rPr>
        <w:t>INF/</w:t>
      </w:r>
      <w:r w:rsidR="00E41D21">
        <w:rPr>
          <w:rFonts w:ascii="Arial Black" w:hAnsi="Arial Black"/>
          <w:caps/>
          <w:sz w:val="15"/>
          <w:szCs w:val="15"/>
        </w:rPr>
        <w:t>5</w:t>
      </w:r>
      <w:r w:rsidR="00FC482F">
        <w:rPr>
          <w:rFonts w:ascii="Arial Black" w:hAnsi="Arial Black"/>
          <w:caps/>
          <w:sz w:val="15"/>
          <w:szCs w:val="15"/>
        </w:rPr>
        <w:t xml:space="preserve"> </w:t>
      </w:r>
    </w:p>
    <w:p w14:paraId="794D3A9E"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0D3411">
        <w:rPr>
          <w:rFonts w:ascii="Arial Black" w:hAnsi="Arial Black"/>
          <w:caps/>
          <w:sz w:val="15"/>
          <w:szCs w:val="15"/>
        </w:rPr>
        <w:t>ENGLISH</w:t>
      </w:r>
    </w:p>
    <w:bookmarkEnd w:id="1"/>
    <w:p w14:paraId="22CEAC92" w14:textId="0CFA07A0"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E41D21">
        <w:rPr>
          <w:rFonts w:ascii="Arial Black" w:hAnsi="Arial Black"/>
          <w:caps/>
          <w:sz w:val="15"/>
          <w:szCs w:val="15"/>
        </w:rPr>
        <w:t>October</w:t>
      </w:r>
      <w:r w:rsidR="00B761D0">
        <w:rPr>
          <w:rFonts w:ascii="Arial Black" w:hAnsi="Arial Black"/>
          <w:caps/>
          <w:sz w:val="15"/>
          <w:szCs w:val="15"/>
        </w:rPr>
        <w:t xml:space="preserve"> </w:t>
      </w:r>
      <w:r w:rsidR="00E41D21">
        <w:rPr>
          <w:rFonts w:ascii="Arial Black" w:hAnsi="Arial Black"/>
          <w:caps/>
          <w:sz w:val="15"/>
          <w:szCs w:val="15"/>
        </w:rPr>
        <w:t>1</w:t>
      </w:r>
      <w:r w:rsidR="005A16BA">
        <w:rPr>
          <w:rFonts w:ascii="Arial Black" w:hAnsi="Arial Black"/>
          <w:caps/>
          <w:sz w:val="15"/>
          <w:szCs w:val="15"/>
        </w:rPr>
        <w:t>1</w:t>
      </w:r>
      <w:r w:rsidR="000D3411">
        <w:rPr>
          <w:rFonts w:ascii="Arial Black" w:hAnsi="Arial Black"/>
          <w:caps/>
          <w:sz w:val="15"/>
          <w:szCs w:val="15"/>
        </w:rPr>
        <w:t>, 2023</w:t>
      </w:r>
    </w:p>
    <w:bookmarkEnd w:id="2"/>
    <w:p w14:paraId="6DBF298A" w14:textId="77777777" w:rsidR="008B2CC1" w:rsidRPr="00720EFD" w:rsidRDefault="00E41552" w:rsidP="002D58DB">
      <w:pPr>
        <w:pStyle w:val="Heading1"/>
        <w:spacing w:before="0" w:after="600"/>
        <w:rPr>
          <w:sz w:val="28"/>
          <w:szCs w:val="28"/>
        </w:rPr>
      </w:pPr>
      <w:r>
        <w:rPr>
          <w:caps w:val="0"/>
          <w:sz w:val="28"/>
          <w:szCs w:val="28"/>
        </w:rPr>
        <w:t>C</w:t>
      </w:r>
      <w:r w:rsidRPr="00E41552">
        <w:rPr>
          <w:caps w:val="0"/>
          <w:sz w:val="28"/>
          <w:szCs w:val="28"/>
        </w:rPr>
        <w:t xml:space="preserve">ommittee on </w:t>
      </w:r>
      <w:r>
        <w:rPr>
          <w:caps w:val="0"/>
          <w:sz w:val="28"/>
          <w:szCs w:val="28"/>
        </w:rPr>
        <w:t>D</w:t>
      </w:r>
      <w:r w:rsidRPr="00E41552">
        <w:rPr>
          <w:caps w:val="0"/>
          <w:sz w:val="28"/>
          <w:szCs w:val="28"/>
        </w:rPr>
        <w:t xml:space="preserve">evelopment and </w:t>
      </w:r>
      <w:r>
        <w:rPr>
          <w:caps w:val="0"/>
          <w:sz w:val="28"/>
          <w:szCs w:val="28"/>
        </w:rPr>
        <w:t>I</w:t>
      </w:r>
      <w:r w:rsidRPr="00E41552">
        <w:rPr>
          <w:caps w:val="0"/>
          <w:sz w:val="28"/>
          <w:szCs w:val="28"/>
        </w:rPr>
        <w:t xml:space="preserve">ntellectual </w:t>
      </w:r>
      <w:r>
        <w:rPr>
          <w:caps w:val="0"/>
          <w:sz w:val="28"/>
          <w:szCs w:val="28"/>
        </w:rPr>
        <w:t>P</w:t>
      </w:r>
      <w:r w:rsidRPr="00E41552">
        <w:rPr>
          <w:caps w:val="0"/>
          <w:sz w:val="28"/>
          <w:szCs w:val="28"/>
        </w:rPr>
        <w:t>roperty (CDIP)</w:t>
      </w:r>
    </w:p>
    <w:p w14:paraId="59A97E6E" w14:textId="77777777" w:rsidR="008B2CC1" w:rsidRDefault="00EB76CE" w:rsidP="00A766B8">
      <w:pPr>
        <w:spacing w:after="720"/>
        <w:outlineLvl w:val="1"/>
        <w:rPr>
          <w:b/>
          <w:sz w:val="24"/>
          <w:szCs w:val="24"/>
        </w:rPr>
      </w:pPr>
      <w:r w:rsidRPr="00EB76CE">
        <w:rPr>
          <w:b/>
          <w:sz w:val="24"/>
          <w:szCs w:val="24"/>
        </w:rPr>
        <w:t>Thirty-</w:t>
      </w:r>
      <w:r w:rsidR="00B52735">
        <w:rPr>
          <w:b/>
          <w:sz w:val="24"/>
          <w:szCs w:val="24"/>
        </w:rPr>
        <w:t>F</w:t>
      </w:r>
      <w:r w:rsidRPr="00EB76CE">
        <w:rPr>
          <w:b/>
          <w:sz w:val="24"/>
          <w:szCs w:val="24"/>
        </w:rPr>
        <w:t xml:space="preserve">irst </w:t>
      </w:r>
      <w:r w:rsidR="003845C1" w:rsidRPr="003845C1">
        <w:rPr>
          <w:b/>
          <w:sz w:val="24"/>
          <w:szCs w:val="24"/>
        </w:rPr>
        <w:t>Session</w:t>
      </w:r>
      <w:r w:rsidR="00A8389F">
        <w:rPr>
          <w:b/>
          <w:sz w:val="24"/>
          <w:szCs w:val="24"/>
        </w:rPr>
        <w:br/>
      </w:r>
      <w:r w:rsidRPr="00EB76CE">
        <w:rPr>
          <w:b/>
          <w:sz w:val="24"/>
          <w:szCs w:val="24"/>
        </w:rPr>
        <w:t>Geneva, November 27 to December 1, 2023</w:t>
      </w:r>
    </w:p>
    <w:p w14:paraId="56641FFF" w14:textId="58F2ECA1" w:rsidR="001673B1" w:rsidRPr="007D1D9E" w:rsidRDefault="00733E3B" w:rsidP="00C408FA">
      <w:pPr>
        <w:spacing w:after="360"/>
        <w:outlineLvl w:val="1"/>
        <w:rPr>
          <w:b/>
          <w:sz w:val="24"/>
          <w:szCs w:val="24"/>
        </w:rPr>
      </w:pPr>
      <w:r>
        <w:rPr>
          <w:iCs/>
          <w:sz w:val="24"/>
          <w:szCs w:val="24"/>
          <w:lang w:val="en-GB"/>
        </w:rPr>
        <w:t>COMPILATION OF TOPICS PROPOSED BY THE SECRETARIAT FOR FUTURE WEBINARS ON TECHNICAL ASSISTANCE</w:t>
      </w:r>
    </w:p>
    <w:p w14:paraId="5A2C51E7" w14:textId="649D27BA" w:rsidR="001673B1" w:rsidRPr="00D115FB" w:rsidRDefault="001673B1" w:rsidP="00D115FB">
      <w:pPr>
        <w:spacing w:after="960"/>
        <w:rPr>
          <w:i/>
          <w:lang w:val="en-GB" w:eastAsia="de-DE"/>
        </w:rPr>
      </w:pPr>
      <w:bookmarkStart w:id="3" w:name="TitleOfDoc"/>
      <w:r w:rsidRPr="007D1D9E">
        <w:rPr>
          <w:i/>
          <w:lang w:val="en-GB" w:eastAsia="de-DE"/>
        </w:rPr>
        <w:t xml:space="preserve">prepared by </w:t>
      </w:r>
      <w:r w:rsidR="00F6162D">
        <w:rPr>
          <w:i/>
          <w:lang w:val="en-GB" w:eastAsia="de-DE"/>
        </w:rPr>
        <w:t xml:space="preserve">the </w:t>
      </w:r>
      <w:proofErr w:type="gramStart"/>
      <w:r w:rsidR="00F6162D">
        <w:rPr>
          <w:i/>
          <w:lang w:val="en-GB" w:eastAsia="de-DE"/>
        </w:rPr>
        <w:t>Secretariat</w:t>
      </w:r>
      <w:proofErr w:type="gramEnd"/>
    </w:p>
    <w:p w14:paraId="714EE3B5" w14:textId="12EDDCD4" w:rsidR="001673B1" w:rsidRPr="000A5724" w:rsidRDefault="001673B1" w:rsidP="00E327B9">
      <w:pPr>
        <w:spacing w:after="240"/>
        <w:rPr>
          <w:rFonts w:eastAsia="MS Mincho"/>
          <w:bCs/>
          <w:iCs/>
          <w:szCs w:val="22"/>
          <w:lang w:val="en-GB" w:eastAsia="de-DE"/>
        </w:rPr>
      </w:pPr>
      <w:r w:rsidRPr="000A5724">
        <w:rPr>
          <w:rFonts w:eastAsia="Times New Roman"/>
          <w:color w:val="000000"/>
          <w:szCs w:val="22"/>
        </w:rPr>
        <w:fldChar w:fldCharType="begin"/>
      </w:r>
      <w:r w:rsidRPr="000A5724">
        <w:rPr>
          <w:rFonts w:eastAsia="Times New Roman"/>
          <w:color w:val="000000"/>
          <w:szCs w:val="22"/>
        </w:rPr>
        <w:instrText xml:space="preserve"> AUTONUM  </w:instrText>
      </w:r>
      <w:r w:rsidRPr="000A5724">
        <w:rPr>
          <w:rFonts w:eastAsia="Times New Roman"/>
          <w:color w:val="000000"/>
          <w:szCs w:val="22"/>
        </w:rPr>
        <w:fldChar w:fldCharType="end"/>
      </w:r>
      <w:r w:rsidRPr="000A5724">
        <w:rPr>
          <w:rFonts w:eastAsia="Times New Roman"/>
          <w:color w:val="000000"/>
          <w:szCs w:val="22"/>
        </w:rPr>
        <w:tab/>
        <w:t>The</w:t>
      </w:r>
      <w:r w:rsidR="000D6097">
        <w:rPr>
          <w:rFonts w:eastAsia="Times New Roman"/>
          <w:color w:val="000000"/>
          <w:szCs w:val="22"/>
        </w:rPr>
        <w:t xml:space="preserve"> Committee on Development and Intellectual Property (CDIP), at its </w:t>
      </w:r>
      <w:r w:rsidR="000D6097">
        <w:rPr>
          <w:rFonts w:eastAsia="MS Mincho"/>
          <w:bCs/>
          <w:iCs/>
          <w:szCs w:val="22"/>
          <w:lang w:val="en-GB" w:eastAsia="de-DE"/>
        </w:rPr>
        <w:t>t</w:t>
      </w:r>
      <w:r w:rsidR="000D6097" w:rsidRPr="000D6097">
        <w:rPr>
          <w:rFonts w:eastAsia="MS Mincho"/>
          <w:bCs/>
          <w:iCs/>
          <w:szCs w:val="22"/>
          <w:lang w:val="en-GB" w:eastAsia="de-DE"/>
        </w:rPr>
        <w:t>hirtieth</w:t>
      </w:r>
      <w:r w:rsidR="000D6097">
        <w:rPr>
          <w:rFonts w:eastAsia="MS Mincho"/>
          <w:bCs/>
          <w:iCs/>
          <w:szCs w:val="22"/>
          <w:lang w:val="en-GB" w:eastAsia="de-DE"/>
        </w:rPr>
        <w:t xml:space="preserve"> session held in April 2023, approved the Revised Document on Future Webinars </w:t>
      </w:r>
      <w:r w:rsidR="00B76600">
        <w:rPr>
          <w:rFonts w:eastAsia="MS Mincho"/>
          <w:bCs/>
          <w:iCs/>
          <w:szCs w:val="22"/>
          <w:lang w:val="en-GB" w:eastAsia="de-DE"/>
        </w:rPr>
        <w:t>(CDIP/30/8 REV.)</w:t>
      </w:r>
      <w:r w:rsidR="00021AF2">
        <w:rPr>
          <w:rFonts w:eastAsia="MS Mincho"/>
          <w:bCs/>
          <w:iCs/>
          <w:szCs w:val="22"/>
          <w:lang w:val="en-GB" w:eastAsia="de-DE"/>
        </w:rPr>
        <w:t xml:space="preserve">, which </w:t>
      </w:r>
      <w:r w:rsidR="008D012E">
        <w:rPr>
          <w:rFonts w:eastAsia="MS Mincho"/>
          <w:bCs/>
          <w:iCs/>
          <w:szCs w:val="22"/>
          <w:lang w:val="en-GB" w:eastAsia="de-DE"/>
        </w:rPr>
        <w:t>contains</w:t>
      </w:r>
      <w:r w:rsidR="00994AC4">
        <w:rPr>
          <w:rFonts w:eastAsia="MS Mincho"/>
          <w:bCs/>
          <w:iCs/>
          <w:szCs w:val="22"/>
          <w:lang w:val="en-GB" w:eastAsia="de-DE"/>
        </w:rPr>
        <w:t xml:space="preserve"> </w:t>
      </w:r>
      <w:r w:rsidR="008D012E">
        <w:rPr>
          <w:rFonts w:eastAsia="MS Mincho"/>
          <w:bCs/>
          <w:iCs/>
          <w:szCs w:val="22"/>
          <w:lang w:val="en-GB" w:eastAsia="de-DE"/>
        </w:rPr>
        <w:t>the</w:t>
      </w:r>
      <w:r w:rsidR="00211A40">
        <w:rPr>
          <w:rFonts w:eastAsia="MS Mincho"/>
          <w:bCs/>
          <w:iCs/>
          <w:szCs w:val="22"/>
          <w:lang w:val="en-GB" w:eastAsia="de-DE"/>
        </w:rPr>
        <w:t xml:space="preserve"> delivery</w:t>
      </w:r>
      <w:r w:rsidR="00994AC4">
        <w:rPr>
          <w:rFonts w:eastAsia="MS Mincho"/>
          <w:bCs/>
          <w:iCs/>
          <w:szCs w:val="22"/>
          <w:lang w:val="en-GB" w:eastAsia="de-DE"/>
        </w:rPr>
        <w:t xml:space="preserve"> </w:t>
      </w:r>
      <w:r w:rsidR="00994AC4">
        <w:t>strategy</w:t>
      </w:r>
      <w:r w:rsidR="006725F6">
        <w:t xml:space="preserve"> for </w:t>
      </w:r>
      <w:r w:rsidR="00493733">
        <w:t xml:space="preserve">the </w:t>
      </w:r>
      <w:r w:rsidR="006725F6">
        <w:t>webinars</w:t>
      </w:r>
      <w:r w:rsidR="00403CA5">
        <w:t xml:space="preserve"> on technical assistance</w:t>
      </w:r>
      <w:r w:rsidR="00CF6CF7">
        <w:rPr>
          <w:rFonts w:eastAsia="MS Mincho"/>
          <w:bCs/>
          <w:iCs/>
          <w:szCs w:val="22"/>
          <w:lang w:val="en-GB" w:eastAsia="de-DE"/>
        </w:rPr>
        <w:t xml:space="preserve">. </w:t>
      </w:r>
    </w:p>
    <w:p w14:paraId="5E05A1A2" w14:textId="25F00EE3" w:rsidR="008D012E" w:rsidRDefault="001673B1" w:rsidP="00E327B9">
      <w:pPr>
        <w:spacing w:after="240"/>
        <w:rPr>
          <w:szCs w:val="22"/>
        </w:rPr>
      </w:pPr>
      <w:r w:rsidRPr="000A5724">
        <w:rPr>
          <w:rFonts w:eastAsia="MS Mincho"/>
          <w:bCs/>
          <w:iCs/>
          <w:szCs w:val="22"/>
          <w:lang w:val="en-GB" w:eastAsia="de-DE"/>
        </w:rPr>
        <w:fldChar w:fldCharType="begin"/>
      </w:r>
      <w:r w:rsidRPr="000A5724">
        <w:rPr>
          <w:rFonts w:eastAsia="MS Mincho"/>
          <w:bCs/>
          <w:iCs/>
          <w:szCs w:val="22"/>
          <w:lang w:val="en-GB" w:eastAsia="de-DE"/>
        </w:rPr>
        <w:instrText xml:space="preserve"> AUTONUM  </w:instrText>
      </w:r>
      <w:r w:rsidRPr="000A5724">
        <w:rPr>
          <w:rFonts w:eastAsia="MS Mincho"/>
          <w:bCs/>
          <w:iCs/>
          <w:szCs w:val="22"/>
          <w:lang w:val="en-GB" w:eastAsia="de-DE"/>
        </w:rPr>
        <w:fldChar w:fldCharType="end"/>
      </w:r>
      <w:r w:rsidRPr="000A5724">
        <w:rPr>
          <w:rFonts w:eastAsia="MS Mincho"/>
          <w:bCs/>
          <w:iCs/>
          <w:szCs w:val="22"/>
          <w:lang w:val="en-GB" w:eastAsia="de-DE"/>
        </w:rPr>
        <w:tab/>
      </w:r>
      <w:r w:rsidR="008D012E">
        <w:rPr>
          <w:szCs w:val="22"/>
        </w:rPr>
        <w:t>As</w:t>
      </w:r>
      <w:r w:rsidR="00D53FC3">
        <w:rPr>
          <w:szCs w:val="22"/>
        </w:rPr>
        <w:t xml:space="preserve"> described in document CDIP/30/8 REV.</w:t>
      </w:r>
      <w:r w:rsidR="008D012E">
        <w:rPr>
          <w:szCs w:val="22"/>
        </w:rPr>
        <w:t>, “</w:t>
      </w:r>
      <w:r w:rsidR="008D012E" w:rsidRPr="008D012E">
        <w:rPr>
          <w:i/>
          <w:iCs/>
        </w:rPr>
        <w:t>every year, during the second half, the Secretariat would share with Member States, through Group Coordinators, a list of proposed topics for webinars for the following year, indicating the objective(s) and target audience(s)</w:t>
      </w:r>
      <w:r w:rsidR="008D012E">
        <w:t>”.</w:t>
      </w:r>
      <w:r w:rsidR="007E732D">
        <w:t xml:space="preserve">  The document also states that “</w:t>
      </w:r>
      <w:r w:rsidR="007E732D" w:rsidRPr="007E732D">
        <w:rPr>
          <w:i/>
          <w:iCs/>
        </w:rPr>
        <w:t>a roster of topics would be published on the web page dedicated to webinars on technical assistance, indicating the webinars already held, the ones scheduled to be held, as well as other proposals that would be kept in the pipeline as received</w:t>
      </w:r>
      <w:r w:rsidR="007E732D">
        <w:t>”.</w:t>
      </w:r>
    </w:p>
    <w:p w14:paraId="7BFC2C51" w14:textId="1C109704" w:rsidR="007F2870" w:rsidRPr="00157B5D" w:rsidRDefault="008D012E" w:rsidP="00E327B9">
      <w:pPr>
        <w:spacing w:after="240"/>
        <w:rPr>
          <w:szCs w:val="22"/>
        </w:rPr>
      </w:pPr>
      <w:r w:rsidRPr="000A5724">
        <w:rPr>
          <w:rFonts w:eastAsia="MS Mincho"/>
          <w:bCs/>
          <w:iCs/>
          <w:szCs w:val="22"/>
          <w:lang w:val="en-GB" w:eastAsia="de-DE"/>
        </w:rPr>
        <w:fldChar w:fldCharType="begin"/>
      </w:r>
      <w:r w:rsidRPr="000A5724">
        <w:rPr>
          <w:rFonts w:eastAsia="MS Mincho"/>
          <w:bCs/>
          <w:iCs/>
          <w:szCs w:val="22"/>
          <w:lang w:val="en-GB" w:eastAsia="de-DE"/>
        </w:rPr>
        <w:instrText xml:space="preserve"> AUTONUM  </w:instrText>
      </w:r>
      <w:r w:rsidRPr="000A5724">
        <w:rPr>
          <w:rFonts w:eastAsia="MS Mincho"/>
          <w:bCs/>
          <w:iCs/>
          <w:szCs w:val="22"/>
          <w:lang w:val="en-GB" w:eastAsia="de-DE"/>
        </w:rPr>
        <w:fldChar w:fldCharType="end"/>
      </w:r>
      <w:r w:rsidRPr="000A5724">
        <w:rPr>
          <w:rFonts w:eastAsia="MS Mincho"/>
          <w:bCs/>
          <w:iCs/>
          <w:szCs w:val="22"/>
          <w:lang w:val="en-GB" w:eastAsia="de-DE"/>
        </w:rPr>
        <w:tab/>
      </w:r>
      <w:r>
        <w:rPr>
          <w:rFonts w:eastAsia="MS Mincho"/>
          <w:bCs/>
          <w:iCs/>
          <w:szCs w:val="22"/>
          <w:lang w:val="en-GB" w:eastAsia="de-DE"/>
        </w:rPr>
        <w:t xml:space="preserve">Accordingly, </w:t>
      </w:r>
      <w:r>
        <w:rPr>
          <w:szCs w:val="22"/>
        </w:rPr>
        <w:t xml:space="preserve">the Secretariat </w:t>
      </w:r>
      <w:r w:rsidR="00EB1798">
        <w:rPr>
          <w:szCs w:val="22"/>
        </w:rPr>
        <w:t>shared two topic</w:t>
      </w:r>
      <w:r w:rsidR="006725F6">
        <w:rPr>
          <w:szCs w:val="22"/>
        </w:rPr>
        <w:t xml:space="preserve"> proposals</w:t>
      </w:r>
      <w:r w:rsidR="00021AF2">
        <w:rPr>
          <w:szCs w:val="22"/>
        </w:rPr>
        <w:t xml:space="preserve"> for Future Webinars</w:t>
      </w:r>
      <w:r w:rsidR="00F2738C">
        <w:rPr>
          <w:szCs w:val="22"/>
        </w:rPr>
        <w:t xml:space="preserve"> with Group Coordinators</w:t>
      </w:r>
      <w:r w:rsidR="00021AF2">
        <w:rPr>
          <w:szCs w:val="22"/>
        </w:rPr>
        <w:t xml:space="preserve"> to be </w:t>
      </w:r>
      <w:r w:rsidR="00900788">
        <w:rPr>
          <w:szCs w:val="22"/>
        </w:rPr>
        <w:t>added</w:t>
      </w:r>
      <w:r w:rsidR="00021AF2">
        <w:rPr>
          <w:szCs w:val="22"/>
        </w:rPr>
        <w:t xml:space="preserve"> </w:t>
      </w:r>
      <w:r w:rsidR="00900788">
        <w:rPr>
          <w:szCs w:val="22"/>
        </w:rPr>
        <w:t>to</w:t>
      </w:r>
      <w:r w:rsidR="00021AF2">
        <w:rPr>
          <w:szCs w:val="22"/>
        </w:rPr>
        <w:t xml:space="preserve"> the roster of topics</w:t>
      </w:r>
      <w:r w:rsidR="00900788">
        <w:rPr>
          <w:szCs w:val="22"/>
        </w:rPr>
        <w:t>.  The</w:t>
      </w:r>
      <w:r w:rsidR="00157B5D">
        <w:rPr>
          <w:szCs w:val="22"/>
        </w:rPr>
        <w:t xml:space="preserve"> Annex to this document includes those proposals.</w:t>
      </w:r>
    </w:p>
    <w:p w14:paraId="7A8D98B9" w14:textId="77777777" w:rsidR="001673B1" w:rsidRPr="000A5724" w:rsidRDefault="001673B1" w:rsidP="00C408FA">
      <w:pPr>
        <w:spacing w:after="720"/>
        <w:ind w:left="5530"/>
        <w:rPr>
          <w:rFonts w:eastAsia="MS Mincho"/>
          <w:bCs/>
          <w:iCs/>
          <w:szCs w:val="22"/>
          <w:lang w:val="en-GB" w:eastAsia="de-DE"/>
        </w:rPr>
      </w:pPr>
      <w:r w:rsidRPr="00AC0955">
        <w:rPr>
          <w:rFonts w:eastAsia="MS Mincho"/>
          <w:bCs/>
          <w:i/>
          <w:iCs/>
          <w:szCs w:val="22"/>
          <w:lang w:val="en-GB" w:eastAsia="de-DE"/>
        </w:rPr>
        <w:fldChar w:fldCharType="begin"/>
      </w:r>
      <w:r w:rsidRPr="00AC0955">
        <w:rPr>
          <w:rFonts w:eastAsia="MS Mincho"/>
          <w:bCs/>
          <w:i/>
          <w:iCs/>
          <w:szCs w:val="22"/>
          <w:lang w:val="en-GB" w:eastAsia="de-DE"/>
        </w:rPr>
        <w:instrText xml:space="preserve"> AUTONUM  </w:instrText>
      </w:r>
      <w:r w:rsidRPr="00AC0955">
        <w:rPr>
          <w:rFonts w:eastAsia="MS Mincho"/>
          <w:bCs/>
          <w:i/>
          <w:iCs/>
          <w:szCs w:val="22"/>
          <w:lang w:val="en-GB" w:eastAsia="de-DE"/>
        </w:rPr>
        <w:fldChar w:fldCharType="end"/>
      </w:r>
      <w:r>
        <w:rPr>
          <w:rFonts w:eastAsia="MS Mincho"/>
          <w:bCs/>
          <w:iCs/>
          <w:szCs w:val="22"/>
          <w:lang w:val="en-GB" w:eastAsia="de-DE"/>
        </w:rPr>
        <w:tab/>
      </w:r>
      <w:r>
        <w:rPr>
          <w:rFonts w:eastAsia="Arial"/>
          <w:i/>
          <w:iCs/>
          <w:color w:val="000000"/>
          <w:szCs w:val="22"/>
        </w:rPr>
        <w:t>The Committee</w:t>
      </w:r>
      <w:r w:rsidRPr="000A5724">
        <w:rPr>
          <w:rFonts w:eastAsia="Arial"/>
          <w:i/>
          <w:iCs/>
          <w:color w:val="000000"/>
          <w:szCs w:val="22"/>
        </w:rPr>
        <w:t xml:space="preserve"> is invited to take note of the information contained in the Annex </w:t>
      </w:r>
      <w:r w:rsidRPr="000A5724">
        <w:rPr>
          <w:rFonts w:eastAsia="Arial"/>
          <w:i/>
          <w:color w:val="000000"/>
          <w:szCs w:val="22"/>
        </w:rPr>
        <w:t>to the present document.</w:t>
      </w:r>
    </w:p>
    <w:p w14:paraId="2528E0A1" w14:textId="77777777" w:rsidR="000D3411" w:rsidRDefault="001673B1" w:rsidP="00BE2CA0">
      <w:pPr>
        <w:ind w:left="5533"/>
        <w:sectPr w:rsidR="000D3411" w:rsidSect="000D341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BE2CA0">
        <w:t>[</w:t>
      </w:r>
      <w:r w:rsidRPr="000A5724">
        <w:t>Annex follows]</w:t>
      </w:r>
      <w:bookmarkStart w:id="5" w:name="Prepared"/>
      <w:bookmarkEnd w:id="3"/>
      <w:bookmarkEnd w:id="5"/>
      <w:r w:rsidR="000D3411">
        <w:br w:type="page"/>
      </w:r>
    </w:p>
    <w:p w14:paraId="61F7CC08" w14:textId="66A48F4D" w:rsidR="000D3411" w:rsidRPr="00C33D17" w:rsidRDefault="00C33D17" w:rsidP="00C33D17">
      <w:pPr>
        <w:spacing w:after="240"/>
        <w:jc w:val="center"/>
        <w:rPr>
          <w:color w:val="2B2C28"/>
        </w:rPr>
      </w:pPr>
      <w:r w:rsidRPr="00C33D17">
        <w:rPr>
          <w:color w:val="2B2C28"/>
        </w:rPr>
        <w:lastRenderedPageBreak/>
        <w:t>FUTURE WEBINARS ON TECHNICAL ASSISTANCE</w:t>
      </w:r>
    </w:p>
    <w:p w14:paraId="521A5E3B" w14:textId="09F2A7AD" w:rsidR="00C33D17" w:rsidRPr="00C33D17" w:rsidRDefault="00C33D17" w:rsidP="00C33D17">
      <w:pPr>
        <w:jc w:val="center"/>
        <w:rPr>
          <w:color w:val="2B2C28"/>
        </w:rPr>
      </w:pPr>
      <w:r w:rsidRPr="00C33D17">
        <w:rPr>
          <w:color w:val="2B2C28"/>
        </w:rPr>
        <w:t xml:space="preserve">Topics proposed by the </w:t>
      </w:r>
      <w:proofErr w:type="gramStart"/>
      <w:r w:rsidRPr="00C33D17">
        <w:rPr>
          <w:color w:val="2B2C28"/>
        </w:rPr>
        <w:t>Secretariat</w:t>
      </w:r>
      <w:proofErr w:type="gramEnd"/>
    </w:p>
    <w:p w14:paraId="6E4D2C2A" w14:textId="21A432C8" w:rsidR="00C33D17" w:rsidRPr="00C33D17" w:rsidRDefault="00C33D17" w:rsidP="00C33D17">
      <w:pPr>
        <w:rPr>
          <w:color w:val="2B2C28"/>
        </w:rPr>
      </w:pPr>
    </w:p>
    <w:p w14:paraId="6B527280" w14:textId="2743BC39" w:rsidR="00C33D17" w:rsidRPr="00C33D17" w:rsidRDefault="00C33D17" w:rsidP="00C33D17">
      <w:pPr>
        <w:pStyle w:val="ListParagraph"/>
        <w:numPr>
          <w:ilvl w:val="0"/>
          <w:numId w:val="9"/>
        </w:numPr>
        <w:contextualSpacing/>
        <w:rPr>
          <w:rFonts w:ascii="Arial" w:hAnsi="Arial" w:cs="Arial"/>
          <w:b/>
        </w:rPr>
      </w:pPr>
      <w:r w:rsidRPr="00C33D17">
        <w:rPr>
          <w:rFonts w:ascii="Arial" w:hAnsi="Arial" w:cs="Arial"/>
          <w:b/>
        </w:rPr>
        <w:t>Impact-oriented Technical Assistance and Capacity Building:  Factors for Success and Lessons Learned</w:t>
      </w:r>
    </w:p>
    <w:p w14:paraId="6C98ACA6" w14:textId="77777777" w:rsidR="00C33D17" w:rsidRPr="00C33D17" w:rsidRDefault="00C33D17" w:rsidP="00C33D17">
      <w:pPr>
        <w:pStyle w:val="ListParagraph"/>
        <w:contextualSpacing/>
        <w:rPr>
          <w:rFonts w:ascii="Arial" w:hAnsi="Arial" w:cs="Arial"/>
          <w:b/>
        </w:rPr>
      </w:pPr>
    </w:p>
    <w:p w14:paraId="16F1CF04" w14:textId="6D224966" w:rsidR="00C33D17" w:rsidRPr="00C33D17" w:rsidRDefault="00C33D17" w:rsidP="00C33D17">
      <w:pPr>
        <w:pStyle w:val="ListParagraph"/>
        <w:rPr>
          <w:rFonts w:ascii="Arial" w:hAnsi="Arial" w:cs="Arial"/>
        </w:rPr>
      </w:pPr>
      <w:r w:rsidRPr="00C33D17">
        <w:rPr>
          <w:rFonts w:ascii="Arial" w:hAnsi="Arial" w:cs="Arial"/>
          <w:b/>
        </w:rPr>
        <w:t>Objective:</w:t>
      </w:r>
      <w:r w:rsidRPr="00C33D17">
        <w:rPr>
          <w:rFonts w:ascii="Arial" w:hAnsi="Arial" w:cs="Arial"/>
        </w:rPr>
        <w:t xml:space="preserve">  In line with the WIPO’s current </w:t>
      </w:r>
      <w:hyperlink r:id="rId15" w:history="1">
        <w:r w:rsidRPr="00C33D17">
          <w:rPr>
            <w:rStyle w:val="Hyperlink"/>
            <w:rFonts w:ascii="Arial" w:hAnsi="Arial" w:cs="Arial"/>
          </w:rPr>
          <w:t>Medium-Term Strategic Plan (</w:t>
        </w:r>
        <w:proofErr w:type="spellStart"/>
        <w:r w:rsidRPr="00C33D17">
          <w:rPr>
            <w:rStyle w:val="Hyperlink"/>
            <w:rFonts w:ascii="Arial" w:hAnsi="Arial" w:cs="Arial"/>
          </w:rPr>
          <w:t>MTSP</w:t>
        </w:r>
        <w:proofErr w:type="spellEnd"/>
        <w:r w:rsidRPr="00C33D17">
          <w:rPr>
            <w:rStyle w:val="Hyperlink"/>
            <w:rFonts w:ascii="Arial" w:hAnsi="Arial" w:cs="Arial"/>
          </w:rPr>
          <w:t>) 2022 – 2026</w:t>
        </w:r>
      </w:hyperlink>
      <w:r w:rsidRPr="00C33D17">
        <w:rPr>
          <w:rFonts w:ascii="Arial" w:hAnsi="Arial" w:cs="Arial"/>
        </w:rPr>
        <w:t xml:space="preserve">, the Organization has placed an even greater focus on development and creation of tangible benefits through its technical assistance and capacity building initiatives.  The webinar will serve as a platform for a diverse panel of experts to share experiences and provide insights into effective strategies, tools and lessons learned for maximizing the developmental impact of technical assistance interventions on the ground through practical use of IP.  </w:t>
      </w:r>
    </w:p>
    <w:p w14:paraId="623504A1" w14:textId="77777777" w:rsidR="00C33D17" w:rsidRPr="00C33D17" w:rsidRDefault="00C33D17" w:rsidP="00C33D17"/>
    <w:p w14:paraId="64B64B37" w14:textId="6C53FBB0" w:rsidR="00C33D17" w:rsidRPr="00C33D17" w:rsidRDefault="00C33D17" w:rsidP="00C33D17">
      <w:pPr>
        <w:pStyle w:val="ListParagraph"/>
        <w:rPr>
          <w:rFonts w:ascii="Arial" w:hAnsi="Arial" w:cs="Arial"/>
        </w:rPr>
      </w:pPr>
      <w:r w:rsidRPr="00C33D17">
        <w:rPr>
          <w:rFonts w:ascii="Arial" w:hAnsi="Arial" w:cs="Arial"/>
          <w:b/>
        </w:rPr>
        <w:t xml:space="preserve">Target Audience:  </w:t>
      </w:r>
      <w:r w:rsidRPr="00C33D17">
        <w:rPr>
          <w:rFonts w:ascii="Arial" w:hAnsi="Arial" w:cs="Arial"/>
        </w:rPr>
        <w:t>The webinar is intended for WIPO Member States and interested stakeholders.</w:t>
      </w:r>
    </w:p>
    <w:p w14:paraId="6CEB79A1" w14:textId="20A5F579" w:rsidR="00C33D17" w:rsidRPr="00C33D17" w:rsidRDefault="00C33D17" w:rsidP="00C33D17">
      <w:pPr>
        <w:pStyle w:val="ListParagraph"/>
        <w:rPr>
          <w:rFonts w:ascii="Arial" w:hAnsi="Arial" w:cs="Arial"/>
        </w:rPr>
      </w:pPr>
    </w:p>
    <w:p w14:paraId="0261AA81" w14:textId="64FE2958" w:rsidR="00C33D17" w:rsidRDefault="00C33D17" w:rsidP="00C33D17">
      <w:pPr>
        <w:pStyle w:val="ListParagraph"/>
        <w:numPr>
          <w:ilvl w:val="0"/>
          <w:numId w:val="9"/>
        </w:numPr>
        <w:rPr>
          <w:rFonts w:ascii="Arial" w:hAnsi="Arial" w:cs="Arial"/>
          <w:b/>
        </w:rPr>
      </w:pPr>
      <w:r w:rsidRPr="00C33D17">
        <w:rPr>
          <w:rFonts w:ascii="Arial" w:hAnsi="Arial" w:cs="Arial"/>
          <w:b/>
        </w:rPr>
        <w:t>Virtual Technical Assistance and Capacity Building:  A Critical Look at the Advantages and Limitations</w:t>
      </w:r>
    </w:p>
    <w:p w14:paraId="19C6F0A9" w14:textId="77777777" w:rsidR="00C33D17" w:rsidRPr="00C33D17" w:rsidRDefault="00C33D17" w:rsidP="00C33D17"/>
    <w:p w14:paraId="20FF5E09" w14:textId="77777777" w:rsidR="00C33D17" w:rsidRPr="00C33D17" w:rsidRDefault="00C33D17" w:rsidP="00C33D17">
      <w:pPr>
        <w:pStyle w:val="ListParagraph"/>
        <w:rPr>
          <w:rFonts w:ascii="Arial" w:hAnsi="Arial" w:cs="Arial"/>
        </w:rPr>
      </w:pPr>
      <w:r w:rsidRPr="00C33D17">
        <w:rPr>
          <w:rFonts w:ascii="Arial" w:hAnsi="Arial" w:cs="Arial"/>
          <w:b/>
        </w:rPr>
        <w:t xml:space="preserve">Objective:  </w:t>
      </w:r>
      <w:r w:rsidRPr="00C33D17">
        <w:rPr>
          <w:rFonts w:ascii="Arial" w:hAnsi="Arial" w:cs="Arial"/>
        </w:rPr>
        <w:t xml:space="preserve">The restrictions on mobility stemming from the COVID-19 pandemic, combined with rapid advancement of technology, have resulted in redesigning of WIPO’s technical assistance and capacity building initiatives.  Remote solutions and virtual assistance became practical and cost-effective choice to connect with a broader audience.  While the implementation of WIPO activities </w:t>
      </w:r>
      <w:proofErr w:type="gramStart"/>
      <w:r w:rsidRPr="00C33D17">
        <w:rPr>
          <w:rFonts w:ascii="Arial" w:hAnsi="Arial" w:cs="Arial"/>
        </w:rPr>
        <w:t>start</w:t>
      </w:r>
      <w:proofErr w:type="gramEnd"/>
      <w:r w:rsidRPr="00C33D17">
        <w:rPr>
          <w:rFonts w:ascii="Arial" w:hAnsi="Arial" w:cs="Arial"/>
        </w:rPr>
        <w:t xml:space="preserve"> to return to their normal rhythm of engagement, the lessons learned during the pandemic have highlighted the value of virtual approaches, making them a lasting component of technical assistance.  The purpose of the Webinar is to provide an opportunity for a diverse panel of experts to explore the advantages and limitations of virtual technical assistance and identify best practices that could be incorporated into the future work of the Organization.</w:t>
      </w:r>
    </w:p>
    <w:p w14:paraId="7FC75057" w14:textId="77777777" w:rsidR="00C33D17" w:rsidRPr="00C33D17" w:rsidRDefault="00C33D17" w:rsidP="00C33D17">
      <w:pPr>
        <w:pStyle w:val="ListParagraph"/>
        <w:rPr>
          <w:rFonts w:ascii="Arial" w:hAnsi="Arial" w:cs="Arial"/>
        </w:rPr>
      </w:pPr>
    </w:p>
    <w:p w14:paraId="1C6207FA" w14:textId="667C1209" w:rsidR="00C33D17" w:rsidRDefault="00C33D17" w:rsidP="00C33D17">
      <w:pPr>
        <w:pStyle w:val="ListParagraph"/>
        <w:rPr>
          <w:rFonts w:ascii="Arial" w:hAnsi="Arial" w:cs="Arial"/>
        </w:rPr>
      </w:pPr>
      <w:r w:rsidRPr="00C33D17">
        <w:rPr>
          <w:rFonts w:ascii="Arial" w:hAnsi="Arial" w:cs="Arial"/>
          <w:b/>
        </w:rPr>
        <w:t xml:space="preserve">Target Audience:  </w:t>
      </w:r>
      <w:r w:rsidRPr="00C33D17">
        <w:rPr>
          <w:rFonts w:ascii="Arial" w:hAnsi="Arial" w:cs="Arial"/>
        </w:rPr>
        <w:t>The webinar is intended for WIPO Member States and interested stakeholders.</w:t>
      </w:r>
    </w:p>
    <w:p w14:paraId="40CCC01B" w14:textId="77777777" w:rsidR="00C33D17" w:rsidRPr="00C33D17" w:rsidRDefault="00C33D17" w:rsidP="00C33D17">
      <w:pPr>
        <w:pStyle w:val="ListParagraph"/>
        <w:rPr>
          <w:rFonts w:ascii="Arial" w:hAnsi="Arial" w:cs="Arial"/>
        </w:rPr>
      </w:pPr>
    </w:p>
    <w:p w14:paraId="333CEF4F" w14:textId="77777777" w:rsidR="00C33D17" w:rsidRPr="00C33D17" w:rsidRDefault="00C33D17" w:rsidP="00C33D17">
      <w:pPr>
        <w:pStyle w:val="ListParagraph"/>
        <w:rPr>
          <w:color w:val="2B2C28"/>
        </w:rPr>
      </w:pPr>
    </w:p>
    <w:p w14:paraId="7A5B3854" w14:textId="77777777" w:rsidR="000D3411" w:rsidRPr="0017301A" w:rsidRDefault="000D3411" w:rsidP="000D3411">
      <w:pPr>
        <w:pStyle w:val="Endofdocument-Annex"/>
        <w:spacing w:before="720"/>
        <w:ind w:left="5530"/>
      </w:pPr>
      <w:r w:rsidRPr="0017301A">
        <w:t>[End of Annex and of document]</w:t>
      </w:r>
    </w:p>
    <w:p w14:paraId="188CDE29" w14:textId="77777777" w:rsidR="000D3411" w:rsidRPr="00EC59D1" w:rsidRDefault="000D3411" w:rsidP="000D3411">
      <w:pPr>
        <w:rPr>
          <w:color w:val="2B2C28"/>
          <w:szCs w:val="22"/>
        </w:rPr>
      </w:pPr>
    </w:p>
    <w:p w14:paraId="6F33973E" w14:textId="77777777" w:rsidR="002326AB" w:rsidRDefault="002326AB" w:rsidP="00A8389F">
      <w:pPr>
        <w:spacing w:after="240"/>
      </w:pPr>
    </w:p>
    <w:sectPr w:rsidR="002326AB" w:rsidSect="00277C28">
      <w:headerReference w:type="default" r:id="rId16"/>
      <w:headerReference w:type="first" r:id="rId17"/>
      <w:endnotePr>
        <w:numFmt w:val="decimal"/>
      </w:endnotePr>
      <w:pgSz w:w="11907" w:h="16840" w:code="9"/>
      <w:pgMar w:top="562" w:right="1138" w:bottom="1411"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866F" w14:textId="77777777" w:rsidR="000D3411" w:rsidRDefault="000D3411">
      <w:r>
        <w:separator/>
      </w:r>
    </w:p>
  </w:endnote>
  <w:endnote w:type="continuationSeparator" w:id="0">
    <w:p w14:paraId="624FE09F" w14:textId="77777777" w:rsidR="000D3411" w:rsidRDefault="000D3411" w:rsidP="003B38C1">
      <w:r>
        <w:separator/>
      </w:r>
    </w:p>
    <w:p w14:paraId="2D6910C0" w14:textId="77777777" w:rsidR="000D3411" w:rsidRPr="003B38C1" w:rsidRDefault="000D3411" w:rsidP="003B38C1">
      <w:pPr>
        <w:spacing w:after="60"/>
        <w:rPr>
          <w:sz w:val="17"/>
        </w:rPr>
      </w:pPr>
      <w:r>
        <w:rPr>
          <w:sz w:val="17"/>
        </w:rPr>
        <w:t>[Endnote continued from previous page]</w:t>
      </w:r>
    </w:p>
  </w:endnote>
  <w:endnote w:type="continuationNotice" w:id="1">
    <w:p w14:paraId="4BCE4C32" w14:textId="77777777" w:rsidR="000D3411" w:rsidRPr="003B38C1" w:rsidRDefault="000D3411"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BAD6" w14:textId="77777777" w:rsidR="00E327B9" w:rsidRDefault="00E32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EC15" w14:textId="77777777" w:rsidR="00E327B9" w:rsidRDefault="00E32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F4C3" w14:textId="77777777" w:rsidR="00E327B9" w:rsidRDefault="00E32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3AE85" w14:textId="77777777" w:rsidR="000D3411" w:rsidRDefault="000D3411">
      <w:r>
        <w:separator/>
      </w:r>
    </w:p>
  </w:footnote>
  <w:footnote w:type="continuationSeparator" w:id="0">
    <w:p w14:paraId="0F9F1C4D" w14:textId="77777777" w:rsidR="000D3411" w:rsidRDefault="000D3411" w:rsidP="008B60B2">
      <w:r>
        <w:separator/>
      </w:r>
    </w:p>
    <w:p w14:paraId="660D718A" w14:textId="77777777" w:rsidR="000D3411" w:rsidRPr="00ED77FB" w:rsidRDefault="000D3411" w:rsidP="008B60B2">
      <w:pPr>
        <w:spacing w:after="60"/>
        <w:rPr>
          <w:sz w:val="17"/>
          <w:szCs w:val="17"/>
        </w:rPr>
      </w:pPr>
      <w:r w:rsidRPr="00ED77FB">
        <w:rPr>
          <w:sz w:val="17"/>
          <w:szCs w:val="17"/>
        </w:rPr>
        <w:t>[Footnote continued from previous page]</w:t>
      </w:r>
    </w:p>
  </w:footnote>
  <w:footnote w:type="continuationNotice" w:id="1">
    <w:p w14:paraId="4EB7EB5C" w14:textId="77777777" w:rsidR="000D3411" w:rsidRPr="00ED77FB" w:rsidRDefault="000D3411"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9B0A" w14:textId="77777777" w:rsidR="00E327B9" w:rsidRDefault="00E32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02C5" w14:textId="77777777" w:rsidR="00D07C78" w:rsidRPr="002326AB" w:rsidRDefault="000D3411" w:rsidP="00477D6B">
    <w:pPr>
      <w:jc w:val="right"/>
      <w:rPr>
        <w:caps/>
      </w:rPr>
    </w:pPr>
    <w:bookmarkStart w:id="4" w:name="Code2"/>
    <w:bookmarkEnd w:id="4"/>
    <w:r>
      <w:rPr>
        <w:caps/>
      </w:rPr>
      <w:t>CDIP/31/INF/2</w:t>
    </w:r>
  </w:p>
  <w:p w14:paraId="46532FCF" w14:textId="77777777" w:rsidR="00827E3F" w:rsidRDefault="00827E3F" w:rsidP="00827E3F">
    <w:pPr>
      <w:pStyle w:val="Header"/>
      <w:jc w:val="right"/>
    </w:pPr>
    <w:r>
      <w:t xml:space="preserve">Annex, </w:t>
    </w:r>
    <w:r w:rsidRPr="00F6103C">
      <w:rPr>
        <w:lang w:val="en-GB"/>
      </w:rPr>
      <w:t>page</w:t>
    </w:r>
    <w:r>
      <w:t xml:space="preserve"> </w:t>
    </w:r>
    <w:sdt>
      <w:sdtPr>
        <w:id w:val="13536877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408FA">
          <w:rPr>
            <w:noProof/>
          </w:rPr>
          <w:t>2</w:t>
        </w:r>
        <w:r>
          <w:rPr>
            <w:noProof/>
          </w:rPr>
          <w:fldChar w:fldCharType="end"/>
        </w:r>
      </w:sdtContent>
    </w:sdt>
  </w:p>
  <w:p w14:paraId="005DF5F0" w14:textId="77777777" w:rsidR="00D07C78" w:rsidRDefault="00D07C78" w:rsidP="00477D6B">
    <w:pPr>
      <w:jc w:val="right"/>
    </w:pPr>
  </w:p>
  <w:p w14:paraId="2FB0B495"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ABEC" w14:textId="77777777" w:rsidR="00E327B9" w:rsidRDefault="00E327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CA7B" w14:textId="77777777" w:rsidR="00827E3F" w:rsidRPr="002326AB" w:rsidRDefault="00827E3F" w:rsidP="00477D6B">
    <w:pPr>
      <w:jc w:val="right"/>
      <w:rPr>
        <w:caps/>
      </w:rPr>
    </w:pPr>
    <w:r>
      <w:rPr>
        <w:caps/>
      </w:rPr>
      <w:t>CDIP/31/INF/2</w:t>
    </w:r>
  </w:p>
  <w:p w14:paraId="1E1288F5" w14:textId="4CD8FAD7" w:rsidR="00827E3F" w:rsidRDefault="00827E3F" w:rsidP="00827E3F">
    <w:pPr>
      <w:pStyle w:val="Header"/>
      <w:jc w:val="right"/>
    </w:pPr>
    <w:r>
      <w:t xml:space="preserve">Annex, </w:t>
    </w:r>
    <w:r w:rsidRPr="00F6103C">
      <w:rPr>
        <w:lang w:val="en-GB"/>
      </w:rPr>
      <w:t>page</w:t>
    </w:r>
    <w:r>
      <w:t xml:space="preserve"> </w:t>
    </w:r>
    <w:sdt>
      <w:sdtPr>
        <w:id w:val="8166893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8522C">
          <w:rPr>
            <w:noProof/>
          </w:rPr>
          <w:t>2</w:t>
        </w:r>
        <w:r>
          <w:rPr>
            <w:noProof/>
          </w:rPr>
          <w:fldChar w:fldCharType="end"/>
        </w:r>
      </w:sdtContent>
    </w:sdt>
  </w:p>
  <w:p w14:paraId="481CE24A" w14:textId="77777777" w:rsidR="00827E3F" w:rsidRDefault="00827E3F" w:rsidP="00477D6B">
    <w:pPr>
      <w:jc w:val="right"/>
    </w:pPr>
  </w:p>
  <w:p w14:paraId="17220F12" w14:textId="77777777" w:rsidR="00827E3F" w:rsidRDefault="00827E3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8AC9" w14:textId="6BF369FA" w:rsidR="000D3411" w:rsidRDefault="000D3411" w:rsidP="000D3411">
    <w:pPr>
      <w:jc w:val="right"/>
      <w:rPr>
        <w:caps/>
      </w:rPr>
    </w:pPr>
    <w:r>
      <w:rPr>
        <w:caps/>
      </w:rPr>
      <w:t>CDIP/31/INF/</w:t>
    </w:r>
    <w:r w:rsidR="00461054">
      <w:rPr>
        <w:caps/>
      </w:rPr>
      <w:t>5</w:t>
    </w:r>
  </w:p>
  <w:p w14:paraId="23FD24FA" w14:textId="77777777" w:rsidR="000D3411" w:rsidRPr="002326AB" w:rsidRDefault="000D3411" w:rsidP="000D3411">
    <w:pPr>
      <w:jc w:val="right"/>
      <w:rPr>
        <w:caps/>
      </w:rPr>
    </w:pPr>
    <w:r>
      <w:rPr>
        <w:caps/>
      </w:rPr>
      <w:t>ANNEX</w:t>
    </w:r>
  </w:p>
  <w:p w14:paraId="41804A23" w14:textId="77777777" w:rsidR="000D3411" w:rsidRDefault="000D3411">
    <w:pPr>
      <w:pStyle w:val="Header"/>
    </w:pPr>
  </w:p>
  <w:p w14:paraId="71A8E6D8" w14:textId="77777777" w:rsidR="000D3411" w:rsidRDefault="000D3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EAE"/>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587718"/>
    <w:multiLevelType w:val="hybridMultilevel"/>
    <w:tmpl w:val="5B543E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2D5615F"/>
    <w:multiLevelType w:val="hybridMultilevel"/>
    <w:tmpl w:val="547C86E6"/>
    <w:lvl w:ilvl="0" w:tplc="8A44C288">
      <w:start w:val="13"/>
      <w:numFmt w:val="bullet"/>
      <w:lvlText w:val="-"/>
      <w:lvlJc w:val="left"/>
      <w:pPr>
        <w:ind w:left="6840" w:hanging="360"/>
      </w:pPr>
      <w:rPr>
        <w:rFonts w:ascii="Open Sans" w:eastAsiaTheme="minorHAnsi" w:hAnsi="Open Sans" w:cs="Open Sans"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6" w15:restartNumberingAfterBreak="0">
    <w:nsid w:val="3A7C75B6"/>
    <w:multiLevelType w:val="hybridMultilevel"/>
    <w:tmpl w:val="8C8EA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4B3C51"/>
    <w:multiLevelType w:val="hybridMultilevel"/>
    <w:tmpl w:val="185CE95E"/>
    <w:lvl w:ilvl="0" w:tplc="0409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212230734">
    <w:abstractNumId w:val="3"/>
  </w:num>
  <w:num w:numId="2" w16cid:durableId="411466831">
    <w:abstractNumId w:val="7"/>
  </w:num>
  <w:num w:numId="3" w16cid:durableId="30693697">
    <w:abstractNumId w:val="0"/>
  </w:num>
  <w:num w:numId="4" w16cid:durableId="1717660968">
    <w:abstractNumId w:val="8"/>
  </w:num>
  <w:num w:numId="5" w16cid:durableId="123235984">
    <w:abstractNumId w:val="2"/>
  </w:num>
  <w:num w:numId="6" w16cid:durableId="1502504660">
    <w:abstractNumId w:val="4"/>
  </w:num>
  <w:num w:numId="7" w16cid:durableId="1844737747">
    <w:abstractNumId w:val="5"/>
  </w:num>
  <w:num w:numId="8" w16cid:durableId="891619636">
    <w:abstractNumId w:val="9"/>
  </w:num>
  <w:num w:numId="9" w16cid:durableId="1916741909">
    <w:abstractNumId w:val="6"/>
  </w:num>
  <w:num w:numId="10" w16cid:durableId="214508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411"/>
    <w:rsid w:val="00007F76"/>
    <w:rsid w:val="00021AF2"/>
    <w:rsid w:val="00043CAA"/>
    <w:rsid w:val="00056816"/>
    <w:rsid w:val="00075432"/>
    <w:rsid w:val="000968ED"/>
    <w:rsid w:val="000A39CB"/>
    <w:rsid w:val="000A3D97"/>
    <w:rsid w:val="000D3411"/>
    <w:rsid w:val="000D6097"/>
    <w:rsid w:val="000F5E56"/>
    <w:rsid w:val="001362EE"/>
    <w:rsid w:val="00146057"/>
    <w:rsid w:val="00157B5D"/>
    <w:rsid w:val="001647D5"/>
    <w:rsid w:val="001673B1"/>
    <w:rsid w:val="00170C39"/>
    <w:rsid w:val="0017301A"/>
    <w:rsid w:val="001832A6"/>
    <w:rsid w:val="001958A9"/>
    <w:rsid w:val="001B31F7"/>
    <w:rsid w:val="001D4107"/>
    <w:rsid w:val="00203D24"/>
    <w:rsid w:val="00211A40"/>
    <w:rsid w:val="0021217E"/>
    <w:rsid w:val="002326AB"/>
    <w:rsid w:val="00243430"/>
    <w:rsid w:val="002634C4"/>
    <w:rsid w:val="00277C28"/>
    <w:rsid w:val="002928D3"/>
    <w:rsid w:val="002D58DB"/>
    <w:rsid w:val="002F1FE6"/>
    <w:rsid w:val="002F4E68"/>
    <w:rsid w:val="00312F7F"/>
    <w:rsid w:val="00361450"/>
    <w:rsid w:val="003673CF"/>
    <w:rsid w:val="003845C1"/>
    <w:rsid w:val="003A6F89"/>
    <w:rsid w:val="003B38C1"/>
    <w:rsid w:val="003C34E9"/>
    <w:rsid w:val="003E2CDA"/>
    <w:rsid w:val="00403CA5"/>
    <w:rsid w:val="00423E3E"/>
    <w:rsid w:val="00427AF4"/>
    <w:rsid w:val="00461054"/>
    <w:rsid w:val="004647DA"/>
    <w:rsid w:val="00474062"/>
    <w:rsid w:val="00477D6B"/>
    <w:rsid w:val="00493733"/>
    <w:rsid w:val="004F29E0"/>
    <w:rsid w:val="005019FF"/>
    <w:rsid w:val="0053057A"/>
    <w:rsid w:val="00556076"/>
    <w:rsid w:val="00560A29"/>
    <w:rsid w:val="005A16BA"/>
    <w:rsid w:val="005C6649"/>
    <w:rsid w:val="005E2DB2"/>
    <w:rsid w:val="00605827"/>
    <w:rsid w:val="00617EFC"/>
    <w:rsid w:val="00646050"/>
    <w:rsid w:val="006713CA"/>
    <w:rsid w:val="006725F6"/>
    <w:rsid w:val="00676C5C"/>
    <w:rsid w:val="006C4247"/>
    <w:rsid w:val="006D2EA9"/>
    <w:rsid w:val="00720EFD"/>
    <w:rsid w:val="00733E3B"/>
    <w:rsid w:val="007473BF"/>
    <w:rsid w:val="007854AF"/>
    <w:rsid w:val="00793A7C"/>
    <w:rsid w:val="007A398A"/>
    <w:rsid w:val="007D1613"/>
    <w:rsid w:val="007D1D9E"/>
    <w:rsid w:val="007E4C0E"/>
    <w:rsid w:val="007E732D"/>
    <w:rsid w:val="007F2870"/>
    <w:rsid w:val="007F2EB0"/>
    <w:rsid w:val="00807CD4"/>
    <w:rsid w:val="00814DED"/>
    <w:rsid w:val="00827E3F"/>
    <w:rsid w:val="00863A43"/>
    <w:rsid w:val="00877D3A"/>
    <w:rsid w:val="00891DB3"/>
    <w:rsid w:val="008A134B"/>
    <w:rsid w:val="008B2CC1"/>
    <w:rsid w:val="008B60B2"/>
    <w:rsid w:val="008C32BC"/>
    <w:rsid w:val="008D012E"/>
    <w:rsid w:val="00900788"/>
    <w:rsid w:val="009033EB"/>
    <w:rsid w:val="0090731E"/>
    <w:rsid w:val="00916EE2"/>
    <w:rsid w:val="00966A22"/>
    <w:rsid w:val="0096722F"/>
    <w:rsid w:val="00980843"/>
    <w:rsid w:val="0098522C"/>
    <w:rsid w:val="00994AC4"/>
    <w:rsid w:val="009C537C"/>
    <w:rsid w:val="009E2791"/>
    <w:rsid w:val="009E3F6F"/>
    <w:rsid w:val="009F499F"/>
    <w:rsid w:val="00A37342"/>
    <w:rsid w:val="00A42DAF"/>
    <w:rsid w:val="00A45BD8"/>
    <w:rsid w:val="00A766B8"/>
    <w:rsid w:val="00A8389F"/>
    <w:rsid w:val="00A869B7"/>
    <w:rsid w:val="00A90F0A"/>
    <w:rsid w:val="00AC0955"/>
    <w:rsid w:val="00AC205C"/>
    <w:rsid w:val="00AF0A6B"/>
    <w:rsid w:val="00B05A69"/>
    <w:rsid w:val="00B52735"/>
    <w:rsid w:val="00B70662"/>
    <w:rsid w:val="00B73D1D"/>
    <w:rsid w:val="00B75281"/>
    <w:rsid w:val="00B761D0"/>
    <w:rsid w:val="00B76600"/>
    <w:rsid w:val="00B92F1F"/>
    <w:rsid w:val="00B9734B"/>
    <w:rsid w:val="00BA30E2"/>
    <w:rsid w:val="00BA4CF1"/>
    <w:rsid w:val="00BD7189"/>
    <w:rsid w:val="00BE2CA0"/>
    <w:rsid w:val="00C11BFE"/>
    <w:rsid w:val="00C33D17"/>
    <w:rsid w:val="00C408FA"/>
    <w:rsid w:val="00C5068F"/>
    <w:rsid w:val="00C86D74"/>
    <w:rsid w:val="00CD04F1"/>
    <w:rsid w:val="00CF681A"/>
    <w:rsid w:val="00CF6CF7"/>
    <w:rsid w:val="00D07C78"/>
    <w:rsid w:val="00D115FB"/>
    <w:rsid w:val="00D45252"/>
    <w:rsid w:val="00D53FC3"/>
    <w:rsid w:val="00D71B4D"/>
    <w:rsid w:val="00D93D55"/>
    <w:rsid w:val="00DD7B7F"/>
    <w:rsid w:val="00E132E2"/>
    <w:rsid w:val="00E15015"/>
    <w:rsid w:val="00E30460"/>
    <w:rsid w:val="00E327B9"/>
    <w:rsid w:val="00E335FE"/>
    <w:rsid w:val="00E41552"/>
    <w:rsid w:val="00E41D21"/>
    <w:rsid w:val="00E96575"/>
    <w:rsid w:val="00EA7D6E"/>
    <w:rsid w:val="00EB1798"/>
    <w:rsid w:val="00EB2F76"/>
    <w:rsid w:val="00EB4A44"/>
    <w:rsid w:val="00EB76CE"/>
    <w:rsid w:val="00EC4E49"/>
    <w:rsid w:val="00ED77FB"/>
    <w:rsid w:val="00EE45FA"/>
    <w:rsid w:val="00F043DE"/>
    <w:rsid w:val="00F2738C"/>
    <w:rsid w:val="00F6162D"/>
    <w:rsid w:val="00F61F90"/>
    <w:rsid w:val="00F66152"/>
    <w:rsid w:val="00F9165B"/>
    <w:rsid w:val="00FA08E5"/>
    <w:rsid w:val="00FB2FCD"/>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40657"/>
  <w15:docId w15:val="{EF6ECDF1-C77D-4F1B-93C9-DBB3FD5E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D3411"/>
    <w:pPr>
      <w:ind w:left="720"/>
    </w:pPr>
    <w:rPr>
      <w:rFonts w:ascii="Calibri" w:eastAsiaTheme="minorEastAsia" w:hAnsi="Calibri" w:cs="Calibri"/>
      <w:szCs w:val="22"/>
      <w:lang w:eastAsia="en-US"/>
    </w:rPr>
  </w:style>
  <w:style w:type="paragraph" w:customStyle="1" w:styleId="NormalBODYTEXT">
    <w:name w:val="Normal.BODY TEXT"/>
    <w:rsid w:val="000D3411"/>
    <w:pPr>
      <w:suppressAutoHyphens/>
      <w:jc w:val="both"/>
    </w:pPr>
    <w:rPr>
      <w:rFonts w:eastAsia="Arial"/>
      <w:sz w:val="24"/>
      <w:lang w:val="en-GB" w:eastAsia="ar-SA"/>
    </w:rPr>
  </w:style>
  <w:style w:type="character" w:styleId="Hyperlink">
    <w:name w:val="Hyperlink"/>
    <w:basedOn w:val="DefaultParagraphFont"/>
    <w:unhideWhenUsed/>
    <w:rsid w:val="000D3411"/>
    <w:rPr>
      <w:color w:val="0000FF" w:themeColor="hyperlink"/>
      <w:u w:val="single"/>
    </w:rPr>
  </w:style>
  <w:style w:type="character" w:customStyle="1" w:styleId="Endofdocument-AnnexChar">
    <w:name w:val="[End of document - Annex] Char"/>
    <w:link w:val="Endofdocument-Annex"/>
    <w:rsid w:val="000D3411"/>
    <w:rPr>
      <w:rFonts w:ascii="Arial" w:eastAsia="SimSun" w:hAnsi="Arial" w:cs="Arial"/>
      <w:sz w:val="22"/>
      <w:lang w:val="en-US" w:eastAsia="zh-CN"/>
    </w:rPr>
  </w:style>
  <w:style w:type="character" w:customStyle="1" w:styleId="HeaderChar">
    <w:name w:val="Header Char"/>
    <w:basedOn w:val="DefaultParagraphFont"/>
    <w:link w:val="Header"/>
    <w:rsid w:val="000D3411"/>
    <w:rPr>
      <w:rFonts w:ascii="Arial" w:eastAsia="SimSun" w:hAnsi="Arial" w:cs="Arial"/>
      <w:sz w:val="22"/>
      <w:lang w:val="en-US" w:eastAsia="zh-CN"/>
    </w:rPr>
  </w:style>
  <w:style w:type="paragraph" w:styleId="BalloonText">
    <w:name w:val="Balloon Text"/>
    <w:basedOn w:val="Normal"/>
    <w:link w:val="BalloonTextChar"/>
    <w:semiHidden/>
    <w:unhideWhenUsed/>
    <w:rsid w:val="009C537C"/>
    <w:rPr>
      <w:rFonts w:ascii="Segoe UI" w:hAnsi="Segoe UI" w:cs="Segoe UI"/>
      <w:sz w:val="18"/>
      <w:szCs w:val="18"/>
    </w:rPr>
  </w:style>
  <w:style w:type="character" w:customStyle="1" w:styleId="BalloonTextChar">
    <w:name w:val="Balloon Text Char"/>
    <w:basedOn w:val="DefaultParagraphFont"/>
    <w:link w:val="BalloonText"/>
    <w:semiHidden/>
    <w:rsid w:val="009C537C"/>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CF6CF7"/>
    <w:rPr>
      <w:color w:val="800080" w:themeColor="followedHyperlink"/>
      <w:u w:val="single"/>
    </w:rPr>
  </w:style>
  <w:style w:type="paragraph" w:customStyle="1" w:styleId="Default">
    <w:name w:val="Default"/>
    <w:rsid w:val="007F2870"/>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meetings/en/doc_details.jsp?doc_id=541373"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E1A8D-8C22-45A3-990C-63DD2296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(E)</Template>
  <TotalTime>234</TotalTime>
  <Pages>2</Pages>
  <Words>485</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CDIP/31/INF/2</vt:lpstr>
    </vt:vector>
  </TitlesOfParts>
  <Company>WIPO</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CDIP/31/INF/2</dc:title>
  <dc:subject/>
  <dc:creator/>
  <cp:keywords>FOR OFFICIAL USE ONLY</cp:keywords>
  <dc:description/>
  <cp:lastModifiedBy>ESTEVES DOS SANTOS Anabela</cp:lastModifiedBy>
  <cp:revision>41</cp:revision>
  <cp:lastPrinted>2011-02-15T11:56:00Z</cp:lastPrinted>
  <dcterms:created xsi:type="dcterms:W3CDTF">2023-08-21T08:06:00Z</dcterms:created>
  <dcterms:modified xsi:type="dcterms:W3CDTF">2023-10-13T07:18:00Z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2023-07-20T13:30:46Z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22ec67a1-7769-4004-aa0f-91dbf566358d</vt:lpwstr>
  </property>
  <property fmtid="{D5CDD505-2E9C-101B-9397-08002B2CF9AE}" pid="14" name="MSIP_Label_20773ee6-353b-4fb9-a59d-0b94c8c67bea_ContentBits">
    <vt:lpwstr>0</vt:lpwstr>
  </property>
</Properties>
</file>