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8043F" w14:textId="4E83676A" w:rsidR="00582354" w:rsidRPr="00F043DE" w:rsidRDefault="00582354" w:rsidP="00A8389F">
      <w:pPr>
        <w:pBdr>
          <w:bottom w:val="single" w:sz="4" w:space="11" w:color="auto"/>
        </w:pBdr>
        <w:spacing w:before="360" w:after="240"/>
        <w:jc w:val="right"/>
        <w:rPr>
          <w:b/>
          <w:sz w:val="32"/>
          <w:szCs w:val="40"/>
        </w:rPr>
      </w:pPr>
      <w:r>
        <w:rPr>
          <w:noProof/>
          <w:sz w:val="28"/>
          <w:szCs w:val="28"/>
          <w:lang w:val="fr-CH" w:eastAsia="fr-CH"/>
        </w:rPr>
        <w:drawing>
          <wp:inline distT="0" distB="0" distL="0" distR="0" wp14:anchorId="15237225" wp14:editId="0BDEBF8D">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177B2BD" w14:textId="1EF22DD7" w:rsidR="00582354" w:rsidRPr="002326AB" w:rsidRDefault="00582354" w:rsidP="00EB2F76">
      <w:pPr>
        <w:jc w:val="right"/>
        <w:rPr>
          <w:rFonts w:ascii="Arial Black" w:hAnsi="Arial Black"/>
          <w:caps/>
          <w:sz w:val="15"/>
          <w:szCs w:val="15"/>
        </w:rPr>
      </w:pPr>
      <w:r>
        <w:rPr>
          <w:rFonts w:ascii="Arial Black" w:hAnsi="Arial Black"/>
          <w:caps/>
          <w:sz w:val="15"/>
          <w:szCs w:val="15"/>
        </w:rPr>
        <w:t>CDIP/33/</w:t>
      </w:r>
      <w:bookmarkStart w:id="0" w:name="Code"/>
      <w:bookmarkEnd w:id="0"/>
      <w:r w:rsidR="00BD2B7E">
        <w:rPr>
          <w:rFonts w:ascii="Arial Black" w:hAnsi="Arial Black"/>
          <w:caps/>
          <w:sz w:val="15"/>
          <w:szCs w:val="15"/>
        </w:rPr>
        <w:t>12</w:t>
      </w:r>
    </w:p>
    <w:p w14:paraId="2810CBF0" w14:textId="5C0FE46E" w:rsidR="00582354" w:rsidRPr="000A3D97" w:rsidRDefault="00582354" w:rsidP="00EB2F76">
      <w:pPr>
        <w:jc w:val="right"/>
        <w:rPr>
          <w:rFonts w:ascii="Arial Black" w:hAnsi="Arial Black"/>
          <w:caps/>
          <w:sz w:val="15"/>
          <w:szCs w:val="15"/>
        </w:rPr>
      </w:pPr>
      <w:r w:rsidRPr="000A3D97">
        <w:rPr>
          <w:rFonts w:ascii="Arial Black" w:hAnsi="Arial Black"/>
          <w:caps/>
          <w:sz w:val="15"/>
          <w:szCs w:val="15"/>
        </w:rPr>
        <w:t>ORIGINAL:</w:t>
      </w:r>
      <w:r w:rsidR="00333FE9">
        <w:rPr>
          <w:rFonts w:ascii="Arial Black" w:hAnsi="Arial Black"/>
          <w:caps/>
          <w:sz w:val="15"/>
          <w:szCs w:val="15"/>
        </w:rPr>
        <w:t xml:space="preserve">  ENGLISH</w:t>
      </w:r>
      <w:r w:rsidRPr="000A3D97">
        <w:rPr>
          <w:rFonts w:ascii="Arial Black" w:hAnsi="Arial Black"/>
          <w:caps/>
          <w:sz w:val="15"/>
          <w:szCs w:val="15"/>
        </w:rPr>
        <w:t xml:space="preserve"> </w:t>
      </w:r>
      <w:bookmarkStart w:id="1" w:name="Original"/>
    </w:p>
    <w:bookmarkEnd w:id="1"/>
    <w:p w14:paraId="276C7069" w14:textId="308198A8" w:rsidR="00582354" w:rsidRPr="000A3D97" w:rsidRDefault="00582354"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333FE9">
        <w:rPr>
          <w:rFonts w:ascii="Arial Black" w:hAnsi="Arial Black"/>
          <w:caps/>
          <w:sz w:val="15"/>
          <w:szCs w:val="15"/>
        </w:rPr>
        <w:t xml:space="preserve"> september </w:t>
      </w:r>
      <w:r w:rsidR="002F2AAC">
        <w:rPr>
          <w:rFonts w:ascii="Arial Black" w:hAnsi="Arial Black"/>
          <w:caps/>
          <w:sz w:val="15"/>
          <w:szCs w:val="15"/>
        </w:rPr>
        <w:t>2</w:t>
      </w:r>
      <w:r w:rsidR="004A3E0F">
        <w:rPr>
          <w:rFonts w:ascii="Arial Black" w:hAnsi="Arial Black"/>
          <w:caps/>
          <w:sz w:val="15"/>
          <w:szCs w:val="15"/>
        </w:rPr>
        <w:t>7</w:t>
      </w:r>
      <w:r w:rsidR="00333FE9">
        <w:rPr>
          <w:rFonts w:ascii="Arial Black" w:hAnsi="Arial Black"/>
          <w:caps/>
          <w:sz w:val="15"/>
          <w:szCs w:val="15"/>
        </w:rPr>
        <w:t>, 2024</w:t>
      </w:r>
    </w:p>
    <w:bookmarkEnd w:id="2"/>
    <w:p w14:paraId="062124CB" w14:textId="77777777" w:rsidR="00582354" w:rsidRPr="00720EFD" w:rsidRDefault="00582354" w:rsidP="002D58DB">
      <w:pPr>
        <w:pStyle w:val="Heading1"/>
        <w:spacing w:before="0" w:after="600"/>
        <w:rPr>
          <w:sz w:val="28"/>
          <w:szCs w:val="28"/>
        </w:rPr>
      </w:pPr>
      <w:r>
        <w:rPr>
          <w:caps w:val="0"/>
          <w:sz w:val="28"/>
          <w:szCs w:val="28"/>
        </w:rPr>
        <w:t>C</w:t>
      </w:r>
      <w:r w:rsidRPr="00E41552">
        <w:rPr>
          <w:caps w:val="0"/>
          <w:sz w:val="28"/>
          <w:szCs w:val="28"/>
        </w:rPr>
        <w:t xml:space="preserve">ommittee on </w:t>
      </w:r>
      <w:r>
        <w:rPr>
          <w:caps w:val="0"/>
          <w:sz w:val="28"/>
          <w:szCs w:val="28"/>
        </w:rPr>
        <w:t>D</w:t>
      </w:r>
      <w:r w:rsidRPr="00E41552">
        <w:rPr>
          <w:caps w:val="0"/>
          <w:sz w:val="28"/>
          <w:szCs w:val="28"/>
        </w:rPr>
        <w:t xml:space="preserve">evelopment and </w:t>
      </w:r>
      <w:r>
        <w:rPr>
          <w:caps w:val="0"/>
          <w:sz w:val="28"/>
          <w:szCs w:val="28"/>
        </w:rPr>
        <w:t>I</w:t>
      </w:r>
      <w:r w:rsidRPr="00E41552">
        <w:rPr>
          <w:caps w:val="0"/>
          <w:sz w:val="28"/>
          <w:szCs w:val="28"/>
        </w:rPr>
        <w:t xml:space="preserve">ntellectual </w:t>
      </w:r>
      <w:r>
        <w:rPr>
          <w:caps w:val="0"/>
          <w:sz w:val="28"/>
          <w:szCs w:val="28"/>
        </w:rPr>
        <w:t>P</w:t>
      </w:r>
      <w:r w:rsidRPr="00E41552">
        <w:rPr>
          <w:caps w:val="0"/>
          <w:sz w:val="28"/>
          <w:szCs w:val="28"/>
        </w:rPr>
        <w:t>roperty (CDIP)</w:t>
      </w:r>
    </w:p>
    <w:p w14:paraId="408D3F83" w14:textId="77777777" w:rsidR="00582354" w:rsidRDefault="00582354" w:rsidP="00A90F0A">
      <w:pPr>
        <w:outlineLvl w:val="1"/>
        <w:rPr>
          <w:b/>
          <w:sz w:val="24"/>
          <w:szCs w:val="24"/>
        </w:rPr>
      </w:pPr>
      <w:r w:rsidRPr="00EB76CE">
        <w:rPr>
          <w:b/>
          <w:sz w:val="24"/>
          <w:szCs w:val="24"/>
        </w:rPr>
        <w:t>Thirty-</w:t>
      </w:r>
      <w:r>
        <w:rPr>
          <w:b/>
          <w:sz w:val="24"/>
          <w:szCs w:val="24"/>
        </w:rPr>
        <w:t xml:space="preserve">Third </w:t>
      </w:r>
      <w:r w:rsidRPr="003845C1">
        <w:rPr>
          <w:b/>
          <w:sz w:val="24"/>
          <w:szCs w:val="24"/>
        </w:rPr>
        <w:t>Session</w:t>
      </w:r>
    </w:p>
    <w:p w14:paraId="05CA4E2C" w14:textId="77777777" w:rsidR="00582354" w:rsidRPr="003845C1" w:rsidRDefault="00582354" w:rsidP="00F9165B">
      <w:pPr>
        <w:spacing w:after="720"/>
        <w:outlineLvl w:val="1"/>
        <w:rPr>
          <w:b/>
          <w:sz w:val="24"/>
          <w:szCs w:val="24"/>
        </w:rPr>
      </w:pPr>
      <w:r w:rsidRPr="00FD3887">
        <w:rPr>
          <w:b/>
          <w:sz w:val="24"/>
          <w:szCs w:val="24"/>
        </w:rPr>
        <w:t xml:space="preserve">Geneva, </w:t>
      </w:r>
      <w:r>
        <w:rPr>
          <w:b/>
          <w:sz w:val="24"/>
          <w:szCs w:val="24"/>
        </w:rPr>
        <w:t xml:space="preserve">December 9 to 13, </w:t>
      </w:r>
      <w:r w:rsidRPr="00FD3887">
        <w:rPr>
          <w:b/>
          <w:sz w:val="24"/>
          <w:szCs w:val="24"/>
        </w:rPr>
        <w:t>2024</w:t>
      </w:r>
    </w:p>
    <w:p w14:paraId="35A8C846" w14:textId="2F1F1669" w:rsidR="00333FE9" w:rsidRPr="00173B6E" w:rsidRDefault="00333FE9" w:rsidP="00333FE9">
      <w:pPr>
        <w:pStyle w:val="Heading1"/>
        <w:spacing w:after="360"/>
        <w:rPr>
          <w:b w:val="0"/>
          <w:bCs w:val="0"/>
          <w:sz w:val="24"/>
          <w:szCs w:val="24"/>
        </w:rPr>
      </w:pPr>
      <w:bookmarkStart w:id="3" w:name="TitleOfDoc"/>
      <w:r w:rsidRPr="00173B6E">
        <w:rPr>
          <w:b w:val="0"/>
          <w:bCs w:val="0"/>
          <w:sz w:val="24"/>
          <w:szCs w:val="24"/>
        </w:rPr>
        <w:t xml:space="preserve">Project on </w:t>
      </w:r>
      <w:r w:rsidR="002C54AC" w:rsidRPr="002C54AC">
        <w:rPr>
          <w:b w:val="0"/>
          <w:bCs w:val="0"/>
          <w:sz w:val="24"/>
          <w:szCs w:val="24"/>
        </w:rPr>
        <w:t xml:space="preserve">Creation of an Observatory of National Intellectual Property Strategies at WIPO </w:t>
      </w:r>
      <w:r w:rsidRPr="00173B6E">
        <w:rPr>
          <w:b w:val="0"/>
          <w:bCs w:val="0"/>
          <w:iCs/>
          <w:sz w:val="24"/>
          <w:szCs w:val="24"/>
        </w:rPr>
        <w:t xml:space="preserve">– PROJECT PROPOSAL SUBMITTED BY </w:t>
      </w:r>
      <w:r w:rsidR="002C54AC">
        <w:rPr>
          <w:b w:val="0"/>
          <w:bCs w:val="0"/>
          <w:iCs/>
          <w:sz w:val="24"/>
          <w:szCs w:val="24"/>
        </w:rPr>
        <w:t>BRAZIL</w:t>
      </w:r>
    </w:p>
    <w:p w14:paraId="2717F4DC" w14:textId="77777777" w:rsidR="00333FE9" w:rsidRPr="00173B6E" w:rsidRDefault="00333FE9" w:rsidP="00333FE9">
      <w:pPr>
        <w:keepNext/>
        <w:spacing w:before="360" w:after="960"/>
        <w:outlineLvl w:val="2"/>
        <w:rPr>
          <w:rFonts w:eastAsia="SimSun"/>
          <w:bCs/>
          <w:i/>
          <w:szCs w:val="26"/>
        </w:rPr>
      </w:pPr>
      <w:r w:rsidRPr="00173B6E">
        <w:rPr>
          <w:rFonts w:eastAsia="SimSun"/>
          <w:bCs/>
          <w:i/>
          <w:szCs w:val="26"/>
        </w:rPr>
        <w:t>prepared by the Secretariat</w:t>
      </w:r>
    </w:p>
    <w:p w14:paraId="2FD3E48C" w14:textId="65D19B1B" w:rsidR="00333FE9" w:rsidRDefault="00333FE9" w:rsidP="000E77F2">
      <w:pPr>
        <w:widowControl/>
        <w:numPr>
          <w:ilvl w:val="0"/>
          <w:numId w:val="28"/>
        </w:numPr>
        <w:autoSpaceDE/>
        <w:autoSpaceDN/>
        <w:spacing w:before="240"/>
        <w:ind w:left="0" w:firstLine="0"/>
        <w:rPr>
          <w:rFonts w:eastAsia="Times New Roman" w:cs="Times New Roman"/>
          <w:szCs w:val="24"/>
          <w:lang w:eastAsia="zh-CN"/>
        </w:rPr>
      </w:pPr>
      <w:r>
        <w:rPr>
          <w:rFonts w:eastAsia="Times New Roman" w:cs="Times New Roman"/>
          <w:szCs w:val="24"/>
          <w:lang w:eastAsia="zh-CN"/>
        </w:rPr>
        <w:t>B</w:t>
      </w:r>
      <w:r w:rsidRPr="00173B6E">
        <w:rPr>
          <w:rFonts w:eastAsia="Times New Roman" w:cs="Times New Roman"/>
          <w:szCs w:val="24"/>
          <w:lang w:eastAsia="zh-CN"/>
        </w:rPr>
        <w:t>y means of a</w:t>
      </w:r>
      <w:r>
        <w:rPr>
          <w:rFonts w:eastAsia="Times New Roman" w:cs="Times New Roman"/>
          <w:szCs w:val="24"/>
          <w:lang w:eastAsia="zh-CN"/>
        </w:rPr>
        <w:t xml:space="preserve"> communication dated</w:t>
      </w:r>
      <w:r w:rsidR="00ED7018">
        <w:rPr>
          <w:rFonts w:eastAsia="Times New Roman" w:cs="Times New Roman"/>
          <w:szCs w:val="24"/>
          <w:lang w:eastAsia="zh-CN"/>
        </w:rPr>
        <w:t xml:space="preserve"> May 27</w:t>
      </w:r>
      <w:r w:rsidRPr="00CC762A">
        <w:rPr>
          <w:rFonts w:eastAsia="Times New Roman" w:cs="Times New Roman"/>
          <w:szCs w:val="24"/>
          <w:lang w:eastAsia="zh-CN"/>
        </w:rPr>
        <w:t>, 2024,</w:t>
      </w:r>
      <w:r>
        <w:rPr>
          <w:rFonts w:eastAsia="Times New Roman" w:cs="Times New Roman"/>
          <w:szCs w:val="24"/>
          <w:lang w:eastAsia="zh-CN"/>
        </w:rPr>
        <w:t xml:space="preserve"> the Delegation of </w:t>
      </w:r>
      <w:r w:rsidR="00685E12">
        <w:rPr>
          <w:rFonts w:eastAsia="Times New Roman" w:cs="Times New Roman"/>
          <w:szCs w:val="24"/>
          <w:lang w:eastAsia="zh-CN"/>
        </w:rPr>
        <w:t xml:space="preserve">Brazil </w:t>
      </w:r>
      <w:r w:rsidRPr="003A7481">
        <w:rPr>
          <w:rFonts w:eastAsia="Times New Roman" w:cs="Times New Roman"/>
          <w:szCs w:val="24"/>
          <w:lang w:eastAsia="zh-CN"/>
        </w:rPr>
        <w:t>submitted a proposal for a project on “</w:t>
      </w:r>
      <w:r w:rsidR="007F6946" w:rsidRPr="007F6946">
        <w:rPr>
          <w:rFonts w:eastAsia="Times New Roman" w:cs="Times New Roman"/>
          <w:szCs w:val="24"/>
          <w:lang w:eastAsia="zh-CN"/>
        </w:rPr>
        <w:t>Creation of an Observatory of National Intellectual Property Strategies at WIPO</w:t>
      </w:r>
      <w:r w:rsidRPr="003A7481">
        <w:rPr>
          <w:rFonts w:eastAsia="Times New Roman" w:cs="Times New Roman"/>
          <w:szCs w:val="24"/>
          <w:lang w:eastAsia="zh-CN"/>
        </w:rPr>
        <w:t>”, for consideration of the thirty-</w:t>
      </w:r>
      <w:r w:rsidR="00685E12">
        <w:rPr>
          <w:rFonts w:eastAsia="Times New Roman" w:cs="Times New Roman"/>
          <w:szCs w:val="24"/>
          <w:lang w:eastAsia="zh-CN"/>
        </w:rPr>
        <w:t>third</w:t>
      </w:r>
      <w:r w:rsidRPr="003A7481">
        <w:rPr>
          <w:rFonts w:eastAsia="Times New Roman" w:cs="Times New Roman"/>
          <w:szCs w:val="24"/>
          <w:lang w:eastAsia="zh-CN"/>
        </w:rPr>
        <w:t xml:space="preserve"> session of the CDIP.</w:t>
      </w:r>
    </w:p>
    <w:p w14:paraId="6EF39032" w14:textId="4D0A3974" w:rsidR="00333FE9" w:rsidRPr="00BE5BF1" w:rsidRDefault="00333FE9" w:rsidP="000E77F2">
      <w:pPr>
        <w:widowControl/>
        <w:numPr>
          <w:ilvl w:val="0"/>
          <w:numId w:val="28"/>
        </w:numPr>
        <w:autoSpaceDE/>
        <w:autoSpaceDN/>
        <w:spacing w:before="240" w:after="220"/>
        <w:ind w:left="0" w:firstLine="0"/>
        <w:rPr>
          <w:rFonts w:eastAsia="Times New Roman" w:cs="Times New Roman"/>
          <w:szCs w:val="24"/>
          <w:lang w:eastAsia="zh-CN"/>
        </w:rPr>
      </w:pPr>
      <w:r w:rsidRPr="00BE5BF1">
        <w:rPr>
          <w:rFonts w:eastAsia="Times New Roman"/>
        </w:rPr>
        <w:t>The Annex to this document contain</w:t>
      </w:r>
      <w:r w:rsidR="00DC4D98">
        <w:rPr>
          <w:rFonts w:eastAsia="Times New Roman"/>
        </w:rPr>
        <w:t>s</w:t>
      </w:r>
      <w:r w:rsidRPr="00BE5BF1">
        <w:rPr>
          <w:rFonts w:eastAsia="Times New Roman"/>
        </w:rPr>
        <w:t xml:space="preserve"> the said proposal, developed with the support of the WIPO Secretariat.</w:t>
      </w:r>
    </w:p>
    <w:p w14:paraId="10EFB6FE" w14:textId="77777777" w:rsidR="00333FE9" w:rsidRPr="00173B6E" w:rsidRDefault="00333FE9" w:rsidP="004A3E0F">
      <w:pPr>
        <w:widowControl/>
        <w:numPr>
          <w:ilvl w:val="0"/>
          <w:numId w:val="28"/>
        </w:numPr>
        <w:autoSpaceDE/>
        <w:autoSpaceDN/>
        <w:spacing w:after="720"/>
        <w:ind w:left="5533" w:firstLine="0"/>
        <w:rPr>
          <w:rFonts w:eastAsia="Times New Roman" w:cs="Times New Roman"/>
          <w:i/>
          <w:sz w:val="24"/>
        </w:rPr>
      </w:pPr>
      <w:r w:rsidRPr="00173B6E">
        <w:rPr>
          <w:rFonts w:eastAsia="Times New Roman" w:cs="Times New Roman"/>
          <w:i/>
        </w:rPr>
        <w:t>The Committee is invited to c</w:t>
      </w:r>
      <w:r w:rsidRPr="00173B6E">
        <w:rPr>
          <w:i/>
        </w:rPr>
        <w:t>onsider the Annex hereto.</w:t>
      </w:r>
    </w:p>
    <w:p w14:paraId="0AEDAFAA" w14:textId="6FEF3FE8" w:rsidR="00582354" w:rsidRDefault="00333FE9" w:rsidP="004A3E0F">
      <w:pPr>
        <w:widowControl/>
        <w:autoSpaceDE/>
        <w:autoSpaceDN/>
        <w:spacing w:after="240"/>
        <w:ind w:left="5533"/>
        <w:sectPr w:rsidR="00582354" w:rsidSect="00582354">
          <w:headerReference w:type="even" r:id="rId9"/>
          <w:headerReference w:type="default" r:id="rId10"/>
          <w:footerReference w:type="even" r:id="rId11"/>
          <w:footerReference w:type="default" r:id="rId12"/>
          <w:footerReference w:type="first" r:id="rId13"/>
          <w:pgSz w:w="11907" w:h="16840" w:code="9"/>
          <w:pgMar w:top="467" w:right="1417" w:bottom="1417" w:left="1417" w:header="706" w:footer="709" w:gutter="0"/>
          <w:cols w:space="720"/>
          <w:titlePg/>
          <w:docGrid w:linePitch="299"/>
        </w:sectPr>
      </w:pPr>
      <w:r w:rsidRPr="00173B6E">
        <w:rPr>
          <w:rFonts w:eastAsia="Times New Roman" w:cs="Times New Roman"/>
          <w:szCs w:val="24"/>
        </w:rPr>
        <w:t>[Annex follow</w:t>
      </w:r>
      <w:r>
        <w:rPr>
          <w:rFonts w:eastAsia="Times New Roman" w:cs="Times New Roman"/>
          <w:szCs w:val="24"/>
        </w:rPr>
        <w:t>s</w:t>
      </w:r>
      <w:r w:rsidRPr="00173B6E">
        <w:rPr>
          <w:rFonts w:eastAsia="Times New Roman" w:cs="Times New Roman"/>
          <w:szCs w:val="24"/>
        </w:rPr>
        <w:t>]</w:t>
      </w:r>
      <w:bookmarkEnd w:id="3"/>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9"/>
        <w:gridCol w:w="4763"/>
      </w:tblGrid>
      <w:tr w:rsidR="00F8371A" w:rsidRPr="00E53A01" w14:paraId="4E208EF6" w14:textId="77777777" w:rsidTr="00F8371A">
        <w:trPr>
          <w:trHeight w:val="319"/>
        </w:trPr>
        <w:tc>
          <w:tcPr>
            <w:tcW w:w="9352" w:type="dxa"/>
            <w:gridSpan w:val="2"/>
            <w:shd w:val="clear" w:color="auto" w:fill="00FFCC"/>
          </w:tcPr>
          <w:p w14:paraId="5659CD29" w14:textId="0EFDFB9A" w:rsidR="00F8371A" w:rsidRPr="00E53A01" w:rsidRDefault="00F8371A" w:rsidP="004D02E2">
            <w:pPr>
              <w:pStyle w:val="Heading2"/>
              <w:jc w:val="center"/>
              <w:rPr>
                <w:b/>
                <w:szCs w:val="22"/>
              </w:rPr>
            </w:pPr>
            <w:r w:rsidRPr="00E53A01">
              <w:rPr>
                <w:b/>
                <w:szCs w:val="22"/>
              </w:rPr>
              <w:lastRenderedPageBreak/>
              <w:t xml:space="preserve">1. </w:t>
            </w:r>
            <w:r w:rsidRPr="00E53A01">
              <w:rPr>
                <w:b/>
                <w:caps w:val="0"/>
                <w:szCs w:val="22"/>
              </w:rPr>
              <w:t>Introduction of the Project</w:t>
            </w:r>
          </w:p>
        </w:tc>
      </w:tr>
      <w:tr w:rsidR="00DE7487" w:rsidRPr="00E53A01" w14:paraId="30409597" w14:textId="77777777" w:rsidTr="00F8371A">
        <w:trPr>
          <w:trHeight w:val="253"/>
        </w:trPr>
        <w:tc>
          <w:tcPr>
            <w:tcW w:w="9352" w:type="dxa"/>
            <w:gridSpan w:val="2"/>
            <w:shd w:val="clear" w:color="auto" w:fill="00FFCC"/>
          </w:tcPr>
          <w:p w14:paraId="521950E0" w14:textId="77777777" w:rsidR="00DE7487" w:rsidRPr="00E53A01" w:rsidRDefault="00F8371A" w:rsidP="00372117">
            <w:pPr>
              <w:pStyle w:val="TableParagraph"/>
              <w:spacing w:line="234" w:lineRule="exact"/>
              <w:ind w:left="103" w:right="87"/>
              <w:jc w:val="center"/>
              <w:rPr>
                <w:b/>
              </w:rPr>
            </w:pPr>
            <w:r w:rsidRPr="00E53A01">
              <w:rPr>
                <w:b/>
              </w:rPr>
              <w:t>1.1 Project C</w:t>
            </w:r>
            <w:r w:rsidR="00DE7487" w:rsidRPr="00E53A01">
              <w:rPr>
                <w:b/>
              </w:rPr>
              <w:t>ode</w:t>
            </w:r>
          </w:p>
        </w:tc>
      </w:tr>
      <w:tr w:rsidR="00DE7487" w:rsidRPr="00E53A01" w14:paraId="52F5E30C" w14:textId="77777777" w:rsidTr="0078766C">
        <w:trPr>
          <w:trHeight w:val="91"/>
        </w:trPr>
        <w:tc>
          <w:tcPr>
            <w:tcW w:w="9352" w:type="dxa"/>
            <w:gridSpan w:val="2"/>
          </w:tcPr>
          <w:p w14:paraId="75477F91" w14:textId="27FB33B2" w:rsidR="00DE7487" w:rsidRPr="00E53A01" w:rsidRDefault="0078766C" w:rsidP="000E77F2">
            <w:pPr>
              <w:pStyle w:val="TableParagraph"/>
              <w:spacing w:before="240" w:after="240"/>
              <w:ind w:left="115"/>
              <w:jc w:val="center"/>
            </w:pPr>
            <w:r w:rsidRPr="00E53A01">
              <w:t>DA_5_10_01</w:t>
            </w:r>
          </w:p>
        </w:tc>
      </w:tr>
      <w:tr w:rsidR="00DE7487" w:rsidRPr="00E53A01" w14:paraId="268869FE" w14:textId="77777777" w:rsidTr="00F8371A">
        <w:trPr>
          <w:trHeight w:val="251"/>
        </w:trPr>
        <w:tc>
          <w:tcPr>
            <w:tcW w:w="9352" w:type="dxa"/>
            <w:gridSpan w:val="2"/>
            <w:shd w:val="clear" w:color="auto" w:fill="00FFCC"/>
          </w:tcPr>
          <w:p w14:paraId="3E14297D" w14:textId="77777777" w:rsidR="00DE7487" w:rsidRPr="00E53A01" w:rsidRDefault="00DE7487" w:rsidP="00372117">
            <w:pPr>
              <w:pStyle w:val="TableParagraph"/>
              <w:spacing w:line="232" w:lineRule="exact"/>
              <w:ind w:left="103" w:right="90"/>
              <w:jc w:val="center"/>
              <w:rPr>
                <w:b/>
              </w:rPr>
            </w:pPr>
            <w:r w:rsidRPr="00E53A01">
              <w:rPr>
                <w:b/>
              </w:rPr>
              <w:t>1.2 Project</w:t>
            </w:r>
            <w:r w:rsidRPr="00E53A01">
              <w:rPr>
                <w:b/>
                <w:spacing w:val="-1"/>
              </w:rPr>
              <w:t xml:space="preserve"> </w:t>
            </w:r>
            <w:r w:rsidR="00F8371A" w:rsidRPr="00E53A01">
              <w:rPr>
                <w:b/>
              </w:rPr>
              <w:t>T</w:t>
            </w:r>
            <w:r w:rsidRPr="00E53A01">
              <w:rPr>
                <w:b/>
              </w:rPr>
              <w:t>itle</w:t>
            </w:r>
          </w:p>
        </w:tc>
      </w:tr>
      <w:tr w:rsidR="006D2048" w:rsidRPr="00E53A01" w14:paraId="012416FC" w14:textId="77777777" w:rsidTr="002767FB">
        <w:trPr>
          <w:trHeight w:val="676"/>
        </w:trPr>
        <w:tc>
          <w:tcPr>
            <w:tcW w:w="9352" w:type="dxa"/>
            <w:gridSpan w:val="2"/>
          </w:tcPr>
          <w:p w14:paraId="3C4D6B8F" w14:textId="4994ECF0" w:rsidR="006D2048" w:rsidRPr="000C3CFF" w:rsidRDefault="006D2048" w:rsidP="00550A70">
            <w:pPr>
              <w:pStyle w:val="TableParagraph"/>
              <w:spacing w:before="240" w:after="240"/>
              <w:ind w:left="115" w:right="187"/>
              <w:jc w:val="center"/>
              <w:rPr>
                <w:bCs/>
              </w:rPr>
            </w:pPr>
            <w:r w:rsidRPr="000C3CFF">
              <w:rPr>
                <w:bCs/>
              </w:rPr>
              <w:t>Creation of an Observatory of National Intellectual Property Strategies at WIPO</w:t>
            </w:r>
          </w:p>
        </w:tc>
      </w:tr>
      <w:tr w:rsidR="006D2048" w:rsidRPr="00E53A01" w14:paraId="6A86DC8B" w14:textId="77777777" w:rsidTr="00F8371A">
        <w:trPr>
          <w:trHeight w:val="252"/>
        </w:trPr>
        <w:tc>
          <w:tcPr>
            <w:tcW w:w="9352" w:type="dxa"/>
            <w:gridSpan w:val="2"/>
            <w:shd w:val="clear" w:color="auto" w:fill="00FFCC"/>
          </w:tcPr>
          <w:p w14:paraId="60926057" w14:textId="77777777" w:rsidR="006D2048" w:rsidRPr="00E53A01" w:rsidRDefault="006D2048" w:rsidP="006D2048">
            <w:pPr>
              <w:pStyle w:val="TableParagraph"/>
              <w:spacing w:line="232" w:lineRule="exact"/>
              <w:ind w:left="103" w:right="88"/>
              <w:jc w:val="center"/>
              <w:rPr>
                <w:b/>
              </w:rPr>
            </w:pPr>
            <w:r w:rsidRPr="00E53A01">
              <w:rPr>
                <w:b/>
              </w:rPr>
              <w:t>1.3 DA</w:t>
            </w:r>
            <w:r w:rsidRPr="00E53A01">
              <w:rPr>
                <w:b/>
                <w:spacing w:val="-4"/>
              </w:rPr>
              <w:t xml:space="preserve"> </w:t>
            </w:r>
            <w:r w:rsidRPr="00E53A01">
              <w:rPr>
                <w:b/>
              </w:rPr>
              <w:t>Recommendations</w:t>
            </w:r>
          </w:p>
        </w:tc>
      </w:tr>
      <w:tr w:rsidR="006D2048" w:rsidRPr="00E53A01" w14:paraId="49482ECF" w14:textId="77777777" w:rsidTr="00F8371A">
        <w:trPr>
          <w:trHeight w:val="760"/>
        </w:trPr>
        <w:tc>
          <w:tcPr>
            <w:tcW w:w="9352" w:type="dxa"/>
            <w:gridSpan w:val="2"/>
          </w:tcPr>
          <w:p w14:paraId="19A048F0" w14:textId="16E8BEAE" w:rsidR="002767FB" w:rsidRPr="00E53A01" w:rsidRDefault="002767FB" w:rsidP="000E77F2">
            <w:pPr>
              <w:pStyle w:val="TableParagraph"/>
              <w:spacing w:before="220" w:after="220"/>
              <w:ind w:left="120"/>
              <w:rPr>
                <w:b/>
              </w:rPr>
            </w:pPr>
            <w:r w:rsidRPr="00E53A01">
              <w:rPr>
                <w:bCs/>
                <w:i/>
                <w:iCs/>
              </w:rPr>
              <w:t>Recommendation 5:</w:t>
            </w:r>
            <w:r w:rsidRPr="00E53A01">
              <w:rPr>
                <w:b/>
              </w:rPr>
              <w:t xml:space="preserve"> </w:t>
            </w:r>
            <w:r w:rsidR="004C6B74" w:rsidRPr="00E53A01">
              <w:rPr>
                <w:b/>
              </w:rPr>
              <w:t xml:space="preserve"> </w:t>
            </w:r>
            <w:r w:rsidRPr="00E53A01">
              <w:t>WIPO shall display general information on all technical assistance activities on its website, and shall provide, on request from Member States, details of specific activities, with the consent of the Member State(s) and other recipients concerned, for which the activity was implemented.</w:t>
            </w:r>
          </w:p>
          <w:p w14:paraId="7114E2A8" w14:textId="291FFC71" w:rsidR="006D2048" w:rsidRPr="00E53A01" w:rsidRDefault="002767FB" w:rsidP="000E77F2">
            <w:pPr>
              <w:pStyle w:val="TableParagraph"/>
              <w:spacing w:before="220" w:after="220"/>
              <w:ind w:left="110"/>
            </w:pPr>
            <w:r w:rsidRPr="00E53A01">
              <w:rPr>
                <w:bCs/>
                <w:i/>
                <w:iCs/>
              </w:rPr>
              <w:t>Recommendation 10:</w:t>
            </w:r>
            <w:r w:rsidRPr="00E53A01">
              <w:rPr>
                <w:b/>
              </w:rPr>
              <w:t xml:space="preserve">  </w:t>
            </w:r>
            <w:r w:rsidRPr="00E53A01">
              <w:t xml:space="preserve">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w:t>
            </w:r>
            <w:r w:rsidR="00550A70">
              <w:t xml:space="preserve"> </w:t>
            </w:r>
            <w:r w:rsidRPr="00E53A01">
              <w:t>This technical assistance should also be extended to sub-regional and regional organizations dealing with intellectual property.</w:t>
            </w:r>
          </w:p>
        </w:tc>
      </w:tr>
      <w:tr w:rsidR="006D2048" w:rsidRPr="00E53A01" w14:paraId="2047CE80" w14:textId="77777777" w:rsidTr="00F8371A">
        <w:trPr>
          <w:trHeight w:val="251"/>
        </w:trPr>
        <w:tc>
          <w:tcPr>
            <w:tcW w:w="9352" w:type="dxa"/>
            <w:gridSpan w:val="2"/>
            <w:shd w:val="clear" w:color="auto" w:fill="00FFCC"/>
          </w:tcPr>
          <w:p w14:paraId="713884B4" w14:textId="77777777" w:rsidR="006D2048" w:rsidRPr="00E53A01" w:rsidRDefault="006D2048" w:rsidP="006D2048">
            <w:pPr>
              <w:pStyle w:val="TableParagraph"/>
              <w:spacing w:line="232" w:lineRule="exact"/>
              <w:ind w:left="103" w:right="88"/>
              <w:jc w:val="center"/>
              <w:rPr>
                <w:b/>
              </w:rPr>
            </w:pPr>
            <w:r w:rsidRPr="00E53A01">
              <w:rPr>
                <w:b/>
              </w:rPr>
              <w:t>1.4 Project Duration</w:t>
            </w:r>
          </w:p>
        </w:tc>
      </w:tr>
      <w:tr w:rsidR="006D2048" w:rsidRPr="00E53A01" w14:paraId="40F9A898" w14:textId="77777777" w:rsidTr="00F8371A">
        <w:trPr>
          <w:trHeight w:val="251"/>
        </w:trPr>
        <w:tc>
          <w:tcPr>
            <w:tcW w:w="9352" w:type="dxa"/>
            <w:gridSpan w:val="2"/>
            <w:shd w:val="clear" w:color="auto" w:fill="auto"/>
          </w:tcPr>
          <w:p w14:paraId="7DC9C78F" w14:textId="135F98C8" w:rsidR="006D2048" w:rsidRPr="00550A70" w:rsidRDefault="005A1BA9" w:rsidP="00550A70">
            <w:pPr>
              <w:pStyle w:val="TableParagraph"/>
              <w:spacing w:before="240" w:after="240"/>
              <w:jc w:val="center"/>
            </w:pPr>
            <w:r w:rsidRPr="00E53A01">
              <w:t>24 months</w:t>
            </w:r>
          </w:p>
        </w:tc>
      </w:tr>
      <w:tr w:rsidR="006D2048" w:rsidRPr="00E53A01" w14:paraId="6BEE0D66" w14:textId="77777777" w:rsidTr="00F8371A">
        <w:trPr>
          <w:trHeight w:val="251"/>
        </w:trPr>
        <w:tc>
          <w:tcPr>
            <w:tcW w:w="9352" w:type="dxa"/>
            <w:gridSpan w:val="2"/>
            <w:shd w:val="clear" w:color="auto" w:fill="00FFCC"/>
          </w:tcPr>
          <w:p w14:paraId="44C59B92" w14:textId="77777777" w:rsidR="006D2048" w:rsidRPr="00E53A01" w:rsidRDefault="006D2048" w:rsidP="006D2048">
            <w:pPr>
              <w:pStyle w:val="TableParagraph"/>
              <w:spacing w:line="232" w:lineRule="exact"/>
              <w:ind w:left="103" w:right="90"/>
              <w:jc w:val="center"/>
              <w:rPr>
                <w:b/>
              </w:rPr>
            </w:pPr>
            <w:r w:rsidRPr="00E53A01">
              <w:rPr>
                <w:b/>
              </w:rPr>
              <w:t xml:space="preserve">1.5 Project Budget </w:t>
            </w:r>
          </w:p>
        </w:tc>
      </w:tr>
      <w:tr w:rsidR="006D2048" w:rsidRPr="00E53A01" w14:paraId="53D1DC78" w14:textId="77777777" w:rsidTr="00F8371A">
        <w:trPr>
          <w:trHeight w:val="251"/>
        </w:trPr>
        <w:tc>
          <w:tcPr>
            <w:tcW w:w="9352" w:type="dxa"/>
            <w:gridSpan w:val="2"/>
            <w:shd w:val="clear" w:color="auto" w:fill="auto"/>
          </w:tcPr>
          <w:p w14:paraId="2684E855" w14:textId="37421C79" w:rsidR="00492F80" w:rsidRPr="00E53A01" w:rsidRDefault="00683E5E" w:rsidP="00550A70">
            <w:pPr>
              <w:pStyle w:val="TableParagraph"/>
              <w:spacing w:before="240" w:after="240"/>
              <w:ind w:right="86"/>
              <w:jc w:val="center"/>
              <w:rPr>
                <w:bCs/>
              </w:rPr>
            </w:pPr>
            <w:r w:rsidRPr="00683E5E">
              <w:rPr>
                <w:bCs/>
              </w:rPr>
              <w:t xml:space="preserve">The total Project budget is </w:t>
            </w:r>
            <w:r w:rsidR="005035EC">
              <w:rPr>
                <w:bCs/>
              </w:rPr>
              <w:t>355</w:t>
            </w:r>
            <w:r w:rsidR="00DE5D4D">
              <w:rPr>
                <w:bCs/>
              </w:rPr>
              <w:t>,000</w:t>
            </w:r>
            <w:r w:rsidR="00492F80" w:rsidRPr="00E53A01">
              <w:rPr>
                <w:bCs/>
              </w:rPr>
              <w:t xml:space="preserve"> Swiss francs, </w:t>
            </w:r>
            <w:r w:rsidRPr="00683E5E">
              <w:rPr>
                <w:bCs/>
              </w:rPr>
              <w:t>all related to non-personnel expenditures</w:t>
            </w:r>
            <w:r w:rsidR="00492F80" w:rsidRPr="00E53A01">
              <w:rPr>
                <w:bCs/>
              </w:rPr>
              <w:t>.</w:t>
            </w:r>
          </w:p>
        </w:tc>
      </w:tr>
      <w:tr w:rsidR="006D2048" w:rsidRPr="00E53A01" w14:paraId="6E11DA9F" w14:textId="77777777" w:rsidTr="00F8371A">
        <w:trPr>
          <w:trHeight w:val="251"/>
        </w:trPr>
        <w:tc>
          <w:tcPr>
            <w:tcW w:w="9352" w:type="dxa"/>
            <w:gridSpan w:val="2"/>
            <w:shd w:val="clear" w:color="auto" w:fill="00FFCC"/>
          </w:tcPr>
          <w:p w14:paraId="3503CE65" w14:textId="77777777" w:rsidR="006D2048" w:rsidRPr="00E53A01" w:rsidRDefault="006D2048" w:rsidP="006D2048">
            <w:pPr>
              <w:pStyle w:val="TableParagraph"/>
              <w:spacing w:line="232" w:lineRule="exact"/>
              <w:ind w:left="103" w:right="90"/>
              <w:jc w:val="center"/>
              <w:rPr>
                <w:b/>
              </w:rPr>
            </w:pPr>
            <w:r w:rsidRPr="00E53A01">
              <w:rPr>
                <w:b/>
              </w:rPr>
              <w:t>2. Description</w:t>
            </w:r>
            <w:r w:rsidRPr="00E53A01">
              <w:rPr>
                <w:b/>
                <w:spacing w:val="-3"/>
              </w:rPr>
              <w:t xml:space="preserve"> </w:t>
            </w:r>
            <w:r w:rsidRPr="00E53A01">
              <w:rPr>
                <w:b/>
              </w:rPr>
              <w:t>of</w:t>
            </w:r>
            <w:r w:rsidRPr="00E53A01">
              <w:rPr>
                <w:b/>
                <w:spacing w:val="-1"/>
              </w:rPr>
              <w:t xml:space="preserve"> </w:t>
            </w:r>
            <w:r w:rsidRPr="00E53A01">
              <w:rPr>
                <w:b/>
              </w:rPr>
              <w:t>the</w:t>
            </w:r>
            <w:r w:rsidRPr="00E53A01">
              <w:rPr>
                <w:b/>
                <w:spacing w:val="-3"/>
              </w:rPr>
              <w:t xml:space="preserve"> </w:t>
            </w:r>
            <w:r w:rsidRPr="00E53A01">
              <w:rPr>
                <w:b/>
              </w:rPr>
              <w:t>Project</w:t>
            </w:r>
          </w:p>
        </w:tc>
      </w:tr>
      <w:tr w:rsidR="006D2048" w:rsidRPr="00E53A01" w14:paraId="28C7E412" w14:textId="77777777" w:rsidTr="00F0108B">
        <w:trPr>
          <w:trHeight w:val="1387"/>
        </w:trPr>
        <w:tc>
          <w:tcPr>
            <w:tcW w:w="9352" w:type="dxa"/>
            <w:gridSpan w:val="2"/>
          </w:tcPr>
          <w:p w14:paraId="2149D6F3" w14:textId="489E7AE6" w:rsidR="005A63E5" w:rsidRPr="00E53A01" w:rsidRDefault="00100429" w:rsidP="00550A70">
            <w:pPr>
              <w:pStyle w:val="TableParagraph"/>
              <w:spacing w:before="240" w:after="240"/>
              <w:ind w:left="115" w:right="490"/>
            </w:pPr>
            <w:r w:rsidRPr="00E53A01">
              <w:t xml:space="preserve">The proposed project aims to </w:t>
            </w:r>
            <w:r w:rsidR="005B41FE" w:rsidRPr="00E53A01">
              <w:t xml:space="preserve">enhance the capacity of WIPO Member States, especially developing and least developed countries, to </w:t>
            </w:r>
            <w:r w:rsidRPr="00E53A01">
              <w:t xml:space="preserve">develop and implement </w:t>
            </w:r>
            <w:r w:rsidR="005B41FE" w:rsidRPr="00E53A01">
              <w:t>successful</w:t>
            </w:r>
            <w:r w:rsidRPr="00E53A01">
              <w:t xml:space="preserve"> National Intellectual Property Strategies (NIPS)</w:t>
            </w:r>
            <w:r w:rsidR="005B41FE" w:rsidRPr="00E53A01">
              <w:t xml:space="preserve"> </w:t>
            </w:r>
            <w:r w:rsidRPr="00E53A01">
              <w:t>through</w:t>
            </w:r>
            <w:r w:rsidRPr="00E53A01">
              <w:rPr>
                <w:bCs/>
              </w:rPr>
              <w:t xml:space="preserve"> the establishment</w:t>
            </w:r>
            <w:r w:rsidRPr="00E53A01">
              <w:t xml:space="preserve"> of an Observatory of NIPS, </w:t>
            </w:r>
            <w:r w:rsidR="00421C8F">
              <w:t xml:space="preserve">comprising of an inventory of NIPS and </w:t>
            </w:r>
            <w:r w:rsidR="003404A5">
              <w:t xml:space="preserve">NIPS-related </w:t>
            </w:r>
            <w:r w:rsidR="00421C8F">
              <w:t xml:space="preserve">capacity building and </w:t>
            </w:r>
            <w:r w:rsidR="003B7EB5">
              <w:t>a</w:t>
            </w:r>
            <w:r w:rsidR="003B7EB5" w:rsidRPr="003D3FA9">
              <w:t>wareness-raising</w:t>
            </w:r>
            <w:r w:rsidR="003B7EB5">
              <w:t xml:space="preserve"> </w:t>
            </w:r>
            <w:r w:rsidR="00322D0A">
              <w:t>materials</w:t>
            </w:r>
            <w:r w:rsidR="00421C8F">
              <w:t>.</w:t>
            </w:r>
            <w:r w:rsidRPr="00E53A01">
              <w:t xml:space="preserve">  </w:t>
            </w:r>
          </w:p>
        </w:tc>
      </w:tr>
      <w:tr w:rsidR="006D2048" w:rsidRPr="00E53A01" w14:paraId="72847E45" w14:textId="77777777" w:rsidTr="00F8371A">
        <w:trPr>
          <w:trHeight w:val="280"/>
        </w:trPr>
        <w:tc>
          <w:tcPr>
            <w:tcW w:w="9352" w:type="dxa"/>
            <w:gridSpan w:val="2"/>
            <w:shd w:val="clear" w:color="auto" w:fill="00FFCC"/>
          </w:tcPr>
          <w:p w14:paraId="17855E6F" w14:textId="77777777" w:rsidR="006D2048" w:rsidRPr="00E53A01" w:rsidRDefault="006D2048" w:rsidP="006D2048">
            <w:pPr>
              <w:pStyle w:val="TableParagraph"/>
              <w:ind w:left="110"/>
              <w:jc w:val="center"/>
              <w:rPr>
                <w:b/>
                <w:bCs/>
              </w:rPr>
            </w:pPr>
            <w:r w:rsidRPr="00E53A01">
              <w:rPr>
                <w:b/>
                <w:bCs/>
              </w:rPr>
              <w:t>2.1 Project Concept</w:t>
            </w:r>
          </w:p>
        </w:tc>
      </w:tr>
      <w:tr w:rsidR="006D2048" w:rsidRPr="00E53A01" w14:paraId="2546C04D" w14:textId="77777777" w:rsidTr="00F8371A">
        <w:trPr>
          <w:trHeight w:val="280"/>
        </w:trPr>
        <w:tc>
          <w:tcPr>
            <w:tcW w:w="9352" w:type="dxa"/>
            <w:gridSpan w:val="2"/>
            <w:shd w:val="clear" w:color="auto" w:fill="auto"/>
          </w:tcPr>
          <w:p w14:paraId="6A35E5D4" w14:textId="01664D4A" w:rsidR="007C2147" w:rsidRPr="00E53A01" w:rsidRDefault="007C2147" w:rsidP="00550A70">
            <w:pPr>
              <w:pStyle w:val="TableParagraph"/>
              <w:spacing w:before="240" w:after="240"/>
              <w:ind w:left="110"/>
            </w:pPr>
            <w:r w:rsidRPr="00E53A01">
              <w:t>According to WIPO’s definition, a National Intellectual Property Strategy (NIPS) is “a set of policy measures formulated and implemented by a government to improve its IP and innovation ecosystem in line with social, cultural and economic development goals”.</w:t>
            </w:r>
          </w:p>
          <w:p w14:paraId="60BF38DF" w14:textId="58D6B398" w:rsidR="006A4BB1" w:rsidRDefault="007C2147" w:rsidP="00550A70">
            <w:pPr>
              <w:pStyle w:val="TableParagraph"/>
              <w:spacing w:before="240" w:after="240"/>
              <w:ind w:left="110"/>
            </w:pPr>
            <w:r w:rsidRPr="00E53A01">
              <w:t xml:space="preserve">In this context, WIPO assists </w:t>
            </w:r>
            <w:r w:rsidR="0071448A">
              <w:t>Member States, particularly</w:t>
            </w:r>
            <w:r w:rsidR="005D6840">
              <w:t>,</w:t>
            </w:r>
            <w:r w:rsidR="0071448A">
              <w:t xml:space="preserve"> </w:t>
            </w:r>
            <w:r w:rsidRPr="00E53A01">
              <w:t>developing and least</w:t>
            </w:r>
            <w:r w:rsidR="005D2A4F" w:rsidRPr="00E53A01">
              <w:t xml:space="preserve"> </w:t>
            </w:r>
            <w:r w:rsidRPr="00E53A01">
              <w:t>developed countries</w:t>
            </w:r>
            <w:r w:rsidR="0071448A">
              <w:t>,</w:t>
            </w:r>
            <w:r w:rsidRPr="00E53A01">
              <w:t xml:space="preserve"> to </w:t>
            </w:r>
            <w:r w:rsidR="0071448A">
              <w:t xml:space="preserve">elaborate </w:t>
            </w:r>
            <w:r w:rsidRPr="00E53A01">
              <w:t>NIPS.  Thus, the organization offers policy advice, data and analysis, best practices and customized guidance.  In the framework of a DA project on “Improvement of National, Sub Regional and Regional IP Institutional and User Capacity”, WIPO developed the “Methodology for the Development of National Intellectual Property Strategies”</w:t>
            </w:r>
            <w:r w:rsidR="00133117" w:rsidRPr="00E53A01">
              <w:t xml:space="preserve"> </w:t>
            </w:r>
            <w:r w:rsidR="009D088B" w:rsidRPr="00E53A01">
              <w:t xml:space="preserve">in 2012 </w:t>
            </w:r>
            <w:r w:rsidR="00133117" w:rsidRPr="00E53A01">
              <w:t>(the Methodology)</w:t>
            </w:r>
            <w:r w:rsidRPr="00E53A01">
              <w:t xml:space="preserve">.  </w:t>
            </w:r>
            <w:r w:rsidR="00133117" w:rsidRPr="00E53A01">
              <w:t>The Methodology was revised in 2020</w:t>
            </w:r>
            <w:r w:rsidRPr="00E53A01">
              <w:t xml:space="preserve"> </w:t>
            </w:r>
            <w:r w:rsidR="009D088B" w:rsidRPr="00E53A01">
              <w:t xml:space="preserve">to </w:t>
            </w:r>
            <w:r w:rsidR="006F589F" w:rsidRPr="00E53A01">
              <w:t>suggest</w:t>
            </w:r>
            <w:r w:rsidR="009D088B" w:rsidRPr="00E53A01">
              <w:t xml:space="preserve"> a more flexible process for the formulation of </w:t>
            </w:r>
            <w:r w:rsidR="00554D33" w:rsidRPr="00E53A01">
              <w:t>NIPS</w:t>
            </w:r>
            <w:r w:rsidR="009D088B" w:rsidRPr="00E53A01">
              <w:t xml:space="preserve"> in </w:t>
            </w:r>
            <w:r w:rsidR="006F589F" w:rsidRPr="00E53A01">
              <w:t xml:space="preserve">line </w:t>
            </w:r>
            <w:r w:rsidR="009D088B" w:rsidRPr="00E53A01">
              <w:t xml:space="preserve">with broader innovation and socio-economic development priorities. </w:t>
            </w:r>
            <w:r w:rsidR="00144735" w:rsidRPr="00E53A01">
              <w:t xml:space="preserve"> </w:t>
            </w:r>
            <w:r w:rsidR="009D088B" w:rsidRPr="00E53A01">
              <w:t xml:space="preserve">In 2022, a renewed approach for the </w:t>
            </w:r>
            <w:r w:rsidR="00554D33" w:rsidRPr="00E53A01">
              <w:t>NIPS</w:t>
            </w:r>
            <w:r w:rsidR="009D088B" w:rsidRPr="00E53A01">
              <w:t xml:space="preserve"> Program was piloted, guided by the </w:t>
            </w:r>
            <w:r w:rsidR="009D088B" w:rsidRPr="00E53A01">
              <w:lastRenderedPageBreak/>
              <w:t>principles of adding value and learning by doing.</w:t>
            </w:r>
            <w:r w:rsidR="00554D33" w:rsidRPr="00E53A01">
              <w:t xml:space="preserve"> </w:t>
            </w:r>
            <w:r w:rsidR="009D088B" w:rsidRPr="00E53A01">
              <w:t xml:space="preserve"> By the end of the</w:t>
            </w:r>
            <w:r w:rsidR="00554D33" w:rsidRPr="00E53A01">
              <w:t xml:space="preserve"> 2022-2023 </w:t>
            </w:r>
            <w:r w:rsidR="009D088B" w:rsidRPr="00E53A01">
              <w:t>biennium, 10 strategies had been initiated and 18 had been finalized for adoption.</w:t>
            </w:r>
          </w:p>
          <w:p w14:paraId="1E352F2B" w14:textId="45C4B6ED" w:rsidR="007C2147" w:rsidRDefault="00BF4E75" w:rsidP="00550A70">
            <w:pPr>
              <w:pStyle w:val="TableParagraph"/>
              <w:spacing w:before="240" w:after="240"/>
              <w:ind w:left="110"/>
            </w:pPr>
            <w:r w:rsidRPr="00C61880">
              <w:t>However, information on NIPS is currently scattered across countries and there is little consolidated information.</w:t>
            </w:r>
            <w:r>
              <w:t xml:space="preserve">  </w:t>
            </w:r>
            <w:r w:rsidRPr="00C61880">
              <w:t xml:space="preserve">This lack of a centralized collection of publicly available information may reduce the opportunity for building the knowledge base of the value and role of NIPS in IP and innovation policymaking.  </w:t>
            </w:r>
          </w:p>
          <w:p w14:paraId="795F4595" w14:textId="52202A5A" w:rsidR="007C2147" w:rsidRDefault="007C2147" w:rsidP="00550A70">
            <w:pPr>
              <w:pStyle w:val="TableParagraph"/>
              <w:spacing w:before="240" w:after="240"/>
              <w:ind w:left="110"/>
            </w:pPr>
            <w:r w:rsidRPr="00E53A01">
              <w:t xml:space="preserve">The proposed project aims to </w:t>
            </w:r>
            <w:r w:rsidR="003D3FA9">
              <w:t>create a “National IP Strategies (NIPS) Observatory”</w:t>
            </w:r>
            <w:r w:rsidR="00175682">
              <w:t>, ideally,</w:t>
            </w:r>
            <w:r w:rsidR="003D3FA9">
              <w:t xml:space="preserve"> </w:t>
            </w:r>
            <w:r w:rsidR="00DE0A75" w:rsidRPr="00175682">
              <w:t xml:space="preserve">on the </w:t>
            </w:r>
            <w:r w:rsidR="00DE0A75" w:rsidRPr="00175682">
              <w:rPr>
                <w:bCs/>
              </w:rPr>
              <w:t xml:space="preserve">WIPO </w:t>
            </w:r>
            <w:r w:rsidR="0096106D">
              <w:rPr>
                <w:bCs/>
              </w:rPr>
              <w:t>NIPS</w:t>
            </w:r>
            <w:r w:rsidR="00DE0A75" w:rsidRPr="00175682">
              <w:rPr>
                <w:bCs/>
              </w:rPr>
              <w:t xml:space="preserve"> webpage</w:t>
            </w:r>
            <w:r w:rsidR="00DE0A75">
              <w:t xml:space="preserve"> </w:t>
            </w:r>
            <w:r w:rsidR="003D3FA9">
              <w:t xml:space="preserve">and </w:t>
            </w:r>
            <w:r w:rsidR="00EA54C5" w:rsidRPr="00E53A01">
              <w:t>provid</w:t>
            </w:r>
            <w:r w:rsidR="00B37449">
              <w:t>e</w:t>
            </w:r>
            <w:r w:rsidR="000C46F2" w:rsidRPr="00E53A01">
              <w:t xml:space="preserve"> WIPO Member</w:t>
            </w:r>
            <w:r w:rsidR="00EA54C5" w:rsidRPr="00E53A01">
              <w:t> </w:t>
            </w:r>
            <w:r w:rsidR="000C46F2" w:rsidRPr="00E53A01">
              <w:t>States</w:t>
            </w:r>
            <w:r w:rsidR="00EA54C5" w:rsidRPr="00E53A01">
              <w:t xml:space="preserve"> with systematized and </w:t>
            </w:r>
            <w:r w:rsidR="00B50C13" w:rsidRPr="00E53A01">
              <w:t>easily accessible</w:t>
            </w:r>
            <w:r w:rsidR="00EA54C5" w:rsidRPr="00E53A01">
              <w:t xml:space="preserve"> information</w:t>
            </w:r>
            <w:r w:rsidR="00554B1D" w:rsidRPr="00E53A01">
              <w:t xml:space="preserve"> and </w:t>
            </w:r>
            <w:r w:rsidR="00ED6914" w:rsidRPr="00E53A01">
              <w:t xml:space="preserve">capacity building </w:t>
            </w:r>
            <w:r w:rsidR="00DE0A75">
              <w:t>materials</w:t>
            </w:r>
            <w:r w:rsidR="00554B1D" w:rsidRPr="00E53A01">
              <w:t xml:space="preserve">, </w:t>
            </w:r>
            <w:proofErr w:type="gramStart"/>
            <w:r w:rsidR="00554B1D" w:rsidRPr="00E53A01">
              <w:t>so as</w:t>
            </w:r>
            <w:r w:rsidR="00EA54C5" w:rsidRPr="00E53A01">
              <w:t xml:space="preserve"> </w:t>
            </w:r>
            <w:r w:rsidR="00D23522" w:rsidRPr="00E53A01">
              <w:t>to</w:t>
            </w:r>
            <w:proofErr w:type="gramEnd"/>
            <w:r w:rsidR="00B50C13" w:rsidRPr="00E53A01">
              <w:t xml:space="preserve"> inspire interested Member States and </w:t>
            </w:r>
            <w:r w:rsidR="00F1340D" w:rsidRPr="00E53A01">
              <w:t>better</w:t>
            </w:r>
            <w:r w:rsidR="00287047" w:rsidRPr="00E53A01">
              <w:t xml:space="preserve"> </w:t>
            </w:r>
            <w:r w:rsidR="00B50C13" w:rsidRPr="00E53A01">
              <w:t xml:space="preserve">support </w:t>
            </w:r>
            <w:r w:rsidR="00D23522" w:rsidRPr="00E53A01">
              <w:t>their efforts in developing and implementing NIPS</w:t>
            </w:r>
            <w:r w:rsidR="00B50C13" w:rsidRPr="00E53A01">
              <w:t>.</w:t>
            </w:r>
          </w:p>
          <w:p w14:paraId="66C80C64" w14:textId="0561FFA9" w:rsidR="003D3FA9" w:rsidRPr="00E53A01" w:rsidRDefault="003D3FA9" w:rsidP="00550A70">
            <w:pPr>
              <w:pStyle w:val="TableParagraph"/>
              <w:spacing w:before="240" w:after="240"/>
              <w:ind w:left="110"/>
            </w:pPr>
            <w:r>
              <w:t xml:space="preserve">The NIPS Observatory will </w:t>
            </w:r>
            <w:r w:rsidR="00DE0A75">
              <w:t xml:space="preserve">provide access to </w:t>
            </w:r>
            <w:r w:rsidRPr="003D3FA9">
              <w:t xml:space="preserve">publicly available NIPS </w:t>
            </w:r>
            <w:r w:rsidR="00BC37E4">
              <w:t>to be included</w:t>
            </w:r>
            <w:r w:rsidRPr="003D3FA9">
              <w:t xml:space="preserve"> in the WIPO Lex Database</w:t>
            </w:r>
            <w:r>
              <w:t>, case studies regarding NIPS development</w:t>
            </w:r>
            <w:r w:rsidR="003B7EB5">
              <w:t xml:space="preserve"> or implementation</w:t>
            </w:r>
            <w:r>
              <w:t>, t</w:t>
            </w:r>
            <w:r w:rsidRPr="003D3FA9">
              <w:t xml:space="preserve">raining/capacity building </w:t>
            </w:r>
            <w:r>
              <w:t>and a</w:t>
            </w:r>
            <w:r w:rsidRPr="003D3FA9">
              <w:t>wareness-raising</w:t>
            </w:r>
            <w:r>
              <w:t xml:space="preserve"> materials.</w:t>
            </w:r>
          </w:p>
          <w:p w14:paraId="4F2B81F9" w14:textId="080FC6B8" w:rsidR="007C2147" w:rsidRPr="00E53A01" w:rsidRDefault="00D25D8D" w:rsidP="00550A70">
            <w:pPr>
              <w:pStyle w:val="TableParagraph"/>
              <w:spacing w:before="240" w:after="240"/>
              <w:ind w:left="110"/>
            </w:pPr>
            <w:r w:rsidRPr="00E53A01">
              <w:t>A</w:t>
            </w:r>
            <w:r w:rsidR="007C2147" w:rsidRPr="00E53A01">
              <w:t xml:space="preserve">ll WIPO </w:t>
            </w:r>
            <w:r w:rsidRPr="00E53A01">
              <w:t>M</w:t>
            </w:r>
            <w:r w:rsidR="007C2147" w:rsidRPr="00E53A01">
              <w:t xml:space="preserve">embers </w:t>
            </w:r>
            <w:r w:rsidRPr="00E53A01">
              <w:t>S</w:t>
            </w:r>
            <w:r w:rsidR="007C2147" w:rsidRPr="00E53A01">
              <w:t>tates, especially developing and least</w:t>
            </w:r>
            <w:r w:rsidR="006C4518" w:rsidRPr="00E53A01">
              <w:t xml:space="preserve"> </w:t>
            </w:r>
            <w:r w:rsidR="007C2147" w:rsidRPr="00E53A01">
              <w:t xml:space="preserve">developed countries, will </w:t>
            </w:r>
            <w:r w:rsidR="003D3FA9">
              <w:t xml:space="preserve">be able to </w:t>
            </w:r>
            <w:r w:rsidR="007C2147" w:rsidRPr="00E53A01">
              <w:t xml:space="preserve">benefit from </w:t>
            </w:r>
            <w:r w:rsidR="003D3FA9">
              <w:t>the proposed NIPS Observatory</w:t>
            </w:r>
            <w:r w:rsidR="007C2147" w:rsidRPr="00E53A01">
              <w:t xml:space="preserve">. </w:t>
            </w:r>
            <w:r w:rsidR="00D14ED9" w:rsidRPr="00E53A01">
              <w:t xml:space="preserve"> </w:t>
            </w:r>
          </w:p>
          <w:p w14:paraId="5FED14E0" w14:textId="0868CD64" w:rsidR="007C2147" w:rsidRPr="00E53A01" w:rsidRDefault="007C2147" w:rsidP="000E77F2">
            <w:pPr>
              <w:pStyle w:val="TableParagraph"/>
              <w:spacing w:before="240" w:after="240"/>
              <w:ind w:left="110"/>
            </w:pPr>
            <w:r w:rsidRPr="00E53A01">
              <w:t>It is important to note that several international organizations have established thematic observatories for certain policies, in accordance with their mandate.  These initiatives can serve as an example and inspiration for the creation of the WIPO NIPS Observatory.</w:t>
            </w:r>
          </w:p>
        </w:tc>
      </w:tr>
      <w:tr w:rsidR="006D2048" w:rsidRPr="00E53A01" w14:paraId="4D6F0921" w14:textId="77777777" w:rsidTr="00F8371A">
        <w:trPr>
          <w:trHeight w:val="280"/>
        </w:trPr>
        <w:tc>
          <w:tcPr>
            <w:tcW w:w="9352" w:type="dxa"/>
            <w:gridSpan w:val="2"/>
            <w:shd w:val="clear" w:color="auto" w:fill="00FFCC"/>
          </w:tcPr>
          <w:p w14:paraId="264C052B" w14:textId="77777777" w:rsidR="006D2048" w:rsidRPr="00E53A01" w:rsidDel="00821A8E" w:rsidRDefault="006D2048" w:rsidP="006D2048">
            <w:pPr>
              <w:pStyle w:val="TableParagraph"/>
              <w:ind w:left="110"/>
              <w:jc w:val="center"/>
              <w:rPr>
                <w:b/>
                <w:bCs/>
              </w:rPr>
            </w:pPr>
            <w:r w:rsidRPr="00E53A01">
              <w:rPr>
                <w:b/>
                <w:bCs/>
              </w:rPr>
              <w:lastRenderedPageBreak/>
              <w:t>2.2 Project Objective, Outcome and Outputs</w:t>
            </w:r>
          </w:p>
        </w:tc>
      </w:tr>
      <w:tr w:rsidR="006D2048" w:rsidRPr="00E53A01" w14:paraId="51EE2597" w14:textId="77777777" w:rsidTr="00F8371A">
        <w:trPr>
          <w:trHeight w:val="280"/>
        </w:trPr>
        <w:tc>
          <w:tcPr>
            <w:tcW w:w="9352" w:type="dxa"/>
            <w:gridSpan w:val="2"/>
            <w:shd w:val="clear" w:color="auto" w:fill="auto"/>
          </w:tcPr>
          <w:p w14:paraId="68BEECFC" w14:textId="5F40B41F" w:rsidR="00537587" w:rsidRPr="00E53A01" w:rsidRDefault="000E77F2" w:rsidP="000E77F2">
            <w:pPr>
              <w:pStyle w:val="TableParagraph"/>
              <w:spacing w:before="220" w:after="220"/>
            </w:pPr>
            <w:r>
              <w:rPr>
                <w:bCs/>
              </w:rPr>
              <w:t>T</w:t>
            </w:r>
            <w:r w:rsidR="00537587" w:rsidRPr="00E53A01">
              <w:t xml:space="preserve">he overall project </w:t>
            </w:r>
            <w:r w:rsidR="00537587" w:rsidRPr="00E53A01">
              <w:rPr>
                <w:b/>
                <w:bCs/>
              </w:rPr>
              <w:t>objective</w:t>
            </w:r>
            <w:r w:rsidR="00537587" w:rsidRPr="00E53A01">
              <w:t xml:space="preserve"> is to enhance the capacity of WIPO Member States, especially developing and least developed countries, to develop and implement effective NIPS.</w:t>
            </w:r>
          </w:p>
          <w:p w14:paraId="5C296C95" w14:textId="0621EA03" w:rsidR="00537587" w:rsidRPr="00E53A01" w:rsidRDefault="00537587" w:rsidP="000E77F2">
            <w:pPr>
              <w:pStyle w:val="TableParagraph"/>
              <w:spacing w:before="220" w:after="220"/>
              <w:ind w:left="110"/>
            </w:pPr>
            <w:r w:rsidRPr="00E53A01">
              <w:t xml:space="preserve">The </w:t>
            </w:r>
            <w:r w:rsidR="00DE657B" w:rsidRPr="00E53A01">
              <w:t xml:space="preserve">project’s </w:t>
            </w:r>
            <w:r w:rsidRPr="00E53A01">
              <w:t xml:space="preserve">intended </w:t>
            </w:r>
            <w:r w:rsidRPr="00E53A01">
              <w:rPr>
                <w:b/>
              </w:rPr>
              <w:t xml:space="preserve">outcomes </w:t>
            </w:r>
            <w:r w:rsidRPr="00E53A01">
              <w:t xml:space="preserve">are:  </w:t>
            </w:r>
          </w:p>
          <w:p w14:paraId="708B61DC" w14:textId="77777777" w:rsidR="00A702A0" w:rsidRPr="00E53A01" w:rsidRDefault="00022C19" w:rsidP="000E77F2">
            <w:pPr>
              <w:pStyle w:val="TableParagraph"/>
              <w:numPr>
                <w:ilvl w:val="0"/>
                <w:numId w:val="20"/>
              </w:numPr>
              <w:spacing w:before="220" w:after="220"/>
            </w:pPr>
            <w:r w:rsidRPr="00E53A01">
              <w:t>enhanced</w:t>
            </w:r>
            <w:r w:rsidR="009C7258" w:rsidRPr="00E53A01">
              <w:t xml:space="preserve"> understanding </w:t>
            </w:r>
            <w:r w:rsidRPr="00E53A01">
              <w:t xml:space="preserve">by </w:t>
            </w:r>
            <w:r w:rsidR="009C7258" w:rsidRPr="00E53A01">
              <w:t>WIPO Member States, including</w:t>
            </w:r>
            <w:r w:rsidR="0075020D" w:rsidRPr="00E53A01">
              <w:t xml:space="preserve"> national project teams, </w:t>
            </w:r>
            <w:r w:rsidR="008E3092" w:rsidRPr="00E53A01">
              <w:t>IP policy decision-makers</w:t>
            </w:r>
            <w:r w:rsidR="00AE7EB7" w:rsidRPr="00E53A01">
              <w:t xml:space="preserve"> and any other stakeholders engaged in the development and implementation of NIPS</w:t>
            </w:r>
            <w:r w:rsidR="009C7258" w:rsidRPr="00E53A01">
              <w:t>, of the methodology</w:t>
            </w:r>
            <w:r w:rsidR="002D1FBD" w:rsidRPr="00E53A01">
              <w:t xml:space="preserve"> </w:t>
            </w:r>
            <w:r w:rsidR="009C7258" w:rsidRPr="00E53A01">
              <w:t xml:space="preserve">and key factors for success for </w:t>
            </w:r>
            <w:proofErr w:type="gramStart"/>
            <w:r w:rsidR="009C7258" w:rsidRPr="00E53A01">
              <w:t>NIPS;  and</w:t>
            </w:r>
            <w:proofErr w:type="gramEnd"/>
          </w:p>
          <w:p w14:paraId="5EB0B253" w14:textId="0D116CE6" w:rsidR="009C7258" w:rsidRPr="00E53A01" w:rsidRDefault="00022C19" w:rsidP="000E77F2">
            <w:pPr>
              <w:pStyle w:val="TableParagraph"/>
              <w:numPr>
                <w:ilvl w:val="0"/>
                <w:numId w:val="20"/>
              </w:numPr>
              <w:spacing w:before="220" w:after="220"/>
            </w:pPr>
            <w:r w:rsidRPr="00E53A01">
              <w:t>enhanced capacity of</w:t>
            </w:r>
            <w:r w:rsidR="009C7258" w:rsidRPr="00E53A01">
              <w:t xml:space="preserve"> </w:t>
            </w:r>
            <w:r w:rsidR="00041914" w:rsidRPr="00E53A01">
              <w:t xml:space="preserve">national project teams and </w:t>
            </w:r>
            <w:r w:rsidR="009C7258" w:rsidRPr="00E53A01">
              <w:t>IP policy decision-makers</w:t>
            </w:r>
            <w:r w:rsidR="00884BBD" w:rsidRPr="00E53A01">
              <w:t xml:space="preserve"> </w:t>
            </w:r>
            <w:r w:rsidR="009C7258" w:rsidRPr="00E53A01">
              <w:t xml:space="preserve">to </w:t>
            </w:r>
            <w:r w:rsidR="00C239B4" w:rsidRPr="00E53A01">
              <w:t>facilitate the successful development and implementation of NIPS.</w:t>
            </w:r>
          </w:p>
          <w:p w14:paraId="06D8143D" w14:textId="77777777" w:rsidR="00E26F0F" w:rsidRPr="00E53A01" w:rsidRDefault="00695288" w:rsidP="000E77F2">
            <w:pPr>
              <w:pStyle w:val="TableParagraph"/>
              <w:spacing w:before="220" w:after="220"/>
              <w:ind w:left="110"/>
            </w:pPr>
            <w:r w:rsidRPr="00E53A01">
              <w:t xml:space="preserve">The project will deliver the following </w:t>
            </w:r>
            <w:r w:rsidRPr="00E53A01">
              <w:rPr>
                <w:b/>
              </w:rPr>
              <w:t>outputs</w:t>
            </w:r>
            <w:r w:rsidRPr="00E53A01">
              <w:t>:</w:t>
            </w:r>
          </w:p>
          <w:p w14:paraId="7072CB68" w14:textId="49AB7792" w:rsidR="00CE4596" w:rsidRDefault="00E26F0F" w:rsidP="000E77F2">
            <w:pPr>
              <w:pStyle w:val="TableParagraph"/>
              <w:spacing w:before="220" w:after="220"/>
              <w:ind w:left="110"/>
            </w:pPr>
            <w:r w:rsidRPr="00E53A01">
              <w:rPr>
                <w:b/>
                <w:bCs/>
              </w:rPr>
              <w:t xml:space="preserve">Output 1 </w:t>
            </w:r>
            <w:r w:rsidRPr="00E53A01">
              <w:t>–</w:t>
            </w:r>
            <w:r w:rsidR="005B6638">
              <w:t xml:space="preserve"> </w:t>
            </w:r>
            <w:r w:rsidR="00DE0A75">
              <w:t xml:space="preserve">Inclusion </w:t>
            </w:r>
            <w:r w:rsidR="00CF6487" w:rsidRPr="00CF6487">
              <w:t xml:space="preserve">of </w:t>
            </w:r>
            <w:r w:rsidR="001A14E0">
              <w:t xml:space="preserve">official and </w:t>
            </w:r>
            <w:r w:rsidR="00CF6487" w:rsidRPr="00CF6487">
              <w:t>publicly available NIPS in the WIPO Lex Database.</w:t>
            </w:r>
          </w:p>
          <w:p w14:paraId="16C607E9" w14:textId="1D166140" w:rsidR="00695288" w:rsidRPr="00E53A01" w:rsidRDefault="00E26F0F" w:rsidP="000E77F2">
            <w:pPr>
              <w:pStyle w:val="TableParagraph"/>
              <w:spacing w:before="220" w:after="220"/>
              <w:ind w:left="110"/>
            </w:pPr>
            <w:r w:rsidRPr="00E53A01">
              <w:rPr>
                <w:b/>
                <w:bCs/>
              </w:rPr>
              <w:t xml:space="preserve">Output 2 </w:t>
            </w:r>
            <w:r w:rsidRPr="00E53A01">
              <w:t xml:space="preserve">– </w:t>
            </w:r>
            <w:r w:rsidR="00222CC8" w:rsidRPr="00E53A01">
              <w:t>Five case studies on the development</w:t>
            </w:r>
            <w:r w:rsidR="00DE5D9E">
              <w:t xml:space="preserve"> or implementation</w:t>
            </w:r>
            <w:r w:rsidR="00222CC8" w:rsidRPr="00E53A01">
              <w:t xml:space="preserve"> of NIPS in selected Member States.</w:t>
            </w:r>
          </w:p>
          <w:p w14:paraId="447DAF82" w14:textId="69500D8B" w:rsidR="004F3312" w:rsidRPr="00E53A01" w:rsidRDefault="00E26F0F" w:rsidP="000E77F2">
            <w:pPr>
              <w:pStyle w:val="TableParagraph"/>
              <w:spacing w:before="220" w:after="220"/>
              <w:ind w:left="110"/>
            </w:pPr>
            <w:r w:rsidRPr="00E53A01">
              <w:rPr>
                <w:b/>
                <w:bCs/>
              </w:rPr>
              <w:t xml:space="preserve">Output 3 </w:t>
            </w:r>
            <w:r w:rsidRPr="00E53A01">
              <w:t xml:space="preserve">– </w:t>
            </w:r>
            <w:r w:rsidR="00B2551D" w:rsidRPr="00B2551D">
              <w:t>Training/capacity building materials on the role of IP in the sectors/clusters relevant to NIPS</w:t>
            </w:r>
            <w:r w:rsidR="00421C8F">
              <w:t xml:space="preserve"> and </w:t>
            </w:r>
            <w:r w:rsidR="00D66321">
              <w:t xml:space="preserve">a toolkit for </w:t>
            </w:r>
            <w:r w:rsidR="00F658F7">
              <w:t>country-led evaluation</w:t>
            </w:r>
            <w:r w:rsidR="001A14E0">
              <w:t xml:space="preserve"> and/or monitoring</w:t>
            </w:r>
            <w:r w:rsidR="00380089" w:rsidRPr="00380089">
              <w:t xml:space="preserve"> of NIPS implementation</w:t>
            </w:r>
            <w:r w:rsidR="00695288" w:rsidRPr="00E53A01">
              <w:t>.</w:t>
            </w:r>
          </w:p>
          <w:p w14:paraId="11284BBC" w14:textId="5E340E7F" w:rsidR="00144F42" w:rsidRPr="00E53A01" w:rsidDel="00821A8E" w:rsidRDefault="004F3312" w:rsidP="000E77F2">
            <w:pPr>
              <w:pStyle w:val="TableParagraph"/>
              <w:spacing w:before="220" w:after="220"/>
              <w:ind w:left="115"/>
            </w:pPr>
            <w:r w:rsidRPr="00E53A01">
              <w:rPr>
                <w:b/>
                <w:bCs/>
              </w:rPr>
              <w:t xml:space="preserve">Output 4 </w:t>
            </w:r>
            <w:r w:rsidRPr="00E53A01">
              <w:t xml:space="preserve">– </w:t>
            </w:r>
            <w:r w:rsidR="001D5D83" w:rsidRPr="00E53A01">
              <w:t xml:space="preserve">Awareness-raising </w:t>
            </w:r>
            <w:r w:rsidR="00DE0A75">
              <w:t xml:space="preserve">materials </w:t>
            </w:r>
            <w:r w:rsidR="001D5D83" w:rsidRPr="00E53A01">
              <w:t>on key factors for success, examples of good practices for developing and implementing NIPS.</w:t>
            </w:r>
          </w:p>
        </w:tc>
      </w:tr>
      <w:tr w:rsidR="006D2048" w:rsidRPr="00E53A01" w14:paraId="7D448862" w14:textId="77777777" w:rsidTr="00F8371A">
        <w:trPr>
          <w:trHeight w:val="280"/>
        </w:trPr>
        <w:tc>
          <w:tcPr>
            <w:tcW w:w="9352" w:type="dxa"/>
            <w:gridSpan w:val="2"/>
            <w:shd w:val="clear" w:color="auto" w:fill="00FFCC"/>
          </w:tcPr>
          <w:p w14:paraId="3824F7D5" w14:textId="77777777" w:rsidR="006D2048" w:rsidRPr="00E53A01" w:rsidRDefault="006D2048" w:rsidP="006D2048">
            <w:pPr>
              <w:pStyle w:val="TableParagraph"/>
              <w:ind w:left="110"/>
              <w:jc w:val="center"/>
              <w:rPr>
                <w:b/>
                <w:bCs/>
              </w:rPr>
            </w:pPr>
            <w:r w:rsidRPr="00E53A01">
              <w:rPr>
                <w:b/>
                <w:bCs/>
              </w:rPr>
              <w:t xml:space="preserve">2.3 Project Implementation Strategy </w:t>
            </w:r>
          </w:p>
        </w:tc>
      </w:tr>
      <w:tr w:rsidR="006D2048" w:rsidRPr="00E53A01" w14:paraId="7909A6FF" w14:textId="77777777" w:rsidTr="00F8371A">
        <w:trPr>
          <w:trHeight w:val="280"/>
        </w:trPr>
        <w:tc>
          <w:tcPr>
            <w:tcW w:w="9352" w:type="dxa"/>
            <w:gridSpan w:val="2"/>
            <w:shd w:val="clear" w:color="auto" w:fill="auto"/>
          </w:tcPr>
          <w:p w14:paraId="0B6F6DC3" w14:textId="53FEED56" w:rsidR="00C6156A" w:rsidRPr="00E53A01" w:rsidRDefault="00C6156A" w:rsidP="000E77F2">
            <w:pPr>
              <w:pStyle w:val="TableParagraph"/>
              <w:spacing w:before="220" w:after="220"/>
              <w:ind w:left="110"/>
            </w:pPr>
            <w:r w:rsidRPr="00E53A01">
              <w:t>The project outcomes and outputs will be achieved through the following activities:</w:t>
            </w:r>
          </w:p>
          <w:p w14:paraId="407DA03F" w14:textId="2543A24C" w:rsidR="006629C1" w:rsidRDefault="00144F42" w:rsidP="000E77F2">
            <w:pPr>
              <w:pStyle w:val="TableParagraph"/>
              <w:spacing w:before="240" w:after="220"/>
              <w:ind w:left="115"/>
            </w:pPr>
            <w:r w:rsidRPr="00E53A01">
              <w:rPr>
                <w:b/>
                <w:bCs/>
              </w:rPr>
              <w:lastRenderedPageBreak/>
              <w:t xml:space="preserve">Output 1 </w:t>
            </w:r>
            <w:r w:rsidRPr="00E53A01">
              <w:t xml:space="preserve">– </w:t>
            </w:r>
            <w:r w:rsidR="00DE0A75">
              <w:t xml:space="preserve">Inclusion </w:t>
            </w:r>
            <w:r w:rsidR="006629C1">
              <w:t xml:space="preserve">of </w:t>
            </w:r>
            <w:r w:rsidR="003D7DA4">
              <w:t xml:space="preserve">official and </w:t>
            </w:r>
            <w:r w:rsidR="006629C1">
              <w:t>publicly available NIPS in the WIPO Lex Database</w:t>
            </w:r>
            <w:r w:rsidR="00B228FC">
              <w:t>.</w:t>
            </w:r>
          </w:p>
          <w:p w14:paraId="5E864D01" w14:textId="77777777" w:rsidR="00200747" w:rsidRPr="00E53A01" w:rsidRDefault="00200747" w:rsidP="000E77F2">
            <w:pPr>
              <w:pStyle w:val="TableParagraph"/>
              <w:spacing w:before="220" w:after="220"/>
              <w:ind w:left="110"/>
              <w:rPr>
                <w:b/>
              </w:rPr>
            </w:pPr>
            <w:r w:rsidRPr="00E53A01">
              <w:rPr>
                <w:b/>
              </w:rPr>
              <w:t>Activities:</w:t>
            </w:r>
          </w:p>
          <w:p w14:paraId="35E2BBF2" w14:textId="0261F696" w:rsidR="00DE0A75" w:rsidRPr="00BA44F1" w:rsidRDefault="00DE0A75" w:rsidP="000E77F2">
            <w:pPr>
              <w:pStyle w:val="TableParagraph"/>
              <w:numPr>
                <w:ilvl w:val="0"/>
                <w:numId w:val="17"/>
              </w:numPr>
              <w:spacing w:before="220" w:after="220"/>
              <w:ind w:left="750"/>
              <w:rPr>
                <w:b/>
              </w:rPr>
            </w:pPr>
            <w:r>
              <w:rPr>
                <w:bCs/>
              </w:rPr>
              <w:t xml:space="preserve">Collect </w:t>
            </w:r>
            <w:r w:rsidR="003D7DA4">
              <w:rPr>
                <w:bCs/>
              </w:rPr>
              <w:t xml:space="preserve">official and </w:t>
            </w:r>
            <w:r w:rsidR="00E857E6">
              <w:rPr>
                <w:bCs/>
              </w:rPr>
              <w:t xml:space="preserve">publicly available </w:t>
            </w:r>
            <w:r w:rsidR="00A31D19">
              <w:rPr>
                <w:bCs/>
              </w:rPr>
              <w:t>NIPS</w:t>
            </w:r>
            <w:r w:rsidR="000E7D32">
              <w:rPr>
                <w:bCs/>
              </w:rPr>
              <w:t>.</w:t>
            </w:r>
            <w:r w:rsidR="00195A4C">
              <w:rPr>
                <w:bCs/>
              </w:rPr>
              <w:t xml:space="preserve"> </w:t>
            </w:r>
          </w:p>
          <w:p w14:paraId="4162D5BA" w14:textId="7BE58F99" w:rsidR="00D55618" w:rsidRPr="00C913AC" w:rsidRDefault="00DE0A75" w:rsidP="000E77F2">
            <w:pPr>
              <w:pStyle w:val="TableParagraph"/>
              <w:numPr>
                <w:ilvl w:val="0"/>
                <w:numId w:val="17"/>
              </w:numPr>
              <w:spacing w:before="220" w:after="220"/>
              <w:ind w:left="750"/>
              <w:rPr>
                <w:b/>
              </w:rPr>
            </w:pPr>
            <w:r>
              <w:rPr>
                <w:bCs/>
              </w:rPr>
              <w:t xml:space="preserve">Include </w:t>
            </w:r>
            <w:r w:rsidR="003D7DA4">
              <w:rPr>
                <w:bCs/>
              </w:rPr>
              <w:t xml:space="preserve">official and </w:t>
            </w:r>
            <w:r>
              <w:rPr>
                <w:bCs/>
              </w:rPr>
              <w:t xml:space="preserve">publicly available NIPS </w:t>
            </w:r>
            <w:r w:rsidR="00195A4C">
              <w:rPr>
                <w:bCs/>
              </w:rPr>
              <w:t>in the WIPO Lex Database</w:t>
            </w:r>
            <w:r w:rsidR="00D55618">
              <w:rPr>
                <w:bCs/>
              </w:rPr>
              <w:t>.</w:t>
            </w:r>
          </w:p>
          <w:p w14:paraId="62B8F3F4" w14:textId="1B4E22CA" w:rsidR="00A31D19" w:rsidRPr="00FB5D8B" w:rsidRDefault="003E503B" w:rsidP="000E77F2">
            <w:pPr>
              <w:pStyle w:val="TableParagraph"/>
              <w:numPr>
                <w:ilvl w:val="0"/>
                <w:numId w:val="17"/>
              </w:numPr>
              <w:spacing w:before="220" w:after="220"/>
              <w:ind w:left="750"/>
              <w:rPr>
                <w:b/>
              </w:rPr>
            </w:pPr>
            <w:r w:rsidRPr="00FB5D8B">
              <w:rPr>
                <w:bCs/>
              </w:rPr>
              <w:t>Add</w:t>
            </w:r>
            <w:r w:rsidR="00A31D19" w:rsidRPr="00FB5D8B">
              <w:rPr>
                <w:bCs/>
              </w:rPr>
              <w:t xml:space="preserve"> access to </w:t>
            </w:r>
            <w:r w:rsidR="00DE0A75" w:rsidRPr="00FB5D8B">
              <w:rPr>
                <w:bCs/>
              </w:rPr>
              <w:t>the WIPO Lex Database</w:t>
            </w:r>
            <w:r w:rsidR="00F81701" w:rsidRPr="00FB5D8B">
              <w:rPr>
                <w:bCs/>
              </w:rPr>
              <w:t>, ideally,</w:t>
            </w:r>
            <w:r w:rsidR="00A31D19" w:rsidRPr="00FB5D8B">
              <w:rPr>
                <w:bCs/>
              </w:rPr>
              <w:t xml:space="preserve"> </w:t>
            </w:r>
            <w:r w:rsidR="00B9579F" w:rsidRPr="00B86ED1">
              <w:rPr>
                <w:bCs/>
                <w:i/>
                <w:iCs/>
              </w:rPr>
              <w:t>via</w:t>
            </w:r>
            <w:r w:rsidR="00A31D19" w:rsidRPr="00FB5D8B">
              <w:rPr>
                <w:bCs/>
              </w:rPr>
              <w:t xml:space="preserve"> the WIPO </w:t>
            </w:r>
            <w:r w:rsidR="00387A35">
              <w:rPr>
                <w:bCs/>
              </w:rPr>
              <w:t>NIPS</w:t>
            </w:r>
            <w:r w:rsidR="00A31D19" w:rsidRPr="00FB5D8B">
              <w:rPr>
                <w:bCs/>
              </w:rPr>
              <w:t xml:space="preserve"> webpage.</w:t>
            </w:r>
            <w:r w:rsidR="00A31D19" w:rsidRPr="00FB5D8B">
              <w:rPr>
                <w:rStyle w:val="FootnoteReference"/>
                <w:bCs/>
              </w:rPr>
              <w:footnoteReference w:id="1"/>
            </w:r>
          </w:p>
          <w:p w14:paraId="14718E54" w14:textId="452258D6" w:rsidR="00200747" w:rsidRPr="00E53A01" w:rsidRDefault="00144F42" w:rsidP="000E77F2">
            <w:pPr>
              <w:pStyle w:val="TableParagraph"/>
              <w:spacing w:before="220" w:after="220"/>
              <w:ind w:left="110"/>
            </w:pPr>
            <w:r w:rsidRPr="00E53A01">
              <w:rPr>
                <w:b/>
                <w:bCs/>
              </w:rPr>
              <w:t xml:space="preserve">Output 2 </w:t>
            </w:r>
            <w:r w:rsidRPr="00E53A01">
              <w:t xml:space="preserve">– </w:t>
            </w:r>
            <w:r w:rsidR="00533BAF" w:rsidRPr="00E53A01">
              <w:t>Five</w:t>
            </w:r>
            <w:r w:rsidR="0054381C" w:rsidRPr="00E53A01">
              <w:t xml:space="preserve"> case studies on the development</w:t>
            </w:r>
            <w:r w:rsidR="00396BF0">
              <w:t xml:space="preserve"> or implementation</w:t>
            </w:r>
            <w:r w:rsidR="0054381C" w:rsidRPr="00E53A01">
              <w:t xml:space="preserve"> of NIPS in selected Member States</w:t>
            </w:r>
            <w:r w:rsidR="00200747" w:rsidRPr="00E53A01">
              <w:t>.</w:t>
            </w:r>
          </w:p>
          <w:p w14:paraId="0C16C3D7" w14:textId="77777777" w:rsidR="00200747" w:rsidRPr="00E53A01" w:rsidRDefault="00200747" w:rsidP="000E77F2">
            <w:pPr>
              <w:pStyle w:val="TableParagraph"/>
              <w:spacing w:before="220" w:after="220"/>
              <w:ind w:left="110"/>
              <w:rPr>
                <w:b/>
              </w:rPr>
            </w:pPr>
            <w:r w:rsidRPr="00E53A01">
              <w:rPr>
                <w:b/>
              </w:rPr>
              <w:t>Activities:</w:t>
            </w:r>
          </w:p>
          <w:p w14:paraId="3C80E210" w14:textId="08F02D80" w:rsidR="00627C3B" w:rsidRPr="00E53A01" w:rsidRDefault="0054381C" w:rsidP="000E77F2">
            <w:pPr>
              <w:pStyle w:val="TableParagraph"/>
              <w:numPr>
                <w:ilvl w:val="0"/>
                <w:numId w:val="18"/>
              </w:numPr>
              <w:spacing w:before="220" w:after="220"/>
              <w:ind w:left="750"/>
              <w:rPr>
                <w:b/>
              </w:rPr>
            </w:pPr>
            <w:r w:rsidRPr="00E53A01">
              <w:t xml:space="preserve">Identify </w:t>
            </w:r>
            <w:r w:rsidR="00A67A42" w:rsidRPr="00E53A01">
              <w:t>five</w:t>
            </w:r>
            <w:r w:rsidRPr="00E53A01">
              <w:t xml:space="preserve"> Member States that have developed NIPS</w:t>
            </w:r>
            <w:r w:rsidR="00D902B2" w:rsidRPr="00E53A01">
              <w:t>.</w:t>
            </w:r>
          </w:p>
          <w:p w14:paraId="21BF4D45" w14:textId="615B13F7" w:rsidR="0054381C" w:rsidRPr="00E53A01" w:rsidRDefault="0054381C" w:rsidP="000E77F2">
            <w:pPr>
              <w:pStyle w:val="TableParagraph"/>
              <w:numPr>
                <w:ilvl w:val="0"/>
                <w:numId w:val="18"/>
              </w:numPr>
              <w:spacing w:before="220" w:after="220"/>
              <w:ind w:left="750"/>
              <w:rPr>
                <w:b/>
              </w:rPr>
            </w:pPr>
            <w:r w:rsidRPr="00E53A01">
              <w:t xml:space="preserve">Collect </w:t>
            </w:r>
            <w:r w:rsidR="00DE0A75">
              <w:t xml:space="preserve">and document </w:t>
            </w:r>
            <w:r w:rsidRPr="00E53A01">
              <w:t xml:space="preserve">good practices, factors for success and challenges in </w:t>
            </w:r>
            <w:r w:rsidR="00AB157F" w:rsidRPr="00E53A01">
              <w:t>selected</w:t>
            </w:r>
            <w:r w:rsidRPr="00E53A01">
              <w:t xml:space="preserve"> Member State, </w:t>
            </w:r>
            <w:proofErr w:type="gramStart"/>
            <w:r w:rsidRPr="00E53A01">
              <w:t>in light of</w:t>
            </w:r>
            <w:proofErr w:type="gramEnd"/>
            <w:r w:rsidRPr="00E53A01">
              <w:t xml:space="preserve"> national realities, priorities and needs.</w:t>
            </w:r>
          </w:p>
          <w:p w14:paraId="01987FDB" w14:textId="017A0AF6" w:rsidR="00C2119B" w:rsidRPr="00E53A01" w:rsidRDefault="00864B7F" w:rsidP="000E77F2">
            <w:pPr>
              <w:pStyle w:val="TableParagraph"/>
              <w:spacing w:before="220" w:after="220"/>
              <w:ind w:left="110"/>
            </w:pPr>
            <w:r w:rsidRPr="00E53A01">
              <w:rPr>
                <w:b/>
                <w:bCs/>
              </w:rPr>
              <w:t xml:space="preserve">Output 3 </w:t>
            </w:r>
            <w:r w:rsidRPr="00E53A01">
              <w:t xml:space="preserve">– </w:t>
            </w:r>
            <w:r w:rsidR="00C4126B" w:rsidRPr="00C4126B">
              <w:t xml:space="preserve">Training/capacity building materials on the role of IP in the sectors/clusters relevant to NIPS and </w:t>
            </w:r>
            <w:r w:rsidR="00D66321">
              <w:t xml:space="preserve">a toolkit for </w:t>
            </w:r>
            <w:r w:rsidR="000223C1">
              <w:t>country-led evaluation</w:t>
            </w:r>
            <w:r w:rsidR="003C770F">
              <w:t xml:space="preserve"> and/or monitoring</w:t>
            </w:r>
            <w:r w:rsidR="00C4126B" w:rsidRPr="00C4126B">
              <w:t xml:space="preserve"> of NIPS implementation</w:t>
            </w:r>
            <w:r w:rsidR="00200747" w:rsidRPr="00E53A01">
              <w:t>.</w:t>
            </w:r>
          </w:p>
          <w:p w14:paraId="1AE97982" w14:textId="77777777" w:rsidR="00200747" w:rsidRPr="00E53A01" w:rsidRDefault="00200747" w:rsidP="000E77F2">
            <w:pPr>
              <w:pStyle w:val="TableParagraph"/>
              <w:spacing w:before="220" w:after="220"/>
              <w:ind w:left="110"/>
              <w:rPr>
                <w:b/>
              </w:rPr>
            </w:pPr>
            <w:r w:rsidRPr="00E53A01">
              <w:rPr>
                <w:b/>
              </w:rPr>
              <w:t>Activities:</w:t>
            </w:r>
          </w:p>
          <w:p w14:paraId="185F0126" w14:textId="6A1B66F3" w:rsidR="00FE5475" w:rsidRDefault="00421D28" w:rsidP="000E77F2">
            <w:pPr>
              <w:pStyle w:val="TableParagraph"/>
              <w:numPr>
                <w:ilvl w:val="0"/>
                <w:numId w:val="16"/>
              </w:numPr>
              <w:spacing w:before="220" w:after="220"/>
            </w:pPr>
            <w:r>
              <w:t>Undertake a l</w:t>
            </w:r>
            <w:r w:rsidR="00FE5475" w:rsidRPr="00E53A01">
              <w:t>iterature review on</w:t>
            </w:r>
            <w:r w:rsidR="000405D0" w:rsidRPr="00E53A01">
              <w:t xml:space="preserve"> the role of</w:t>
            </w:r>
            <w:r w:rsidR="00FE5475" w:rsidRPr="00E53A01">
              <w:t xml:space="preserve"> IP </w:t>
            </w:r>
            <w:r w:rsidR="00C52F6B" w:rsidRPr="00E53A01">
              <w:t>in</w:t>
            </w:r>
            <w:r w:rsidR="000405D0" w:rsidRPr="00E53A01">
              <w:t xml:space="preserve"> the sectors/clusters</w:t>
            </w:r>
            <w:r w:rsidR="00761CBA" w:rsidRPr="00E53A01">
              <w:t xml:space="preserve"> </w:t>
            </w:r>
            <w:r w:rsidR="00E6093A" w:rsidRPr="00E53A01">
              <w:t>relevant to NIPS</w:t>
            </w:r>
            <w:r w:rsidR="00A949FA" w:rsidRPr="00E53A01">
              <w:t>.</w:t>
            </w:r>
          </w:p>
          <w:p w14:paraId="745D5A51" w14:textId="61C69452" w:rsidR="00D66321" w:rsidRDefault="00D66321" w:rsidP="000E77F2">
            <w:pPr>
              <w:pStyle w:val="TableParagraph"/>
              <w:numPr>
                <w:ilvl w:val="0"/>
                <w:numId w:val="16"/>
              </w:numPr>
              <w:spacing w:before="220" w:after="220"/>
            </w:pPr>
            <w:r>
              <w:t>Prepare training/capacity building materials based on the literature review.</w:t>
            </w:r>
          </w:p>
          <w:p w14:paraId="75C532A5" w14:textId="4C032DAE" w:rsidR="00C4126B" w:rsidRDefault="00421D28" w:rsidP="000E77F2">
            <w:pPr>
              <w:pStyle w:val="TableParagraph"/>
              <w:numPr>
                <w:ilvl w:val="0"/>
                <w:numId w:val="16"/>
              </w:numPr>
              <w:spacing w:before="220" w:after="220"/>
            </w:pPr>
            <w:r>
              <w:t xml:space="preserve">Develop a </w:t>
            </w:r>
            <w:r w:rsidR="00623E5B">
              <w:t>t</w:t>
            </w:r>
            <w:r w:rsidR="00C4126B">
              <w:t xml:space="preserve">oolkit for </w:t>
            </w:r>
            <w:r w:rsidR="003A200E">
              <w:t>country-led evaluation</w:t>
            </w:r>
            <w:r w:rsidR="003A200E" w:rsidRPr="00C4126B">
              <w:t xml:space="preserve"> </w:t>
            </w:r>
            <w:r w:rsidR="00850BFB">
              <w:t>and/or monitoring of NIPS</w:t>
            </w:r>
            <w:r w:rsidR="003C770F">
              <w:t xml:space="preserve"> implementation</w:t>
            </w:r>
            <w:r w:rsidR="00850BFB">
              <w:t>.</w:t>
            </w:r>
          </w:p>
          <w:p w14:paraId="25870FD0" w14:textId="46A6D545" w:rsidR="00200747" w:rsidRPr="00E53A01" w:rsidRDefault="00864B7F" w:rsidP="000E77F2">
            <w:pPr>
              <w:pStyle w:val="TableParagraph"/>
              <w:spacing w:before="220" w:after="220"/>
              <w:ind w:left="110"/>
            </w:pPr>
            <w:r w:rsidRPr="00E53A01">
              <w:rPr>
                <w:b/>
                <w:bCs/>
              </w:rPr>
              <w:t xml:space="preserve">Output 4 </w:t>
            </w:r>
            <w:r w:rsidRPr="00E53A01">
              <w:t>–</w:t>
            </w:r>
            <w:r w:rsidR="00200747" w:rsidRPr="00E53A01">
              <w:t xml:space="preserve"> </w:t>
            </w:r>
            <w:r w:rsidR="00A912EB" w:rsidRPr="00E53A01">
              <w:t>Awareness-raising</w:t>
            </w:r>
            <w:r w:rsidR="00AB157F" w:rsidRPr="00E53A01">
              <w:t xml:space="preserve"> </w:t>
            </w:r>
            <w:r w:rsidR="00D66321">
              <w:t xml:space="preserve">materials </w:t>
            </w:r>
            <w:r w:rsidR="00AB157F" w:rsidRPr="00E53A01">
              <w:t>on</w:t>
            </w:r>
            <w:r w:rsidR="0039755D" w:rsidRPr="00E53A01">
              <w:t xml:space="preserve"> </w:t>
            </w:r>
            <w:r w:rsidR="001D5D83" w:rsidRPr="00E53A01">
              <w:t>k</w:t>
            </w:r>
            <w:r w:rsidR="0039755D" w:rsidRPr="00E53A01">
              <w:t xml:space="preserve">ey </w:t>
            </w:r>
            <w:r w:rsidR="001D5D83" w:rsidRPr="00E53A01">
              <w:t>f</w:t>
            </w:r>
            <w:r w:rsidR="0039755D" w:rsidRPr="00E53A01">
              <w:t>actor</w:t>
            </w:r>
            <w:r w:rsidR="005231B1" w:rsidRPr="00E53A01">
              <w:t>s</w:t>
            </w:r>
            <w:r w:rsidR="0039755D" w:rsidRPr="00E53A01">
              <w:t xml:space="preserve"> for </w:t>
            </w:r>
            <w:r w:rsidR="001D5D83" w:rsidRPr="00E53A01">
              <w:t>s</w:t>
            </w:r>
            <w:r w:rsidR="0039755D" w:rsidRPr="00E53A01">
              <w:t>uccess</w:t>
            </w:r>
            <w:r w:rsidR="00C2119B" w:rsidRPr="00E53A01">
              <w:t xml:space="preserve">, </w:t>
            </w:r>
            <w:r w:rsidR="001D5D83" w:rsidRPr="00E53A01">
              <w:t>g</w:t>
            </w:r>
            <w:r w:rsidR="00C2119B" w:rsidRPr="00E53A01">
              <w:t xml:space="preserve">ood </w:t>
            </w:r>
            <w:r w:rsidR="001D5D83" w:rsidRPr="00E53A01">
              <w:t>p</w:t>
            </w:r>
            <w:r w:rsidR="00C2119B" w:rsidRPr="00E53A01">
              <w:t>ractices</w:t>
            </w:r>
            <w:r w:rsidR="0039755D" w:rsidRPr="00E53A01">
              <w:t xml:space="preserve"> for </w:t>
            </w:r>
            <w:r w:rsidR="001D5D83" w:rsidRPr="00E53A01">
              <w:t>d</w:t>
            </w:r>
            <w:r w:rsidR="0039755D" w:rsidRPr="00E53A01">
              <w:t xml:space="preserve">eveloping and </w:t>
            </w:r>
            <w:r w:rsidR="001D5D83" w:rsidRPr="00E53A01">
              <w:t>i</w:t>
            </w:r>
            <w:r w:rsidR="0039755D" w:rsidRPr="00E53A01">
              <w:t>mplementing NIPS</w:t>
            </w:r>
            <w:r w:rsidR="00200747" w:rsidRPr="00E53A01">
              <w:t>.</w:t>
            </w:r>
          </w:p>
          <w:p w14:paraId="6054E055" w14:textId="77777777" w:rsidR="00200747" w:rsidRPr="00E53A01" w:rsidRDefault="00200747" w:rsidP="000E77F2">
            <w:pPr>
              <w:pStyle w:val="TableParagraph"/>
              <w:spacing w:before="220" w:after="220"/>
              <w:ind w:left="110"/>
              <w:rPr>
                <w:b/>
              </w:rPr>
            </w:pPr>
            <w:r w:rsidRPr="00E53A01">
              <w:rPr>
                <w:b/>
              </w:rPr>
              <w:t>Activities:</w:t>
            </w:r>
          </w:p>
          <w:p w14:paraId="224B72DC" w14:textId="6CD20FBB" w:rsidR="00A912EB" w:rsidRPr="00E53A01" w:rsidRDefault="00F10720" w:rsidP="000E77F2">
            <w:pPr>
              <w:pStyle w:val="TableParagraph"/>
              <w:numPr>
                <w:ilvl w:val="0"/>
                <w:numId w:val="19"/>
              </w:numPr>
              <w:spacing w:before="220" w:after="220"/>
            </w:pPr>
            <w:r>
              <w:t>Organize t</w:t>
            </w:r>
            <w:r w:rsidR="00972BF0">
              <w:t xml:space="preserve">wo </w:t>
            </w:r>
            <w:r w:rsidR="000238F5">
              <w:t>w</w:t>
            </w:r>
            <w:r w:rsidR="00A912EB" w:rsidRPr="00E53A01">
              <w:t>orkshops bringing together interested Member States and experts to exchange views on trends or good practices, share experiences on the development and implementation of NIPS and discuss trends or good practices.</w:t>
            </w:r>
          </w:p>
          <w:p w14:paraId="493107EB" w14:textId="1F78A724" w:rsidR="00200747" w:rsidRPr="000E77F2" w:rsidRDefault="005231B1" w:rsidP="000E77F2">
            <w:pPr>
              <w:pStyle w:val="TableParagraph"/>
              <w:numPr>
                <w:ilvl w:val="0"/>
                <w:numId w:val="19"/>
              </w:numPr>
              <w:spacing w:before="220" w:after="220"/>
              <w:rPr>
                <w:bCs/>
              </w:rPr>
            </w:pPr>
            <w:r w:rsidRPr="00E53A01">
              <w:t>Develop a Guide on Key Factors for Success, Examples of Trends or Good Practices for Developing and Implementing NIPS.</w:t>
            </w:r>
            <w:r w:rsidR="005F2488" w:rsidRPr="00E53A01">
              <w:t xml:space="preserve">  </w:t>
            </w:r>
          </w:p>
        </w:tc>
      </w:tr>
      <w:tr w:rsidR="006D2048" w:rsidRPr="00E53A01" w14:paraId="1899A1AE" w14:textId="77777777" w:rsidTr="00F8371A">
        <w:trPr>
          <w:trHeight w:val="280"/>
        </w:trPr>
        <w:tc>
          <w:tcPr>
            <w:tcW w:w="9352" w:type="dxa"/>
            <w:gridSpan w:val="2"/>
            <w:shd w:val="clear" w:color="auto" w:fill="00FFCC"/>
          </w:tcPr>
          <w:p w14:paraId="025882AC" w14:textId="77777777" w:rsidR="006D2048" w:rsidRPr="00E53A01" w:rsidRDefault="006D2048" w:rsidP="006D2048">
            <w:pPr>
              <w:pStyle w:val="TableParagraph"/>
              <w:ind w:left="110"/>
              <w:jc w:val="center"/>
              <w:rPr>
                <w:b/>
                <w:bCs/>
              </w:rPr>
            </w:pPr>
            <w:r w:rsidRPr="00E53A01">
              <w:rPr>
                <w:b/>
                <w:bCs/>
              </w:rPr>
              <w:lastRenderedPageBreak/>
              <w:t>2.4 Project Indicators</w:t>
            </w:r>
          </w:p>
        </w:tc>
      </w:tr>
      <w:tr w:rsidR="005B1DF6" w:rsidRPr="00E53A01" w14:paraId="59CE4039" w14:textId="5FFABF6A" w:rsidTr="005B1DF6">
        <w:trPr>
          <w:trHeight w:val="280"/>
        </w:trPr>
        <w:tc>
          <w:tcPr>
            <w:tcW w:w="4589" w:type="dxa"/>
            <w:tcBorders>
              <w:right w:val="single" w:sz="4" w:space="0" w:color="auto"/>
            </w:tcBorders>
            <w:shd w:val="clear" w:color="auto" w:fill="FFFFFF" w:themeFill="background1"/>
          </w:tcPr>
          <w:p w14:paraId="07BED60B" w14:textId="32037E47" w:rsidR="00854B08" w:rsidRPr="00E53A01" w:rsidRDefault="00854B08" w:rsidP="000E77F2">
            <w:pPr>
              <w:pStyle w:val="TableParagraph"/>
              <w:spacing w:before="220" w:after="220"/>
              <w:ind w:left="115"/>
              <w:jc w:val="center"/>
              <w:rPr>
                <w:u w:val="single"/>
              </w:rPr>
            </w:pPr>
            <w:r w:rsidRPr="00E53A01">
              <w:rPr>
                <w:u w:val="single"/>
              </w:rPr>
              <w:t>Project objective:</w:t>
            </w:r>
          </w:p>
          <w:p w14:paraId="680D1AE9" w14:textId="7099E6AD" w:rsidR="007C5318" w:rsidRPr="00E53A01" w:rsidRDefault="00854B08" w:rsidP="000E77F2">
            <w:pPr>
              <w:pStyle w:val="TableParagraph"/>
              <w:spacing w:before="220" w:after="220"/>
              <w:ind w:left="110"/>
            </w:pPr>
            <w:r w:rsidRPr="00E53A01">
              <w:t xml:space="preserve">The </w:t>
            </w:r>
            <w:r w:rsidRPr="00661F11">
              <w:t>overall pr</w:t>
            </w:r>
            <w:r w:rsidRPr="00826BA9">
              <w:rPr>
                <w:color w:val="000000" w:themeColor="text1"/>
              </w:rPr>
              <w:t xml:space="preserve">oject objective is to enhance the capacity of </w:t>
            </w:r>
            <w:r w:rsidRPr="00661F11">
              <w:t>WIPO Member States, especially developing and least developed countries, to develop and implement effective NIPS.</w:t>
            </w:r>
          </w:p>
        </w:tc>
        <w:tc>
          <w:tcPr>
            <w:tcW w:w="4763" w:type="dxa"/>
            <w:tcBorders>
              <w:left w:val="single" w:sz="4" w:space="0" w:color="auto"/>
            </w:tcBorders>
            <w:shd w:val="clear" w:color="auto" w:fill="FFFFFF" w:themeFill="background1"/>
          </w:tcPr>
          <w:p w14:paraId="204C1625" w14:textId="5E727889" w:rsidR="005B1DF6" w:rsidRPr="0096416C" w:rsidRDefault="00897F66" w:rsidP="000E77F2">
            <w:pPr>
              <w:pStyle w:val="Default"/>
              <w:spacing w:before="220" w:after="220"/>
              <w:jc w:val="center"/>
              <w:rPr>
                <w:sz w:val="22"/>
                <w:szCs w:val="22"/>
                <w:u w:val="single"/>
              </w:rPr>
            </w:pPr>
            <w:r w:rsidRPr="00E53A01">
              <w:rPr>
                <w:sz w:val="22"/>
                <w:szCs w:val="22"/>
                <w:u w:val="single"/>
              </w:rPr>
              <w:t xml:space="preserve">Objective indicator: </w:t>
            </w:r>
          </w:p>
          <w:p w14:paraId="318E2D82" w14:textId="3AC37D8B" w:rsidR="009923F8" w:rsidRPr="00E53A01" w:rsidRDefault="00FF0B2E" w:rsidP="001D671B">
            <w:pPr>
              <w:pStyle w:val="TableParagraph"/>
              <w:spacing w:before="220" w:after="220"/>
              <w:ind w:left="210" w:hanging="150"/>
            </w:pPr>
            <w:r>
              <w:t xml:space="preserve">- At </w:t>
            </w:r>
            <w:r w:rsidR="003D365D">
              <w:t>least 70% of the participants in the project activities report</w:t>
            </w:r>
            <w:r w:rsidR="00EB6C72">
              <w:t>ed</w:t>
            </w:r>
            <w:r w:rsidR="003D365D">
              <w:t xml:space="preserve"> </w:t>
            </w:r>
            <w:r w:rsidR="00C06832">
              <w:t>improved knowledge and skills</w:t>
            </w:r>
            <w:r w:rsidR="00EB6C72">
              <w:t xml:space="preserve"> </w:t>
            </w:r>
            <w:r w:rsidR="00EB6C72" w:rsidRPr="00661F11">
              <w:t>to develop and implement NIPS</w:t>
            </w:r>
            <w:r w:rsidR="00EB6C72">
              <w:t xml:space="preserve"> </w:t>
            </w:r>
            <w:r w:rsidR="003D365D">
              <w:t xml:space="preserve">at the end of the project implementation. </w:t>
            </w:r>
          </w:p>
        </w:tc>
      </w:tr>
      <w:tr w:rsidR="005B1DF6" w:rsidRPr="00E53A01" w14:paraId="4ED1CD2B" w14:textId="77F1BBB7" w:rsidTr="005B1DF6">
        <w:trPr>
          <w:trHeight w:val="280"/>
        </w:trPr>
        <w:tc>
          <w:tcPr>
            <w:tcW w:w="4589" w:type="dxa"/>
            <w:tcBorders>
              <w:right w:val="single" w:sz="4" w:space="0" w:color="auto"/>
            </w:tcBorders>
            <w:shd w:val="clear" w:color="auto" w:fill="FFFFFF" w:themeFill="background1"/>
          </w:tcPr>
          <w:p w14:paraId="31308337" w14:textId="7DE72206" w:rsidR="00E33C6A" w:rsidRPr="00661F11" w:rsidRDefault="00E33C6A" w:rsidP="000E77F2">
            <w:pPr>
              <w:pStyle w:val="Default"/>
              <w:spacing w:before="220" w:after="220"/>
              <w:jc w:val="center"/>
              <w:rPr>
                <w:sz w:val="22"/>
                <w:szCs w:val="22"/>
                <w:u w:val="single"/>
              </w:rPr>
            </w:pPr>
            <w:r w:rsidRPr="00661F11">
              <w:rPr>
                <w:sz w:val="22"/>
                <w:szCs w:val="22"/>
                <w:u w:val="single"/>
              </w:rPr>
              <w:lastRenderedPageBreak/>
              <w:t>Project outcomes:</w:t>
            </w:r>
          </w:p>
          <w:p w14:paraId="064206D8" w14:textId="2E0D2E0A" w:rsidR="00E53A01" w:rsidRPr="00661F11" w:rsidRDefault="00E53A01" w:rsidP="000E77F2">
            <w:pPr>
              <w:pStyle w:val="Default"/>
              <w:numPr>
                <w:ilvl w:val="0"/>
                <w:numId w:val="21"/>
              </w:numPr>
              <w:spacing w:before="220" w:after="220"/>
              <w:ind w:left="120" w:firstLine="0"/>
              <w:rPr>
                <w:sz w:val="22"/>
                <w:szCs w:val="22"/>
              </w:rPr>
            </w:pPr>
            <w:r w:rsidRPr="00BD27CB">
              <w:rPr>
                <w:sz w:val="22"/>
                <w:szCs w:val="22"/>
              </w:rPr>
              <w:t>Enhanced understanding by</w:t>
            </w:r>
            <w:r w:rsidRPr="00661F11">
              <w:rPr>
                <w:sz w:val="22"/>
                <w:szCs w:val="22"/>
              </w:rPr>
              <w:t xml:space="preserve"> WIPO Member States, including national project teams, IP policy decision-makers and any other stakeholders engaged in the development and implementation of NIPS, of the methodology and key factors for success for NIPS.</w:t>
            </w:r>
          </w:p>
          <w:p w14:paraId="6693CAA3" w14:textId="1B3E829F" w:rsidR="00E53A01" w:rsidRPr="00661F11" w:rsidRDefault="00E53A01" w:rsidP="000E77F2">
            <w:pPr>
              <w:pStyle w:val="Default"/>
              <w:spacing w:before="220" w:after="220"/>
              <w:ind w:left="480"/>
              <w:rPr>
                <w:sz w:val="22"/>
                <w:szCs w:val="22"/>
              </w:rPr>
            </w:pPr>
          </w:p>
        </w:tc>
        <w:tc>
          <w:tcPr>
            <w:tcW w:w="4763" w:type="dxa"/>
            <w:tcBorders>
              <w:left w:val="single" w:sz="4" w:space="0" w:color="auto"/>
            </w:tcBorders>
            <w:shd w:val="clear" w:color="auto" w:fill="FFFFFF" w:themeFill="background1"/>
          </w:tcPr>
          <w:p w14:paraId="51AFEEDD" w14:textId="0EDA5BBD" w:rsidR="00E33C6A" w:rsidRDefault="00E33C6A" w:rsidP="000E77F2">
            <w:pPr>
              <w:pStyle w:val="Default"/>
              <w:spacing w:before="220" w:after="220"/>
              <w:jc w:val="center"/>
              <w:rPr>
                <w:sz w:val="22"/>
                <w:szCs w:val="22"/>
                <w:u w:val="single"/>
              </w:rPr>
            </w:pPr>
            <w:r w:rsidRPr="00E53A01">
              <w:rPr>
                <w:sz w:val="22"/>
                <w:szCs w:val="22"/>
                <w:u w:val="single"/>
              </w:rPr>
              <w:t xml:space="preserve">Outcome indicators: </w:t>
            </w:r>
          </w:p>
          <w:p w14:paraId="22E82512" w14:textId="6022993A" w:rsidR="00B962C8" w:rsidRDefault="00B962C8" w:rsidP="000E77F2">
            <w:pPr>
              <w:pStyle w:val="TableParagraph"/>
              <w:spacing w:before="220" w:after="220"/>
              <w:ind w:left="210" w:hanging="150"/>
            </w:pPr>
            <w:r>
              <w:t xml:space="preserve">- </w:t>
            </w:r>
            <w:r w:rsidR="00F81701" w:rsidRPr="00B263D1">
              <w:t>40</w:t>
            </w:r>
            <w:r w:rsidR="00D66321" w:rsidRPr="00B263D1">
              <w:t xml:space="preserve"> unique visitors to t</w:t>
            </w:r>
            <w:r w:rsidRPr="00B263D1">
              <w:t>he Guide on Key Factors for Success</w:t>
            </w:r>
            <w:r w:rsidRPr="00E53A01">
              <w:t>, Examples of Trends or Good Practices for Developing and Implementing NIPS</w:t>
            </w:r>
            <w:r w:rsidR="009F1D70">
              <w:t xml:space="preserve">, including visitors downloading, </w:t>
            </w:r>
            <w:r w:rsidRPr="00413B64">
              <w:t xml:space="preserve">within the first year of </w:t>
            </w:r>
            <w:r w:rsidR="00D66321">
              <w:t>its</w:t>
            </w:r>
            <w:r w:rsidRPr="00413B64">
              <w:t xml:space="preserve"> availability on the WIPO website</w:t>
            </w:r>
            <w:r>
              <w:t>.</w:t>
            </w:r>
          </w:p>
          <w:p w14:paraId="0FBB4522" w14:textId="798B4F2E" w:rsidR="0096416C" w:rsidRPr="005D2DFA" w:rsidRDefault="00770BE3" w:rsidP="005D2DFA">
            <w:pPr>
              <w:pStyle w:val="Default"/>
              <w:spacing w:before="220" w:after="220"/>
              <w:ind w:left="210" w:hanging="180"/>
              <w:rPr>
                <w:sz w:val="22"/>
                <w:szCs w:val="22"/>
              </w:rPr>
            </w:pPr>
            <w:r>
              <w:rPr>
                <w:sz w:val="22"/>
                <w:szCs w:val="22"/>
              </w:rPr>
              <w:t xml:space="preserve">- 40 unique visitors, including downloads, to the NIPS in WIPO Lex </w:t>
            </w:r>
            <w:r w:rsidRPr="006B0E3A">
              <w:rPr>
                <w:sz w:val="22"/>
                <w:szCs w:val="22"/>
              </w:rPr>
              <w:t xml:space="preserve">within the first year of </w:t>
            </w:r>
            <w:r>
              <w:rPr>
                <w:sz w:val="22"/>
                <w:szCs w:val="22"/>
              </w:rPr>
              <w:t>its</w:t>
            </w:r>
            <w:r w:rsidRPr="006B0E3A">
              <w:rPr>
                <w:sz w:val="22"/>
                <w:szCs w:val="22"/>
              </w:rPr>
              <w:t xml:space="preserve"> availability on the WIPO website.</w:t>
            </w:r>
          </w:p>
        </w:tc>
      </w:tr>
      <w:tr w:rsidR="00E53A01" w:rsidRPr="00E53A01" w14:paraId="11A77D1D" w14:textId="77777777" w:rsidTr="005B1DF6">
        <w:trPr>
          <w:trHeight w:val="280"/>
        </w:trPr>
        <w:tc>
          <w:tcPr>
            <w:tcW w:w="4589" w:type="dxa"/>
            <w:tcBorders>
              <w:right w:val="single" w:sz="4" w:space="0" w:color="auto"/>
            </w:tcBorders>
            <w:shd w:val="clear" w:color="auto" w:fill="FFFFFF" w:themeFill="background1"/>
          </w:tcPr>
          <w:p w14:paraId="63219CFC" w14:textId="7C1FFACC" w:rsidR="00E53A01" w:rsidRPr="00661F11" w:rsidRDefault="00E53A01" w:rsidP="005D2DFA">
            <w:pPr>
              <w:pStyle w:val="Default"/>
              <w:numPr>
                <w:ilvl w:val="0"/>
                <w:numId w:val="21"/>
              </w:numPr>
              <w:spacing w:before="220" w:after="220"/>
              <w:ind w:left="120" w:firstLine="0"/>
              <w:rPr>
                <w:sz w:val="22"/>
                <w:szCs w:val="22"/>
              </w:rPr>
            </w:pPr>
            <w:r w:rsidRPr="00661F11">
              <w:rPr>
                <w:sz w:val="22"/>
                <w:szCs w:val="22"/>
              </w:rPr>
              <w:t xml:space="preserve">Enhanced </w:t>
            </w:r>
            <w:r w:rsidRPr="0069712A">
              <w:rPr>
                <w:sz w:val="22"/>
                <w:szCs w:val="22"/>
              </w:rPr>
              <w:t>capacity</w:t>
            </w:r>
            <w:r w:rsidRPr="00661F11">
              <w:rPr>
                <w:sz w:val="22"/>
                <w:szCs w:val="22"/>
              </w:rPr>
              <w:t xml:space="preserve"> of national project teams and IP policy decision-makers to facilitate the successful development and implementation of NIPS.</w:t>
            </w:r>
          </w:p>
          <w:p w14:paraId="27FBACE8" w14:textId="503CC9FD" w:rsidR="00E53A01" w:rsidRPr="00661F11" w:rsidRDefault="00E53A01" w:rsidP="005D2DFA">
            <w:pPr>
              <w:pStyle w:val="Default"/>
              <w:spacing w:before="220" w:after="220"/>
              <w:rPr>
                <w:sz w:val="22"/>
                <w:szCs w:val="22"/>
                <w:u w:val="single"/>
              </w:rPr>
            </w:pPr>
          </w:p>
        </w:tc>
        <w:tc>
          <w:tcPr>
            <w:tcW w:w="4763" w:type="dxa"/>
            <w:tcBorders>
              <w:left w:val="single" w:sz="4" w:space="0" w:color="auto"/>
            </w:tcBorders>
            <w:shd w:val="clear" w:color="auto" w:fill="FFFFFF" w:themeFill="background1"/>
          </w:tcPr>
          <w:p w14:paraId="7D250E6E" w14:textId="53022A28" w:rsidR="00093F98" w:rsidRPr="00093F98" w:rsidRDefault="0069712A" w:rsidP="005D2DFA">
            <w:pPr>
              <w:pStyle w:val="TableParagraph"/>
              <w:spacing w:before="220" w:after="220"/>
              <w:ind w:left="210" w:hanging="150"/>
            </w:pPr>
            <w:r>
              <w:t xml:space="preserve">- At least </w:t>
            </w:r>
            <w:r w:rsidR="006C4CF7">
              <w:t>6</w:t>
            </w:r>
            <w:r>
              <w:t xml:space="preserve">0% of Member States who </w:t>
            </w:r>
            <w:r w:rsidRPr="00E53A01">
              <w:t>sought WIPO’s support with the development or implementation of NIPS</w:t>
            </w:r>
            <w:r>
              <w:t xml:space="preserve"> within two years following the availability of the project’s outputs reported that </w:t>
            </w:r>
            <w:r w:rsidR="004E15EF">
              <w:t>at least one of</w:t>
            </w:r>
            <w:r w:rsidR="009F4F6D">
              <w:t xml:space="preserve"> </w:t>
            </w:r>
            <w:r>
              <w:t xml:space="preserve">the </w:t>
            </w:r>
            <w:r w:rsidRPr="00C37DF6">
              <w:t>outputs had helped them</w:t>
            </w:r>
            <w:r>
              <w:t xml:space="preserve"> through NIPS development and implementation processes.</w:t>
            </w:r>
          </w:p>
        </w:tc>
      </w:tr>
      <w:tr w:rsidR="00741E70" w:rsidRPr="00E53A01" w14:paraId="4C5E1EE5" w14:textId="77777777" w:rsidTr="005B1DF6">
        <w:trPr>
          <w:trHeight w:val="280"/>
        </w:trPr>
        <w:tc>
          <w:tcPr>
            <w:tcW w:w="4589" w:type="dxa"/>
            <w:tcBorders>
              <w:right w:val="single" w:sz="4" w:space="0" w:color="auto"/>
            </w:tcBorders>
            <w:shd w:val="clear" w:color="auto" w:fill="FFFFFF" w:themeFill="background1"/>
          </w:tcPr>
          <w:p w14:paraId="4F8A127C" w14:textId="0840FC5C" w:rsidR="00741E70" w:rsidRDefault="00741E70" w:rsidP="005D2DFA">
            <w:pPr>
              <w:pStyle w:val="Default"/>
              <w:spacing w:before="220" w:after="220"/>
              <w:jc w:val="center"/>
              <w:rPr>
                <w:sz w:val="22"/>
                <w:szCs w:val="22"/>
                <w:u w:val="single"/>
              </w:rPr>
            </w:pPr>
            <w:r w:rsidRPr="00661F11">
              <w:rPr>
                <w:sz w:val="22"/>
                <w:szCs w:val="22"/>
                <w:u w:val="single"/>
              </w:rPr>
              <w:t>Project out</w:t>
            </w:r>
            <w:r>
              <w:rPr>
                <w:sz w:val="22"/>
                <w:szCs w:val="22"/>
                <w:u w:val="single"/>
              </w:rPr>
              <w:t>puts</w:t>
            </w:r>
            <w:r w:rsidRPr="00661F11">
              <w:rPr>
                <w:sz w:val="22"/>
                <w:szCs w:val="22"/>
                <w:u w:val="single"/>
              </w:rPr>
              <w:t xml:space="preserve">: </w:t>
            </w:r>
          </w:p>
          <w:p w14:paraId="2AB268B8" w14:textId="1B4C3D11" w:rsidR="00A43CD0" w:rsidRPr="00661F11" w:rsidRDefault="00F43D83" w:rsidP="005D2DFA">
            <w:pPr>
              <w:pStyle w:val="Default"/>
              <w:spacing w:before="220" w:after="220"/>
              <w:ind w:left="120"/>
              <w:rPr>
                <w:sz w:val="22"/>
                <w:szCs w:val="22"/>
              </w:rPr>
            </w:pPr>
            <w:r w:rsidRPr="006E15DB">
              <w:rPr>
                <w:sz w:val="22"/>
                <w:szCs w:val="22"/>
              </w:rPr>
              <w:t xml:space="preserve">Inclusion of </w:t>
            </w:r>
            <w:r w:rsidR="000230CE" w:rsidRPr="006E15DB">
              <w:rPr>
                <w:sz w:val="22"/>
                <w:szCs w:val="22"/>
              </w:rPr>
              <w:t xml:space="preserve">official and </w:t>
            </w:r>
            <w:r w:rsidRPr="006E15DB">
              <w:rPr>
                <w:sz w:val="22"/>
                <w:szCs w:val="22"/>
              </w:rPr>
              <w:t>publicly available NIPS in the WIPO Lex Database.</w:t>
            </w:r>
          </w:p>
        </w:tc>
        <w:tc>
          <w:tcPr>
            <w:tcW w:w="4763" w:type="dxa"/>
            <w:tcBorders>
              <w:left w:val="single" w:sz="4" w:space="0" w:color="auto"/>
            </w:tcBorders>
            <w:shd w:val="clear" w:color="auto" w:fill="FFFFFF" w:themeFill="background1"/>
          </w:tcPr>
          <w:p w14:paraId="5663C5ED" w14:textId="219965ED" w:rsidR="003D1AE4" w:rsidRDefault="003D1AE4" w:rsidP="005D2DFA">
            <w:pPr>
              <w:pStyle w:val="Default"/>
              <w:spacing w:before="220" w:after="220"/>
              <w:jc w:val="center"/>
              <w:rPr>
                <w:sz w:val="22"/>
                <w:szCs w:val="22"/>
                <w:u w:val="single"/>
              </w:rPr>
            </w:pPr>
            <w:r w:rsidRPr="00E53A01">
              <w:rPr>
                <w:sz w:val="22"/>
                <w:szCs w:val="22"/>
                <w:u w:val="single"/>
              </w:rPr>
              <w:t>Out</w:t>
            </w:r>
            <w:r>
              <w:rPr>
                <w:sz w:val="22"/>
                <w:szCs w:val="22"/>
                <w:u w:val="single"/>
              </w:rPr>
              <w:t>put</w:t>
            </w:r>
            <w:r w:rsidRPr="00E53A01">
              <w:rPr>
                <w:sz w:val="22"/>
                <w:szCs w:val="22"/>
                <w:u w:val="single"/>
              </w:rPr>
              <w:t xml:space="preserve"> indicators: </w:t>
            </w:r>
          </w:p>
          <w:p w14:paraId="19682B9E" w14:textId="64549104" w:rsidR="00413B64" w:rsidRPr="00BD02BF" w:rsidRDefault="00BD02BF" w:rsidP="005D2DFA">
            <w:pPr>
              <w:pStyle w:val="Default"/>
              <w:spacing w:before="220" w:after="220"/>
              <w:ind w:left="210" w:hanging="180"/>
              <w:rPr>
                <w:sz w:val="22"/>
                <w:szCs w:val="22"/>
              </w:rPr>
            </w:pPr>
            <w:r>
              <w:rPr>
                <w:sz w:val="22"/>
                <w:szCs w:val="22"/>
              </w:rPr>
              <w:t xml:space="preserve">- </w:t>
            </w:r>
            <w:r w:rsidR="00B263D1">
              <w:rPr>
                <w:sz w:val="22"/>
                <w:szCs w:val="22"/>
              </w:rPr>
              <w:t>O</w:t>
            </w:r>
            <w:r w:rsidR="000230CE">
              <w:rPr>
                <w:sz w:val="22"/>
                <w:szCs w:val="22"/>
              </w:rPr>
              <w:t xml:space="preserve">fficial and </w:t>
            </w:r>
            <w:r w:rsidR="00F43D83">
              <w:rPr>
                <w:sz w:val="22"/>
                <w:szCs w:val="22"/>
              </w:rPr>
              <w:t xml:space="preserve">publicly available NIPS </w:t>
            </w:r>
            <w:r w:rsidR="00770BE3">
              <w:rPr>
                <w:sz w:val="22"/>
                <w:szCs w:val="22"/>
              </w:rPr>
              <w:t xml:space="preserve">are </w:t>
            </w:r>
            <w:r w:rsidR="00F43D83">
              <w:rPr>
                <w:sz w:val="22"/>
                <w:szCs w:val="22"/>
              </w:rPr>
              <w:t xml:space="preserve">accessible </w:t>
            </w:r>
            <w:r w:rsidR="002C7F24">
              <w:rPr>
                <w:sz w:val="22"/>
                <w:szCs w:val="22"/>
              </w:rPr>
              <w:t>in the</w:t>
            </w:r>
            <w:r w:rsidR="002A2F92" w:rsidRPr="002A2F92">
              <w:rPr>
                <w:sz w:val="22"/>
                <w:szCs w:val="22"/>
              </w:rPr>
              <w:t xml:space="preserve"> WIPO Lex Database</w:t>
            </w:r>
            <w:r w:rsidR="0033335E">
              <w:rPr>
                <w:sz w:val="22"/>
                <w:szCs w:val="22"/>
              </w:rPr>
              <w:t>.</w:t>
            </w:r>
            <w:r w:rsidR="002A2F92" w:rsidRPr="002A2F92" w:rsidDel="008B69F7">
              <w:rPr>
                <w:sz w:val="22"/>
                <w:szCs w:val="22"/>
              </w:rPr>
              <w:t xml:space="preserve"> </w:t>
            </w:r>
          </w:p>
        </w:tc>
      </w:tr>
      <w:tr w:rsidR="00A43CD0" w:rsidRPr="00E53A01" w14:paraId="6800358C" w14:textId="77777777" w:rsidTr="005B1DF6">
        <w:trPr>
          <w:trHeight w:val="280"/>
        </w:trPr>
        <w:tc>
          <w:tcPr>
            <w:tcW w:w="4589" w:type="dxa"/>
            <w:tcBorders>
              <w:right w:val="single" w:sz="4" w:space="0" w:color="auto"/>
            </w:tcBorders>
            <w:shd w:val="clear" w:color="auto" w:fill="FFFFFF" w:themeFill="background1"/>
          </w:tcPr>
          <w:p w14:paraId="1EC1E999" w14:textId="65D3A092" w:rsidR="00B40457" w:rsidRPr="005D2DFA" w:rsidRDefault="00A43CD0" w:rsidP="005D2DFA">
            <w:pPr>
              <w:pStyle w:val="Default"/>
              <w:spacing w:before="220" w:after="220"/>
              <w:ind w:left="120"/>
              <w:rPr>
                <w:sz w:val="22"/>
                <w:szCs w:val="22"/>
              </w:rPr>
            </w:pPr>
            <w:r w:rsidRPr="00E53A01">
              <w:rPr>
                <w:sz w:val="22"/>
                <w:szCs w:val="22"/>
              </w:rPr>
              <w:t>Five case studies on the development</w:t>
            </w:r>
            <w:r w:rsidR="00656F91">
              <w:rPr>
                <w:sz w:val="22"/>
                <w:szCs w:val="22"/>
              </w:rPr>
              <w:t xml:space="preserve"> or implementation</w:t>
            </w:r>
            <w:r w:rsidRPr="00E53A01">
              <w:rPr>
                <w:sz w:val="22"/>
                <w:szCs w:val="22"/>
              </w:rPr>
              <w:t xml:space="preserve"> of NIPS in selected Member States.</w:t>
            </w:r>
          </w:p>
        </w:tc>
        <w:tc>
          <w:tcPr>
            <w:tcW w:w="4763" w:type="dxa"/>
            <w:tcBorders>
              <w:left w:val="single" w:sz="4" w:space="0" w:color="auto"/>
            </w:tcBorders>
            <w:shd w:val="clear" w:color="auto" w:fill="FFFFFF" w:themeFill="background1"/>
          </w:tcPr>
          <w:p w14:paraId="102B4B9B" w14:textId="1FB163CD" w:rsidR="00A43CD0" w:rsidRDefault="00D766E6" w:rsidP="005D2DFA">
            <w:pPr>
              <w:pStyle w:val="Default"/>
              <w:spacing w:before="220" w:after="220"/>
              <w:ind w:left="210" w:hanging="180"/>
              <w:rPr>
                <w:sz w:val="22"/>
                <w:szCs w:val="22"/>
                <w:u w:val="single"/>
              </w:rPr>
            </w:pPr>
            <w:r>
              <w:rPr>
                <w:sz w:val="22"/>
                <w:szCs w:val="22"/>
              </w:rPr>
              <w:t xml:space="preserve">- </w:t>
            </w:r>
            <w:r w:rsidR="008D549B">
              <w:rPr>
                <w:sz w:val="22"/>
                <w:szCs w:val="22"/>
              </w:rPr>
              <w:t>Publication</w:t>
            </w:r>
            <w:r w:rsidR="00F43D83">
              <w:rPr>
                <w:sz w:val="22"/>
                <w:szCs w:val="22"/>
              </w:rPr>
              <w:t xml:space="preserve"> </w:t>
            </w:r>
            <w:r>
              <w:rPr>
                <w:sz w:val="22"/>
                <w:szCs w:val="22"/>
              </w:rPr>
              <w:t xml:space="preserve">of five </w:t>
            </w:r>
            <w:r w:rsidRPr="00E53A01">
              <w:rPr>
                <w:sz w:val="22"/>
                <w:szCs w:val="22"/>
              </w:rPr>
              <w:t>case studies</w:t>
            </w:r>
            <w:r>
              <w:rPr>
                <w:sz w:val="22"/>
                <w:szCs w:val="22"/>
              </w:rPr>
              <w:t xml:space="preserve"> </w:t>
            </w:r>
            <w:r w:rsidRPr="00E53A01">
              <w:rPr>
                <w:sz w:val="22"/>
                <w:szCs w:val="22"/>
              </w:rPr>
              <w:t>on the development</w:t>
            </w:r>
            <w:r w:rsidR="008D549B">
              <w:rPr>
                <w:sz w:val="22"/>
                <w:szCs w:val="22"/>
              </w:rPr>
              <w:t xml:space="preserve"> or implementation</w:t>
            </w:r>
            <w:r w:rsidRPr="00E53A01">
              <w:rPr>
                <w:sz w:val="22"/>
                <w:szCs w:val="22"/>
              </w:rPr>
              <w:t xml:space="preserve"> of NIPS</w:t>
            </w:r>
            <w:r w:rsidR="008D549B">
              <w:rPr>
                <w:sz w:val="22"/>
                <w:szCs w:val="22"/>
              </w:rPr>
              <w:t xml:space="preserve"> on the NIPS Observatory</w:t>
            </w:r>
            <w:r>
              <w:rPr>
                <w:sz w:val="22"/>
                <w:szCs w:val="22"/>
              </w:rPr>
              <w:t>.</w:t>
            </w:r>
          </w:p>
        </w:tc>
      </w:tr>
      <w:tr w:rsidR="00A43CD0" w:rsidRPr="00E53A01" w14:paraId="17A912FA" w14:textId="77777777" w:rsidTr="005B1DF6">
        <w:trPr>
          <w:trHeight w:val="280"/>
        </w:trPr>
        <w:tc>
          <w:tcPr>
            <w:tcW w:w="4589" w:type="dxa"/>
            <w:tcBorders>
              <w:right w:val="single" w:sz="4" w:space="0" w:color="auto"/>
            </w:tcBorders>
            <w:shd w:val="clear" w:color="auto" w:fill="FFFFFF" w:themeFill="background1"/>
          </w:tcPr>
          <w:p w14:paraId="513A764F" w14:textId="0E88E98F" w:rsidR="00A43CD0" w:rsidRDefault="00750ACA" w:rsidP="005D2DFA">
            <w:pPr>
              <w:pStyle w:val="Default"/>
              <w:spacing w:before="220" w:after="220"/>
              <w:ind w:left="120"/>
              <w:rPr>
                <w:sz w:val="22"/>
                <w:szCs w:val="22"/>
              </w:rPr>
            </w:pPr>
            <w:r w:rsidRPr="00750ACA">
              <w:rPr>
                <w:sz w:val="22"/>
                <w:szCs w:val="22"/>
              </w:rPr>
              <w:t>Training/capacity building materials on the role of IP in the sectors/clusters relevant to NIPS and</w:t>
            </w:r>
            <w:r w:rsidR="001155A2">
              <w:rPr>
                <w:sz w:val="22"/>
                <w:szCs w:val="22"/>
              </w:rPr>
              <w:t xml:space="preserve"> a toolkit </w:t>
            </w:r>
            <w:r w:rsidR="00751063">
              <w:rPr>
                <w:sz w:val="22"/>
                <w:szCs w:val="22"/>
              </w:rPr>
              <w:t>for</w:t>
            </w:r>
            <w:r w:rsidRPr="00750ACA">
              <w:rPr>
                <w:sz w:val="22"/>
                <w:szCs w:val="22"/>
              </w:rPr>
              <w:t xml:space="preserve"> </w:t>
            </w:r>
            <w:r w:rsidR="003F5BCC">
              <w:rPr>
                <w:sz w:val="22"/>
                <w:szCs w:val="22"/>
              </w:rPr>
              <w:t>country-led evaluation</w:t>
            </w:r>
            <w:r w:rsidR="001155A2">
              <w:rPr>
                <w:sz w:val="22"/>
                <w:szCs w:val="22"/>
              </w:rPr>
              <w:t xml:space="preserve"> </w:t>
            </w:r>
            <w:r w:rsidR="001155A2" w:rsidRPr="00750ACA">
              <w:rPr>
                <w:sz w:val="22"/>
                <w:szCs w:val="22"/>
              </w:rPr>
              <w:t>and/or monitoring</w:t>
            </w:r>
            <w:r w:rsidRPr="00750ACA">
              <w:rPr>
                <w:sz w:val="22"/>
                <w:szCs w:val="22"/>
              </w:rPr>
              <w:t xml:space="preserve"> of NIPS implementation</w:t>
            </w:r>
            <w:r w:rsidR="00A43CD0">
              <w:rPr>
                <w:sz w:val="22"/>
                <w:szCs w:val="22"/>
              </w:rPr>
              <w:t>.</w:t>
            </w:r>
          </w:p>
          <w:p w14:paraId="2BC60479" w14:textId="6594841A" w:rsidR="00A43CD0" w:rsidRDefault="00A43CD0" w:rsidP="005D2DFA">
            <w:pPr>
              <w:pStyle w:val="Default"/>
              <w:spacing w:before="220" w:after="220"/>
              <w:ind w:left="120"/>
              <w:rPr>
                <w:sz w:val="22"/>
                <w:szCs w:val="22"/>
              </w:rPr>
            </w:pPr>
          </w:p>
        </w:tc>
        <w:tc>
          <w:tcPr>
            <w:tcW w:w="4763" w:type="dxa"/>
            <w:tcBorders>
              <w:left w:val="single" w:sz="4" w:space="0" w:color="auto"/>
            </w:tcBorders>
            <w:shd w:val="clear" w:color="auto" w:fill="FFFFFF" w:themeFill="background1"/>
          </w:tcPr>
          <w:p w14:paraId="76B1E647" w14:textId="009FD622" w:rsidR="00371E74" w:rsidRDefault="00371E74" w:rsidP="005D2DFA">
            <w:pPr>
              <w:pStyle w:val="Default"/>
              <w:spacing w:before="220" w:after="220"/>
              <w:ind w:left="210" w:hanging="150"/>
              <w:rPr>
                <w:sz w:val="22"/>
                <w:szCs w:val="22"/>
              </w:rPr>
            </w:pPr>
            <w:r>
              <w:rPr>
                <w:sz w:val="22"/>
                <w:szCs w:val="22"/>
              </w:rPr>
              <w:t xml:space="preserve">- </w:t>
            </w:r>
            <w:r w:rsidR="0033644B">
              <w:rPr>
                <w:sz w:val="22"/>
                <w:szCs w:val="22"/>
              </w:rPr>
              <w:t>A document with l</w:t>
            </w:r>
            <w:r w:rsidR="00224EC0" w:rsidRPr="00224EC0">
              <w:rPr>
                <w:sz w:val="22"/>
                <w:szCs w:val="22"/>
              </w:rPr>
              <w:t>iterature review on the role of IP in the sectors/clusters relevant to NIPS</w:t>
            </w:r>
            <w:r w:rsidR="00A060C5">
              <w:rPr>
                <w:sz w:val="22"/>
                <w:szCs w:val="22"/>
              </w:rPr>
              <w:t xml:space="preserve">. </w:t>
            </w:r>
          </w:p>
          <w:p w14:paraId="66A65F76" w14:textId="067BF9BF" w:rsidR="00A060C5" w:rsidRPr="00A060C5" w:rsidRDefault="00750ACA" w:rsidP="005D2DFA">
            <w:pPr>
              <w:pStyle w:val="Default"/>
              <w:spacing w:before="220" w:after="220"/>
              <w:ind w:left="210" w:hanging="150"/>
              <w:rPr>
                <w:sz w:val="22"/>
                <w:szCs w:val="22"/>
              </w:rPr>
            </w:pPr>
            <w:r w:rsidRPr="007C56C1">
              <w:rPr>
                <w:sz w:val="22"/>
                <w:szCs w:val="22"/>
              </w:rPr>
              <w:t xml:space="preserve">- </w:t>
            </w:r>
            <w:r w:rsidR="00FE0C64">
              <w:rPr>
                <w:sz w:val="22"/>
                <w:szCs w:val="22"/>
              </w:rPr>
              <w:t>Publication of the t</w:t>
            </w:r>
            <w:r w:rsidRPr="007C56C1">
              <w:rPr>
                <w:sz w:val="22"/>
                <w:szCs w:val="22"/>
              </w:rPr>
              <w:t xml:space="preserve">oolkit for </w:t>
            </w:r>
            <w:r w:rsidR="001B6ED8" w:rsidRPr="007C56C1">
              <w:rPr>
                <w:sz w:val="22"/>
                <w:szCs w:val="22"/>
              </w:rPr>
              <w:t>country-led evaluation</w:t>
            </w:r>
            <w:r w:rsidRPr="007C56C1">
              <w:rPr>
                <w:sz w:val="22"/>
                <w:szCs w:val="22"/>
              </w:rPr>
              <w:t xml:space="preserve"> and/or monitoring of NIPS</w:t>
            </w:r>
            <w:r w:rsidR="0079643C">
              <w:rPr>
                <w:sz w:val="22"/>
                <w:szCs w:val="22"/>
              </w:rPr>
              <w:t xml:space="preserve"> implementation</w:t>
            </w:r>
            <w:r w:rsidR="00984ACD">
              <w:rPr>
                <w:sz w:val="22"/>
                <w:szCs w:val="22"/>
              </w:rPr>
              <w:t xml:space="preserve"> on the NIPS Observatory</w:t>
            </w:r>
            <w:r w:rsidR="001D7E4C">
              <w:t>.</w:t>
            </w:r>
          </w:p>
        </w:tc>
      </w:tr>
      <w:tr w:rsidR="008D778E" w:rsidRPr="00E53A01" w14:paraId="40B24C99" w14:textId="77777777" w:rsidTr="005B1DF6">
        <w:trPr>
          <w:trHeight w:val="280"/>
        </w:trPr>
        <w:tc>
          <w:tcPr>
            <w:tcW w:w="4589" w:type="dxa"/>
            <w:tcBorders>
              <w:right w:val="single" w:sz="4" w:space="0" w:color="auto"/>
            </w:tcBorders>
            <w:shd w:val="clear" w:color="auto" w:fill="FFFFFF" w:themeFill="background1"/>
          </w:tcPr>
          <w:p w14:paraId="2DBAC18C" w14:textId="31778D2F" w:rsidR="008D778E" w:rsidRDefault="008D778E" w:rsidP="005D2DFA">
            <w:pPr>
              <w:pStyle w:val="Default"/>
              <w:spacing w:before="220" w:after="220"/>
              <w:ind w:left="120"/>
              <w:rPr>
                <w:sz w:val="22"/>
                <w:szCs w:val="22"/>
              </w:rPr>
            </w:pPr>
            <w:r w:rsidRPr="00E53A01">
              <w:rPr>
                <w:sz w:val="22"/>
                <w:szCs w:val="22"/>
              </w:rPr>
              <w:t xml:space="preserve">Awareness-raising </w:t>
            </w:r>
            <w:r w:rsidR="00F43D83">
              <w:rPr>
                <w:sz w:val="22"/>
                <w:szCs w:val="22"/>
              </w:rPr>
              <w:t xml:space="preserve">materials </w:t>
            </w:r>
            <w:r w:rsidRPr="00E53A01">
              <w:rPr>
                <w:sz w:val="22"/>
                <w:szCs w:val="22"/>
              </w:rPr>
              <w:t>on key factors for success, good practices for developing and implementing NIPS.</w:t>
            </w:r>
          </w:p>
        </w:tc>
        <w:tc>
          <w:tcPr>
            <w:tcW w:w="4763" w:type="dxa"/>
            <w:tcBorders>
              <w:left w:val="single" w:sz="4" w:space="0" w:color="auto"/>
            </w:tcBorders>
            <w:shd w:val="clear" w:color="auto" w:fill="FFFFFF" w:themeFill="background1"/>
          </w:tcPr>
          <w:p w14:paraId="1DE8901B" w14:textId="3C52F983" w:rsidR="0064427E" w:rsidRDefault="0064427E" w:rsidP="005D2DFA">
            <w:pPr>
              <w:pStyle w:val="Default"/>
              <w:spacing w:before="220" w:after="220"/>
              <w:ind w:left="210" w:hanging="150"/>
              <w:rPr>
                <w:sz w:val="22"/>
                <w:szCs w:val="22"/>
              </w:rPr>
            </w:pPr>
            <w:r>
              <w:rPr>
                <w:sz w:val="22"/>
                <w:szCs w:val="22"/>
              </w:rPr>
              <w:t xml:space="preserve">- </w:t>
            </w:r>
            <w:r w:rsidR="00227B34">
              <w:rPr>
                <w:sz w:val="22"/>
                <w:szCs w:val="22"/>
              </w:rPr>
              <w:t xml:space="preserve">Two workshops organized to </w:t>
            </w:r>
            <w:r w:rsidR="00227B34" w:rsidRPr="00E53A01">
              <w:rPr>
                <w:sz w:val="22"/>
                <w:szCs w:val="22"/>
              </w:rPr>
              <w:t>share experiences on the development and implementation of NIPS and discuss trends or good practices.</w:t>
            </w:r>
          </w:p>
          <w:p w14:paraId="34D7D334" w14:textId="73B007E1" w:rsidR="00227B34" w:rsidRDefault="00227B34" w:rsidP="005D2DFA">
            <w:pPr>
              <w:pStyle w:val="Default"/>
              <w:spacing w:before="220" w:after="220"/>
              <w:ind w:left="210" w:hanging="150"/>
              <w:rPr>
                <w:sz w:val="22"/>
                <w:szCs w:val="22"/>
              </w:rPr>
            </w:pPr>
            <w:r>
              <w:rPr>
                <w:sz w:val="22"/>
                <w:szCs w:val="22"/>
              </w:rPr>
              <w:t xml:space="preserve">- At least 70% of participants </w:t>
            </w:r>
            <w:r w:rsidR="00817A6D">
              <w:rPr>
                <w:sz w:val="22"/>
                <w:szCs w:val="22"/>
              </w:rPr>
              <w:t>found the information disseminated in the workshops useful.</w:t>
            </w:r>
          </w:p>
          <w:p w14:paraId="709FE21C" w14:textId="78B3FE9B" w:rsidR="004C2CAE" w:rsidRPr="0019025D" w:rsidRDefault="0064427E" w:rsidP="001D671B">
            <w:pPr>
              <w:pStyle w:val="Default"/>
              <w:spacing w:before="220" w:after="220"/>
              <w:ind w:left="202" w:hanging="144"/>
              <w:rPr>
                <w:sz w:val="22"/>
                <w:szCs w:val="22"/>
              </w:rPr>
            </w:pPr>
            <w:r>
              <w:rPr>
                <w:sz w:val="22"/>
                <w:szCs w:val="22"/>
              </w:rPr>
              <w:t xml:space="preserve">- </w:t>
            </w:r>
            <w:r w:rsidR="005A234C">
              <w:rPr>
                <w:sz w:val="22"/>
                <w:szCs w:val="22"/>
              </w:rPr>
              <w:t xml:space="preserve">Publication of the </w:t>
            </w:r>
            <w:r w:rsidR="004829FF" w:rsidRPr="00E53A01">
              <w:rPr>
                <w:sz w:val="22"/>
                <w:szCs w:val="22"/>
              </w:rPr>
              <w:t xml:space="preserve">Guide on Key Factors for Success, Examples of Trends or Good </w:t>
            </w:r>
            <w:r w:rsidR="004829FF" w:rsidRPr="00E53A01">
              <w:rPr>
                <w:sz w:val="22"/>
                <w:szCs w:val="22"/>
              </w:rPr>
              <w:lastRenderedPageBreak/>
              <w:t>Practices for Developing and Implementing NIPS</w:t>
            </w:r>
            <w:r w:rsidR="004829FF">
              <w:rPr>
                <w:sz w:val="22"/>
                <w:szCs w:val="22"/>
              </w:rPr>
              <w:t xml:space="preserve"> </w:t>
            </w:r>
            <w:r w:rsidR="00984ACD">
              <w:rPr>
                <w:sz w:val="22"/>
                <w:szCs w:val="22"/>
              </w:rPr>
              <w:t>on the NIPS Observatory</w:t>
            </w:r>
            <w:r w:rsidR="004829FF">
              <w:rPr>
                <w:sz w:val="22"/>
                <w:szCs w:val="22"/>
              </w:rPr>
              <w:t>.</w:t>
            </w:r>
          </w:p>
        </w:tc>
      </w:tr>
      <w:tr w:rsidR="006D2048" w:rsidRPr="00E53A01" w14:paraId="293CA605" w14:textId="77777777" w:rsidTr="00F8371A">
        <w:trPr>
          <w:trHeight w:val="280"/>
        </w:trPr>
        <w:tc>
          <w:tcPr>
            <w:tcW w:w="9352" w:type="dxa"/>
            <w:gridSpan w:val="2"/>
            <w:shd w:val="clear" w:color="auto" w:fill="00FFCC"/>
          </w:tcPr>
          <w:p w14:paraId="5882B3E8" w14:textId="77777777" w:rsidR="006D2048" w:rsidRPr="00E53A01" w:rsidRDefault="006D2048" w:rsidP="006D2048">
            <w:pPr>
              <w:pStyle w:val="TableParagraph"/>
              <w:ind w:left="110"/>
              <w:jc w:val="center"/>
              <w:rPr>
                <w:b/>
                <w:bCs/>
              </w:rPr>
            </w:pPr>
            <w:r w:rsidRPr="00E53A01">
              <w:rPr>
                <w:b/>
                <w:bCs/>
              </w:rPr>
              <w:lastRenderedPageBreak/>
              <w:t>2.5 Sustainability Strategy</w:t>
            </w:r>
          </w:p>
        </w:tc>
      </w:tr>
      <w:tr w:rsidR="006D2048" w:rsidRPr="00E53A01" w14:paraId="7E1A6506" w14:textId="77777777" w:rsidTr="00F8371A">
        <w:trPr>
          <w:trHeight w:val="370"/>
        </w:trPr>
        <w:tc>
          <w:tcPr>
            <w:tcW w:w="9352" w:type="dxa"/>
            <w:gridSpan w:val="2"/>
          </w:tcPr>
          <w:p w14:paraId="4CFC35EE" w14:textId="2D5237A7" w:rsidR="00966DC6" w:rsidRPr="007C01FA" w:rsidRDefault="00F43D83" w:rsidP="001D671B">
            <w:pPr>
              <w:pStyle w:val="TableParagraph"/>
              <w:spacing w:before="220" w:after="220"/>
              <w:ind w:left="119"/>
            </w:pPr>
            <w:r w:rsidRPr="00263AF8">
              <w:t>P</w:t>
            </w:r>
            <w:r w:rsidR="00C46DC3" w:rsidRPr="00263AF8">
              <w:t xml:space="preserve">ublicly available NIPS </w:t>
            </w:r>
            <w:r w:rsidRPr="00263AF8">
              <w:t xml:space="preserve">will </w:t>
            </w:r>
            <w:r w:rsidR="005849DC" w:rsidRPr="00263AF8">
              <w:t xml:space="preserve">be included </w:t>
            </w:r>
            <w:r w:rsidR="00C46DC3" w:rsidRPr="00263AF8">
              <w:t xml:space="preserve">in the WIPO Lex Database </w:t>
            </w:r>
            <w:r w:rsidRPr="00263AF8">
              <w:t xml:space="preserve">accessible </w:t>
            </w:r>
            <w:r w:rsidR="00C46DC3" w:rsidRPr="00263AF8">
              <w:t xml:space="preserve">from the </w:t>
            </w:r>
            <w:r w:rsidRPr="00263AF8">
              <w:t>NIPS Observatory</w:t>
            </w:r>
            <w:r w:rsidR="00263AF8" w:rsidRPr="00263AF8">
              <w:t>, ideally,</w:t>
            </w:r>
            <w:r w:rsidRPr="00263AF8">
              <w:t xml:space="preserve"> on the </w:t>
            </w:r>
            <w:r w:rsidR="00C46DC3" w:rsidRPr="00263AF8">
              <w:t xml:space="preserve">WIPO </w:t>
            </w:r>
            <w:r w:rsidR="0096106D">
              <w:t>NIPS</w:t>
            </w:r>
            <w:r w:rsidR="00C46DC3" w:rsidRPr="00263AF8">
              <w:t xml:space="preserve"> webpage</w:t>
            </w:r>
            <w:r w:rsidR="00FE5475" w:rsidRPr="00263AF8">
              <w:rPr>
                <w:rFonts w:eastAsia="Times New Roman"/>
                <w:color w:val="000000"/>
              </w:rPr>
              <w:t>.</w:t>
            </w:r>
            <w:r w:rsidR="00185565" w:rsidRPr="00263AF8">
              <w:rPr>
                <w:rStyle w:val="FootnoteReference"/>
                <w:rFonts w:eastAsia="Times New Roman"/>
                <w:color w:val="000000"/>
              </w:rPr>
              <w:footnoteReference w:id="2"/>
            </w:r>
            <w:r w:rsidR="00185565">
              <w:rPr>
                <w:rFonts w:eastAsia="Times New Roman"/>
                <w:color w:val="000000"/>
              </w:rPr>
              <w:t xml:space="preserve"> </w:t>
            </w:r>
            <w:r w:rsidR="009C0B02">
              <w:rPr>
                <w:rFonts w:eastAsia="Times New Roman"/>
                <w:color w:val="000000"/>
              </w:rPr>
              <w:t xml:space="preserve"> </w:t>
            </w:r>
            <w:r w:rsidR="00966DC6" w:rsidRPr="007C01FA">
              <w:rPr>
                <w:rFonts w:eastAsia="Times New Roman"/>
                <w:color w:val="000000"/>
              </w:rPr>
              <w:t>Therefore, the information will be easily accessible to all interested Member States.</w:t>
            </w:r>
          </w:p>
          <w:p w14:paraId="256F17AD" w14:textId="11BF5737" w:rsidR="00FE5475" w:rsidRPr="007C01FA" w:rsidRDefault="00FE5475" w:rsidP="001D671B">
            <w:pPr>
              <w:pStyle w:val="TableParagraph"/>
              <w:spacing w:before="220" w:after="220"/>
              <w:ind w:left="119"/>
            </w:pPr>
            <w:r w:rsidRPr="007C01FA">
              <w:t xml:space="preserve">Training materials will further contribute to the building and sustainability of Member States’ capacity to develop and implement NIPS. </w:t>
            </w:r>
            <w:r w:rsidR="000A7C54" w:rsidRPr="007C01FA">
              <w:t xml:space="preserve"> </w:t>
            </w:r>
            <w:r w:rsidRPr="007C01FA">
              <w:t xml:space="preserve">A literature review on IP </w:t>
            </w:r>
            <w:r w:rsidR="000A7C54" w:rsidRPr="007C01FA">
              <w:t xml:space="preserve">in the sectors/clusters relevant to NIPS </w:t>
            </w:r>
            <w:r w:rsidRPr="007C01FA">
              <w:t>will serve to inform Member States of the range of considerations to be accounted for when formulating NIPS.</w:t>
            </w:r>
            <w:r w:rsidR="001D7E4C">
              <w:t xml:space="preserve"> </w:t>
            </w:r>
            <w:r w:rsidR="008B56D1">
              <w:t xml:space="preserve"> </w:t>
            </w:r>
            <w:r w:rsidR="001D7E4C">
              <w:t xml:space="preserve">A toolkit </w:t>
            </w:r>
            <w:r w:rsidR="00953070">
              <w:t>for country-led evaluation and/or monitoring</w:t>
            </w:r>
            <w:r w:rsidR="00953070" w:rsidRPr="00380089">
              <w:t xml:space="preserve"> of NIPS implementation</w:t>
            </w:r>
            <w:r w:rsidR="00953070">
              <w:t xml:space="preserve"> </w:t>
            </w:r>
            <w:r w:rsidR="001D7E4C">
              <w:t xml:space="preserve">will support </w:t>
            </w:r>
            <w:r w:rsidR="000F2F45">
              <w:t xml:space="preserve">Member States in </w:t>
            </w:r>
            <w:r w:rsidR="001D7E4C">
              <w:t>the development, implementation and review/revision of NIPS.</w:t>
            </w:r>
          </w:p>
          <w:p w14:paraId="02ADCE85" w14:textId="59820559" w:rsidR="00966DC6" w:rsidRPr="0028057E" w:rsidRDefault="00775C86" w:rsidP="001D671B">
            <w:pPr>
              <w:pStyle w:val="TableParagraph"/>
              <w:spacing w:before="220" w:after="220"/>
              <w:ind w:left="119"/>
              <w:rPr>
                <w:color w:val="000000" w:themeColor="text1"/>
              </w:rPr>
            </w:pPr>
            <w:r w:rsidRPr="0028057E">
              <w:rPr>
                <w:color w:val="000000" w:themeColor="text1"/>
              </w:rPr>
              <w:t xml:space="preserve">Workshops (for both policymakers from Member States, as well as experts) and a Guide to be updated as needed, will contribute to increasing the knowledge base of NIPS, help enhance the capacity of </w:t>
            </w:r>
            <w:r w:rsidR="004272F9" w:rsidRPr="0028057E">
              <w:rPr>
                <w:color w:val="000000" w:themeColor="text1"/>
              </w:rPr>
              <w:t xml:space="preserve">Member States </w:t>
            </w:r>
            <w:r w:rsidRPr="0028057E">
              <w:rPr>
                <w:color w:val="000000" w:themeColor="text1"/>
              </w:rPr>
              <w:t>to develop NIPS and serve as a forum for exchange and awareness-raising.</w:t>
            </w:r>
            <w:r w:rsidR="00FE3039">
              <w:rPr>
                <w:color w:val="000000" w:themeColor="text1"/>
              </w:rPr>
              <w:t xml:space="preserve"> </w:t>
            </w:r>
            <w:r w:rsidR="009C21B4">
              <w:rPr>
                <w:color w:val="000000" w:themeColor="text1"/>
              </w:rPr>
              <w:t xml:space="preserve"> </w:t>
            </w:r>
            <w:r w:rsidR="00FE3039">
              <w:rPr>
                <w:color w:val="000000" w:themeColor="text1"/>
              </w:rPr>
              <w:t xml:space="preserve">Further, </w:t>
            </w:r>
            <w:r w:rsidR="009D78B2">
              <w:rPr>
                <w:color w:val="000000" w:themeColor="text1"/>
              </w:rPr>
              <w:t xml:space="preserve">the </w:t>
            </w:r>
            <w:r w:rsidR="009D78B2" w:rsidRPr="009D78B2">
              <w:rPr>
                <w:color w:val="000000" w:themeColor="text1"/>
              </w:rPr>
              <w:t xml:space="preserve">inventory of publicly available NIPS </w:t>
            </w:r>
            <w:r w:rsidR="00FE3039">
              <w:rPr>
                <w:color w:val="000000" w:themeColor="text1"/>
              </w:rPr>
              <w:t xml:space="preserve">will be promoted as a technical assistance resource to facilitate comparative research and analysis of the content of </w:t>
            </w:r>
            <w:r w:rsidR="0084260A">
              <w:rPr>
                <w:color w:val="000000" w:themeColor="text1"/>
              </w:rPr>
              <w:t>N</w:t>
            </w:r>
            <w:r w:rsidR="00FE3039">
              <w:rPr>
                <w:color w:val="000000" w:themeColor="text1"/>
              </w:rPr>
              <w:t>IPS.</w:t>
            </w:r>
          </w:p>
          <w:p w14:paraId="1A0F365C" w14:textId="5B9B9AFD" w:rsidR="000546E3" w:rsidRPr="00E53A01" w:rsidRDefault="000546E3" w:rsidP="001D671B">
            <w:pPr>
              <w:pStyle w:val="TableParagraph"/>
              <w:spacing w:before="220" w:after="220"/>
              <w:ind w:left="119"/>
            </w:pPr>
            <w:r w:rsidRPr="00E53A01">
              <w:t xml:space="preserve">To promote a sustainable impact, dedicated staff will ensure </w:t>
            </w:r>
            <w:r w:rsidR="00602BB1" w:rsidRPr="00E53A01">
              <w:t xml:space="preserve">the </w:t>
            </w:r>
            <w:r w:rsidR="00B162D5" w:rsidRPr="00E53A01">
              <w:t xml:space="preserve">functioning </w:t>
            </w:r>
            <w:r w:rsidR="00377302">
              <w:t xml:space="preserve">and updates of the </w:t>
            </w:r>
            <w:r w:rsidR="00EE7A89">
              <w:t xml:space="preserve">official and </w:t>
            </w:r>
            <w:r w:rsidR="00377302">
              <w:t xml:space="preserve">publicly available NIPS </w:t>
            </w:r>
            <w:r w:rsidR="00F43D83">
              <w:t xml:space="preserve">in the WIPO Lex Database </w:t>
            </w:r>
            <w:r w:rsidRPr="00E53A01">
              <w:t xml:space="preserve">and </w:t>
            </w:r>
            <w:r w:rsidR="00377302">
              <w:t xml:space="preserve">of the </w:t>
            </w:r>
            <w:r w:rsidRPr="00E53A01">
              <w:t>Guide</w:t>
            </w:r>
            <w:r w:rsidR="00B162D5" w:rsidRPr="00E53A01">
              <w:t xml:space="preserve"> on a continuing basis</w:t>
            </w:r>
            <w:r w:rsidR="0001205B">
              <w:t>,</w:t>
            </w:r>
            <w:r w:rsidR="00B162D5" w:rsidRPr="00E53A01">
              <w:t xml:space="preserve"> which is not limited by the implementation timeline of this project. </w:t>
            </w:r>
            <w:r w:rsidR="00A36FA6">
              <w:t xml:space="preserve"> </w:t>
            </w:r>
            <w:r w:rsidR="000F2F45">
              <w:t>On the other hand, Member States will periodically update the CDIP when a new NIPS has been adopted or changes introduced in existing ones by their government.</w:t>
            </w:r>
          </w:p>
          <w:p w14:paraId="3AFC5A21" w14:textId="62F9D601" w:rsidR="005A6F0F" w:rsidRPr="00E53A01" w:rsidRDefault="00E866BA" w:rsidP="001D671B">
            <w:pPr>
              <w:pStyle w:val="TableParagraph"/>
              <w:spacing w:before="220" w:after="220"/>
              <w:ind w:left="119"/>
            </w:pPr>
            <w:r w:rsidRPr="00E53A01">
              <w:t>Thus, from the creation of the Observatory as a specific</w:t>
            </w:r>
            <w:r>
              <w:t xml:space="preserve"> </w:t>
            </w:r>
            <w:r w:rsidRPr="00E53A01">
              <w:t>activity at WIPO</w:t>
            </w:r>
            <w:r w:rsidR="009F45F0">
              <w:t xml:space="preserve">, </w:t>
            </w:r>
            <w:r w:rsidRPr="00E53A01">
              <w:t xml:space="preserve">Member States, especially developing and least developed countries, will have the opportunity to </w:t>
            </w:r>
            <w:r w:rsidR="00C74A2F">
              <w:t>update</w:t>
            </w:r>
            <w:r w:rsidR="000F2F45">
              <w:t xml:space="preserve"> the CDIP on </w:t>
            </w:r>
            <w:r w:rsidRPr="00E53A01">
              <w:t>their</w:t>
            </w:r>
            <w:r w:rsidR="000F2F45">
              <w:t xml:space="preserve"> main elements of adopted</w:t>
            </w:r>
            <w:r w:rsidRPr="00E53A01">
              <w:t xml:space="preserve"> NIPS.</w:t>
            </w:r>
          </w:p>
        </w:tc>
      </w:tr>
      <w:tr w:rsidR="006D2048" w:rsidRPr="00E53A01" w14:paraId="57A7F297" w14:textId="77777777" w:rsidTr="00F8371A">
        <w:trPr>
          <w:trHeight w:val="253"/>
        </w:trPr>
        <w:tc>
          <w:tcPr>
            <w:tcW w:w="9352" w:type="dxa"/>
            <w:gridSpan w:val="2"/>
            <w:shd w:val="clear" w:color="auto" w:fill="00FFCC"/>
          </w:tcPr>
          <w:p w14:paraId="55A28A7E" w14:textId="77777777" w:rsidR="006D2048" w:rsidRPr="00E53A01" w:rsidRDefault="006D2048" w:rsidP="006D2048">
            <w:pPr>
              <w:pStyle w:val="TableParagraph"/>
              <w:spacing w:line="234" w:lineRule="exact"/>
              <w:ind w:left="102" w:right="90"/>
              <w:jc w:val="center"/>
              <w:rPr>
                <w:b/>
              </w:rPr>
            </w:pPr>
            <w:r w:rsidRPr="00E53A01">
              <w:rPr>
                <w:b/>
              </w:rPr>
              <w:t>2.6 Selection Criteria for Pilot/Beneficiary Countries</w:t>
            </w:r>
          </w:p>
        </w:tc>
      </w:tr>
      <w:tr w:rsidR="006D2048" w:rsidRPr="00E53A01" w14:paraId="3495F632" w14:textId="77777777" w:rsidTr="00F8371A">
        <w:trPr>
          <w:trHeight w:val="253"/>
        </w:trPr>
        <w:tc>
          <w:tcPr>
            <w:tcW w:w="9352" w:type="dxa"/>
            <w:gridSpan w:val="2"/>
            <w:shd w:val="clear" w:color="auto" w:fill="FFFFFF" w:themeFill="background1"/>
          </w:tcPr>
          <w:p w14:paraId="5175F071" w14:textId="7ABF2040" w:rsidR="006D2048" w:rsidRPr="00E53A01" w:rsidRDefault="007E2716" w:rsidP="00DD1BAB">
            <w:pPr>
              <w:pStyle w:val="TableParagraph"/>
              <w:spacing w:before="220" w:after="220"/>
              <w:ind w:left="101" w:right="86"/>
              <w:jc w:val="both"/>
            </w:pPr>
            <w:r w:rsidRPr="00E53A01">
              <w:t xml:space="preserve">All Member States </w:t>
            </w:r>
            <w:r w:rsidR="00C2119B" w:rsidRPr="00E53A01">
              <w:t>may</w:t>
            </w:r>
            <w:r w:rsidRPr="00E53A01">
              <w:t xml:space="preserve"> benefit from the NIPS Observatory</w:t>
            </w:r>
            <w:r w:rsidR="005A6F0F" w:rsidRPr="00E53A01">
              <w:t xml:space="preserve"> </w:t>
            </w:r>
            <w:r w:rsidRPr="00E53A01">
              <w:t>and related materials.</w:t>
            </w:r>
          </w:p>
        </w:tc>
      </w:tr>
      <w:tr w:rsidR="006D2048" w:rsidRPr="00E53A01" w14:paraId="7C8A67D2" w14:textId="77777777" w:rsidTr="00F8371A">
        <w:trPr>
          <w:trHeight w:val="253"/>
        </w:trPr>
        <w:tc>
          <w:tcPr>
            <w:tcW w:w="9352" w:type="dxa"/>
            <w:gridSpan w:val="2"/>
            <w:shd w:val="clear" w:color="auto" w:fill="00FFCC"/>
          </w:tcPr>
          <w:p w14:paraId="78129927" w14:textId="77777777" w:rsidR="006D2048" w:rsidRPr="00E53A01" w:rsidRDefault="006D2048" w:rsidP="006D2048">
            <w:pPr>
              <w:pStyle w:val="TableParagraph"/>
              <w:spacing w:line="234" w:lineRule="exact"/>
              <w:ind w:left="102" w:right="90"/>
              <w:jc w:val="center"/>
              <w:rPr>
                <w:b/>
              </w:rPr>
            </w:pPr>
            <w:r w:rsidRPr="00E53A01">
              <w:rPr>
                <w:b/>
              </w:rPr>
              <w:t>2.7 Implementing</w:t>
            </w:r>
            <w:r w:rsidRPr="00E53A01">
              <w:rPr>
                <w:b/>
                <w:spacing w:val="-6"/>
              </w:rPr>
              <w:t xml:space="preserve"> </w:t>
            </w:r>
            <w:r w:rsidRPr="00E53A01">
              <w:rPr>
                <w:b/>
              </w:rPr>
              <w:t>Organizational Entity</w:t>
            </w:r>
          </w:p>
        </w:tc>
      </w:tr>
      <w:tr w:rsidR="006D2048" w:rsidRPr="00E53A01" w14:paraId="0F9A553E" w14:textId="77777777" w:rsidTr="00811B5A">
        <w:trPr>
          <w:trHeight w:val="715"/>
        </w:trPr>
        <w:tc>
          <w:tcPr>
            <w:tcW w:w="9352" w:type="dxa"/>
            <w:gridSpan w:val="2"/>
          </w:tcPr>
          <w:p w14:paraId="63C4CA86" w14:textId="4410D779" w:rsidR="00844F99" w:rsidRPr="00E53A01" w:rsidRDefault="00966DC6" w:rsidP="00DD1BAB">
            <w:pPr>
              <w:pStyle w:val="TableParagraph"/>
              <w:spacing w:before="220"/>
              <w:ind w:left="115" w:right="619"/>
              <w:jc w:val="center"/>
            </w:pPr>
            <w:r w:rsidRPr="00E53A01">
              <w:t>IP and Innovation Ecosystems Sector</w:t>
            </w:r>
            <w:r w:rsidR="00844F99">
              <w:t>.</w:t>
            </w:r>
          </w:p>
        </w:tc>
      </w:tr>
      <w:tr w:rsidR="006D2048" w:rsidRPr="00E53A01" w14:paraId="52FF0569" w14:textId="77777777" w:rsidTr="00F8371A">
        <w:trPr>
          <w:trHeight w:val="254"/>
        </w:trPr>
        <w:tc>
          <w:tcPr>
            <w:tcW w:w="9352" w:type="dxa"/>
            <w:gridSpan w:val="2"/>
            <w:shd w:val="clear" w:color="auto" w:fill="00FFCC"/>
          </w:tcPr>
          <w:p w14:paraId="2EC4E7D8" w14:textId="77777777" w:rsidR="006D2048" w:rsidRPr="00E53A01" w:rsidRDefault="006D2048" w:rsidP="006D2048">
            <w:pPr>
              <w:pStyle w:val="TableParagraph"/>
              <w:spacing w:line="234" w:lineRule="exact"/>
              <w:ind w:left="102" w:right="90"/>
              <w:jc w:val="center"/>
              <w:rPr>
                <w:b/>
              </w:rPr>
            </w:pPr>
            <w:r w:rsidRPr="00E53A01">
              <w:rPr>
                <w:b/>
              </w:rPr>
              <w:t>2.8 Links</w:t>
            </w:r>
            <w:r w:rsidRPr="00E53A01">
              <w:rPr>
                <w:b/>
                <w:spacing w:val="-4"/>
              </w:rPr>
              <w:t xml:space="preserve"> </w:t>
            </w:r>
            <w:r w:rsidRPr="00E53A01">
              <w:rPr>
                <w:b/>
              </w:rPr>
              <w:t>to</w:t>
            </w:r>
            <w:r w:rsidRPr="00E53A01">
              <w:rPr>
                <w:b/>
                <w:spacing w:val="-1"/>
              </w:rPr>
              <w:t xml:space="preserve"> </w:t>
            </w:r>
            <w:r w:rsidRPr="00E53A01">
              <w:rPr>
                <w:b/>
              </w:rPr>
              <w:t>other</w:t>
            </w:r>
            <w:r w:rsidRPr="00E53A01">
              <w:rPr>
                <w:b/>
                <w:spacing w:val="-2"/>
              </w:rPr>
              <w:t xml:space="preserve"> </w:t>
            </w:r>
            <w:r w:rsidRPr="00E53A01">
              <w:rPr>
                <w:b/>
              </w:rPr>
              <w:t>Organizational</w:t>
            </w:r>
            <w:r w:rsidRPr="00E53A01">
              <w:rPr>
                <w:b/>
                <w:spacing w:val="1"/>
              </w:rPr>
              <w:t xml:space="preserve"> </w:t>
            </w:r>
            <w:r w:rsidRPr="00E53A01">
              <w:rPr>
                <w:b/>
              </w:rPr>
              <w:t>Entities</w:t>
            </w:r>
          </w:p>
        </w:tc>
      </w:tr>
      <w:tr w:rsidR="006D2048" w:rsidRPr="00E53A01" w14:paraId="2E853EF7" w14:textId="77777777" w:rsidTr="00966DC6">
        <w:trPr>
          <w:trHeight w:val="712"/>
        </w:trPr>
        <w:tc>
          <w:tcPr>
            <w:tcW w:w="9352" w:type="dxa"/>
            <w:gridSpan w:val="2"/>
          </w:tcPr>
          <w:p w14:paraId="72EAA33D" w14:textId="557A7043" w:rsidR="0001205B" w:rsidRPr="00E53A01" w:rsidRDefault="00966DC6" w:rsidP="00811B5A">
            <w:pPr>
              <w:pStyle w:val="TableParagraph"/>
              <w:spacing w:before="220" w:after="220"/>
              <w:ind w:left="115"/>
              <w:jc w:val="center"/>
            </w:pPr>
            <w:r w:rsidRPr="00E53A01">
              <w:t>Regional and National Development Sector.</w:t>
            </w:r>
          </w:p>
        </w:tc>
      </w:tr>
      <w:tr w:rsidR="006D2048" w:rsidRPr="00E53A01" w14:paraId="0A212D56" w14:textId="77777777" w:rsidTr="00811B5A">
        <w:trPr>
          <w:trHeight w:val="265"/>
        </w:trPr>
        <w:tc>
          <w:tcPr>
            <w:tcW w:w="9352" w:type="dxa"/>
            <w:gridSpan w:val="2"/>
            <w:shd w:val="clear" w:color="auto" w:fill="00FFCC"/>
          </w:tcPr>
          <w:p w14:paraId="48CD6179" w14:textId="77777777" w:rsidR="006D2048" w:rsidRPr="00E53A01" w:rsidRDefault="006D2048" w:rsidP="006D2048">
            <w:pPr>
              <w:pStyle w:val="TableParagraph"/>
              <w:spacing w:line="250" w:lineRule="exact"/>
              <w:ind w:left="110"/>
              <w:jc w:val="center"/>
            </w:pPr>
            <w:r w:rsidRPr="00E53A01">
              <w:rPr>
                <w:b/>
              </w:rPr>
              <w:t>2.9 Links</w:t>
            </w:r>
            <w:r w:rsidRPr="00E53A01">
              <w:rPr>
                <w:b/>
                <w:spacing w:val="-2"/>
              </w:rPr>
              <w:t xml:space="preserve"> </w:t>
            </w:r>
            <w:r w:rsidRPr="00E53A01">
              <w:rPr>
                <w:b/>
              </w:rPr>
              <w:t>to</w:t>
            </w:r>
            <w:r w:rsidRPr="00E53A01">
              <w:rPr>
                <w:b/>
                <w:spacing w:val="1"/>
              </w:rPr>
              <w:t xml:space="preserve"> </w:t>
            </w:r>
            <w:r w:rsidRPr="00E53A01">
              <w:rPr>
                <w:b/>
              </w:rPr>
              <w:t>other</w:t>
            </w:r>
            <w:r w:rsidRPr="00E53A01">
              <w:rPr>
                <w:b/>
                <w:spacing w:val="2"/>
              </w:rPr>
              <w:t xml:space="preserve"> </w:t>
            </w:r>
            <w:r w:rsidRPr="00E53A01">
              <w:rPr>
                <w:b/>
              </w:rPr>
              <w:t>DA</w:t>
            </w:r>
            <w:r w:rsidRPr="00E53A01">
              <w:rPr>
                <w:b/>
                <w:spacing w:val="-7"/>
              </w:rPr>
              <w:t xml:space="preserve"> </w:t>
            </w:r>
            <w:r w:rsidRPr="00E53A01">
              <w:rPr>
                <w:b/>
              </w:rPr>
              <w:t>Projects</w:t>
            </w:r>
          </w:p>
        </w:tc>
      </w:tr>
      <w:tr w:rsidR="006D2048" w:rsidRPr="00E53A01" w14:paraId="64BAC88F" w14:textId="77777777" w:rsidTr="00F8371A">
        <w:trPr>
          <w:trHeight w:val="568"/>
        </w:trPr>
        <w:tc>
          <w:tcPr>
            <w:tcW w:w="9352" w:type="dxa"/>
            <w:gridSpan w:val="2"/>
          </w:tcPr>
          <w:p w14:paraId="44F777C6" w14:textId="145A1411" w:rsidR="00E75980" w:rsidRPr="00E53A01" w:rsidRDefault="0018105C" w:rsidP="00811B5A">
            <w:pPr>
              <w:pStyle w:val="TableParagraph"/>
              <w:spacing w:before="220" w:after="120"/>
              <w:ind w:left="115"/>
            </w:pPr>
            <w:r w:rsidRPr="00E53A01">
              <w:t xml:space="preserve">DA Project on </w:t>
            </w:r>
            <w:r w:rsidRPr="00E53A01">
              <w:rPr>
                <w:i/>
                <w:iCs/>
              </w:rPr>
              <w:t xml:space="preserve">Improvement of National, Sub Regional and Regional IP Institutional and User Capacity </w:t>
            </w:r>
            <w:r w:rsidRPr="00E53A01">
              <w:t>(CDIP/3/INF/2</w:t>
            </w:r>
            <w:r w:rsidR="003D0A43" w:rsidRPr="00E53A01">
              <w:t>)</w:t>
            </w:r>
          </w:p>
        </w:tc>
      </w:tr>
      <w:tr w:rsidR="006D2048" w:rsidRPr="00E53A01" w14:paraId="455D5D2E" w14:textId="77777777" w:rsidTr="00F8371A">
        <w:trPr>
          <w:trHeight w:val="406"/>
        </w:trPr>
        <w:tc>
          <w:tcPr>
            <w:tcW w:w="9352" w:type="dxa"/>
            <w:gridSpan w:val="2"/>
            <w:shd w:val="clear" w:color="auto" w:fill="00FFCC"/>
          </w:tcPr>
          <w:p w14:paraId="6CAD09C9" w14:textId="77777777" w:rsidR="006D2048" w:rsidRPr="00E53A01" w:rsidRDefault="006D2048" w:rsidP="006D2048">
            <w:pPr>
              <w:pStyle w:val="TableParagraph"/>
              <w:spacing w:line="246" w:lineRule="exact"/>
              <w:ind w:left="110"/>
              <w:jc w:val="center"/>
            </w:pPr>
            <w:r w:rsidRPr="00E53A01">
              <w:rPr>
                <w:b/>
              </w:rPr>
              <w:t>2.10 Contribution</w:t>
            </w:r>
            <w:r w:rsidRPr="00E53A01">
              <w:rPr>
                <w:b/>
                <w:spacing w:val="-5"/>
              </w:rPr>
              <w:t xml:space="preserve"> </w:t>
            </w:r>
            <w:r w:rsidRPr="00E53A01">
              <w:rPr>
                <w:b/>
              </w:rPr>
              <w:t>to</w:t>
            </w:r>
            <w:r w:rsidRPr="00E53A01">
              <w:rPr>
                <w:b/>
                <w:spacing w:val="-4"/>
              </w:rPr>
              <w:t xml:space="preserve"> </w:t>
            </w:r>
            <w:r w:rsidRPr="00E53A01">
              <w:rPr>
                <w:b/>
              </w:rPr>
              <w:t>Expected</w:t>
            </w:r>
            <w:r w:rsidRPr="00E53A01">
              <w:rPr>
                <w:b/>
                <w:spacing w:val="-2"/>
              </w:rPr>
              <w:t xml:space="preserve"> </w:t>
            </w:r>
            <w:r w:rsidRPr="00E53A01">
              <w:rPr>
                <w:b/>
              </w:rPr>
              <w:t>Results</w:t>
            </w:r>
            <w:r w:rsidRPr="00E53A01">
              <w:rPr>
                <w:b/>
                <w:spacing w:val="-4"/>
              </w:rPr>
              <w:t xml:space="preserve"> </w:t>
            </w:r>
            <w:r w:rsidRPr="00E53A01">
              <w:rPr>
                <w:b/>
              </w:rPr>
              <w:t>in</w:t>
            </w:r>
            <w:r w:rsidRPr="00E53A01">
              <w:rPr>
                <w:b/>
                <w:spacing w:val="-4"/>
              </w:rPr>
              <w:t xml:space="preserve"> </w:t>
            </w:r>
            <w:r w:rsidRPr="00E53A01">
              <w:rPr>
                <w:b/>
              </w:rPr>
              <w:t>WIPO’s</w:t>
            </w:r>
            <w:r w:rsidRPr="00E53A01">
              <w:rPr>
                <w:b/>
                <w:spacing w:val="-4"/>
              </w:rPr>
              <w:t xml:space="preserve"> </w:t>
            </w:r>
            <w:r w:rsidRPr="00E53A01">
              <w:rPr>
                <w:b/>
              </w:rPr>
              <w:t>Program</w:t>
            </w:r>
            <w:r w:rsidRPr="00E53A01">
              <w:rPr>
                <w:b/>
                <w:spacing w:val="-4"/>
              </w:rPr>
              <w:t xml:space="preserve"> </w:t>
            </w:r>
            <w:r w:rsidRPr="00E53A01">
              <w:rPr>
                <w:b/>
              </w:rPr>
              <w:t>and</w:t>
            </w:r>
            <w:r w:rsidRPr="00E53A01">
              <w:rPr>
                <w:b/>
                <w:spacing w:val="-2"/>
              </w:rPr>
              <w:t xml:space="preserve"> </w:t>
            </w:r>
            <w:r w:rsidRPr="00E53A01">
              <w:rPr>
                <w:b/>
              </w:rPr>
              <w:t>Budget</w:t>
            </w:r>
          </w:p>
        </w:tc>
      </w:tr>
      <w:tr w:rsidR="006D2048" w:rsidRPr="00E53A01" w14:paraId="333DDFF0" w14:textId="77777777" w:rsidTr="00F8371A">
        <w:trPr>
          <w:trHeight w:val="451"/>
        </w:trPr>
        <w:tc>
          <w:tcPr>
            <w:tcW w:w="9352" w:type="dxa"/>
            <w:gridSpan w:val="2"/>
          </w:tcPr>
          <w:p w14:paraId="12CD5A2E" w14:textId="29755442" w:rsidR="00966DC6" w:rsidRPr="00E53A01" w:rsidRDefault="00DF0878" w:rsidP="00966DC6">
            <w:pPr>
              <w:pStyle w:val="TableParagraph"/>
              <w:spacing w:line="246" w:lineRule="exact"/>
              <w:ind w:left="110"/>
              <w:jc w:val="center"/>
            </w:pPr>
            <w:r>
              <w:t xml:space="preserve">Link to </w:t>
            </w:r>
            <w:r w:rsidR="00966DC6" w:rsidRPr="00E53A01">
              <w:t>Program and Budget 2024/25</w:t>
            </w:r>
            <w:r>
              <w:t xml:space="preserve"> Expected Results</w:t>
            </w:r>
          </w:p>
          <w:p w14:paraId="6B466165" w14:textId="77777777" w:rsidR="00966DC6" w:rsidRPr="00E53A01" w:rsidRDefault="00966DC6" w:rsidP="00966DC6">
            <w:pPr>
              <w:pStyle w:val="TableParagraph"/>
              <w:spacing w:line="246" w:lineRule="exact"/>
              <w:ind w:left="110"/>
              <w:jc w:val="center"/>
            </w:pPr>
          </w:p>
          <w:p w14:paraId="4E09F0FD" w14:textId="2906B4C8" w:rsidR="00335CD7" w:rsidRPr="0016632F" w:rsidRDefault="00335CD7" w:rsidP="00811B5A">
            <w:pPr>
              <w:pStyle w:val="TableParagraph"/>
              <w:spacing w:after="220"/>
              <w:ind w:left="115" w:right="72"/>
            </w:pPr>
            <w:r w:rsidRPr="001B5D03">
              <w:rPr>
                <w:b/>
              </w:rPr>
              <w:lastRenderedPageBreak/>
              <w:t>3.</w:t>
            </w:r>
            <w:r w:rsidRPr="00E05B52">
              <w:rPr>
                <w:b/>
              </w:rPr>
              <w:t>1</w:t>
            </w:r>
            <w:r w:rsidRPr="0016632F">
              <w:rPr>
                <w:b/>
              </w:rPr>
              <w:t>:</w:t>
            </w:r>
            <w:r w:rsidRPr="0016632F">
              <w:t xml:space="preserve">  Wider and more effective use of WIPO’s global IP systems, services, knowledge, and data.</w:t>
            </w:r>
          </w:p>
          <w:p w14:paraId="64C34BC0" w14:textId="04D88B72" w:rsidR="006D2048" w:rsidRPr="00964F45" w:rsidRDefault="00411A99" w:rsidP="00811B5A">
            <w:pPr>
              <w:pStyle w:val="TableParagraph"/>
              <w:spacing w:after="220"/>
              <w:ind w:left="115" w:right="72"/>
            </w:pPr>
            <w:r w:rsidRPr="0016632F">
              <w:rPr>
                <w:b/>
              </w:rPr>
              <w:t>4.1:</w:t>
            </w:r>
            <w:r w:rsidRPr="0016632F">
              <w:t xml:space="preserve">  More effective use of IP to support growth and development of all Member States and their relevant regions and sub-regions, including through the mainstreaming of the Development Agenda recommendations.</w:t>
            </w:r>
          </w:p>
        </w:tc>
      </w:tr>
      <w:tr w:rsidR="006D2048" w:rsidRPr="00E53A01" w14:paraId="055A3E78" w14:textId="77777777" w:rsidTr="00F8371A">
        <w:trPr>
          <w:trHeight w:val="352"/>
        </w:trPr>
        <w:tc>
          <w:tcPr>
            <w:tcW w:w="9352" w:type="dxa"/>
            <w:gridSpan w:val="2"/>
            <w:shd w:val="clear" w:color="auto" w:fill="00FFCC"/>
          </w:tcPr>
          <w:p w14:paraId="67C4D633" w14:textId="77777777" w:rsidR="006D2048" w:rsidRPr="00E53A01" w:rsidRDefault="006D2048" w:rsidP="006D2048">
            <w:pPr>
              <w:pStyle w:val="TableParagraph"/>
              <w:ind w:left="110" w:right="77"/>
              <w:jc w:val="center"/>
              <w:rPr>
                <w:b/>
              </w:rPr>
            </w:pPr>
            <w:r w:rsidRPr="00E53A01">
              <w:rPr>
                <w:b/>
              </w:rPr>
              <w:lastRenderedPageBreak/>
              <w:t>2.11 Risk and Mitigation</w:t>
            </w:r>
          </w:p>
        </w:tc>
      </w:tr>
      <w:tr w:rsidR="006D2048" w:rsidRPr="00E53A01" w14:paraId="1814ED9F" w14:textId="77777777" w:rsidTr="00F8371A">
        <w:trPr>
          <w:trHeight w:val="424"/>
        </w:trPr>
        <w:tc>
          <w:tcPr>
            <w:tcW w:w="9352" w:type="dxa"/>
            <w:gridSpan w:val="2"/>
            <w:shd w:val="clear" w:color="auto" w:fill="FFFFFF" w:themeFill="background1"/>
          </w:tcPr>
          <w:p w14:paraId="7877B762" w14:textId="653B32E6" w:rsidR="006D2048" w:rsidRDefault="00BC14BB" w:rsidP="00811B5A">
            <w:pPr>
              <w:pStyle w:val="TableParagraph"/>
              <w:spacing w:before="220" w:after="220"/>
              <w:ind w:left="115" w:right="77"/>
            </w:pPr>
            <w:r w:rsidRPr="00276D42">
              <w:rPr>
                <w:b/>
                <w:bCs/>
                <w:i/>
                <w:iCs/>
              </w:rPr>
              <w:t>Risk 1</w:t>
            </w:r>
            <w:r w:rsidRPr="00276D42">
              <w:rPr>
                <w:i/>
                <w:iCs/>
              </w:rPr>
              <w:t>:</w:t>
            </w:r>
            <w:r>
              <w:t xml:space="preserve">  The project partly relies on Member States’ willingness to</w:t>
            </w:r>
            <w:r w:rsidR="002A044D">
              <w:t xml:space="preserve"> </w:t>
            </w:r>
            <w:r w:rsidR="00C74A2F">
              <w:t>design, discuss</w:t>
            </w:r>
            <w:r w:rsidR="00E842DC">
              <w:t xml:space="preserve"> and </w:t>
            </w:r>
            <w:r w:rsidR="00C74A2F">
              <w:t xml:space="preserve">eventually </w:t>
            </w:r>
            <w:r w:rsidR="00E842DC">
              <w:t>adopt their NIPS, and thereafter</w:t>
            </w:r>
            <w:r w:rsidR="00C74A2F">
              <w:t xml:space="preserve"> officially</w:t>
            </w:r>
            <w:r w:rsidR="00E842DC">
              <w:t xml:space="preserve"> </w:t>
            </w:r>
            <w:r w:rsidR="002A044D">
              <w:t xml:space="preserve">make their NIPS and experiences </w:t>
            </w:r>
            <w:r w:rsidR="002A044D" w:rsidRPr="00E53A01">
              <w:t>publicly available</w:t>
            </w:r>
            <w:r>
              <w:t>.</w:t>
            </w:r>
          </w:p>
          <w:p w14:paraId="6394790A" w14:textId="172C80A8" w:rsidR="00BC14BB" w:rsidRPr="005A3C1F" w:rsidRDefault="00BC14BB" w:rsidP="00811B5A">
            <w:pPr>
              <w:pStyle w:val="TableParagraph"/>
              <w:spacing w:before="220" w:after="220"/>
              <w:ind w:left="115" w:right="77"/>
              <w:rPr>
                <w:highlight w:val="yellow"/>
              </w:rPr>
            </w:pPr>
            <w:r w:rsidRPr="00276D42">
              <w:rPr>
                <w:b/>
                <w:bCs/>
                <w:i/>
                <w:iCs/>
              </w:rPr>
              <w:t>Mitigation 1</w:t>
            </w:r>
            <w:r w:rsidRPr="005A3C1F">
              <w:rPr>
                <w:i/>
                <w:iCs/>
              </w:rPr>
              <w:t>:</w:t>
            </w:r>
            <w:r w:rsidRPr="005A3C1F">
              <w:t xml:space="preserve">  The project manager will undertake careful consultations</w:t>
            </w:r>
            <w:r w:rsidR="006569DF" w:rsidRPr="005A3C1F">
              <w:t xml:space="preserve"> with</w:t>
            </w:r>
            <w:r w:rsidR="00337688" w:rsidRPr="005A3C1F">
              <w:t xml:space="preserve"> </w:t>
            </w:r>
            <w:r w:rsidR="00337688" w:rsidRPr="005A3C1F">
              <w:rPr>
                <w:bCs/>
              </w:rPr>
              <w:t>the concerned</w:t>
            </w:r>
            <w:r w:rsidR="006569DF" w:rsidRPr="005A3C1F">
              <w:t xml:space="preserve"> Member States</w:t>
            </w:r>
            <w:r w:rsidRPr="005A3C1F">
              <w:t xml:space="preserve"> and as appropriate will request the involvement of consulted parties in the elaboration of the </w:t>
            </w:r>
            <w:r w:rsidR="005A3C1F" w:rsidRPr="005A3C1F">
              <w:t xml:space="preserve">project’s outputs.  </w:t>
            </w:r>
            <w:r w:rsidRPr="005A3C1F">
              <w:t xml:space="preserve">It should be noted that the participation of Member States and the information they provide will allow the </w:t>
            </w:r>
            <w:r w:rsidR="005A3C1F" w:rsidRPr="005A3C1F">
              <w:t xml:space="preserve">project’s outputs </w:t>
            </w:r>
            <w:r w:rsidRPr="005A3C1F">
              <w:t>to be more specifically tailored to their needs.</w:t>
            </w:r>
          </w:p>
          <w:p w14:paraId="165224A4" w14:textId="0E3D537B" w:rsidR="00B46F62" w:rsidRDefault="00B46F62" w:rsidP="00811B5A">
            <w:pPr>
              <w:pStyle w:val="TableParagraph"/>
              <w:spacing w:before="220" w:after="220"/>
              <w:ind w:left="115" w:right="77"/>
            </w:pPr>
            <w:r w:rsidRPr="00B46F62">
              <w:rPr>
                <w:b/>
                <w:bCs/>
                <w:i/>
                <w:iCs/>
              </w:rPr>
              <w:t>Risk 2</w:t>
            </w:r>
            <w:r>
              <w:t>:  Member States may not be interested in the final</w:t>
            </w:r>
            <w:r w:rsidR="00FF1DA0">
              <w:t xml:space="preserve"> </w:t>
            </w:r>
            <w:r w:rsidR="001E5B4F">
              <w:t>outputs</w:t>
            </w:r>
            <w:r w:rsidR="00FF1DA0">
              <w:t xml:space="preserve"> of the project</w:t>
            </w:r>
            <w:r>
              <w:t xml:space="preserve"> and may choose to follow their own process instead.</w:t>
            </w:r>
          </w:p>
          <w:p w14:paraId="721B3032" w14:textId="4B45AD4C" w:rsidR="006569DF" w:rsidRPr="00811B5A" w:rsidRDefault="00B46F62" w:rsidP="00811B5A">
            <w:pPr>
              <w:pStyle w:val="TableParagraph"/>
              <w:spacing w:before="220" w:after="220"/>
              <w:ind w:left="115"/>
            </w:pPr>
            <w:r w:rsidRPr="00B46F62">
              <w:rPr>
                <w:b/>
                <w:bCs/>
                <w:i/>
                <w:iCs/>
              </w:rPr>
              <w:t>Mitigation 2</w:t>
            </w:r>
            <w:r>
              <w:t xml:space="preserve">:  When disseminating the </w:t>
            </w:r>
            <w:r w:rsidR="00133481">
              <w:t>project’s outputs</w:t>
            </w:r>
            <w:r>
              <w:t xml:space="preserve">, the project manager will emphasize the benefits of following its guidelines and the impact this should have on the chances of </w:t>
            </w:r>
            <w:r w:rsidR="00C74A2F">
              <w:t xml:space="preserve">success in </w:t>
            </w:r>
            <w:r w:rsidR="00F82309" w:rsidRPr="00E53A01">
              <w:t>develop</w:t>
            </w:r>
            <w:r w:rsidR="00F82309">
              <w:t>ing</w:t>
            </w:r>
            <w:r w:rsidR="00F82309" w:rsidRPr="00E53A01">
              <w:t xml:space="preserve"> and implement</w:t>
            </w:r>
            <w:r w:rsidR="00F82309">
              <w:t>ing</w:t>
            </w:r>
            <w:r w:rsidR="00F82309" w:rsidRPr="00E53A01">
              <w:t xml:space="preserve"> effective NIPS.</w:t>
            </w:r>
          </w:p>
        </w:tc>
      </w:tr>
    </w:tbl>
    <w:p w14:paraId="2337C7EE" w14:textId="543EA2E7" w:rsidR="005B1670" w:rsidRDefault="005B1670" w:rsidP="00DE7487">
      <w:pPr>
        <w:rPr>
          <w:b/>
          <w:bCs/>
        </w:rPr>
      </w:pPr>
      <w:r>
        <w:rPr>
          <w:b/>
          <w:bCs/>
        </w:rPr>
        <w:br w:type="page"/>
      </w:r>
    </w:p>
    <w:p w14:paraId="181ACBED" w14:textId="77777777" w:rsidR="005B1670" w:rsidRDefault="005B1670" w:rsidP="00DE7487">
      <w:pPr>
        <w:rPr>
          <w:b/>
          <w:bCs/>
        </w:rPr>
        <w:sectPr w:rsidR="005B1670" w:rsidSect="00582354">
          <w:headerReference w:type="default" r:id="rId14"/>
          <w:headerReference w:type="first" r:id="rId15"/>
          <w:pgSz w:w="11907" w:h="16840" w:code="9"/>
          <w:pgMar w:top="1417" w:right="1417" w:bottom="1417" w:left="1417" w:header="706" w:footer="709" w:gutter="0"/>
          <w:pgNumType w:start="1"/>
          <w:cols w:space="720"/>
          <w:titlePg/>
          <w:docGrid w:linePitch="299"/>
        </w:sectPr>
      </w:pPr>
    </w:p>
    <w:p w14:paraId="4F70E37D" w14:textId="1E56BED3" w:rsidR="005B1670" w:rsidRPr="00AA21FF" w:rsidRDefault="005B1670" w:rsidP="005B1670">
      <w:pPr>
        <w:pStyle w:val="ListParagraph"/>
        <w:numPr>
          <w:ilvl w:val="0"/>
          <w:numId w:val="25"/>
        </w:numPr>
        <w:spacing w:after="240" w:line="234" w:lineRule="exact"/>
        <w:ind w:left="360"/>
        <w:contextualSpacing w:val="0"/>
        <w:rPr>
          <w:rFonts w:ascii="Arial Body" w:hAnsi="Arial Body" w:cstheme="minorBidi"/>
          <w:b/>
          <w:bCs/>
        </w:rPr>
      </w:pPr>
      <w:r w:rsidRPr="00AA21FF">
        <w:rPr>
          <w:rFonts w:ascii="Arial Body" w:hAnsi="Arial Body" w:cstheme="minorBidi"/>
          <w:b/>
          <w:bCs/>
        </w:rPr>
        <w:lastRenderedPageBreak/>
        <w:t>TENTATIVE IMPLEMENTATION TIMELINE</w:t>
      </w:r>
    </w:p>
    <w:tbl>
      <w:tblPr>
        <w:tblW w:w="52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271"/>
        <w:gridCol w:w="891"/>
        <w:gridCol w:w="976"/>
        <w:gridCol w:w="976"/>
        <w:gridCol w:w="982"/>
        <w:gridCol w:w="873"/>
        <w:gridCol w:w="824"/>
        <w:gridCol w:w="914"/>
        <w:gridCol w:w="947"/>
      </w:tblGrid>
      <w:tr w:rsidR="005B1670" w:rsidRPr="00197D9F" w14:paraId="04465ACB" w14:textId="77777777" w:rsidTr="00C541FC">
        <w:trPr>
          <w:trHeight w:val="20"/>
        </w:trPr>
        <w:tc>
          <w:tcPr>
            <w:tcW w:w="2481" w:type="pct"/>
            <w:vMerge w:val="restart"/>
            <w:shd w:val="clear" w:color="auto" w:fill="auto"/>
            <w:vAlign w:val="center"/>
          </w:tcPr>
          <w:p w14:paraId="38D41A30" w14:textId="77777777" w:rsidR="005B1670" w:rsidRPr="00126689" w:rsidRDefault="005B1670" w:rsidP="00B92550">
            <w:pPr>
              <w:rPr>
                <w:b/>
              </w:rPr>
            </w:pPr>
            <w:r w:rsidRPr="00126689">
              <w:rPr>
                <w:b/>
              </w:rPr>
              <w:t xml:space="preserve">Project </w:t>
            </w:r>
            <w:r>
              <w:rPr>
                <w:b/>
              </w:rPr>
              <w:t>Deliverables</w:t>
            </w:r>
          </w:p>
        </w:tc>
        <w:tc>
          <w:tcPr>
            <w:tcW w:w="2519" w:type="pct"/>
            <w:gridSpan w:val="8"/>
            <w:shd w:val="clear" w:color="auto" w:fill="auto"/>
          </w:tcPr>
          <w:p w14:paraId="3BFD6CDE" w14:textId="77777777" w:rsidR="005B1670" w:rsidRPr="00126689" w:rsidRDefault="005B1670" w:rsidP="00B92550">
            <w:pPr>
              <w:jc w:val="center"/>
              <w:rPr>
                <w:b/>
              </w:rPr>
            </w:pPr>
            <w:r w:rsidRPr="00126689">
              <w:rPr>
                <w:b/>
              </w:rPr>
              <w:t>Quarters</w:t>
            </w:r>
          </w:p>
        </w:tc>
      </w:tr>
      <w:tr w:rsidR="005B1670" w:rsidRPr="00197D9F" w14:paraId="4CCFD739" w14:textId="77777777" w:rsidTr="00330B04">
        <w:trPr>
          <w:trHeight w:val="20"/>
        </w:trPr>
        <w:tc>
          <w:tcPr>
            <w:tcW w:w="2481" w:type="pct"/>
            <w:vMerge/>
            <w:shd w:val="clear" w:color="auto" w:fill="auto"/>
          </w:tcPr>
          <w:p w14:paraId="1A15BE91" w14:textId="77777777" w:rsidR="005B1670" w:rsidRPr="00126689" w:rsidRDefault="005B1670" w:rsidP="00B92550">
            <w:pPr>
              <w:rPr>
                <w:b/>
              </w:rPr>
            </w:pPr>
          </w:p>
        </w:tc>
        <w:tc>
          <w:tcPr>
            <w:tcW w:w="1305" w:type="pct"/>
            <w:gridSpan w:val="4"/>
            <w:shd w:val="clear" w:color="auto" w:fill="auto"/>
          </w:tcPr>
          <w:p w14:paraId="4F3C8995" w14:textId="77777777" w:rsidR="005B1670" w:rsidRPr="00126689" w:rsidRDefault="005B1670" w:rsidP="00B92550">
            <w:pPr>
              <w:jc w:val="center"/>
              <w:rPr>
                <w:b/>
              </w:rPr>
            </w:pPr>
            <w:r w:rsidRPr="00126689">
              <w:rPr>
                <w:b/>
              </w:rPr>
              <w:t>Year 1</w:t>
            </w:r>
          </w:p>
        </w:tc>
        <w:tc>
          <w:tcPr>
            <w:tcW w:w="1214" w:type="pct"/>
            <w:gridSpan w:val="4"/>
          </w:tcPr>
          <w:p w14:paraId="6076E8DA" w14:textId="77777777" w:rsidR="005B1670" w:rsidRPr="00126689" w:rsidRDefault="005B1670" w:rsidP="00B92550">
            <w:pPr>
              <w:jc w:val="center"/>
              <w:rPr>
                <w:b/>
              </w:rPr>
            </w:pPr>
            <w:r>
              <w:rPr>
                <w:b/>
              </w:rPr>
              <w:t>Year 2</w:t>
            </w:r>
          </w:p>
        </w:tc>
      </w:tr>
      <w:tr w:rsidR="005B1670" w:rsidRPr="00197D9F" w14:paraId="2A5EE61A" w14:textId="77777777" w:rsidTr="00330B04">
        <w:trPr>
          <w:trHeight w:val="20"/>
        </w:trPr>
        <w:tc>
          <w:tcPr>
            <w:tcW w:w="2481" w:type="pct"/>
            <w:vMerge/>
            <w:shd w:val="clear" w:color="auto" w:fill="auto"/>
          </w:tcPr>
          <w:p w14:paraId="5C80925A" w14:textId="77777777" w:rsidR="005B1670" w:rsidRPr="00126689" w:rsidRDefault="005B1670" w:rsidP="00B92550">
            <w:pPr>
              <w:pBdr>
                <w:top w:val="nil"/>
                <w:left w:val="nil"/>
                <w:bottom w:val="nil"/>
                <w:right w:val="nil"/>
                <w:between w:val="nil"/>
              </w:pBdr>
            </w:pPr>
          </w:p>
        </w:tc>
        <w:tc>
          <w:tcPr>
            <w:tcW w:w="304" w:type="pct"/>
            <w:shd w:val="clear" w:color="auto" w:fill="D9D9D9" w:themeFill="background1" w:themeFillShade="D9"/>
          </w:tcPr>
          <w:p w14:paraId="4B7B6F12" w14:textId="77777777" w:rsidR="005B1670" w:rsidRPr="00126689" w:rsidRDefault="005B1670" w:rsidP="00B92550">
            <w:pPr>
              <w:jc w:val="center"/>
            </w:pPr>
            <w:r w:rsidRPr="00126689">
              <w:t>Q1</w:t>
            </w:r>
          </w:p>
        </w:tc>
        <w:tc>
          <w:tcPr>
            <w:tcW w:w="333" w:type="pct"/>
            <w:shd w:val="clear" w:color="auto" w:fill="D9D9D9" w:themeFill="background1" w:themeFillShade="D9"/>
          </w:tcPr>
          <w:p w14:paraId="5960E05A" w14:textId="77777777" w:rsidR="005B1670" w:rsidRPr="00126689" w:rsidRDefault="005B1670" w:rsidP="00B92550">
            <w:pPr>
              <w:jc w:val="center"/>
            </w:pPr>
            <w:r w:rsidRPr="00126689">
              <w:t>Q2</w:t>
            </w:r>
          </w:p>
        </w:tc>
        <w:tc>
          <w:tcPr>
            <w:tcW w:w="333" w:type="pct"/>
            <w:shd w:val="clear" w:color="auto" w:fill="D9D9D9" w:themeFill="background1" w:themeFillShade="D9"/>
          </w:tcPr>
          <w:p w14:paraId="748BBC3A" w14:textId="77777777" w:rsidR="005B1670" w:rsidRPr="00126689" w:rsidRDefault="005B1670" w:rsidP="00B92550">
            <w:pPr>
              <w:jc w:val="center"/>
            </w:pPr>
            <w:r w:rsidRPr="00126689">
              <w:t>Q3</w:t>
            </w:r>
          </w:p>
        </w:tc>
        <w:tc>
          <w:tcPr>
            <w:tcW w:w="335" w:type="pct"/>
            <w:shd w:val="clear" w:color="auto" w:fill="D9D9D9" w:themeFill="background1" w:themeFillShade="D9"/>
          </w:tcPr>
          <w:p w14:paraId="2FC0ED9D" w14:textId="77777777" w:rsidR="005B1670" w:rsidRPr="00126689" w:rsidRDefault="005B1670" w:rsidP="00B92550">
            <w:pPr>
              <w:jc w:val="center"/>
            </w:pPr>
            <w:r w:rsidRPr="00126689">
              <w:t>Q4</w:t>
            </w:r>
          </w:p>
        </w:tc>
        <w:tc>
          <w:tcPr>
            <w:tcW w:w="298" w:type="pct"/>
            <w:tcBorders>
              <w:right w:val="single" w:sz="4" w:space="0" w:color="auto"/>
            </w:tcBorders>
            <w:shd w:val="clear" w:color="auto" w:fill="D9D9D9" w:themeFill="background1" w:themeFillShade="D9"/>
          </w:tcPr>
          <w:p w14:paraId="17687349" w14:textId="77777777" w:rsidR="005B1670" w:rsidRPr="00126689" w:rsidRDefault="005B1670" w:rsidP="00C541FC">
            <w:pPr>
              <w:jc w:val="center"/>
            </w:pPr>
            <w:r>
              <w:t>Q1</w:t>
            </w:r>
          </w:p>
        </w:tc>
        <w:tc>
          <w:tcPr>
            <w:tcW w:w="281" w:type="pct"/>
            <w:tcBorders>
              <w:right w:val="single" w:sz="4" w:space="0" w:color="auto"/>
            </w:tcBorders>
            <w:shd w:val="clear" w:color="auto" w:fill="D9D9D9" w:themeFill="background1" w:themeFillShade="D9"/>
          </w:tcPr>
          <w:p w14:paraId="1D1B636E" w14:textId="77777777" w:rsidR="005B1670" w:rsidRPr="00126689" w:rsidRDefault="005B1670" w:rsidP="00C541FC">
            <w:pPr>
              <w:jc w:val="center"/>
            </w:pPr>
            <w:r>
              <w:t>Q2</w:t>
            </w:r>
          </w:p>
        </w:tc>
        <w:tc>
          <w:tcPr>
            <w:tcW w:w="312" w:type="pct"/>
            <w:tcBorders>
              <w:left w:val="single" w:sz="4" w:space="0" w:color="auto"/>
            </w:tcBorders>
            <w:shd w:val="clear" w:color="auto" w:fill="D9D9D9" w:themeFill="background1" w:themeFillShade="D9"/>
          </w:tcPr>
          <w:p w14:paraId="3EC2375F" w14:textId="77777777" w:rsidR="005B1670" w:rsidRPr="00126689" w:rsidRDefault="005B1670" w:rsidP="00B92550">
            <w:pPr>
              <w:jc w:val="center"/>
            </w:pPr>
            <w:r>
              <w:t>Q3</w:t>
            </w:r>
          </w:p>
        </w:tc>
        <w:tc>
          <w:tcPr>
            <w:tcW w:w="323" w:type="pct"/>
            <w:shd w:val="clear" w:color="auto" w:fill="D9D9D9" w:themeFill="background1" w:themeFillShade="D9"/>
          </w:tcPr>
          <w:p w14:paraId="3BD30B22" w14:textId="77777777" w:rsidR="005B1670" w:rsidRPr="00126689" w:rsidRDefault="005B1670" w:rsidP="00B92550">
            <w:pPr>
              <w:jc w:val="center"/>
            </w:pPr>
            <w:r>
              <w:t>Q4</w:t>
            </w:r>
          </w:p>
        </w:tc>
      </w:tr>
      <w:tr w:rsidR="005B1670" w:rsidRPr="00197D9F" w14:paraId="2F1689D1" w14:textId="77777777" w:rsidTr="00330B04">
        <w:trPr>
          <w:trHeight w:val="20"/>
        </w:trPr>
        <w:tc>
          <w:tcPr>
            <w:tcW w:w="2481" w:type="pct"/>
            <w:shd w:val="clear" w:color="auto" w:fill="auto"/>
          </w:tcPr>
          <w:p w14:paraId="15AE499E" w14:textId="77777777" w:rsidR="005B1670" w:rsidRPr="00126689" w:rsidRDefault="005B1670" w:rsidP="00555BE5">
            <w:pPr>
              <w:spacing w:before="120" w:after="120"/>
            </w:pPr>
            <w:r w:rsidRPr="00126689">
              <w:t>Pre implementation activities</w:t>
            </w:r>
            <w:r>
              <w:t>:</w:t>
            </w:r>
            <w:r w:rsidRPr="00126689">
              <w:rPr>
                <w:rStyle w:val="FootnoteReference"/>
              </w:rPr>
              <w:footnoteReference w:id="3"/>
            </w:r>
            <w:r w:rsidRPr="00126689">
              <w:t xml:space="preserve"> </w:t>
            </w:r>
          </w:p>
          <w:p w14:paraId="05BADB8D" w14:textId="6CE126DA" w:rsidR="005B1670" w:rsidRPr="00126689" w:rsidRDefault="005B1670" w:rsidP="00555BE5">
            <w:pPr>
              <w:spacing w:before="120" w:after="120"/>
            </w:pPr>
            <w:r>
              <w:t>- Consultation with group coordinators and interested Member States</w:t>
            </w:r>
          </w:p>
        </w:tc>
        <w:tc>
          <w:tcPr>
            <w:tcW w:w="304" w:type="pct"/>
            <w:shd w:val="clear" w:color="auto" w:fill="D9D9D9" w:themeFill="background1" w:themeFillShade="D9"/>
            <w:vAlign w:val="center"/>
          </w:tcPr>
          <w:p w14:paraId="6C856C17" w14:textId="77777777" w:rsidR="005B1670" w:rsidRPr="00126689" w:rsidRDefault="005B1670" w:rsidP="00555BE5">
            <w:pPr>
              <w:spacing w:before="120" w:after="120"/>
              <w:jc w:val="center"/>
            </w:pPr>
          </w:p>
        </w:tc>
        <w:tc>
          <w:tcPr>
            <w:tcW w:w="333" w:type="pct"/>
            <w:shd w:val="clear" w:color="auto" w:fill="D9D9D9" w:themeFill="background1" w:themeFillShade="D9"/>
            <w:vAlign w:val="center"/>
          </w:tcPr>
          <w:p w14:paraId="55908D37" w14:textId="77777777" w:rsidR="005B1670" w:rsidRPr="00126689" w:rsidRDefault="005B1670" w:rsidP="00555BE5">
            <w:pPr>
              <w:spacing w:before="120" w:after="120"/>
              <w:jc w:val="center"/>
            </w:pPr>
          </w:p>
        </w:tc>
        <w:tc>
          <w:tcPr>
            <w:tcW w:w="333" w:type="pct"/>
            <w:shd w:val="clear" w:color="auto" w:fill="D9D9D9" w:themeFill="background1" w:themeFillShade="D9"/>
            <w:vAlign w:val="center"/>
          </w:tcPr>
          <w:p w14:paraId="25864F53" w14:textId="77777777" w:rsidR="005B1670" w:rsidRPr="00126689" w:rsidRDefault="005B1670" w:rsidP="00555BE5">
            <w:pPr>
              <w:spacing w:before="120" w:after="120"/>
              <w:jc w:val="center"/>
            </w:pPr>
          </w:p>
        </w:tc>
        <w:tc>
          <w:tcPr>
            <w:tcW w:w="335" w:type="pct"/>
            <w:shd w:val="clear" w:color="auto" w:fill="D9D9D9" w:themeFill="background1" w:themeFillShade="D9"/>
            <w:vAlign w:val="center"/>
          </w:tcPr>
          <w:p w14:paraId="2C9DDC8D" w14:textId="77777777" w:rsidR="005B1670" w:rsidRPr="00126689" w:rsidRDefault="005B1670" w:rsidP="00555BE5">
            <w:pPr>
              <w:spacing w:before="120" w:after="120"/>
              <w:jc w:val="center"/>
            </w:pPr>
          </w:p>
        </w:tc>
        <w:tc>
          <w:tcPr>
            <w:tcW w:w="298" w:type="pct"/>
            <w:tcBorders>
              <w:right w:val="single" w:sz="4" w:space="0" w:color="auto"/>
            </w:tcBorders>
            <w:shd w:val="clear" w:color="auto" w:fill="D9D9D9" w:themeFill="background1" w:themeFillShade="D9"/>
            <w:vAlign w:val="center"/>
          </w:tcPr>
          <w:p w14:paraId="3F22C5F2" w14:textId="77777777" w:rsidR="005B1670" w:rsidRPr="00126689" w:rsidRDefault="005B1670" w:rsidP="00555BE5">
            <w:pPr>
              <w:spacing w:before="120" w:after="120"/>
              <w:jc w:val="center"/>
            </w:pPr>
          </w:p>
        </w:tc>
        <w:tc>
          <w:tcPr>
            <w:tcW w:w="281" w:type="pct"/>
            <w:tcBorders>
              <w:right w:val="single" w:sz="4" w:space="0" w:color="auto"/>
            </w:tcBorders>
            <w:shd w:val="clear" w:color="auto" w:fill="D9D9D9" w:themeFill="background1" w:themeFillShade="D9"/>
            <w:vAlign w:val="center"/>
          </w:tcPr>
          <w:p w14:paraId="34109BA6" w14:textId="77777777" w:rsidR="005B1670" w:rsidRPr="00126689" w:rsidRDefault="005B1670" w:rsidP="00555BE5">
            <w:pPr>
              <w:spacing w:before="120" w:after="120"/>
              <w:jc w:val="center"/>
            </w:pPr>
          </w:p>
        </w:tc>
        <w:tc>
          <w:tcPr>
            <w:tcW w:w="312" w:type="pct"/>
            <w:tcBorders>
              <w:left w:val="single" w:sz="4" w:space="0" w:color="auto"/>
            </w:tcBorders>
            <w:shd w:val="clear" w:color="auto" w:fill="D9D9D9" w:themeFill="background1" w:themeFillShade="D9"/>
            <w:vAlign w:val="center"/>
          </w:tcPr>
          <w:p w14:paraId="7C2FF4C3" w14:textId="77777777" w:rsidR="005B1670" w:rsidRPr="00126689" w:rsidRDefault="005B1670" w:rsidP="00555BE5">
            <w:pPr>
              <w:spacing w:before="120" w:after="120"/>
              <w:jc w:val="center"/>
            </w:pPr>
          </w:p>
        </w:tc>
        <w:tc>
          <w:tcPr>
            <w:tcW w:w="323" w:type="pct"/>
            <w:shd w:val="clear" w:color="auto" w:fill="D9D9D9" w:themeFill="background1" w:themeFillShade="D9"/>
            <w:vAlign w:val="center"/>
          </w:tcPr>
          <w:p w14:paraId="56CDC54A" w14:textId="77777777" w:rsidR="005B1670" w:rsidRPr="00126689" w:rsidRDefault="005B1670" w:rsidP="00555BE5">
            <w:pPr>
              <w:spacing w:before="120" w:after="120"/>
              <w:jc w:val="center"/>
            </w:pPr>
          </w:p>
        </w:tc>
      </w:tr>
      <w:tr w:rsidR="005B1670" w:rsidRPr="00197D9F" w14:paraId="5882A761" w14:textId="77777777" w:rsidTr="00330B04">
        <w:trPr>
          <w:trHeight w:val="20"/>
        </w:trPr>
        <w:tc>
          <w:tcPr>
            <w:tcW w:w="2481" w:type="pct"/>
            <w:shd w:val="clear" w:color="auto" w:fill="auto"/>
          </w:tcPr>
          <w:p w14:paraId="0EB1D9EA" w14:textId="4B86A6C5" w:rsidR="005B1670" w:rsidRPr="000F78F6" w:rsidRDefault="00901660" w:rsidP="00555BE5">
            <w:pPr>
              <w:pStyle w:val="TableParagraph"/>
              <w:spacing w:before="120" w:after="120"/>
              <w:ind w:right="140"/>
              <w:rPr>
                <w:iCs/>
              </w:rPr>
            </w:pPr>
            <w:r>
              <w:t xml:space="preserve">Inclusion </w:t>
            </w:r>
            <w:r w:rsidRPr="00CF6487">
              <w:t xml:space="preserve">of </w:t>
            </w:r>
            <w:r>
              <w:t xml:space="preserve">official and </w:t>
            </w:r>
            <w:r w:rsidRPr="00CF6487">
              <w:t>publicly available NIPS in the WIPO Lex Database.</w:t>
            </w:r>
          </w:p>
        </w:tc>
        <w:tc>
          <w:tcPr>
            <w:tcW w:w="304" w:type="pct"/>
            <w:shd w:val="clear" w:color="auto" w:fill="D9D9D9" w:themeFill="background1" w:themeFillShade="D9"/>
            <w:vAlign w:val="center"/>
          </w:tcPr>
          <w:p w14:paraId="5801A851" w14:textId="77777777" w:rsidR="005B1670" w:rsidRPr="00126689" w:rsidRDefault="005B1670" w:rsidP="00555BE5">
            <w:pPr>
              <w:spacing w:before="120" w:after="120"/>
              <w:jc w:val="center"/>
            </w:pPr>
            <w:r>
              <w:t>X</w:t>
            </w:r>
          </w:p>
        </w:tc>
        <w:tc>
          <w:tcPr>
            <w:tcW w:w="333" w:type="pct"/>
            <w:shd w:val="clear" w:color="auto" w:fill="D9D9D9" w:themeFill="background1" w:themeFillShade="D9"/>
            <w:vAlign w:val="center"/>
          </w:tcPr>
          <w:p w14:paraId="52A3221D" w14:textId="77777777" w:rsidR="005B1670" w:rsidRPr="00126689" w:rsidRDefault="005B1670" w:rsidP="00555BE5">
            <w:pPr>
              <w:spacing w:before="120" w:after="120"/>
              <w:jc w:val="center"/>
            </w:pPr>
            <w:r>
              <w:t>X</w:t>
            </w:r>
          </w:p>
        </w:tc>
        <w:tc>
          <w:tcPr>
            <w:tcW w:w="333" w:type="pct"/>
            <w:shd w:val="clear" w:color="auto" w:fill="D9D9D9" w:themeFill="background1" w:themeFillShade="D9"/>
            <w:vAlign w:val="center"/>
          </w:tcPr>
          <w:p w14:paraId="57608195" w14:textId="77777777" w:rsidR="005B1670" w:rsidRPr="00126689" w:rsidRDefault="005B1670" w:rsidP="00555BE5">
            <w:pPr>
              <w:spacing w:before="120" w:after="120"/>
              <w:jc w:val="center"/>
            </w:pPr>
            <w:r>
              <w:t>X</w:t>
            </w:r>
          </w:p>
        </w:tc>
        <w:tc>
          <w:tcPr>
            <w:tcW w:w="335" w:type="pct"/>
            <w:shd w:val="clear" w:color="auto" w:fill="D9D9D9" w:themeFill="background1" w:themeFillShade="D9"/>
            <w:vAlign w:val="center"/>
          </w:tcPr>
          <w:p w14:paraId="2C58232C" w14:textId="77777777" w:rsidR="005B1670" w:rsidRPr="00126689" w:rsidRDefault="005B1670" w:rsidP="00555BE5">
            <w:pPr>
              <w:spacing w:before="120" w:after="120"/>
              <w:jc w:val="center"/>
            </w:pPr>
            <w:r>
              <w:t>X</w:t>
            </w:r>
          </w:p>
        </w:tc>
        <w:tc>
          <w:tcPr>
            <w:tcW w:w="298" w:type="pct"/>
            <w:tcBorders>
              <w:right w:val="single" w:sz="4" w:space="0" w:color="auto"/>
            </w:tcBorders>
            <w:shd w:val="clear" w:color="auto" w:fill="D9D9D9" w:themeFill="background1" w:themeFillShade="D9"/>
            <w:vAlign w:val="center"/>
          </w:tcPr>
          <w:p w14:paraId="4C4A13FE" w14:textId="77777777" w:rsidR="005B1670" w:rsidRPr="00126689" w:rsidRDefault="005B1670" w:rsidP="00555BE5">
            <w:pPr>
              <w:spacing w:before="120" w:after="120"/>
              <w:jc w:val="center"/>
            </w:pPr>
            <w:r>
              <w:t>X</w:t>
            </w:r>
          </w:p>
        </w:tc>
        <w:tc>
          <w:tcPr>
            <w:tcW w:w="281" w:type="pct"/>
            <w:tcBorders>
              <w:right w:val="single" w:sz="4" w:space="0" w:color="auto"/>
            </w:tcBorders>
            <w:shd w:val="clear" w:color="auto" w:fill="D9D9D9" w:themeFill="background1" w:themeFillShade="D9"/>
            <w:vAlign w:val="center"/>
          </w:tcPr>
          <w:p w14:paraId="50EDDC47" w14:textId="77777777" w:rsidR="005B1670" w:rsidRPr="00126689" w:rsidRDefault="005B1670" w:rsidP="00555BE5">
            <w:pPr>
              <w:spacing w:before="120" w:after="120"/>
              <w:jc w:val="center"/>
            </w:pPr>
            <w:r>
              <w:t>X</w:t>
            </w:r>
          </w:p>
        </w:tc>
        <w:tc>
          <w:tcPr>
            <w:tcW w:w="312" w:type="pct"/>
            <w:tcBorders>
              <w:left w:val="single" w:sz="4" w:space="0" w:color="auto"/>
            </w:tcBorders>
            <w:shd w:val="clear" w:color="auto" w:fill="D9D9D9" w:themeFill="background1" w:themeFillShade="D9"/>
            <w:vAlign w:val="center"/>
          </w:tcPr>
          <w:p w14:paraId="502863F0" w14:textId="77777777" w:rsidR="005B1670" w:rsidRPr="00126689" w:rsidRDefault="005B1670" w:rsidP="00555BE5">
            <w:pPr>
              <w:spacing w:before="120" w:after="120"/>
              <w:jc w:val="center"/>
            </w:pPr>
            <w:r>
              <w:t>X</w:t>
            </w:r>
          </w:p>
        </w:tc>
        <w:tc>
          <w:tcPr>
            <w:tcW w:w="323" w:type="pct"/>
            <w:shd w:val="clear" w:color="auto" w:fill="D9D9D9" w:themeFill="background1" w:themeFillShade="D9"/>
            <w:vAlign w:val="center"/>
          </w:tcPr>
          <w:p w14:paraId="388EC75A" w14:textId="7513C790" w:rsidR="005B1670" w:rsidRPr="00126689" w:rsidRDefault="009F6575" w:rsidP="00555BE5">
            <w:pPr>
              <w:spacing w:before="120" w:after="120"/>
              <w:jc w:val="center"/>
            </w:pPr>
            <w:r>
              <w:t>X</w:t>
            </w:r>
          </w:p>
        </w:tc>
      </w:tr>
      <w:tr w:rsidR="005B1670" w:rsidRPr="00197D9F" w14:paraId="7389C10B" w14:textId="77777777" w:rsidTr="00330B04">
        <w:trPr>
          <w:trHeight w:val="20"/>
        </w:trPr>
        <w:tc>
          <w:tcPr>
            <w:tcW w:w="2481" w:type="pct"/>
            <w:shd w:val="clear" w:color="auto" w:fill="auto"/>
          </w:tcPr>
          <w:p w14:paraId="275C0C5B" w14:textId="55741D29" w:rsidR="005B1670" w:rsidRPr="00197D9F" w:rsidRDefault="005B1670" w:rsidP="00555BE5">
            <w:pPr>
              <w:pStyle w:val="TableParagraph"/>
              <w:spacing w:before="120" w:after="120"/>
              <w:ind w:right="175"/>
              <w:rPr>
                <w:iCs/>
              </w:rPr>
            </w:pPr>
            <w:r w:rsidRPr="00E53A01">
              <w:t>Five case studies on the development</w:t>
            </w:r>
            <w:r w:rsidR="001C5F6E">
              <w:t xml:space="preserve"> or implementation</w:t>
            </w:r>
            <w:r w:rsidRPr="00E53A01">
              <w:t xml:space="preserve"> of NIPS in selected Member States</w:t>
            </w:r>
          </w:p>
        </w:tc>
        <w:tc>
          <w:tcPr>
            <w:tcW w:w="304" w:type="pct"/>
            <w:shd w:val="clear" w:color="auto" w:fill="D9D9D9" w:themeFill="background1" w:themeFillShade="D9"/>
            <w:vAlign w:val="center"/>
          </w:tcPr>
          <w:p w14:paraId="1152C9EA" w14:textId="77777777" w:rsidR="005B1670" w:rsidRPr="00126689" w:rsidRDefault="005B1670" w:rsidP="00555BE5">
            <w:pPr>
              <w:spacing w:before="120" w:after="120"/>
              <w:jc w:val="center"/>
            </w:pPr>
            <w:r>
              <w:t>X</w:t>
            </w:r>
          </w:p>
        </w:tc>
        <w:tc>
          <w:tcPr>
            <w:tcW w:w="333" w:type="pct"/>
            <w:shd w:val="clear" w:color="auto" w:fill="D9D9D9" w:themeFill="background1" w:themeFillShade="D9"/>
            <w:vAlign w:val="center"/>
          </w:tcPr>
          <w:p w14:paraId="3018DB18" w14:textId="77777777" w:rsidR="005B1670" w:rsidRPr="00126689" w:rsidRDefault="005B1670" w:rsidP="00555BE5">
            <w:pPr>
              <w:spacing w:before="120" w:after="120"/>
              <w:jc w:val="center"/>
            </w:pPr>
            <w:r>
              <w:t>X</w:t>
            </w:r>
          </w:p>
        </w:tc>
        <w:tc>
          <w:tcPr>
            <w:tcW w:w="333" w:type="pct"/>
            <w:shd w:val="clear" w:color="auto" w:fill="D9D9D9" w:themeFill="background1" w:themeFillShade="D9"/>
            <w:vAlign w:val="center"/>
          </w:tcPr>
          <w:p w14:paraId="4499ED54" w14:textId="77777777" w:rsidR="005B1670" w:rsidRPr="00126689" w:rsidRDefault="005B1670" w:rsidP="00555BE5">
            <w:pPr>
              <w:spacing w:before="120" w:after="120"/>
              <w:jc w:val="center"/>
            </w:pPr>
            <w:r>
              <w:t>X</w:t>
            </w:r>
          </w:p>
        </w:tc>
        <w:tc>
          <w:tcPr>
            <w:tcW w:w="335" w:type="pct"/>
            <w:shd w:val="clear" w:color="auto" w:fill="D9D9D9" w:themeFill="background1" w:themeFillShade="D9"/>
            <w:vAlign w:val="center"/>
          </w:tcPr>
          <w:p w14:paraId="60327F8A" w14:textId="77777777" w:rsidR="005B1670" w:rsidRPr="00126689" w:rsidRDefault="005B1670" w:rsidP="00555BE5">
            <w:pPr>
              <w:spacing w:before="120" w:after="120"/>
              <w:jc w:val="center"/>
            </w:pPr>
            <w:r>
              <w:t>X</w:t>
            </w:r>
          </w:p>
        </w:tc>
        <w:tc>
          <w:tcPr>
            <w:tcW w:w="298" w:type="pct"/>
            <w:tcBorders>
              <w:right w:val="single" w:sz="4" w:space="0" w:color="auto"/>
            </w:tcBorders>
            <w:shd w:val="clear" w:color="auto" w:fill="D9D9D9" w:themeFill="background1" w:themeFillShade="D9"/>
            <w:vAlign w:val="center"/>
          </w:tcPr>
          <w:p w14:paraId="0C53AAAD" w14:textId="77777777" w:rsidR="005B1670" w:rsidRPr="00126689" w:rsidRDefault="005B1670" w:rsidP="00555BE5">
            <w:pPr>
              <w:spacing w:before="120" w:after="120"/>
              <w:jc w:val="center"/>
            </w:pPr>
            <w:r>
              <w:t>X</w:t>
            </w:r>
          </w:p>
        </w:tc>
        <w:tc>
          <w:tcPr>
            <w:tcW w:w="281" w:type="pct"/>
            <w:tcBorders>
              <w:right w:val="single" w:sz="4" w:space="0" w:color="auto"/>
            </w:tcBorders>
            <w:shd w:val="clear" w:color="auto" w:fill="D9D9D9" w:themeFill="background1" w:themeFillShade="D9"/>
            <w:vAlign w:val="center"/>
          </w:tcPr>
          <w:p w14:paraId="00C764A6" w14:textId="77777777" w:rsidR="005B1670" w:rsidRPr="00126689" w:rsidRDefault="005B1670" w:rsidP="00555BE5">
            <w:pPr>
              <w:spacing w:before="120" w:after="120"/>
              <w:jc w:val="center"/>
            </w:pPr>
          </w:p>
        </w:tc>
        <w:tc>
          <w:tcPr>
            <w:tcW w:w="312" w:type="pct"/>
            <w:tcBorders>
              <w:left w:val="single" w:sz="4" w:space="0" w:color="auto"/>
            </w:tcBorders>
            <w:shd w:val="clear" w:color="auto" w:fill="D9D9D9" w:themeFill="background1" w:themeFillShade="D9"/>
            <w:vAlign w:val="center"/>
          </w:tcPr>
          <w:p w14:paraId="7C6CF7D0" w14:textId="77777777" w:rsidR="005B1670" w:rsidRPr="00126689" w:rsidRDefault="005B1670" w:rsidP="00555BE5">
            <w:pPr>
              <w:spacing w:before="120" w:after="120"/>
              <w:jc w:val="center"/>
            </w:pPr>
          </w:p>
        </w:tc>
        <w:tc>
          <w:tcPr>
            <w:tcW w:w="323" w:type="pct"/>
            <w:shd w:val="clear" w:color="auto" w:fill="D9D9D9" w:themeFill="background1" w:themeFillShade="D9"/>
            <w:vAlign w:val="center"/>
          </w:tcPr>
          <w:p w14:paraId="7B6BD9A6" w14:textId="77777777" w:rsidR="005B1670" w:rsidRPr="00126689" w:rsidRDefault="005B1670" w:rsidP="00555BE5">
            <w:pPr>
              <w:spacing w:before="120" w:after="120"/>
              <w:jc w:val="center"/>
            </w:pPr>
          </w:p>
        </w:tc>
      </w:tr>
      <w:tr w:rsidR="005B1670" w:rsidRPr="00197D9F" w14:paraId="0C435F65" w14:textId="77777777" w:rsidTr="00330B04">
        <w:trPr>
          <w:trHeight w:val="20"/>
        </w:trPr>
        <w:tc>
          <w:tcPr>
            <w:tcW w:w="2481" w:type="pct"/>
            <w:shd w:val="clear" w:color="auto" w:fill="auto"/>
          </w:tcPr>
          <w:p w14:paraId="06BFBA10" w14:textId="77777777" w:rsidR="005B1670" w:rsidRPr="005E3BA6" w:rsidRDefault="005B1670" w:rsidP="00555BE5">
            <w:pPr>
              <w:pStyle w:val="TableParagraph"/>
              <w:spacing w:before="120" w:after="120"/>
              <w:ind w:right="175"/>
              <w:rPr>
                <w:bCs/>
                <w:iCs/>
              </w:rPr>
            </w:pPr>
            <w:r w:rsidRPr="00E53A01">
              <w:t>Literature review on the role of IP in the sectors/clusters relevant to NIPS</w:t>
            </w:r>
          </w:p>
        </w:tc>
        <w:tc>
          <w:tcPr>
            <w:tcW w:w="304" w:type="pct"/>
            <w:shd w:val="clear" w:color="auto" w:fill="D9D9D9" w:themeFill="background1" w:themeFillShade="D9"/>
            <w:vAlign w:val="center"/>
          </w:tcPr>
          <w:p w14:paraId="04519D0E" w14:textId="77777777" w:rsidR="005B1670" w:rsidRPr="00126689" w:rsidRDefault="005B1670" w:rsidP="00555BE5">
            <w:pPr>
              <w:spacing w:before="120" w:after="120"/>
              <w:jc w:val="center"/>
            </w:pPr>
          </w:p>
        </w:tc>
        <w:tc>
          <w:tcPr>
            <w:tcW w:w="333" w:type="pct"/>
            <w:shd w:val="clear" w:color="auto" w:fill="D9D9D9" w:themeFill="background1" w:themeFillShade="D9"/>
            <w:vAlign w:val="center"/>
          </w:tcPr>
          <w:p w14:paraId="4A02E020" w14:textId="77777777" w:rsidR="005B1670" w:rsidRPr="00126689" w:rsidRDefault="005B1670" w:rsidP="00555BE5">
            <w:pPr>
              <w:spacing w:before="120" w:after="120"/>
              <w:jc w:val="center"/>
            </w:pPr>
          </w:p>
        </w:tc>
        <w:tc>
          <w:tcPr>
            <w:tcW w:w="333" w:type="pct"/>
            <w:shd w:val="clear" w:color="auto" w:fill="D9D9D9" w:themeFill="background1" w:themeFillShade="D9"/>
            <w:vAlign w:val="center"/>
          </w:tcPr>
          <w:p w14:paraId="6B5D14BF" w14:textId="110290A0" w:rsidR="005B1670" w:rsidRPr="00126689" w:rsidRDefault="005B1670" w:rsidP="00555BE5">
            <w:pPr>
              <w:spacing w:before="120" w:after="120"/>
              <w:jc w:val="center"/>
            </w:pPr>
          </w:p>
        </w:tc>
        <w:tc>
          <w:tcPr>
            <w:tcW w:w="335" w:type="pct"/>
            <w:shd w:val="clear" w:color="auto" w:fill="D9D9D9" w:themeFill="background1" w:themeFillShade="D9"/>
            <w:vAlign w:val="center"/>
          </w:tcPr>
          <w:p w14:paraId="6CF1DD84" w14:textId="77777777" w:rsidR="005B1670" w:rsidRPr="00126689" w:rsidRDefault="005B1670" w:rsidP="00555BE5">
            <w:pPr>
              <w:spacing w:before="120" w:after="120"/>
              <w:jc w:val="center"/>
            </w:pPr>
            <w:r>
              <w:t>X</w:t>
            </w:r>
          </w:p>
        </w:tc>
        <w:tc>
          <w:tcPr>
            <w:tcW w:w="298" w:type="pct"/>
            <w:tcBorders>
              <w:right w:val="single" w:sz="4" w:space="0" w:color="auto"/>
            </w:tcBorders>
            <w:shd w:val="clear" w:color="auto" w:fill="D9D9D9" w:themeFill="background1" w:themeFillShade="D9"/>
            <w:vAlign w:val="center"/>
          </w:tcPr>
          <w:p w14:paraId="15CC1428" w14:textId="77777777" w:rsidR="005B1670" w:rsidRDefault="005B1670" w:rsidP="00555BE5">
            <w:pPr>
              <w:spacing w:before="120" w:after="120"/>
              <w:jc w:val="center"/>
            </w:pPr>
            <w:r>
              <w:t>X</w:t>
            </w:r>
          </w:p>
        </w:tc>
        <w:tc>
          <w:tcPr>
            <w:tcW w:w="281" w:type="pct"/>
            <w:tcBorders>
              <w:right w:val="single" w:sz="4" w:space="0" w:color="auto"/>
            </w:tcBorders>
            <w:shd w:val="clear" w:color="auto" w:fill="D9D9D9" w:themeFill="background1" w:themeFillShade="D9"/>
            <w:vAlign w:val="center"/>
          </w:tcPr>
          <w:p w14:paraId="512DF81B" w14:textId="7557A216" w:rsidR="005B1670" w:rsidRDefault="005B1670" w:rsidP="00555BE5">
            <w:pPr>
              <w:spacing w:before="120" w:after="120"/>
              <w:jc w:val="center"/>
            </w:pPr>
            <w:r>
              <w:t>X</w:t>
            </w:r>
          </w:p>
        </w:tc>
        <w:tc>
          <w:tcPr>
            <w:tcW w:w="312" w:type="pct"/>
            <w:tcBorders>
              <w:left w:val="single" w:sz="4" w:space="0" w:color="auto"/>
            </w:tcBorders>
            <w:shd w:val="clear" w:color="auto" w:fill="D9D9D9" w:themeFill="background1" w:themeFillShade="D9"/>
            <w:vAlign w:val="center"/>
          </w:tcPr>
          <w:p w14:paraId="6B93F8C6" w14:textId="77777777" w:rsidR="005B1670" w:rsidRDefault="005B1670" w:rsidP="00555BE5">
            <w:pPr>
              <w:spacing w:before="120" w:after="120"/>
              <w:jc w:val="center"/>
            </w:pPr>
          </w:p>
        </w:tc>
        <w:tc>
          <w:tcPr>
            <w:tcW w:w="323" w:type="pct"/>
            <w:shd w:val="clear" w:color="auto" w:fill="D9D9D9" w:themeFill="background1" w:themeFillShade="D9"/>
            <w:vAlign w:val="center"/>
          </w:tcPr>
          <w:p w14:paraId="26BBC362" w14:textId="77777777" w:rsidR="005B1670" w:rsidRDefault="005B1670" w:rsidP="00555BE5">
            <w:pPr>
              <w:spacing w:before="120" w:after="120"/>
              <w:jc w:val="center"/>
            </w:pPr>
          </w:p>
        </w:tc>
      </w:tr>
      <w:tr w:rsidR="005B1670" w:rsidRPr="00197D9F" w14:paraId="41668E4D" w14:textId="62EA3690" w:rsidTr="00330B04">
        <w:trPr>
          <w:trHeight w:val="20"/>
        </w:trPr>
        <w:tc>
          <w:tcPr>
            <w:tcW w:w="2481" w:type="pct"/>
            <w:shd w:val="clear" w:color="auto" w:fill="auto"/>
          </w:tcPr>
          <w:p w14:paraId="0FAF6289" w14:textId="30A2B268" w:rsidR="005B1670" w:rsidRPr="000F78F6" w:rsidRDefault="001D7E4C" w:rsidP="00555BE5">
            <w:pPr>
              <w:pStyle w:val="TableParagraph"/>
              <w:spacing w:before="120" w:after="120"/>
              <w:ind w:right="175"/>
              <w:rPr>
                <w:iCs/>
              </w:rPr>
            </w:pPr>
            <w:r>
              <w:t>T</w:t>
            </w:r>
            <w:r w:rsidRPr="001D7E4C">
              <w:t xml:space="preserve">oolkit for </w:t>
            </w:r>
            <w:r w:rsidR="009C21B4">
              <w:t>country-led evaluation</w:t>
            </w:r>
            <w:r w:rsidRPr="001D7E4C">
              <w:t xml:space="preserve"> and/or monitoring of NIPS </w:t>
            </w:r>
            <w:r w:rsidR="00586BB6">
              <w:t>implementation</w:t>
            </w:r>
          </w:p>
        </w:tc>
        <w:tc>
          <w:tcPr>
            <w:tcW w:w="304" w:type="pct"/>
            <w:shd w:val="clear" w:color="auto" w:fill="D9D9D9" w:themeFill="background1" w:themeFillShade="D9"/>
            <w:vAlign w:val="center"/>
          </w:tcPr>
          <w:p w14:paraId="5663E820" w14:textId="369385EE" w:rsidR="005B1670" w:rsidRPr="00126689" w:rsidRDefault="005B1670" w:rsidP="00555BE5">
            <w:pPr>
              <w:spacing w:before="120" w:after="120"/>
              <w:jc w:val="center"/>
            </w:pPr>
          </w:p>
        </w:tc>
        <w:tc>
          <w:tcPr>
            <w:tcW w:w="333" w:type="pct"/>
            <w:shd w:val="clear" w:color="auto" w:fill="D9D9D9" w:themeFill="background1" w:themeFillShade="D9"/>
            <w:vAlign w:val="center"/>
          </w:tcPr>
          <w:p w14:paraId="51CD02F8" w14:textId="5485C15E" w:rsidR="005B1670" w:rsidRPr="00126689" w:rsidRDefault="005B1670" w:rsidP="00555BE5">
            <w:pPr>
              <w:spacing w:before="120" w:after="120"/>
              <w:jc w:val="center"/>
            </w:pPr>
          </w:p>
        </w:tc>
        <w:tc>
          <w:tcPr>
            <w:tcW w:w="333" w:type="pct"/>
            <w:shd w:val="clear" w:color="auto" w:fill="D9D9D9" w:themeFill="background1" w:themeFillShade="D9"/>
            <w:vAlign w:val="center"/>
          </w:tcPr>
          <w:p w14:paraId="40F7BAC9" w14:textId="2A581F0C" w:rsidR="005B1670" w:rsidRPr="00126689" w:rsidRDefault="005B1670" w:rsidP="00555BE5">
            <w:pPr>
              <w:spacing w:before="120" w:after="120"/>
              <w:jc w:val="center"/>
            </w:pPr>
          </w:p>
        </w:tc>
        <w:tc>
          <w:tcPr>
            <w:tcW w:w="335" w:type="pct"/>
            <w:shd w:val="clear" w:color="auto" w:fill="D9D9D9" w:themeFill="background1" w:themeFillShade="D9"/>
            <w:vAlign w:val="center"/>
          </w:tcPr>
          <w:p w14:paraId="7AC590ED" w14:textId="11ABD86B" w:rsidR="005B1670" w:rsidRPr="00126689" w:rsidRDefault="005B1670" w:rsidP="00555BE5">
            <w:pPr>
              <w:spacing w:before="120" w:after="120"/>
              <w:jc w:val="center"/>
            </w:pPr>
          </w:p>
        </w:tc>
        <w:tc>
          <w:tcPr>
            <w:tcW w:w="298" w:type="pct"/>
            <w:tcBorders>
              <w:right w:val="single" w:sz="4" w:space="0" w:color="auto"/>
            </w:tcBorders>
            <w:shd w:val="clear" w:color="auto" w:fill="D9D9D9" w:themeFill="background1" w:themeFillShade="D9"/>
            <w:vAlign w:val="center"/>
          </w:tcPr>
          <w:p w14:paraId="0855C11F" w14:textId="1F69A569" w:rsidR="005B1670" w:rsidRDefault="005B1670" w:rsidP="00555BE5">
            <w:pPr>
              <w:spacing w:before="120" w:after="120"/>
              <w:jc w:val="center"/>
            </w:pPr>
            <w:r>
              <w:t>X</w:t>
            </w:r>
          </w:p>
        </w:tc>
        <w:tc>
          <w:tcPr>
            <w:tcW w:w="281" w:type="pct"/>
            <w:tcBorders>
              <w:right w:val="single" w:sz="4" w:space="0" w:color="auto"/>
            </w:tcBorders>
            <w:shd w:val="clear" w:color="auto" w:fill="D9D9D9" w:themeFill="background1" w:themeFillShade="D9"/>
            <w:vAlign w:val="center"/>
          </w:tcPr>
          <w:p w14:paraId="5CDE80D3" w14:textId="73A4C3AD" w:rsidR="005B1670" w:rsidRDefault="005B1670" w:rsidP="00555BE5">
            <w:pPr>
              <w:spacing w:before="120" w:after="120"/>
              <w:jc w:val="center"/>
            </w:pPr>
            <w:r>
              <w:t>X</w:t>
            </w:r>
          </w:p>
        </w:tc>
        <w:tc>
          <w:tcPr>
            <w:tcW w:w="312" w:type="pct"/>
            <w:tcBorders>
              <w:left w:val="single" w:sz="4" w:space="0" w:color="auto"/>
            </w:tcBorders>
            <w:shd w:val="clear" w:color="auto" w:fill="D9D9D9" w:themeFill="background1" w:themeFillShade="D9"/>
            <w:vAlign w:val="center"/>
          </w:tcPr>
          <w:p w14:paraId="5F011231" w14:textId="2C6D1BC7" w:rsidR="005B1670" w:rsidRDefault="005B1670" w:rsidP="00555BE5">
            <w:pPr>
              <w:spacing w:before="120" w:after="120"/>
              <w:jc w:val="center"/>
            </w:pPr>
            <w:r w:rsidRPr="000C5ACB">
              <w:t>X</w:t>
            </w:r>
          </w:p>
        </w:tc>
        <w:tc>
          <w:tcPr>
            <w:tcW w:w="323" w:type="pct"/>
            <w:shd w:val="clear" w:color="auto" w:fill="D9D9D9" w:themeFill="background1" w:themeFillShade="D9"/>
            <w:vAlign w:val="center"/>
          </w:tcPr>
          <w:p w14:paraId="4723BF16" w14:textId="70CF7C8E" w:rsidR="005B1670" w:rsidRDefault="005B1670" w:rsidP="00555BE5">
            <w:pPr>
              <w:spacing w:before="120" w:after="120"/>
              <w:jc w:val="center"/>
            </w:pPr>
          </w:p>
        </w:tc>
      </w:tr>
      <w:tr w:rsidR="005B1670" w:rsidRPr="00197D9F" w14:paraId="39489B0E" w14:textId="77777777" w:rsidTr="00330B04">
        <w:trPr>
          <w:trHeight w:val="20"/>
        </w:trPr>
        <w:tc>
          <w:tcPr>
            <w:tcW w:w="2481" w:type="pct"/>
            <w:shd w:val="clear" w:color="auto" w:fill="auto"/>
          </w:tcPr>
          <w:p w14:paraId="166DFB9D" w14:textId="0E0F1A24" w:rsidR="005B1670" w:rsidRDefault="005B1670" w:rsidP="00555BE5">
            <w:pPr>
              <w:pStyle w:val="TableParagraph"/>
              <w:spacing w:before="120" w:after="120"/>
              <w:ind w:right="175"/>
            </w:pPr>
            <w:r>
              <w:t>Two w</w:t>
            </w:r>
            <w:r w:rsidRPr="00E53A01">
              <w:t xml:space="preserve">orkshops </w:t>
            </w:r>
            <w:r>
              <w:t>for</w:t>
            </w:r>
            <w:r w:rsidRPr="00E53A01">
              <w:t xml:space="preserve"> interested Member States</w:t>
            </w:r>
            <w:r w:rsidR="002F2372">
              <w:t xml:space="preserve"> </w:t>
            </w:r>
          </w:p>
        </w:tc>
        <w:tc>
          <w:tcPr>
            <w:tcW w:w="304" w:type="pct"/>
            <w:shd w:val="clear" w:color="auto" w:fill="D9D9D9" w:themeFill="background1" w:themeFillShade="D9"/>
            <w:vAlign w:val="center"/>
          </w:tcPr>
          <w:p w14:paraId="145A6F22" w14:textId="5D15935D" w:rsidR="005B1670" w:rsidRPr="00126689" w:rsidRDefault="001D7E4C" w:rsidP="00555BE5">
            <w:pPr>
              <w:spacing w:before="120" w:after="120"/>
              <w:jc w:val="center"/>
            </w:pPr>
            <w:r>
              <w:t>X</w:t>
            </w:r>
          </w:p>
        </w:tc>
        <w:tc>
          <w:tcPr>
            <w:tcW w:w="333" w:type="pct"/>
            <w:shd w:val="clear" w:color="auto" w:fill="D9D9D9" w:themeFill="background1" w:themeFillShade="D9"/>
            <w:vAlign w:val="center"/>
          </w:tcPr>
          <w:p w14:paraId="6C662E8F" w14:textId="192A0D16" w:rsidR="005B1670" w:rsidRPr="00126689" w:rsidRDefault="00341C8A" w:rsidP="00555BE5">
            <w:pPr>
              <w:spacing w:before="120" w:after="120"/>
              <w:jc w:val="center"/>
            </w:pPr>
            <w:r>
              <w:t>X</w:t>
            </w:r>
          </w:p>
        </w:tc>
        <w:tc>
          <w:tcPr>
            <w:tcW w:w="333" w:type="pct"/>
            <w:shd w:val="clear" w:color="auto" w:fill="D9D9D9" w:themeFill="background1" w:themeFillShade="D9"/>
            <w:vAlign w:val="center"/>
          </w:tcPr>
          <w:p w14:paraId="27152188" w14:textId="05EEB18E" w:rsidR="005B1670" w:rsidRDefault="00341C8A" w:rsidP="00555BE5">
            <w:pPr>
              <w:spacing w:before="120" w:after="120"/>
              <w:jc w:val="center"/>
            </w:pPr>
            <w:r>
              <w:t>X</w:t>
            </w:r>
          </w:p>
        </w:tc>
        <w:tc>
          <w:tcPr>
            <w:tcW w:w="335" w:type="pct"/>
            <w:shd w:val="clear" w:color="auto" w:fill="D9D9D9" w:themeFill="background1" w:themeFillShade="D9"/>
            <w:vAlign w:val="center"/>
          </w:tcPr>
          <w:p w14:paraId="70B4225D" w14:textId="1F4D7685" w:rsidR="005B1670" w:rsidRDefault="00341C8A" w:rsidP="00555BE5">
            <w:pPr>
              <w:spacing w:before="120" w:after="120"/>
              <w:jc w:val="center"/>
            </w:pPr>
            <w:r>
              <w:t>X</w:t>
            </w:r>
          </w:p>
        </w:tc>
        <w:tc>
          <w:tcPr>
            <w:tcW w:w="298" w:type="pct"/>
            <w:tcBorders>
              <w:right w:val="single" w:sz="4" w:space="0" w:color="auto"/>
            </w:tcBorders>
            <w:shd w:val="clear" w:color="auto" w:fill="D9D9D9" w:themeFill="background1" w:themeFillShade="D9"/>
            <w:vAlign w:val="center"/>
          </w:tcPr>
          <w:p w14:paraId="49974052" w14:textId="01C4447B" w:rsidR="005B1670" w:rsidRDefault="00341C8A" w:rsidP="00555BE5">
            <w:pPr>
              <w:spacing w:before="120" w:after="120"/>
              <w:jc w:val="center"/>
            </w:pPr>
            <w:r>
              <w:t>X</w:t>
            </w:r>
          </w:p>
        </w:tc>
        <w:tc>
          <w:tcPr>
            <w:tcW w:w="281" w:type="pct"/>
            <w:tcBorders>
              <w:right w:val="single" w:sz="4" w:space="0" w:color="auto"/>
            </w:tcBorders>
            <w:shd w:val="clear" w:color="auto" w:fill="D9D9D9" w:themeFill="background1" w:themeFillShade="D9"/>
            <w:vAlign w:val="center"/>
          </w:tcPr>
          <w:p w14:paraId="4A8B716A" w14:textId="77777777" w:rsidR="005B1670" w:rsidRDefault="005B1670" w:rsidP="00555BE5">
            <w:pPr>
              <w:spacing w:before="120" w:after="120"/>
              <w:jc w:val="center"/>
            </w:pPr>
            <w:r>
              <w:t>X</w:t>
            </w:r>
          </w:p>
        </w:tc>
        <w:tc>
          <w:tcPr>
            <w:tcW w:w="312" w:type="pct"/>
            <w:tcBorders>
              <w:left w:val="single" w:sz="4" w:space="0" w:color="auto"/>
            </w:tcBorders>
            <w:shd w:val="clear" w:color="auto" w:fill="D9D9D9" w:themeFill="background1" w:themeFillShade="D9"/>
            <w:vAlign w:val="center"/>
          </w:tcPr>
          <w:p w14:paraId="628AD15D" w14:textId="77777777" w:rsidR="005B1670" w:rsidRPr="000C5ACB" w:rsidRDefault="005B1670" w:rsidP="00555BE5">
            <w:pPr>
              <w:spacing w:before="120" w:after="120"/>
              <w:jc w:val="center"/>
            </w:pPr>
            <w:r>
              <w:t>X</w:t>
            </w:r>
          </w:p>
        </w:tc>
        <w:tc>
          <w:tcPr>
            <w:tcW w:w="323" w:type="pct"/>
            <w:shd w:val="clear" w:color="auto" w:fill="D9D9D9" w:themeFill="background1" w:themeFillShade="D9"/>
            <w:vAlign w:val="center"/>
          </w:tcPr>
          <w:p w14:paraId="028EBF2C" w14:textId="7BF3358B" w:rsidR="005B1670" w:rsidRDefault="005B1670" w:rsidP="00555BE5">
            <w:pPr>
              <w:spacing w:before="120" w:after="120"/>
              <w:jc w:val="center"/>
            </w:pPr>
          </w:p>
        </w:tc>
      </w:tr>
      <w:tr w:rsidR="005B1670" w:rsidRPr="00197D9F" w14:paraId="57944272" w14:textId="77777777" w:rsidTr="00330B04">
        <w:trPr>
          <w:trHeight w:val="20"/>
        </w:trPr>
        <w:tc>
          <w:tcPr>
            <w:tcW w:w="2481" w:type="pct"/>
            <w:shd w:val="clear" w:color="auto" w:fill="auto"/>
          </w:tcPr>
          <w:p w14:paraId="3171380A" w14:textId="6122EDDD" w:rsidR="005B1670" w:rsidRDefault="005B1670" w:rsidP="00555BE5">
            <w:pPr>
              <w:pStyle w:val="TableParagraph"/>
              <w:spacing w:before="120" w:after="120"/>
              <w:ind w:right="175"/>
            </w:pPr>
            <w:r w:rsidRPr="00E53A01">
              <w:t xml:space="preserve">Guide </w:t>
            </w:r>
            <w:r w:rsidR="00927C24">
              <w:t xml:space="preserve">on Key Success Factors </w:t>
            </w:r>
            <w:r w:rsidRPr="00E53A01">
              <w:t>for Developing and Implementing NIPS</w:t>
            </w:r>
          </w:p>
        </w:tc>
        <w:tc>
          <w:tcPr>
            <w:tcW w:w="304" w:type="pct"/>
            <w:shd w:val="clear" w:color="auto" w:fill="D9D9D9" w:themeFill="background1" w:themeFillShade="D9"/>
            <w:vAlign w:val="center"/>
          </w:tcPr>
          <w:p w14:paraId="5F7F9AD8" w14:textId="77777777" w:rsidR="005B1670" w:rsidRPr="00126689" w:rsidRDefault="005B1670" w:rsidP="00555BE5">
            <w:pPr>
              <w:spacing w:before="120" w:after="120"/>
              <w:jc w:val="center"/>
            </w:pPr>
          </w:p>
        </w:tc>
        <w:tc>
          <w:tcPr>
            <w:tcW w:w="333" w:type="pct"/>
            <w:shd w:val="clear" w:color="auto" w:fill="D9D9D9" w:themeFill="background1" w:themeFillShade="D9"/>
            <w:vAlign w:val="center"/>
          </w:tcPr>
          <w:p w14:paraId="3D6427B0" w14:textId="77777777" w:rsidR="005B1670" w:rsidRPr="00126689" w:rsidRDefault="005B1670" w:rsidP="00555BE5">
            <w:pPr>
              <w:spacing w:before="120" w:after="120"/>
              <w:jc w:val="center"/>
            </w:pPr>
          </w:p>
        </w:tc>
        <w:tc>
          <w:tcPr>
            <w:tcW w:w="333" w:type="pct"/>
            <w:shd w:val="clear" w:color="auto" w:fill="D9D9D9" w:themeFill="background1" w:themeFillShade="D9"/>
            <w:vAlign w:val="center"/>
          </w:tcPr>
          <w:p w14:paraId="46534EE6" w14:textId="77777777" w:rsidR="005B1670" w:rsidRDefault="005B1670" w:rsidP="00555BE5">
            <w:pPr>
              <w:spacing w:before="120" w:after="120"/>
              <w:jc w:val="center"/>
            </w:pPr>
          </w:p>
        </w:tc>
        <w:tc>
          <w:tcPr>
            <w:tcW w:w="335" w:type="pct"/>
            <w:shd w:val="clear" w:color="auto" w:fill="D9D9D9" w:themeFill="background1" w:themeFillShade="D9"/>
            <w:vAlign w:val="center"/>
          </w:tcPr>
          <w:p w14:paraId="05069DBB" w14:textId="77777777" w:rsidR="005B1670" w:rsidRDefault="005B1670" w:rsidP="00555BE5">
            <w:pPr>
              <w:spacing w:before="120" w:after="120"/>
              <w:jc w:val="center"/>
            </w:pPr>
          </w:p>
        </w:tc>
        <w:tc>
          <w:tcPr>
            <w:tcW w:w="298" w:type="pct"/>
            <w:tcBorders>
              <w:right w:val="single" w:sz="4" w:space="0" w:color="auto"/>
            </w:tcBorders>
            <w:shd w:val="clear" w:color="auto" w:fill="D9D9D9" w:themeFill="background1" w:themeFillShade="D9"/>
            <w:vAlign w:val="center"/>
          </w:tcPr>
          <w:p w14:paraId="69DDD00B" w14:textId="77777777" w:rsidR="005B1670" w:rsidRDefault="005B1670" w:rsidP="00555BE5">
            <w:pPr>
              <w:spacing w:before="120" w:after="120"/>
              <w:jc w:val="center"/>
            </w:pPr>
            <w:r>
              <w:t>X</w:t>
            </w:r>
          </w:p>
        </w:tc>
        <w:tc>
          <w:tcPr>
            <w:tcW w:w="281" w:type="pct"/>
            <w:tcBorders>
              <w:right w:val="single" w:sz="4" w:space="0" w:color="auto"/>
            </w:tcBorders>
            <w:shd w:val="clear" w:color="auto" w:fill="D9D9D9" w:themeFill="background1" w:themeFillShade="D9"/>
            <w:vAlign w:val="center"/>
          </w:tcPr>
          <w:p w14:paraId="7D833047" w14:textId="77777777" w:rsidR="005B1670" w:rsidRDefault="005B1670" w:rsidP="00555BE5">
            <w:pPr>
              <w:spacing w:before="120" w:after="120"/>
              <w:jc w:val="center"/>
            </w:pPr>
            <w:r>
              <w:t>X</w:t>
            </w:r>
          </w:p>
        </w:tc>
        <w:tc>
          <w:tcPr>
            <w:tcW w:w="312" w:type="pct"/>
            <w:tcBorders>
              <w:left w:val="single" w:sz="4" w:space="0" w:color="auto"/>
            </w:tcBorders>
            <w:shd w:val="clear" w:color="auto" w:fill="D9D9D9" w:themeFill="background1" w:themeFillShade="D9"/>
            <w:vAlign w:val="center"/>
          </w:tcPr>
          <w:p w14:paraId="2CDFFE6B" w14:textId="77777777" w:rsidR="005B1670" w:rsidRPr="000C5ACB" w:rsidRDefault="005B1670" w:rsidP="00555BE5">
            <w:pPr>
              <w:spacing w:before="120" w:after="120"/>
              <w:jc w:val="center"/>
            </w:pPr>
            <w:r>
              <w:t>X</w:t>
            </w:r>
          </w:p>
        </w:tc>
        <w:tc>
          <w:tcPr>
            <w:tcW w:w="323" w:type="pct"/>
            <w:shd w:val="clear" w:color="auto" w:fill="D9D9D9" w:themeFill="background1" w:themeFillShade="D9"/>
            <w:vAlign w:val="center"/>
          </w:tcPr>
          <w:p w14:paraId="283014A2" w14:textId="77777777" w:rsidR="005B1670" w:rsidRDefault="005B1670" w:rsidP="00555BE5">
            <w:pPr>
              <w:spacing w:before="120" w:after="120"/>
              <w:jc w:val="center"/>
            </w:pPr>
          </w:p>
        </w:tc>
      </w:tr>
      <w:tr w:rsidR="005B1670" w:rsidRPr="00197D9F" w14:paraId="67C92084" w14:textId="77777777" w:rsidTr="00330B04">
        <w:trPr>
          <w:trHeight w:val="20"/>
        </w:trPr>
        <w:tc>
          <w:tcPr>
            <w:tcW w:w="2481" w:type="pct"/>
            <w:shd w:val="clear" w:color="auto" w:fill="auto"/>
          </w:tcPr>
          <w:p w14:paraId="6DC60712" w14:textId="77777777" w:rsidR="005B1670" w:rsidRPr="00126689" w:rsidRDefault="005B1670" w:rsidP="00555BE5">
            <w:pPr>
              <w:spacing w:before="120" w:after="120"/>
            </w:pPr>
            <w:r w:rsidRPr="00126689">
              <w:t>Project evaluation</w:t>
            </w:r>
          </w:p>
        </w:tc>
        <w:tc>
          <w:tcPr>
            <w:tcW w:w="304" w:type="pct"/>
            <w:shd w:val="clear" w:color="auto" w:fill="D9D9D9" w:themeFill="background1" w:themeFillShade="D9"/>
            <w:vAlign w:val="center"/>
          </w:tcPr>
          <w:p w14:paraId="610A40D0" w14:textId="77777777" w:rsidR="005B1670" w:rsidRPr="00126689" w:rsidRDefault="005B1670" w:rsidP="00555BE5">
            <w:pPr>
              <w:spacing w:before="120" w:after="120"/>
              <w:jc w:val="center"/>
            </w:pPr>
          </w:p>
        </w:tc>
        <w:tc>
          <w:tcPr>
            <w:tcW w:w="333" w:type="pct"/>
            <w:shd w:val="clear" w:color="auto" w:fill="D9D9D9" w:themeFill="background1" w:themeFillShade="D9"/>
            <w:vAlign w:val="center"/>
          </w:tcPr>
          <w:p w14:paraId="61654E64" w14:textId="77777777" w:rsidR="005B1670" w:rsidRPr="00126689" w:rsidRDefault="005B1670" w:rsidP="00555BE5">
            <w:pPr>
              <w:spacing w:before="120" w:after="120"/>
              <w:jc w:val="center"/>
            </w:pPr>
          </w:p>
        </w:tc>
        <w:tc>
          <w:tcPr>
            <w:tcW w:w="333" w:type="pct"/>
            <w:shd w:val="clear" w:color="auto" w:fill="D9D9D9" w:themeFill="background1" w:themeFillShade="D9"/>
            <w:vAlign w:val="center"/>
          </w:tcPr>
          <w:p w14:paraId="067D4293" w14:textId="77777777" w:rsidR="005B1670" w:rsidRPr="00126689" w:rsidRDefault="005B1670" w:rsidP="00555BE5">
            <w:pPr>
              <w:spacing w:before="120" w:after="120"/>
              <w:jc w:val="center"/>
            </w:pPr>
          </w:p>
        </w:tc>
        <w:tc>
          <w:tcPr>
            <w:tcW w:w="335" w:type="pct"/>
            <w:shd w:val="clear" w:color="auto" w:fill="D9D9D9" w:themeFill="background1" w:themeFillShade="D9"/>
            <w:vAlign w:val="center"/>
          </w:tcPr>
          <w:p w14:paraId="0E6FB8A1" w14:textId="77777777" w:rsidR="005B1670" w:rsidRPr="00126689" w:rsidRDefault="005B1670" w:rsidP="00555BE5">
            <w:pPr>
              <w:spacing w:before="120" w:after="120"/>
              <w:jc w:val="center"/>
            </w:pPr>
          </w:p>
        </w:tc>
        <w:tc>
          <w:tcPr>
            <w:tcW w:w="298" w:type="pct"/>
            <w:tcBorders>
              <w:right w:val="single" w:sz="4" w:space="0" w:color="auto"/>
            </w:tcBorders>
            <w:shd w:val="clear" w:color="auto" w:fill="D9D9D9" w:themeFill="background1" w:themeFillShade="D9"/>
            <w:vAlign w:val="center"/>
          </w:tcPr>
          <w:p w14:paraId="6F0AA6F1" w14:textId="77777777" w:rsidR="005B1670" w:rsidRDefault="005B1670" w:rsidP="00555BE5">
            <w:pPr>
              <w:spacing w:before="120" w:after="120"/>
              <w:jc w:val="center"/>
            </w:pPr>
          </w:p>
        </w:tc>
        <w:tc>
          <w:tcPr>
            <w:tcW w:w="281" w:type="pct"/>
            <w:tcBorders>
              <w:right w:val="single" w:sz="4" w:space="0" w:color="auto"/>
            </w:tcBorders>
            <w:shd w:val="clear" w:color="auto" w:fill="D9D9D9" w:themeFill="background1" w:themeFillShade="D9"/>
            <w:vAlign w:val="center"/>
          </w:tcPr>
          <w:p w14:paraId="06B35D12" w14:textId="77777777" w:rsidR="005B1670" w:rsidRDefault="005B1670" w:rsidP="00555BE5">
            <w:pPr>
              <w:spacing w:before="120" w:after="120"/>
              <w:jc w:val="center"/>
            </w:pPr>
          </w:p>
        </w:tc>
        <w:tc>
          <w:tcPr>
            <w:tcW w:w="312" w:type="pct"/>
            <w:tcBorders>
              <w:left w:val="single" w:sz="4" w:space="0" w:color="auto"/>
            </w:tcBorders>
            <w:shd w:val="clear" w:color="auto" w:fill="D9D9D9" w:themeFill="background1" w:themeFillShade="D9"/>
            <w:vAlign w:val="center"/>
          </w:tcPr>
          <w:p w14:paraId="2A063636" w14:textId="77777777" w:rsidR="005B1670" w:rsidRDefault="005B1670" w:rsidP="00555BE5">
            <w:pPr>
              <w:spacing w:before="120" w:after="120"/>
              <w:jc w:val="center"/>
            </w:pPr>
          </w:p>
        </w:tc>
        <w:tc>
          <w:tcPr>
            <w:tcW w:w="323" w:type="pct"/>
            <w:shd w:val="clear" w:color="auto" w:fill="D9D9D9" w:themeFill="background1" w:themeFillShade="D9"/>
            <w:vAlign w:val="center"/>
          </w:tcPr>
          <w:p w14:paraId="4B5A71B6" w14:textId="77777777" w:rsidR="005B1670" w:rsidRDefault="005B1670" w:rsidP="00555BE5">
            <w:pPr>
              <w:spacing w:before="120" w:after="120"/>
              <w:jc w:val="center"/>
            </w:pPr>
            <w:r>
              <w:t>X</w:t>
            </w:r>
          </w:p>
        </w:tc>
      </w:tr>
      <w:tr w:rsidR="005B1670" w:rsidRPr="00197D9F" w14:paraId="349FC471" w14:textId="77777777" w:rsidTr="00330B04">
        <w:trPr>
          <w:trHeight w:val="20"/>
        </w:trPr>
        <w:tc>
          <w:tcPr>
            <w:tcW w:w="2481" w:type="pct"/>
            <w:shd w:val="clear" w:color="auto" w:fill="auto"/>
          </w:tcPr>
          <w:p w14:paraId="29F15A25" w14:textId="77777777" w:rsidR="005B1670" w:rsidRPr="00126689" w:rsidRDefault="005B1670" w:rsidP="00555BE5">
            <w:pPr>
              <w:spacing w:before="120" w:after="120"/>
            </w:pPr>
            <w:r>
              <w:t>CDIP side event</w:t>
            </w:r>
          </w:p>
        </w:tc>
        <w:tc>
          <w:tcPr>
            <w:tcW w:w="304" w:type="pct"/>
            <w:shd w:val="clear" w:color="auto" w:fill="D9D9D9" w:themeFill="background1" w:themeFillShade="D9"/>
            <w:vAlign w:val="center"/>
          </w:tcPr>
          <w:p w14:paraId="2B1C1063" w14:textId="77777777" w:rsidR="005B1670" w:rsidRPr="00126689" w:rsidRDefault="005B1670" w:rsidP="00555BE5">
            <w:pPr>
              <w:spacing w:before="120" w:after="120"/>
              <w:jc w:val="center"/>
            </w:pPr>
          </w:p>
        </w:tc>
        <w:tc>
          <w:tcPr>
            <w:tcW w:w="333" w:type="pct"/>
            <w:shd w:val="clear" w:color="auto" w:fill="D9D9D9" w:themeFill="background1" w:themeFillShade="D9"/>
            <w:vAlign w:val="center"/>
          </w:tcPr>
          <w:p w14:paraId="6EAD82B9" w14:textId="77777777" w:rsidR="005B1670" w:rsidRPr="00126689" w:rsidRDefault="005B1670" w:rsidP="00555BE5">
            <w:pPr>
              <w:spacing w:before="120" w:after="120"/>
              <w:jc w:val="center"/>
            </w:pPr>
          </w:p>
        </w:tc>
        <w:tc>
          <w:tcPr>
            <w:tcW w:w="333" w:type="pct"/>
            <w:shd w:val="clear" w:color="auto" w:fill="D9D9D9" w:themeFill="background1" w:themeFillShade="D9"/>
            <w:vAlign w:val="center"/>
          </w:tcPr>
          <w:p w14:paraId="117CEE78" w14:textId="77777777" w:rsidR="005B1670" w:rsidRPr="00126689" w:rsidRDefault="005B1670" w:rsidP="00555BE5">
            <w:pPr>
              <w:spacing w:before="120" w:after="120"/>
              <w:jc w:val="center"/>
            </w:pPr>
          </w:p>
        </w:tc>
        <w:tc>
          <w:tcPr>
            <w:tcW w:w="335" w:type="pct"/>
            <w:shd w:val="clear" w:color="auto" w:fill="D9D9D9" w:themeFill="background1" w:themeFillShade="D9"/>
            <w:vAlign w:val="center"/>
          </w:tcPr>
          <w:p w14:paraId="00D51D6E" w14:textId="77777777" w:rsidR="005B1670" w:rsidRPr="00126689" w:rsidRDefault="005B1670" w:rsidP="00555BE5">
            <w:pPr>
              <w:spacing w:before="120" w:after="120"/>
              <w:jc w:val="center"/>
            </w:pPr>
          </w:p>
        </w:tc>
        <w:tc>
          <w:tcPr>
            <w:tcW w:w="298" w:type="pct"/>
            <w:tcBorders>
              <w:right w:val="single" w:sz="4" w:space="0" w:color="auto"/>
            </w:tcBorders>
            <w:shd w:val="clear" w:color="auto" w:fill="D9D9D9" w:themeFill="background1" w:themeFillShade="D9"/>
            <w:vAlign w:val="center"/>
          </w:tcPr>
          <w:p w14:paraId="0AD6C268" w14:textId="77777777" w:rsidR="005B1670" w:rsidRDefault="005B1670" w:rsidP="00555BE5">
            <w:pPr>
              <w:spacing w:before="120" w:after="120"/>
              <w:jc w:val="center"/>
            </w:pPr>
          </w:p>
        </w:tc>
        <w:tc>
          <w:tcPr>
            <w:tcW w:w="281" w:type="pct"/>
            <w:tcBorders>
              <w:right w:val="single" w:sz="4" w:space="0" w:color="auto"/>
            </w:tcBorders>
            <w:shd w:val="clear" w:color="auto" w:fill="D9D9D9" w:themeFill="background1" w:themeFillShade="D9"/>
            <w:vAlign w:val="center"/>
          </w:tcPr>
          <w:p w14:paraId="6BECC128" w14:textId="77777777" w:rsidR="005B1670" w:rsidRDefault="005B1670" w:rsidP="00555BE5">
            <w:pPr>
              <w:spacing w:before="120" w:after="120"/>
              <w:jc w:val="center"/>
            </w:pPr>
          </w:p>
        </w:tc>
        <w:tc>
          <w:tcPr>
            <w:tcW w:w="312" w:type="pct"/>
            <w:tcBorders>
              <w:left w:val="single" w:sz="4" w:space="0" w:color="auto"/>
            </w:tcBorders>
            <w:shd w:val="clear" w:color="auto" w:fill="D9D9D9" w:themeFill="background1" w:themeFillShade="D9"/>
            <w:vAlign w:val="center"/>
          </w:tcPr>
          <w:p w14:paraId="74BB1BC5" w14:textId="77777777" w:rsidR="005B1670" w:rsidRDefault="005B1670" w:rsidP="00555BE5">
            <w:pPr>
              <w:spacing w:before="120" w:after="120"/>
              <w:jc w:val="center"/>
            </w:pPr>
          </w:p>
        </w:tc>
        <w:tc>
          <w:tcPr>
            <w:tcW w:w="323" w:type="pct"/>
            <w:shd w:val="clear" w:color="auto" w:fill="D9D9D9" w:themeFill="background1" w:themeFillShade="D9"/>
            <w:vAlign w:val="center"/>
          </w:tcPr>
          <w:p w14:paraId="49253CF1" w14:textId="77777777" w:rsidR="005B1670" w:rsidRDefault="005B1670" w:rsidP="00555BE5">
            <w:pPr>
              <w:spacing w:before="120" w:after="120"/>
              <w:jc w:val="center"/>
            </w:pPr>
            <w:r>
              <w:t>X</w:t>
            </w:r>
          </w:p>
        </w:tc>
      </w:tr>
    </w:tbl>
    <w:p w14:paraId="703FE330" w14:textId="77777777" w:rsidR="005B1670" w:rsidRDefault="005B1670" w:rsidP="00AA21FF">
      <w:pPr>
        <w:spacing w:line="234" w:lineRule="exact"/>
        <w:rPr>
          <w:rFonts w:asciiTheme="minorBidi" w:hAnsiTheme="minorBidi" w:cstheme="minorBidi"/>
        </w:rPr>
      </w:pPr>
    </w:p>
    <w:p w14:paraId="5DFB94DB" w14:textId="77777777" w:rsidR="005B1670" w:rsidRDefault="005B1670" w:rsidP="00AA21FF">
      <w:pPr>
        <w:spacing w:line="234" w:lineRule="exact"/>
        <w:rPr>
          <w:rFonts w:asciiTheme="minorBidi" w:hAnsiTheme="minorBidi" w:cstheme="minorBidi"/>
        </w:rPr>
      </w:pPr>
    </w:p>
    <w:p w14:paraId="178A8F78" w14:textId="77777777" w:rsidR="005B1670" w:rsidRPr="00406BC1" w:rsidRDefault="005B1670" w:rsidP="00AA21FF">
      <w:pPr>
        <w:spacing w:line="234" w:lineRule="exact"/>
        <w:rPr>
          <w:rFonts w:asciiTheme="minorBidi" w:hAnsiTheme="minorBidi" w:cstheme="minorBidi"/>
        </w:rPr>
        <w:sectPr w:rsidR="005B1670" w:rsidRPr="00406BC1" w:rsidSect="005B1670">
          <w:footerReference w:type="even" r:id="rId16"/>
          <w:footerReference w:type="default" r:id="rId17"/>
          <w:headerReference w:type="first" r:id="rId18"/>
          <w:footerReference w:type="first" r:id="rId19"/>
          <w:pgSz w:w="16840" w:h="11907" w:orient="landscape" w:code="9"/>
          <w:pgMar w:top="1417" w:right="1417" w:bottom="1417" w:left="1417" w:header="709" w:footer="709" w:gutter="0"/>
          <w:cols w:space="720"/>
          <w:titlePg/>
          <w:docGrid w:linePitch="299"/>
        </w:sectPr>
      </w:pPr>
    </w:p>
    <w:p w14:paraId="39AEB660" w14:textId="77777777" w:rsidR="005B1670" w:rsidRPr="00BA5D5F" w:rsidRDefault="005B1670" w:rsidP="005B1670">
      <w:pPr>
        <w:pStyle w:val="ListParagraph"/>
        <w:numPr>
          <w:ilvl w:val="0"/>
          <w:numId w:val="26"/>
        </w:numPr>
        <w:spacing w:after="240"/>
        <w:ind w:left="360"/>
        <w:contextualSpacing w:val="0"/>
        <w:rPr>
          <w:rFonts w:ascii="Arial Body" w:hAnsi="Arial Body" w:cstheme="minorBidi"/>
          <w:b/>
          <w:bCs/>
        </w:rPr>
      </w:pPr>
      <w:r w:rsidRPr="00BA5D5F">
        <w:rPr>
          <w:rFonts w:ascii="Arial Body" w:hAnsi="Arial Body" w:cstheme="minorBidi"/>
          <w:b/>
          <w:bCs/>
        </w:rPr>
        <w:lastRenderedPageBreak/>
        <w:t>PROJECT BUDGET BY OUTPUT</w:t>
      </w:r>
    </w:p>
    <w:tbl>
      <w:tblPr>
        <w:tblW w:w="4982" w:type="pct"/>
        <w:tblLook w:val="04A0" w:firstRow="1" w:lastRow="0" w:firstColumn="1" w:lastColumn="0" w:noHBand="0" w:noVBand="1"/>
      </w:tblPr>
      <w:tblGrid>
        <w:gridCol w:w="4895"/>
        <w:gridCol w:w="3740"/>
        <w:gridCol w:w="3512"/>
        <w:gridCol w:w="1799"/>
      </w:tblGrid>
      <w:tr w:rsidR="005B1670" w:rsidRPr="004505C2" w14:paraId="618A0B50" w14:textId="77777777" w:rsidTr="007E36E1">
        <w:trPr>
          <w:trHeight w:val="50"/>
        </w:trPr>
        <w:tc>
          <w:tcPr>
            <w:tcW w:w="1755" w:type="pct"/>
            <w:tcBorders>
              <w:top w:val="single" w:sz="4" w:space="0" w:color="BFBFBF"/>
              <w:left w:val="single" w:sz="4" w:space="0" w:color="BFBFBF"/>
              <w:bottom w:val="nil"/>
              <w:right w:val="single" w:sz="4" w:space="0" w:color="A6A6A6"/>
            </w:tcBorders>
            <w:shd w:val="clear" w:color="000000" w:fill="C7CFD8"/>
            <w:noWrap/>
            <w:vAlign w:val="center"/>
            <w:hideMark/>
          </w:tcPr>
          <w:p w14:paraId="7E975B29" w14:textId="77777777" w:rsidR="005B1670" w:rsidRPr="004505C2" w:rsidRDefault="005B1670" w:rsidP="00B92550">
            <w:pPr>
              <w:spacing w:before="120" w:after="120"/>
              <w:rPr>
                <w:rFonts w:eastAsia="Times New Roman"/>
                <w:i/>
                <w:iCs/>
                <w:color w:val="002839"/>
                <w:sz w:val="18"/>
                <w:szCs w:val="18"/>
              </w:rPr>
            </w:pPr>
            <w:r w:rsidRPr="004505C2">
              <w:rPr>
                <w:rFonts w:eastAsia="Times New Roman"/>
                <w:i/>
                <w:iCs/>
                <w:color w:val="002839"/>
                <w:sz w:val="18"/>
                <w:szCs w:val="18"/>
              </w:rPr>
              <w:t>(in Swiss francs)</w:t>
            </w:r>
          </w:p>
        </w:tc>
        <w:tc>
          <w:tcPr>
            <w:tcW w:w="1341" w:type="pct"/>
            <w:tcBorders>
              <w:top w:val="single" w:sz="4" w:space="0" w:color="BFBFBF"/>
              <w:left w:val="nil"/>
              <w:bottom w:val="single" w:sz="4" w:space="0" w:color="A6A6A6"/>
              <w:right w:val="single" w:sz="4" w:space="0" w:color="A6A6A6"/>
            </w:tcBorders>
            <w:shd w:val="clear" w:color="000000" w:fill="C7CFD8"/>
            <w:vAlign w:val="center"/>
            <w:hideMark/>
          </w:tcPr>
          <w:p w14:paraId="0F912F61" w14:textId="77777777" w:rsidR="005B1670" w:rsidRPr="004505C2" w:rsidRDefault="005B1670" w:rsidP="00B92550">
            <w:pPr>
              <w:spacing w:before="120" w:after="120"/>
              <w:jc w:val="center"/>
              <w:rPr>
                <w:rFonts w:eastAsia="Times New Roman"/>
                <w:b/>
                <w:bCs/>
                <w:color w:val="002839"/>
                <w:sz w:val="18"/>
                <w:szCs w:val="18"/>
              </w:rPr>
            </w:pPr>
            <w:r w:rsidRPr="004505C2">
              <w:rPr>
                <w:rFonts w:eastAsia="Times New Roman"/>
                <w:b/>
                <w:bCs/>
                <w:color w:val="002839"/>
                <w:sz w:val="18"/>
                <w:szCs w:val="18"/>
              </w:rPr>
              <w:t>Year 1</w:t>
            </w:r>
          </w:p>
        </w:tc>
        <w:tc>
          <w:tcPr>
            <w:tcW w:w="1259" w:type="pct"/>
            <w:tcBorders>
              <w:top w:val="single" w:sz="4" w:space="0" w:color="BFBFBF"/>
              <w:left w:val="nil"/>
              <w:bottom w:val="single" w:sz="4" w:space="0" w:color="A6A6A6"/>
              <w:right w:val="single" w:sz="4" w:space="0" w:color="A6A6A6"/>
            </w:tcBorders>
            <w:shd w:val="clear" w:color="000000" w:fill="C7CFD8"/>
            <w:vAlign w:val="center"/>
            <w:hideMark/>
          </w:tcPr>
          <w:p w14:paraId="4FD35CE7" w14:textId="77777777" w:rsidR="005B1670" w:rsidRPr="004505C2" w:rsidRDefault="005B1670" w:rsidP="00B92550">
            <w:pPr>
              <w:spacing w:before="120" w:after="120"/>
              <w:jc w:val="center"/>
              <w:rPr>
                <w:rFonts w:eastAsia="Times New Roman"/>
                <w:b/>
                <w:bCs/>
                <w:color w:val="002839"/>
                <w:sz w:val="18"/>
                <w:szCs w:val="18"/>
              </w:rPr>
            </w:pPr>
            <w:r w:rsidRPr="004505C2">
              <w:rPr>
                <w:rFonts w:eastAsia="Times New Roman"/>
                <w:b/>
                <w:bCs/>
                <w:color w:val="002839"/>
                <w:sz w:val="18"/>
                <w:szCs w:val="18"/>
              </w:rPr>
              <w:t>Year 2</w:t>
            </w:r>
          </w:p>
        </w:tc>
        <w:tc>
          <w:tcPr>
            <w:tcW w:w="645"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7A9FDA63" w14:textId="77777777" w:rsidR="005B1670" w:rsidRPr="004505C2" w:rsidRDefault="005B1670" w:rsidP="00B92550">
            <w:pPr>
              <w:spacing w:before="120" w:after="120"/>
              <w:jc w:val="center"/>
              <w:rPr>
                <w:rFonts w:eastAsia="Times New Roman"/>
                <w:b/>
                <w:bCs/>
                <w:color w:val="002839"/>
                <w:sz w:val="18"/>
                <w:szCs w:val="18"/>
              </w:rPr>
            </w:pPr>
            <w:r w:rsidRPr="004505C2">
              <w:rPr>
                <w:rFonts w:eastAsia="Times New Roman"/>
                <w:b/>
                <w:bCs/>
                <w:color w:val="002839"/>
                <w:sz w:val="18"/>
                <w:szCs w:val="18"/>
              </w:rPr>
              <w:t>Total</w:t>
            </w:r>
          </w:p>
        </w:tc>
      </w:tr>
      <w:tr w:rsidR="005B1670" w:rsidRPr="004505C2" w14:paraId="67C6EA40" w14:textId="77777777" w:rsidTr="007E36E1">
        <w:trPr>
          <w:trHeight w:val="525"/>
        </w:trPr>
        <w:tc>
          <w:tcPr>
            <w:tcW w:w="1755" w:type="pct"/>
            <w:tcBorders>
              <w:top w:val="nil"/>
              <w:left w:val="single" w:sz="4" w:space="0" w:color="BFBFBF"/>
              <w:bottom w:val="single" w:sz="4" w:space="0" w:color="BFBFBF"/>
              <w:right w:val="nil"/>
            </w:tcBorders>
            <w:shd w:val="clear" w:color="000000" w:fill="C7CFD8"/>
            <w:noWrap/>
            <w:vAlign w:val="center"/>
            <w:hideMark/>
          </w:tcPr>
          <w:p w14:paraId="07E0E5F1" w14:textId="77777777" w:rsidR="005B1670" w:rsidRPr="004505C2" w:rsidRDefault="005B1670" w:rsidP="00B92550">
            <w:pPr>
              <w:spacing w:before="120" w:after="120"/>
              <w:rPr>
                <w:rFonts w:eastAsia="Times New Roman"/>
                <w:b/>
                <w:bCs/>
                <w:color w:val="002839"/>
                <w:sz w:val="18"/>
                <w:szCs w:val="18"/>
              </w:rPr>
            </w:pPr>
            <w:r w:rsidRPr="004505C2">
              <w:rPr>
                <w:rFonts w:eastAsia="Times New Roman"/>
                <w:b/>
                <w:bCs/>
                <w:color w:val="002839"/>
                <w:sz w:val="18"/>
                <w:szCs w:val="18"/>
              </w:rPr>
              <w:t xml:space="preserve">Project Outputs </w:t>
            </w:r>
          </w:p>
        </w:tc>
        <w:tc>
          <w:tcPr>
            <w:tcW w:w="1341" w:type="pct"/>
            <w:tcBorders>
              <w:top w:val="nil"/>
              <w:left w:val="single" w:sz="4" w:space="0" w:color="A6A6A6"/>
              <w:bottom w:val="single" w:sz="4" w:space="0" w:color="BFBFBF"/>
              <w:right w:val="single" w:sz="4" w:space="0" w:color="A6A6A6"/>
            </w:tcBorders>
            <w:shd w:val="clear" w:color="000000" w:fill="C7CFD8"/>
            <w:vAlign w:val="center"/>
            <w:hideMark/>
          </w:tcPr>
          <w:p w14:paraId="59E1F4EA" w14:textId="77777777" w:rsidR="005B1670" w:rsidRPr="004505C2" w:rsidRDefault="005B1670" w:rsidP="00B92550">
            <w:pPr>
              <w:spacing w:before="120" w:after="120"/>
              <w:jc w:val="center"/>
              <w:rPr>
                <w:rFonts w:eastAsia="Times New Roman"/>
                <w:b/>
                <w:bCs/>
                <w:color w:val="002839"/>
                <w:sz w:val="18"/>
                <w:szCs w:val="18"/>
              </w:rPr>
            </w:pPr>
            <w:r w:rsidRPr="004505C2">
              <w:rPr>
                <w:rFonts w:eastAsia="Times New Roman"/>
                <w:b/>
                <w:bCs/>
                <w:color w:val="002839"/>
                <w:sz w:val="18"/>
                <w:szCs w:val="18"/>
              </w:rPr>
              <w:t xml:space="preserve">Non-Personnel </w:t>
            </w:r>
          </w:p>
        </w:tc>
        <w:tc>
          <w:tcPr>
            <w:tcW w:w="1259" w:type="pct"/>
            <w:tcBorders>
              <w:top w:val="nil"/>
              <w:left w:val="nil"/>
              <w:bottom w:val="single" w:sz="4" w:space="0" w:color="BFBFBF"/>
              <w:right w:val="single" w:sz="4" w:space="0" w:color="A6A6A6"/>
            </w:tcBorders>
            <w:shd w:val="clear" w:color="000000" w:fill="C7CFD8"/>
            <w:vAlign w:val="center"/>
            <w:hideMark/>
          </w:tcPr>
          <w:p w14:paraId="4C7D8ED9" w14:textId="77777777" w:rsidR="005B1670" w:rsidRPr="004505C2" w:rsidRDefault="005B1670" w:rsidP="00B92550">
            <w:pPr>
              <w:spacing w:before="120" w:after="120"/>
              <w:jc w:val="center"/>
              <w:rPr>
                <w:rFonts w:eastAsia="Times New Roman"/>
                <w:b/>
                <w:bCs/>
                <w:color w:val="002839"/>
                <w:sz w:val="18"/>
                <w:szCs w:val="18"/>
              </w:rPr>
            </w:pPr>
            <w:r w:rsidRPr="004505C2">
              <w:rPr>
                <w:rFonts w:eastAsia="Times New Roman"/>
                <w:b/>
                <w:bCs/>
                <w:color w:val="002839"/>
                <w:sz w:val="18"/>
                <w:szCs w:val="18"/>
              </w:rPr>
              <w:t xml:space="preserve">Non-Personnel </w:t>
            </w:r>
          </w:p>
        </w:tc>
        <w:tc>
          <w:tcPr>
            <w:tcW w:w="645" w:type="pct"/>
            <w:vMerge/>
            <w:tcBorders>
              <w:top w:val="single" w:sz="4" w:space="0" w:color="BFBFBF"/>
              <w:left w:val="nil"/>
              <w:bottom w:val="single" w:sz="4" w:space="0" w:color="BFBFBF"/>
              <w:right w:val="single" w:sz="4" w:space="0" w:color="BFBFBF"/>
            </w:tcBorders>
            <w:vAlign w:val="center"/>
            <w:hideMark/>
          </w:tcPr>
          <w:p w14:paraId="07DDEC82" w14:textId="77777777" w:rsidR="005B1670" w:rsidRPr="004505C2" w:rsidRDefault="005B1670" w:rsidP="00B92550">
            <w:pPr>
              <w:spacing w:before="120" w:after="120"/>
              <w:rPr>
                <w:rFonts w:eastAsia="Times New Roman"/>
                <w:b/>
                <w:bCs/>
                <w:color w:val="002839"/>
                <w:sz w:val="18"/>
                <w:szCs w:val="18"/>
              </w:rPr>
            </w:pPr>
          </w:p>
        </w:tc>
      </w:tr>
      <w:tr w:rsidR="005B1670" w:rsidRPr="004505C2" w14:paraId="69F9B2E5" w14:textId="77777777" w:rsidTr="009F422F">
        <w:trPr>
          <w:trHeight w:val="216"/>
        </w:trPr>
        <w:tc>
          <w:tcPr>
            <w:tcW w:w="1755" w:type="pct"/>
            <w:tcBorders>
              <w:top w:val="nil"/>
              <w:left w:val="single" w:sz="4" w:space="0" w:color="BFBFBF"/>
              <w:bottom w:val="single" w:sz="4" w:space="0" w:color="BFBFBF"/>
              <w:right w:val="single" w:sz="4" w:space="0" w:color="BFBFBF"/>
            </w:tcBorders>
            <w:shd w:val="clear" w:color="auto" w:fill="auto"/>
            <w:vAlign w:val="center"/>
            <w:hideMark/>
          </w:tcPr>
          <w:p w14:paraId="55158DD6" w14:textId="3C467AD6" w:rsidR="005B1670" w:rsidRPr="004505C2" w:rsidRDefault="0055145C" w:rsidP="00B92550">
            <w:pPr>
              <w:spacing w:before="120" w:after="120"/>
              <w:rPr>
                <w:rFonts w:eastAsia="Times New Roman"/>
                <w:color w:val="002839"/>
                <w:sz w:val="18"/>
                <w:szCs w:val="18"/>
              </w:rPr>
            </w:pPr>
            <w:r w:rsidRPr="00EE7A89">
              <w:rPr>
                <w:rFonts w:eastAsia="Times New Roman"/>
                <w:color w:val="002839"/>
                <w:sz w:val="18"/>
                <w:szCs w:val="18"/>
              </w:rPr>
              <w:t xml:space="preserve">Inclusion of </w:t>
            </w:r>
            <w:r w:rsidR="00EE7A89">
              <w:rPr>
                <w:rFonts w:eastAsia="Times New Roman"/>
                <w:color w:val="002839"/>
                <w:sz w:val="18"/>
                <w:szCs w:val="18"/>
              </w:rPr>
              <w:t xml:space="preserve">official and </w:t>
            </w:r>
            <w:r w:rsidRPr="00EE7A89">
              <w:rPr>
                <w:rFonts w:eastAsia="Times New Roman"/>
                <w:color w:val="002839"/>
                <w:sz w:val="18"/>
                <w:szCs w:val="18"/>
              </w:rPr>
              <w:t>publicly available NIPS in the WIPO Lex Database</w:t>
            </w:r>
          </w:p>
        </w:tc>
        <w:tc>
          <w:tcPr>
            <w:tcW w:w="1341" w:type="pct"/>
            <w:tcBorders>
              <w:top w:val="nil"/>
              <w:left w:val="nil"/>
              <w:bottom w:val="single" w:sz="4" w:space="0" w:color="BFBFBF"/>
              <w:right w:val="single" w:sz="4" w:space="0" w:color="BFBFBF"/>
            </w:tcBorders>
            <w:shd w:val="clear" w:color="auto" w:fill="auto"/>
            <w:noWrap/>
            <w:vAlign w:val="bottom"/>
            <w:hideMark/>
          </w:tcPr>
          <w:p w14:paraId="36EF3CDC" w14:textId="0A15565F" w:rsidR="005B1670" w:rsidRPr="004505C2" w:rsidRDefault="001D1171" w:rsidP="00B92550">
            <w:pPr>
              <w:spacing w:before="120" w:after="120"/>
              <w:jc w:val="right"/>
              <w:rPr>
                <w:rFonts w:eastAsia="Times New Roman"/>
                <w:color w:val="000000"/>
                <w:sz w:val="18"/>
                <w:szCs w:val="18"/>
              </w:rPr>
            </w:pPr>
            <w:r>
              <w:rPr>
                <w:rFonts w:eastAsia="Malgun Gothic" w:hint="eastAsia"/>
                <w:color w:val="000000"/>
                <w:sz w:val="18"/>
                <w:szCs w:val="18"/>
                <w:lang w:eastAsia="ko-KR"/>
              </w:rPr>
              <w:t>3</w:t>
            </w:r>
            <w:r w:rsidR="005B1670">
              <w:rPr>
                <w:rFonts w:eastAsia="Times New Roman"/>
                <w:color w:val="000000"/>
                <w:sz w:val="18"/>
                <w:szCs w:val="18"/>
              </w:rPr>
              <w:t>5</w:t>
            </w:r>
            <w:r w:rsidR="005B1670" w:rsidRPr="004505C2">
              <w:rPr>
                <w:rFonts w:eastAsia="Times New Roman"/>
                <w:color w:val="000000"/>
                <w:sz w:val="18"/>
                <w:szCs w:val="18"/>
              </w:rPr>
              <w:t xml:space="preserve">,000 </w:t>
            </w:r>
          </w:p>
        </w:tc>
        <w:tc>
          <w:tcPr>
            <w:tcW w:w="1259" w:type="pct"/>
            <w:tcBorders>
              <w:top w:val="nil"/>
              <w:left w:val="nil"/>
              <w:bottom w:val="single" w:sz="4" w:space="0" w:color="BFBFBF"/>
              <w:right w:val="single" w:sz="4" w:space="0" w:color="BFBFBF"/>
            </w:tcBorders>
            <w:shd w:val="clear" w:color="auto" w:fill="auto"/>
            <w:noWrap/>
            <w:vAlign w:val="bottom"/>
            <w:hideMark/>
          </w:tcPr>
          <w:p w14:paraId="12FE8FE7" w14:textId="77777777" w:rsidR="005B1670" w:rsidRPr="004505C2" w:rsidRDefault="005B1670" w:rsidP="00B92550">
            <w:pPr>
              <w:spacing w:before="120" w:after="120"/>
              <w:jc w:val="right"/>
              <w:rPr>
                <w:rFonts w:eastAsia="Times New Roman"/>
                <w:color w:val="002839"/>
                <w:sz w:val="18"/>
                <w:szCs w:val="18"/>
              </w:rPr>
            </w:pPr>
            <w:r w:rsidRPr="004505C2">
              <w:rPr>
                <w:rFonts w:eastAsia="Times New Roman"/>
                <w:color w:val="002839"/>
                <w:sz w:val="18"/>
                <w:szCs w:val="18"/>
              </w:rPr>
              <w:t> </w:t>
            </w:r>
          </w:p>
          <w:p w14:paraId="4AE34B70" w14:textId="018497B3" w:rsidR="005B1670" w:rsidRPr="004505C2" w:rsidRDefault="001B6924" w:rsidP="00B92550">
            <w:pPr>
              <w:spacing w:before="120" w:after="120"/>
              <w:jc w:val="right"/>
              <w:rPr>
                <w:rFonts w:eastAsia="Times New Roman"/>
                <w:color w:val="000000"/>
                <w:sz w:val="18"/>
                <w:szCs w:val="18"/>
              </w:rPr>
            </w:pPr>
            <w:r w:rsidRPr="00F80499">
              <w:rPr>
                <w:rFonts w:ascii="Arial Narrow" w:eastAsia="Times New Roman" w:hAnsi="Arial Narrow"/>
                <w:color w:val="002839"/>
                <w:sz w:val="20"/>
              </w:rPr>
              <w:t>-</w:t>
            </w:r>
          </w:p>
        </w:tc>
        <w:tc>
          <w:tcPr>
            <w:tcW w:w="645" w:type="pct"/>
            <w:tcBorders>
              <w:top w:val="nil"/>
              <w:left w:val="nil"/>
              <w:bottom w:val="single" w:sz="4" w:space="0" w:color="BFBFBF"/>
              <w:right w:val="single" w:sz="4" w:space="0" w:color="BFBFBF"/>
            </w:tcBorders>
            <w:shd w:val="clear" w:color="auto" w:fill="auto"/>
            <w:noWrap/>
            <w:vAlign w:val="bottom"/>
            <w:hideMark/>
          </w:tcPr>
          <w:p w14:paraId="0CD1DC36" w14:textId="57ED23A9" w:rsidR="005B1670" w:rsidRPr="004505C2" w:rsidRDefault="001D1171" w:rsidP="00B92550">
            <w:pPr>
              <w:spacing w:before="120" w:after="120"/>
              <w:jc w:val="right"/>
              <w:rPr>
                <w:rFonts w:eastAsia="Times New Roman"/>
                <w:color w:val="002839"/>
                <w:sz w:val="18"/>
                <w:szCs w:val="18"/>
              </w:rPr>
            </w:pPr>
            <w:r>
              <w:rPr>
                <w:rFonts w:eastAsia="Malgun Gothic" w:hint="eastAsia"/>
                <w:color w:val="002839"/>
                <w:sz w:val="18"/>
                <w:szCs w:val="18"/>
                <w:lang w:eastAsia="ko-KR"/>
              </w:rPr>
              <w:t>3</w:t>
            </w:r>
            <w:r w:rsidR="006E15DB">
              <w:rPr>
                <w:rFonts w:eastAsia="Times New Roman"/>
                <w:color w:val="002839"/>
                <w:sz w:val="18"/>
                <w:szCs w:val="18"/>
              </w:rPr>
              <w:t>5</w:t>
            </w:r>
            <w:r w:rsidR="005B1670" w:rsidRPr="004505C2">
              <w:rPr>
                <w:rFonts w:eastAsia="Times New Roman"/>
                <w:color w:val="002839"/>
                <w:sz w:val="18"/>
                <w:szCs w:val="18"/>
              </w:rPr>
              <w:t xml:space="preserve">,000 </w:t>
            </w:r>
          </w:p>
        </w:tc>
      </w:tr>
      <w:tr w:rsidR="005B1670" w:rsidRPr="004505C2" w14:paraId="0FF17377" w14:textId="77777777" w:rsidTr="009F422F">
        <w:trPr>
          <w:trHeight w:val="216"/>
        </w:trPr>
        <w:tc>
          <w:tcPr>
            <w:tcW w:w="1755" w:type="pct"/>
            <w:tcBorders>
              <w:top w:val="nil"/>
              <w:left w:val="single" w:sz="4" w:space="0" w:color="BFBFBF"/>
              <w:bottom w:val="single" w:sz="4" w:space="0" w:color="BFBFBF"/>
              <w:right w:val="single" w:sz="4" w:space="0" w:color="BFBFBF"/>
            </w:tcBorders>
            <w:shd w:val="clear" w:color="auto" w:fill="auto"/>
            <w:vAlign w:val="center"/>
            <w:hideMark/>
          </w:tcPr>
          <w:p w14:paraId="2B50ECA2" w14:textId="69FAA4BE" w:rsidR="005B1670" w:rsidRPr="004505C2" w:rsidRDefault="005B1670" w:rsidP="00B92550">
            <w:pPr>
              <w:spacing w:before="120" w:after="120"/>
              <w:rPr>
                <w:rFonts w:eastAsia="Times New Roman"/>
                <w:color w:val="002839"/>
                <w:sz w:val="18"/>
                <w:szCs w:val="18"/>
              </w:rPr>
            </w:pPr>
            <w:r w:rsidRPr="004F0263">
              <w:rPr>
                <w:rFonts w:eastAsia="Times New Roman"/>
                <w:color w:val="002839"/>
                <w:sz w:val="18"/>
                <w:szCs w:val="18"/>
              </w:rPr>
              <w:t>Five case studies on the development</w:t>
            </w:r>
            <w:r w:rsidR="00F65023">
              <w:rPr>
                <w:rFonts w:eastAsia="Times New Roman"/>
                <w:color w:val="002839"/>
                <w:sz w:val="18"/>
                <w:szCs w:val="18"/>
              </w:rPr>
              <w:t xml:space="preserve"> or implementation</w:t>
            </w:r>
            <w:r w:rsidRPr="004F0263">
              <w:rPr>
                <w:rFonts w:eastAsia="Times New Roman"/>
                <w:color w:val="002839"/>
                <w:sz w:val="18"/>
                <w:szCs w:val="18"/>
              </w:rPr>
              <w:t xml:space="preserve"> of NIPS in selected Member States</w:t>
            </w:r>
          </w:p>
        </w:tc>
        <w:tc>
          <w:tcPr>
            <w:tcW w:w="1341" w:type="pct"/>
            <w:tcBorders>
              <w:top w:val="nil"/>
              <w:left w:val="nil"/>
              <w:bottom w:val="single" w:sz="4" w:space="0" w:color="BFBFBF"/>
              <w:right w:val="single" w:sz="4" w:space="0" w:color="BFBFBF"/>
            </w:tcBorders>
            <w:shd w:val="clear" w:color="auto" w:fill="auto"/>
            <w:noWrap/>
            <w:vAlign w:val="bottom"/>
            <w:hideMark/>
          </w:tcPr>
          <w:p w14:paraId="5A92DCD7" w14:textId="77777777" w:rsidR="005B1670" w:rsidRPr="004505C2" w:rsidRDefault="005B1670" w:rsidP="00B92550">
            <w:pPr>
              <w:spacing w:before="120" w:after="120"/>
              <w:jc w:val="right"/>
              <w:rPr>
                <w:rFonts w:eastAsia="Times New Roman"/>
                <w:color w:val="000000"/>
                <w:sz w:val="18"/>
                <w:szCs w:val="18"/>
              </w:rPr>
            </w:pPr>
            <w:r>
              <w:rPr>
                <w:rFonts w:eastAsia="Times New Roman"/>
                <w:color w:val="000000"/>
                <w:sz w:val="18"/>
                <w:szCs w:val="18"/>
              </w:rPr>
              <w:t>30</w:t>
            </w:r>
            <w:r w:rsidRPr="004505C2">
              <w:rPr>
                <w:rFonts w:eastAsia="Times New Roman"/>
                <w:color w:val="000000"/>
                <w:sz w:val="18"/>
                <w:szCs w:val="18"/>
              </w:rPr>
              <w:t xml:space="preserve">,000 </w:t>
            </w:r>
          </w:p>
        </w:tc>
        <w:tc>
          <w:tcPr>
            <w:tcW w:w="1259" w:type="pct"/>
            <w:tcBorders>
              <w:top w:val="nil"/>
              <w:left w:val="nil"/>
              <w:bottom w:val="single" w:sz="4" w:space="0" w:color="BFBFBF"/>
              <w:right w:val="single" w:sz="4" w:space="0" w:color="BFBFBF"/>
            </w:tcBorders>
            <w:shd w:val="clear" w:color="auto" w:fill="auto"/>
            <w:noWrap/>
            <w:vAlign w:val="bottom"/>
            <w:hideMark/>
          </w:tcPr>
          <w:p w14:paraId="4F2F03B7" w14:textId="77777777" w:rsidR="005B1670" w:rsidRPr="004505C2" w:rsidRDefault="005B1670" w:rsidP="00B92550">
            <w:pPr>
              <w:spacing w:before="120" w:after="120"/>
              <w:jc w:val="right"/>
              <w:rPr>
                <w:rFonts w:eastAsia="Times New Roman"/>
                <w:color w:val="000000"/>
                <w:sz w:val="18"/>
                <w:szCs w:val="18"/>
              </w:rPr>
            </w:pPr>
            <w:r>
              <w:rPr>
                <w:rFonts w:eastAsia="Times New Roman"/>
                <w:color w:val="000000"/>
                <w:sz w:val="18"/>
                <w:szCs w:val="18"/>
              </w:rPr>
              <w:t>20</w:t>
            </w:r>
            <w:r w:rsidRPr="004505C2">
              <w:rPr>
                <w:rFonts w:eastAsia="Times New Roman"/>
                <w:color w:val="000000"/>
                <w:sz w:val="18"/>
                <w:szCs w:val="18"/>
              </w:rPr>
              <w:t>,000</w:t>
            </w:r>
          </w:p>
        </w:tc>
        <w:tc>
          <w:tcPr>
            <w:tcW w:w="645" w:type="pct"/>
            <w:tcBorders>
              <w:top w:val="nil"/>
              <w:left w:val="nil"/>
              <w:bottom w:val="single" w:sz="4" w:space="0" w:color="BFBFBF"/>
              <w:right w:val="single" w:sz="4" w:space="0" w:color="BFBFBF"/>
            </w:tcBorders>
            <w:shd w:val="clear" w:color="auto" w:fill="auto"/>
            <w:noWrap/>
            <w:vAlign w:val="bottom"/>
            <w:hideMark/>
          </w:tcPr>
          <w:p w14:paraId="59AE54A0" w14:textId="77777777" w:rsidR="005B1670" w:rsidRPr="004505C2" w:rsidRDefault="005B1670" w:rsidP="00B92550">
            <w:pPr>
              <w:spacing w:before="120" w:after="120"/>
              <w:jc w:val="right"/>
              <w:rPr>
                <w:rFonts w:eastAsia="Times New Roman"/>
                <w:color w:val="002839"/>
                <w:sz w:val="18"/>
                <w:szCs w:val="18"/>
              </w:rPr>
            </w:pPr>
            <w:r>
              <w:rPr>
                <w:rFonts w:eastAsia="Times New Roman"/>
                <w:color w:val="002839"/>
                <w:sz w:val="18"/>
                <w:szCs w:val="18"/>
              </w:rPr>
              <w:t>50</w:t>
            </w:r>
            <w:r w:rsidRPr="004505C2">
              <w:rPr>
                <w:rFonts w:eastAsia="Times New Roman"/>
                <w:color w:val="002839"/>
                <w:sz w:val="18"/>
                <w:szCs w:val="18"/>
              </w:rPr>
              <w:t xml:space="preserve">,000 </w:t>
            </w:r>
          </w:p>
        </w:tc>
      </w:tr>
      <w:tr w:rsidR="005B1670" w:rsidRPr="004505C2" w14:paraId="27DFB357" w14:textId="77777777" w:rsidTr="009F422F">
        <w:trPr>
          <w:trHeight w:val="216"/>
        </w:trPr>
        <w:tc>
          <w:tcPr>
            <w:tcW w:w="1755" w:type="pct"/>
            <w:tcBorders>
              <w:top w:val="nil"/>
              <w:left w:val="single" w:sz="4" w:space="0" w:color="BFBFBF"/>
              <w:bottom w:val="single" w:sz="4" w:space="0" w:color="BFBFBF"/>
              <w:right w:val="single" w:sz="4" w:space="0" w:color="BFBFBF"/>
            </w:tcBorders>
            <w:shd w:val="clear" w:color="auto" w:fill="auto"/>
            <w:vAlign w:val="center"/>
            <w:hideMark/>
          </w:tcPr>
          <w:p w14:paraId="3CE760F1" w14:textId="77777777" w:rsidR="005B1670" w:rsidRPr="004505C2" w:rsidRDefault="005B1670" w:rsidP="00B92550">
            <w:pPr>
              <w:spacing w:before="120" w:after="120"/>
              <w:rPr>
                <w:rFonts w:eastAsia="Times New Roman"/>
                <w:color w:val="002839"/>
                <w:sz w:val="18"/>
                <w:szCs w:val="18"/>
              </w:rPr>
            </w:pPr>
            <w:r w:rsidRPr="004F0263">
              <w:rPr>
                <w:rFonts w:eastAsia="Times New Roman"/>
                <w:color w:val="002839"/>
                <w:sz w:val="18"/>
                <w:szCs w:val="18"/>
              </w:rPr>
              <w:t>Literature review on the role of IP in the sectors/clusters relevant to NIPS</w:t>
            </w:r>
          </w:p>
        </w:tc>
        <w:tc>
          <w:tcPr>
            <w:tcW w:w="1341" w:type="pct"/>
            <w:tcBorders>
              <w:top w:val="nil"/>
              <w:left w:val="nil"/>
              <w:bottom w:val="single" w:sz="4" w:space="0" w:color="BFBFBF"/>
              <w:right w:val="single" w:sz="4" w:space="0" w:color="BFBFBF"/>
            </w:tcBorders>
            <w:shd w:val="clear" w:color="auto" w:fill="auto"/>
            <w:noWrap/>
            <w:vAlign w:val="bottom"/>
            <w:hideMark/>
          </w:tcPr>
          <w:p w14:paraId="137EC6AF" w14:textId="77777777" w:rsidR="005B1670" w:rsidRPr="004505C2" w:rsidRDefault="005B1670" w:rsidP="00B92550">
            <w:pPr>
              <w:spacing w:before="120" w:after="120"/>
              <w:jc w:val="right"/>
              <w:rPr>
                <w:rFonts w:eastAsia="Times New Roman"/>
                <w:color w:val="000000"/>
                <w:sz w:val="18"/>
                <w:szCs w:val="18"/>
              </w:rPr>
            </w:pPr>
            <w:r>
              <w:rPr>
                <w:rFonts w:eastAsia="Times New Roman"/>
                <w:color w:val="000000"/>
                <w:sz w:val="18"/>
                <w:szCs w:val="18"/>
              </w:rPr>
              <w:t>5</w:t>
            </w:r>
            <w:r w:rsidRPr="004505C2">
              <w:rPr>
                <w:rFonts w:eastAsia="Times New Roman"/>
                <w:color w:val="000000"/>
                <w:sz w:val="18"/>
                <w:szCs w:val="18"/>
              </w:rPr>
              <w:t xml:space="preserve">,000 </w:t>
            </w:r>
          </w:p>
        </w:tc>
        <w:tc>
          <w:tcPr>
            <w:tcW w:w="1259" w:type="pct"/>
            <w:tcBorders>
              <w:top w:val="nil"/>
              <w:left w:val="nil"/>
              <w:bottom w:val="single" w:sz="4" w:space="0" w:color="BFBFBF"/>
              <w:right w:val="single" w:sz="4" w:space="0" w:color="BFBFBF"/>
            </w:tcBorders>
            <w:shd w:val="clear" w:color="auto" w:fill="auto"/>
            <w:noWrap/>
            <w:vAlign w:val="bottom"/>
            <w:hideMark/>
          </w:tcPr>
          <w:p w14:paraId="0198E5D8" w14:textId="7FEDF42F" w:rsidR="005B1670" w:rsidRPr="004505C2" w:rsidRDefault="005B1670" w:rsidP="00B92550">
            <w:pPr>
              <w:spacing w:before="120" w:after="120"/>
              <w:jc w:val="right"/>
              <w:rPr>
                <w:rFonts w:eastAsia="Times New Roman"/>
                <w:color w:val="000000"/>
                <w:sz w:val="18"/>
                <w:szCs w:val="18"/>
              </w:rPr>
            </w:pPr>
            <w:r w:rsidRPr="004505C2">
              <w:rPr>
                <w:rFonts w:eastAsia="Times New Roman"/>
                <w:color w:val="000000"/>
                <w:sz w:val="18"/>
                <w:szCs w:val="18"/>
              </w:rPr>
              <w:t> </w:t>
            </w:r>
            <w:r w:rsidRPr="00B03BFD">
              <w:rPr>
                <w:rFonts w:eastAsia="Times New Roman"/>
                <w:color w:val="000000"/>
                <w:sz w:val="18"/>
                <w:szCs w:val="18"/>
              </w:rPr>
              <w:t>15,000</w:t>
            </w:r>
          </w:p>
        </w:tc>
        <w:tc>
          <w:tcPr>
            <w:tcW w:w="645" w:type="pct"/>
            <w:tcBorders>
              <w:top w:val="nil"/>
              <w:left w:val="nil"/>
              <w:bottom w:val="single" w:sz="4" w:space="0" w:color="BFBFBF"/>
              <w:right w:val="single" w:sz="4" w:space="0" w:color="BFBFBF"/>
            </w:tcBorders>
            <w:shd w:val="clear" w:color="auto" w:fill="auto"/>
            <w:noWrap/>
            <w:vAlign w:val="bottom"/>
            <w:hideMark/>
          </w:tcPr>
          <w:p w14:paraId="61B640C5" w14:textId="20E353A4" w:rsidR="005B1670" w:rsidRPr="004505C2" w:rsidRDefault="005B1670" w:rsidP="00B92550">
            <w:pPr>
              <w:spacing w:before="120" w:after="120"/>
              <w:jc w:val="right"/>
              <w:rPr>
                <w:rFonts w:eastAsia="Times New Roman"/>
                <w:color w:val="002839"/>
                <w:sz w:val="18"/>
                <w:szCs w:val="18"/>
              </w:rPr>
            </w:pPr>
            <w:r>
              <w:rPr>
                <w:rFonts w:eastAsia="Times New Roman"/>
                <w:color w:val="002839"/>
                <w:sz w:val="18"/>
                <w:szCs w:val="18"/>
              </w:rPr>
              <w:t>2</w:t>
            </w:r>
            <w:r w:rsidRPr="004505C2">
              <w:rPr>
                <w:rFonts w:eastAsia="Times New Roman"/>
                <w:color w:val="002839"/>
                <w:sz w:val="18"/>
                <w:szCs w:val="18"/>
              </w:rPr>
              <w:t xml:space="preserve">0,000 </w:t>
            </w:r>
          </w:p>
        </w:tc>
      </w:tr>
      <w:tr w:rsidR="005B1670" w:rsidRPr="004505C2" w14:paraId="1BE3BF2D" w14:textId="4B521DAB" w:rsidTr="00873104">
        <w:trPr>
          <w:trHeight w:val="619"/>
        </w:trPr>
        <w:tc>
          <w:tcPr>
            <w:tcW w:w="1755" w:type="pct"/>
            <w:tcBorders>
              <w:top w:val="nil"/>
              <w:left w:val="single" w:sz="4" w:space="0" w:color="BFBFBF"/>
              <w:bottom w:val="single" w:sz="4" w:space="0" w:color="BFBFBF"/>
              <w:right w:val="single" w:sz="4" w:space="0" w:color="BFBFBF"/>
            </w:tcBorders>
            <w:shd w:val="clear" w:color="auto" w:fill="auto"/>
            <w:vAlign w:val="center"/>
            <w:hideMark/>
          </w:tcPr>
          <w:p w14:paraId="4BEFD384" w14:textId="62F569AF" w:rsidR="005B1670" w:rsidRPr="004505C2" w:rsidRDefault="0073508F" w:rsidP="00B92550">
            <w:pPr>
              <w:spacing w:before="120" w:after="120"/>
              <w:rPr>
                <w:rFonts w:eastAsia="Times New Roman"/>
                <w:color w:val="002839"/>
                <w:sz w:val="18"/>
                <w:szCs w:val="18"/>
              </w:rPr>
            </w:pPr>
            <w:r w:rsidRPr="0073508F">
              <w:rPr>
                <w:rFonts w:eastAsia="Times New Roman"/>
                <w:color w:val="002839"/>
                <w:sz w:val="18"/>
                <w:szCs w:val="18"/>
              </w:rPr>
              <w:t xml:space="preserve">Toolkit for </w:t>
            </w:r>
            <w:r w:rsidR="00F55BE6">
              <w:rPr>
                <w:rFonts w:eastAsia="Times New Roman"/>
                <w:color w:val="002839"/>
                <w:sz w:val="18"/>
                <w:szCs w:val="18"/>
              </w:rPr>
              <w:t>country-led evaluation</w:t>
            </w:r>
            <w:r w:rsidRPr="0073508F">
              <w:rPr>
                <w:rFonts w:eastAsia="Times New Roman"/>
                <w:color w:val="002839"/>
                <w:sz w:val="18"/>
                <w:szCs w:val="18"/>
              </w:rPr>
              <w:t xml:space="preserve"> and/or monitoring of NIPS </w:t>
            </w:r>
          </w:p>
        </w:tc>
        <w:tc>
          <w:tcPr>
            <w:tcW w:w="1341" w:type="pct"/>
            <w:tcBorders>
              <w:top w:val="nil"/>
              <w:left w:val="nil"/>
              <w:bottom w:val="single" w:sz="4" w:space="0" w:color="BFBFBF"/>
              <w:right w:val="single" w:sz="4" w:space="0" w:color="BFBFBF"/>
            </w:tcBorders>
            <w:shd w:val="clear" w:color="auto" w:fill="auto"/>
            <w:noWrap/>
            <w:vAlign w:val="bottom"/>
            <w:hideMark/>
          </w:tcPr>
          <w:p w14:paraId="6A2D37D6" w14:textId="333723F6" w:rsidR="005B1670" w:rsidRPr="004505C2" w:rsidRDefault="0021142D" w:rsidP="00B92550">
            <w:pPr>
              <w:spacing w:before="120" w:after="120"/>
              <w:jc w:val="right"/>
              <w:rPr>
                <w:rFonts w:eastAsia="Times New Roman"/>
                <w:color w:val="000000"/>
                <w:sz w:val="18"/>
                <w:szCs w:val="18"/>
              </w:rPr>
            </w:pPr>
            <w:r w:rsidRPr="00F80499">
              <w:rPr>
                <w:rFonts w:ascii="Arial Narrow" w:eastAsia="Times New Roman" w:hAnsi="Arial Narrow"/>
                <w:color w:val="002839"/>
                <w:sz w:val="20"/>
              </w:rPr>
              <w:t>-</w:t>
            </w:r>
          </w:p>
        </w:tc>
        <w:tc>
          <w:tcPr>
            <w:tcW w:w="1259" w:type="pct"/>
            <w:tcBorders>
              <w:top w:val="nil"/>
              <w:left w:val="nil"/>
              <w:bottom w:val="single" w:sz="4" w:space="0" w:color="BFBFBF"/>
              <w:right w:val="single" w:sz="4" w:space="0" w:color="BFBFBF"/>
            </w:tcBorders>
            <w:shd w:val="clear" w:color="auto" w:fill="auto"/>
            <w:noWrap/>
            <w:vAlign w:val="bottom"/>
            <w:hideMark/>
          </w:tcPr>
          <w:p w14:paraId="63C401C7" w14:textId="651595F7" w:rsidR="005B1670" w:rsidRPr="004505C2" w:rsidRDefault="005B1670" w:rsidP="00B92550">
            <w:pPr>
              <w:spacing w:before="120" w:after="120"/>
              <w:jc w:val="right"/>
              <w:rPr>
                <w:rFonts w:eastAsia="Times New Roman"/>
                <w:color w:val="000000"/>
                <w:sz w:val="18"/>
                <w:szCs w:val="18"/>
              </w:rPr>
            </w:pPr>
            <w:r>
              <w:rPr>
                <w:rFonts w:eastAsia="Times New Roman"/>
                <w:color w:val="000000"/>
                <w:sz w:val="18"/>
                <w:szCs w:val="18"/>
              </w:rPr>
              <w:t>3</w:t>
            </w:r>
            <w:r w:rsidRPr="004505C2">
              <w:rPr>
                <w:rFonts w:eastAsia="Times New Roman"/>
                <w:color w:val="000000"/>
                <w:sz w:val="18"/>
                <w:szCs w:val="18"/>
              </w:rPr>
              <w:t xml:space="preserve">0,000 </w:t>
            </w:r>
          </w:p>
        </w:tc>
        <w:tc>
          <w:tcPr>
            <w:tcW w:w="645" w:type="pct"/>
            <w:tcBorders>
              <w:top w:val="nil"/>
              <w:left w:val="nil"/>
              <w:bottom w:val="single" w:sz="4" w:space="0" w:color="BFBFBF"/>
              <w:right w:val="single" w:sz="4" w:space="0" w:color="BFBFBF"/>
            </w:tcBorders>
            <w:shd w:val="clear" w:color="auto" w:fill="auto"/>
            <w:noWrap/>
            <w:vAlign w:val="bottom"/>
            <w:hideMark/>
          </w:tcPr>
          <w:p w14:paraId="718524DA" w14:textId="58583766" w:rsidR="005B1670" w:rsidRPr="004505C2" w:rsidRDefault="005B1670" w:rsidP="00B92550">
            <w:pPr>
              <w:spacing w:before="120" w:after="120"/>
              <w:jc w:val="right"/>
              <w:rPr>
                <w:rFonts w:eastAsia="Times New Roman"/>
                <w:color w:val="002839"/>
                <w:sz w:val="18"/>
                <w:szCs w:val="18"/>
              </w:rPr>
            </w:pPr>
            <w:r>
              <w:rPr>
                <w:rFonts w:eastAsia="Times New Roman"/>
                <w:color w:val="002839"/>
                <w:sz w:val="18"/>
                <w:szCs w:val="18"/>
              </w:rPr>
              <w:t>3</w:t>
            </w:r>
            <w:r w:rsidRPr="004505C2">
              <w:rPr>
                <w:rFonts w:eastAsia="Times New Roman"/>
                <w:color w:val="002839"/>
                <w:sz w:val="18"/>
                <w:szCs w:val="18"/>
              </w:rPr>
              <w:t xml:space="preserve">0,000 </w:t>
            </w:r>
          </w:p>
        </w:tc>
      </w:tr>
      <w:tr w:rsidR="005B1670" w:rsidRPr="004505C2" w14:paraId="13E445B8" w14:textId="77777777" w:rsidTr="00873104">
        <w:trPr>
          <w:trHeight w:val="619"/>
        </w:trPr>
        <w:tc>
          <w:tcPr>
            <w:tcW w:w="1755" w:type="pct"/>
            <w:tcBorders>
              <w:top w:val="nil"/>
              <w:left w:val="single" w:sz="4" w:space="0" w:color="BFBFBF"/>
              <w:bottom w:val="single" w:sz="4" w:space="0" w:color="BFBFBF"/>
              <w:right w:val="single" w:sz="4" w:space="0" w:color="BFBFBF"/>
            </w:tcBorders>
            <w:shd w:val="clear" w:color="auto" w:fill="auto"/>
            <w:vAlign w:val="center"/>
          </w:tcPr>
          <w:p w14:paraId="0B29DE1E" w14:textId="45FB6BB1" w:rsidR="005B1670" w:rsidRPr="004F0263" w:rsidRDefault="005B1670" w:rsidP="00B92550">
            <w:pPr>
              <w:spacing w:before="120" w:after="120"/>
              <w:rPr>
                <w:rFonts w:eastAsia="Times New Roman"/>
                <w:color w:val="002839"/>
                <w:sz w:val="18"/>
                <w:szCs w:val="18"/>
              </w:rPr>
            </w:pPr>
            <w:r w:rsidRPr="004F0263">
              <w:rPr>
                <w:rFonts w:eastAsia="Times New Roman"/>
                <w:color w:val="002839"/>
                <w:sz w:val="18"/>
                <w:szCs w:val="18"/>
              </w:rPr>
              <w:t>Two workshops for interested Member States</w:t>
            </w:r>
          </w:p>
        </w:tc>
        <w:tc>
          <w:tcPr>
            <w:tcW w:w="1341" w:type="pct"/>
            <w:tcBorders>
              <w:top w:val="nil"/>
              <w:left w:val="nil"/>
              <w:bottom w:val="single" w:sz="4" w:space="0" w:color="BFBFBF"/>
              <w:right w:val="single" w:sz="4" w:space="0" w:color="BFBFBF"/>
            </w:tcBorders>
            <w:shd w:val="clear" w:color="auto" w:fill="auto"/>
            <w:noWrap/>
            <w:vAlign w:val="bottom"/>
          </w:tcPr>
          <w:p w14:paraId="603AE449" w14:textId="7E00F9D6" w:rsidR="005B1670" w:rsidRPr="0066451C" w:rsidRDefault="001D1171" w:rsidP="00B92550">
            <w:pPr>
              <w:spacing w:before="120" w:after="120"/>
              <w:jc w:val="right"/>
              <w:rPr>
                <w:rFonts w:eastAsia="Malgun Gothic"/>
                <w:color w:val="000000"/>
                <w:sz w:val="18"/>
                <w:szCs w:val="18"/>
                <w:lang w:eastAsia="ko-KR"/>
              </w:rPr>
            </w:pPr>
            <w:r>
              <w:rPr>
                <w:rFonts w:eastAsia="Malgun Gothic" w:hint="eastAsia"/>
                <w:color w:val="000000"/>
                <w:sz w:val="18"/>
                <w:szCs w:val="18"/>
                <w:lang w:eastAsia="ko-KR"/>
              </w:rPr>
              <w:t>75</w:t>
            </w:r>
            <w:r w:rsidR="00992AC1" w:rsidRPr="004505C2">
              <w:rPr>
                <w:rFonts w:eastAsia="Times New Roman"/>
                <w:color w:val="000000"/>
                <w:sz w:val="18"/>
                <w:szCs w:val="18"/>
              </w:rPr>
              <w:t>,</w:t>
            </w:r>
            <w:r w:rsidR="00992AC1">
              <w:rPr>
                <w:rFonts w:eastAsia="Times New Roman"/>
                <w:color w:val="000000"/>
                <w:sz w:val="18"/>
                <w:szCs w:val="18"/>
              </w:rPr>
              <w:t>000</w:t>
            </w:r>
          </w:p>
        </w:tc>
        <w:tc>
          <w:tcPr>
            <w:tcW w:w="1259" w:type="pct"/>
            <w:tcBorders>
              <w:top w:val="nil"/>
              <w:left w:val="nil"/>
              <w:bottom w:val="single" w:sz="4" w:space="0" w:color="BFBFBF"/>
              <w:right w:val="single" w:sz="4" w:space="0" w:color="BFBFBF"/>
            </w:tcBorders>
            <w:shd w:val="clear" w:color="auto" w:fill="auto"/>
            <w:noWrap/>
            <w:vAlign w:val="bottom"/>
          </w:tcPr>
          <w:p w14:paraId="4E54B7FC" w14:textId="440069F4" w:rsidR="005B1670" w:rsidRPr="0066451C" w:rsidRDefault="001D1171" w:rsidP="00B92550">
            <w:pPr>
              <w:spacing w:before="120" w:after="120"/>
              <w:jc w:val="right"/>
              <w:rPr>
                <w:rFonts w:eastAsia="Malgun Gothic"/>
                <w:color w:val="000000"/>
                <w:sz w:val="18"/>
                <w:szCs w:val="18"/>
                <w:lang w:eastAsia="ko-KR"/>
              </w:rPr>
            </w:pPr>
            <w:r>
              <w:rPr>
                <w:rFonts w:eastAsia="Malgun Gothic" w:hint="eastAsia"/>
                <w:color w:val="000000"/>
                <w:sz w:val="18"/>
                <w:szCs w:val="18"/>
                <w:lang w:eastAsia="ko-KR"/>
              </w:rPr>
              <w:t>75</w:t>
            </w:r>
            <w:r w:rsidR="005B1670" w:rsidRPr="004505C2">
              <w:rPr>
                <w:rFonts w:eastAsia="Times New Roman"/>
                <w:color w:val="000000"/>
                <w:sz w:val="18"/>
                <w:szCs w:val="18"/>
              </w:rPr>
              <w:t>,</w:t>
            </w:r>
            <w:r w:rsidR="005B1670">
              <w:rPr>
                <w:rFonts w:eastAsia="Times New Roman"/>
                <w:color w:val="000000"/>
                <w:sz w:val="18"/>
                <w:szCs w:val="18"/>
              </w:rPr>
              <w:t>000</w:t>
            </w:r>
          </w:p>
        </w:tc>
        <w:tc>
          <w:tcPr>
            <w:tcW w:w="645" w:type="pct"/>
            <w:tcBorders>
              <w:top w:val="nil"/>
              <w:left w:val="nil"/>
              <w:bottom w:val="single" w:sz="4" w:space="0" w:color="BFBFBF"/>
              <w:right w:val="single" w:sz="4" w:space="0" w:color="BFBFBF"/>
            </w:tcBorders>
            <w:shd w:val="clear" w:color="auto" w:fill="auto"/>
            <w:noWrap/>
            <w:vAlign w:val="bottom"/>
          </w:tcPr>
          <w:p w14:paraId="232314DE" w14:textId="1074CDAD" w:rsidR="005B1670" w:rsidRPr="004505C2" w:rsidRDefault="001D1171" w:rsidP="00B92550">
            <w:pPr>
              <w:spacing w:before="120" w:after="120"/>
              <w:jc w:val="right"/>
              <w:rPr>
                <w:rFonts w:eastAsia="Times New Roman"/>
                <w:color w:val="002839"/>
                <w:sz w:val="18"/>
                <w:szCs w:val="18"/>
              </w:rPr>
            </w:pPr>
            <w:r>
              <w:rPr>
                <w:rFonts w:eastAsia="Malgun Gothic" w:hint="eastAsia"/>
                <w:color w:val="002839"/>
                <w:sz w:val="18"/>
                <w:szCs w:val="18"/>
                <w:lang w:eastAsia="ko-KR"/>
              </w:rPr>
              <w:t>150</w:t>
            </w:r>
            <w:r w:rsidR="005B1670" w:rsidRPr="004505C2">
              <w:rPr>
                <w:rFonts w:eastAsia="Times New Roman"/>
                <w:color w:val="002839"/>
                <w:sz w:val="18"/>
                <w:szCs w:val="18"/>
              </w:rPr>
              <w:t>,000</w:t>
            </w:r>
          </w:p>
        </w:tc>
      </w:tr>
      <w:tr w:rsidR="005B1670" w:rsidRPr="004505C2" w14:paraId="14B092A8" w14:textId="77777777" w:rsidTr="00873104">
        <w:trPr>
          <w:trHeight w:val="619"/>
        </w:trPr>
        <w:tc>
          <w:tcPr>
            <w:tcW w:w="1755" w:type="pct"/>
            <w:tcBorders>
              <w:top w:val="nil"/>
              <w:left w:val="single" w:sz="4" w:space="0" w:color="BFBFBF"/>
              <w:bottom w:val="single" w:sz="4" w:space="0" w:color="BFBFBF"/>
              <w:right w:val="single" w:sz="4" w:space="0" w:color="BFBFBF"/>
            </w:tcBorders>
            <w:shd w:val="clear" w:color="auto" w:fill="auto"/>
            <w:vAlign w:val="center"/>
          </w:tcPr>
          <w:p w14:paraId="375358BE" w14:textId="3B3FF057" w:rsidR="005B1670" w:rsidRPr="004F0263" w:rsidRDefault="005B1670" w:rsidP="00B92550">
            <w:pPr>
              <w:spacing w:before="120" w:after="120"/>
              <w:rPr>
                <w:rFonts w:eastAsia="Times New Roman"/>
                <w:color w:val="002839"/>
                <w:sz w:val="18"/>
                <w:szCs w:val="18"/>
              </w:rPr>
            </w:pPr>
            <w:r w:rsidRPr="004F0263">
              <w:rPr>
                <w:rFonts w:eastAsia="Times New Roman"/>
                <w:color w:val="002839"/>
                <w:sz w:val="18"/>
                <w:szCs w:val="18"/>
              </w:rPr>
              <w:t xml:space="preserve">Guide </w:t>
            </w:r>
            <w:r w:rsidR="00927C24">
              <w:rPr>
                <w:rFonts w:eastAsia="Times New Roman"/>
                <w:color w:val="002839"/>
                <w:sz w:val="18"/>
                <w:szCs w:val="18"/>
              </w:rPr>
              <w:t xml:space="preserve">on Key Success Factors </w:t>
            </w:r>
            <w:r w:rsidRPr="004F0263">
              <w:rPr>
                <w:rFonts w:eastAsia="Times New Roman"/>
                <w:color w:val="002839"/>
                <w:sz w:val="18"/>
                <w:szCs w:val="18"/>
              </w:rPr>
              <w:t>for Developing and Implementing NIPS</w:t>
            </w:r>
          </w:p>
        </w:tc>
        <w:tc>
          <w:tcPr>
            <w:tcW w:w="1341" w:type="pct"/>
            <w:tcBorders>
              <w:top w:val="nil"/>
              <w:left w:val="nil"/>
              <w:bottom w:val="single" w:sz="4" w:space="0" w:color="BFBFBF"/>
              <w:right w:val="single" w:sz="4" w:space="0" w:color="BFBFBF"/>
            </w:tcBorders>
            <w:shd w:val="clear" w:color="auto" w:fill="auto"/>
            <w:noWrap/>
            <w:vAlign w:val="bottom"/>
          </w:tcPr>
          <w:p w14:paraId="13805402" w14:textId="77777777" w:rsidR="005B1670" w:rsidRDefault="005B1670" w:rsidP="00B92550">
            <w:pPr>
              <w:spacing w:before="120" w:after="120"/>
              <w:jc w:val="right"/>
              <w:rPr>
                <w:rFonts w:eastAsia="Times New Roman"/>
                <w:color w:val="000000"/>
                <w:sz w:val="18"/>
                <w:szCs w:val="18"/>
              </w:rPr>
            </w:pPr>
            <w:r w:rsidRPr="004505C2">
              <w:rPr>
                <w:rFonts w:eastAsia="Times New Roman"/>
                <w:color w:val="000000"/>
                <w:sz w:val="18"/>
                <w:szCs w:val="18"/>
              </w:rPr>
              <w:t> </w:t>
            </w:r>
            <w:r w:rsidRPr="00F80499">
              <w:rPr>
                <w:rFonts w:ascii="Arial Narrow" w:eastAsia="Times New Roman" w:hAnsi="Arial Narrow"/>
                <w:color w:val="002839"/>
                <w:sz w:val="20"/>
              </w:rPr>
              <w:t>-</w:t>
            </w:r>
          </w:p>
        </w:tc>
        <w:tc>
          <w:tcPr>
            <w:tcW w:w="1259" w:type="pct"/>
            <w:tcBorders>
              <w:top w:val="nil"/>
              <w:left w:val="nil"/>
              <w:bottom w:val="single" w:sz="4" w:space="0" w:color="BFBFBF"/>
              <w:right w:val="single" w:sz="4" w:space="0" w:color="BFBFBF"/>
            </w:tcBorders>
            <w:shd w:val="clear" w:color="auto" w:fill="auto"/>
            <w:noWrap/>
            <w:vAlign w:val="bottom"/>
          </w:tcPr>
          <w:p w14:paraId="3D23822E" w14:textId="77777777" w:rsidR="005B1670" w:rsidRDefault="005B1670" w:rsidP="00B92550">
            <w:pPr>
              <w:spacing w:before="120" w:after="120"/>
              <w:jc w:val="right"/>
              <w:rPr>
                <w:rFonts w:eastAsia="Times New Roman"/>
                <w:color w:val="000000"/>
                <w:sz w:val="18"/>
                <w:szCs w:val="18"/>
              </w:rPr>
            </w:pPr>
            <w:r>
              <w:rPr>
                <w:rFonts w:eastAsia="Times New Roman"/>
                <w:color w:val="000000"/>
                <w:sz w:val="18"/>
                <w:szCs w:val="18"/>
              </w:rPr>
              <w:t>4</w:t>
            </w:r>
            <w:r w:rsidRPr="004505C2">
              <w:rPr>
                <w:rFonts w:eastAsia="Times New Roman"/>
                <w:color w:val="000000"/>
                <w:sz w:val="18"/>
                <w:szCs w:val="18"/>
              </w:rPr>
              <w:t>0,000</w:t>
            </w:r>
          </w:p>
        </w:tc>
        <w:tc>
          <w:tcPr>
            <w:tcW w:w="645" w:type="pct"/>
            <w:tcBorders>
              <w:top w:val="nil"/>
              <w:left w:val="nil"/>
              <w:bottom w:val="single" w:sz="4" w:space="0" w:color="BFBFBF"/>
              <w:right w:val="single" w:sz="4" w:space="0" w:color="BFBFBF"/>
            </w:tcBorders>
            <w:shd w:val="clear" w:color="auto" w:fill="auto"/>
            <w:noWrap/>
            <w:vAlign w:val="bottom"/>
          </w:tcPr>
          <w:p w14:paraId="1645F40F" w14:textId="77777777" w:rsidR="005B1670" w:rsidRPr="004505C2" w:rsidRDefault="005B1670" w:rsidP="00B92550">
            <w:pPr>
              <w:spacing w:before="120" w:after="120"/>
              <w:jc w:val="right"/>
              <w:rPr>
                <w:rFonts w:eastAsia="Times New Roman"/>
                <w:color w:val="002839"/>
                <w:sz w:val="18"/>
                <w:szCs w:val="18"/>
              </w:rPr>
            </w:pPr>
            <w:r>
              <w:rPr>
                <w:rFonts w:eastAsia="Times New Roman"/>
                <w:color w:val="002839"/>
                <w:sz w:val="18"/>
                <w:szCs w:val="18"/>
              </w:rPr>
              <w:t>40</w:t>
            </w:r>
            <w:r w:rsidRPr="004505C2">
              <w:rPr>
                <w:rFonts w:eastAsia="Times New Roman"/>
                <w:color w:val="002839"/>
                <w:sz w:val="18"/>
                <w:szCs w:val="18"/>
              </w:rPr>
              <w:t>,000</w:t>
            </w:r>
          </w:p>
        </w:tc>
      </w:tr>
      <w:tr w:rsidR="005B1670" w:rsidRPr="004505C2" w14:paraId="56FED4E5" w14:textId="77777777" w:rsidTr="00873104">
        <w:trPr>
          <w:trHeight w:val="619"/>
        </w:trPr>
        <w:tc>
          <w:tcPr>
            <w:tcW w:w="1755" w:type="pct"/>
            <w:tcBorders>
              <w:top w:val="nil"/>
              <w:left w:val="single" w:sz="4" w:space="0" w:color="BFBFBF"/>
              <w:bottom w:val="single" w:sz="4" w:space="0" w:color="BFBFBF"/>
              <w:right w:val="single" w:sz="4" w:space="0" w:color="BFBFBF"/>
            </w:tcBorders>
            <w:shd w:val="clear" w:color="auto" w:fill="auto"/>
            <w:vAlign w:val="center"/>
            <w:hideMark/>
          </w:tcPr>
          <w:p w14:paraId="54F6FB24" w14:textId="77777777" w:rsidR="005B1670" w:rsidRPr="004505C2" w:rsidRDefault="005B1670" w:rsidP="00B92550">
            <w:pPr>
              <w:spacing w:before="120" w:after="120"/>
              <w:rPr>
                <w:rFonts w:eastAsia="Times New Roman"/>
                <w:color w:val="002839"/>
                <w:sz w:val="18"/>
                <w:szCs w:val="18"/>
              </w:rPr>
            </w:pPr>
            <w:r w:rsidRPr="004505C2">
              <w:rPr>
                <w:rFonts w:eastAsia="Times New Roman"/>
                <w:color w:val="002839"/>
                <w:sz w:val="18"/>
                <w:szCs w:val="18"/>
              </w:rPr>
              <w:t xml:space="preserve">Project evaluation </w:t>
            </w:r>
          </w:p>
        </w:tc>
        <w:tc>
          <w:tcPr>
            <w:tcW w:w="1341" w:type="pct"/>
            <w:tcBorders>
              <w:top w:val="nil"/>
              <w:left w:val="nil"/>
              <w:bottom w:val="single" w:sz="4" w:space="0" w:color="BFBFBF"/>
              <w:right w:val="single" w:sz="4" w:space="0" w:color="BFBFBF"/>
            </w:tcBorders>
            <w:shd w:val="clear" w:color="auto" w:fill="auto"/>
            <w:noWrap/>
            <w:vAlign w:val="bottom"/>
            <w:hideMark/>
          </w:tcPr>
          <w:p w14:paraId="220D7231" w14:textId="77777777" w:rsidR="005B1670" w:rsidRPr="004505C2" w:rsidRDefault="005B1670" w:rsidP="00B92550">
            <w:pPr>
              <w:spacing w:before="120" w:after="120"/>
              <w:jc w:val="right"/>
              <w:rPr>
                <w:rFonts w:eastAsia="Times New Roman"/>
                <w:color w:val="000000"/>
                <w:sz w:val="18"/>
                <w:szCs w:val="18"/>
              </w:rPr>
            </w:pPr>
            <w:r w:rsidRPr="004505C2">
              <w:rPr>
                <w:rFonts w:eastAsia="Times New Roman"/>
                <w:color w:val="000000"/>
                <w:sz w:val="18"/>
                <w:szCs w:val="18"/>
              </w:rPr>
              <w:t> </w:t>
            </w:r>
            <w:r w:rsidRPr="00F80499">
              <w:rPr>
                <w:rFonts w:ascii="Arial Narrow" w:eastAsia="Times New Roman" w:hAnsi="Arial Narrow"/>
                <w:color w:val="002839"/>
                <w:sz w:val="20"/>
              </w:rPr>
              <w:t>-</w:t>
            </w:r>
          </w:p>
        </w:tc>
        <w:tc>
          <w:tcPr>
            <w:tcW w:w="1259" w:type="pct"/>
            <w:tcBorders>
              <w:top w:val="nil"/>
              <w:left w:val="nil"/>
              <w:bottom w:val="single" w:sz="4" w:space="0" w:color="BFBFBF"/>
              <w:right w:val="single" w:sz="4" w:space="0" w:color="BFBFBF"/>
            </w:tcBorders>
            <w:shd w:val="clear" w:color="auto" w:fill="auto"/>
            <w:noWrap/>
            <w:vAlign w:val="bottom"/>
            <w:hideMark/>
          </w:tcPr>
          <w:p w14:paraId="78E27AAB" w14:textId="77777777" w:rsidR="005B1670" w:rsidRPr="004505C2" w:rsidRDefault="005B1670" w:rsidP="00B92550">
            <w:pPr>
              <w:spacing w:before="120" w:after="120"/>
              <w:jc w:val="right"/>
              <w:rPr>
                <w:rFonts w:eastAsia="Times New Roman"/>
                <w:color w:val="000000"/>
                <w:sz w:val="18"/>
                <w:szCs w:val="18"/>
              </w:rPr>
            </w:pPr>
            <w:r w:rsidRPr="004505C2">
              <w:rPr>
                <w:rFonts w:eastAsia="Times New Roman"/>
                <w:color w:val="000000"/>
                <w:sz w:val="18"/>
                <w:szCs w:val="18"/>
              </w:rPr>
              <w:t xml:space="preserve">15,000 </w:t>
            </w:r>
          </w:p>
        </w:tc>
        <w:tc>
          <w:tcPr>
            <w:tcW w:w="645" w:type="pct"/>
            <w:tcBorders>
              <w:top w:val="nil"/>
              <w:left w:val="nil"/>
              <w:bottom w:val="single" w:sz="4" w:space="0" w:color="BFBFBF"/>
              <w:right w:val="single" w:sz="4" w:space="0" w:color="BFBFBF"/>
            </w:tcBorders>
            <w:shd w:val="clear" w:color="auto" w:fill="auto"/>
            <w:noWrap/>
            <w:vAlign w:val="bottom"/>
            <w:hideMark/>
          </w:tcPr>
          <w:p w14:paraId="2388ED28" w14:textId="77777777" w:rsidR="005B1670" w:rsidRPr="004505C2" w:rsidRDefault="005B1670" w:rsidP="00B92550">
            <w:pPr>
              <w:spacing w:before="120" w:after="120"/>
              <w:jc w:val="right"/>
              <w:rPr>
                <w:rFonts w:eastAsia="Times New Roman"/>
                <w:color w:val="002839"/>
                <w:sz w:val="18"/>
                <w:szCs w:val="18"/>
              </w:rPr>
            </w:pPr>
            <w:r w:rsidRPr="004505C2">
              <w:rPr>
                <w:rFonts w:eastAsia="Times New Roman"/>
                <w:color w:val="002839"/>
                <w:sz w:val="18"/>
                <w:szCs w:val="18"/>
              </w:rPr>
              <w:t xml:space="preserve">15,000 </w:t>
            </w:r>
          </w:p>
        </w:tc>
      </w:tr>
      <w:tr w:rsidR="005B1670" w:rsidRPr="004505C2" w14:paraId="5669DD81" w14:textId="77777777" w:rsidTr="00873104">
        <w:trPr>
          <w:trHeight w:val="619"/>
        </w:trPr>
        <w:tc>
          <w:tcPr>
            <w:tcW w:w="1755" w:type="pct"/>
            <w:tcBorders>
              <w:top w:val="nil"/>
              <w:left w:val="single" w:sz="4" w:space="0" w:color="BFBFBF"/>
              <w:bottom w:val="single" w:sz="4" w:space="0" w:color="BFBFBF"/>
              <w:right w:val="single" w:sz="4" w:space="0" w:color="BFBFBF"/>
            </w:tcBorders>
            <w:shd w:val="clear" w:color="auto" w:fill="auto"/>
            <w:vAlign w:val="center"/>
            <w:hideMark/>
          </w:tcPr>
          <w:p w14:paraId="093A4C55" w14:textId="77777777" w:rsidR="005B1670" w:rsidRPr="004505C2" w:rsidRDefault="005B1670" w:rsidP="00B92550">
            <w:pPr>
              <w:spacing w:before="120" w:after="120"/>
              <w:rPr>
                <w:rFonts w:eastAsia="Times New Roman"/>
                <w:color w:val="002839"/>
                <w:sz w:val="18"/>
                <w:szCs w:val="18"/>
              </w:rPr>
            </w:pPr>
            <w:r w:rsidRPr="004505C2">
              <w:rPr>
                <w:rFonts w:eastAsia="Times New Roman"/>
                <w:color w:val="002839"/>
                <w:sz w:val="18"/>
                <w:szCs w:val="18"/>
              </w:rPr>
              <w:t xml:space="preserve">CDIP side event </w:t>
            </w:r>
          </w:p>
        </w:tc>
        <w:tc>
          <w:tcPr>
            <w:tcW w:w="1341" w:type="pct"/>
            <w:tcBorders>
              <w:top w:val="nil"/>
              <w:left w:val="nil"/>
              <w:bottom w:val="single" w:sz="4" w:space="0" w:color="BFBFBF"/>
              <w:right w:val="single" w:sz="4" w:space="0" w:color="BFBFBF"/>
            </w:tcBorders>
            <w:shd w:val="clear" w:color="auto" w:fill="auto"/>
            <w:noWrap/>
            <w:vAlign w:val="bottom"/>
            <w:hideMark/>
          </w:tcPr>
          <w:p w14:paraId="1C8F0504" w14:textId="77777777" w:rsidR="005B1670" w:rsidRPr="009F422F" w:rsidRDefault="005B1670" w:rsidP="009F422F">
            <w:pPr>
              <w:spacing w:before="120" w:after="120"/>
              <w:jc w:val="right"/>
              <w:rPr>
                <w:rFonts w:eastAsia="Times New Roman"/>
                <w:color w:val="002839"/>
                <w:sz w:val="18"/>
                <w:szCs w:val="18"/>
              </w:rPr>
            </w:pPr>
            <w:r w:rsidRPr="004505C2">
              <w:rPr>
                <w:rFonts w:eastAsia="Times New Roman"/>
                <w:color w:val="002839"/>
                <w:sz w:val="18"/>
                <w:szCs w:val="18"/>
              </w:rPr>
              <w:t> </w:t>
            </w:r>
            <w:r w:rsidRPr="004505C2">
              <w:rPr>
                <w:rFonts w:eastAsia="Times New Roman"/>
                <w:color w:val="000000"/>
                <w:sz w:val="18"/>
                <w:szCs w:val="18"/>
              </w:rPr>
              <w:t> </w:t>
            </w:r>
            <w:r w:rsidRPr="00F80499">
              <w:rPr>
                <w:rFonts w:ascii="Arial Narrow" w:eastAsia="Times New Roman" w:hAnsi="Arial Narrow"/>
                <w:color w:val="002839"/>
                <w:sz w:val="20"/>
              </w:rPr>
              <w:t>-</w:t>
            </w:r>
          </w:p>
        </w:tc>
        <w:tc>
          <w:tcPr>
            <w:tcW w:w="1259" w:type="pct"/>
            <w:tcBorders>
              <w:top w:val="nil"/>
              <w:left w:val="nil"/>
              <w:bottom w:val="single" w:sz="4" w:space="0" w:color="BFBFBF"/>
              <w:right w:val="single" w:sz="4" w:space="0" w:color="BFBFBF"/>
            </w:tcBorders>
            <w:shd w:val="clear" w:color="auto" w:fill="auto"/>
            <w:noWrap/>
            <w:vAlign w:val="bottom"/>
            <w:hideMark/>
          </w:tcPr>
          <w:p w14:paraId="35C01D68" w14:textId="77777777" w:rsidR="005B1670" w:rsidRPr="004505C2" w:rsidRDefault="005B1670" w:rsidP="00B92550">
            <w:pPr>
              <w:spacing w:before="120" w:after="120"/>
              <w:jc w:val="right"/>
              <w:rPr>
                <w:rFonts w:eastAsia="Times New Roman"/>
                <w:color w:val="000000"/>
                <w:sz w:val="18"/>
                <w:szCs w:val="18"/>
              </w:rPr>
            </w:pPr>
            <w:r>
              <w:rPr>
                <w:rFonts w:eastAsia="Times New Roman"/>
                <w:color w:val="000000"/>
                <w:sz w:val="18"/>
                <w:szCs w:val="18"/>
              </w:rPr>
              <w:t>1</w:t>
            </w:r>
            <w:r w:rsidRPr="004505C2">
              <w:rPr>
                <w:rFonts w:eastAsia="Times New Roman"/>
                <w:color w:val="000000"/>
                <w:sz w:val="18"/>
                <w:szCs w:val="18"/>
              </w:rPr>
              <w:t xml:space="preserve">5,000 </w:t>
            </w:r>
          </w:p>
        </w:tc>
        <w:tc>
          <w:tcPr>
            <w:tcW w:w="645" w:type="pct"/>
            <w:tcBorders>
              <w:top w:val="nil"/>
              <w:left w:val="nil"/>
              <w:bottom w:val="single" w:sz="4" w:space="0" w:color="BFBFBF"/>
              <w:right w:val="single" w:sz="4" w:space="0" w:color="BFBFBF"/>
            </w:tcBorders>
            <w:shd w:val="clear" w:color="auto" w:fill="auto"/>
            <w:noWrap/>
            <w:vAlign w:val="bottom"/>
            <w:hideMark/>
          </w:tcPr>
          <w:p w14:paraId="2634E60A" w14:textId="77777777" w:rsidR="005B1670" w:rsidRPr="004505C2" w:rsidRDefault="005B1670" w:rsidP="00B92550">
            <w:pPr>
              <w:spacing w:before="120" w:after="120"/>
              <w:jc w:val="right"/>
              <w:rPr>
                <w:rFonts w:eastAsia="Times New Roman"/>
                <w:color w:val="002839"/>
                <w:sz w:val="18"/>
                <w:szCs w:val="18"/>
              </w:rPr>
            </w:pPr>
            <w:r w:rsidRPr="004505C2">
              <w:rPr>
                <w:rFonts w:eastAsia="Times New Roman"/>
                <w:color w:val="002839"/>
                <w:sz w:val="18"/>
                <w:szCs w:val="18"/>
              </w:rPr>
              <w:t xml:space="preserve">15,000 </w:t>
            </w:r>
          </w:p>
        </w:tc>
      </w:tr>
      <w:tr w:rsidR="005B1670" w:rsidRPr="004505C2" w14:paraId="13815979" w14:textId="77777777" w:rsidTr="007E36E1">
        <w:trPr>
          <w:trHeight w:val="250"/>
        </w:trPr>
        <w:tc>
          <w:tcPr>
            <w:tcW w:w="1755" w:type="pct"/>
            <w:tcBorders>
              <w:top w:val="nil"/>
              <w:left w:val="single" w:sz="4" w:space="0" w:color="BFBFBF"/>
              <w:bottom w:val="single" w:sz="4" w:space="0" w:color="BFBFBF"/>
              <w:right w:val="single" w:sz="4" w:space="0" w:color="BFBFBF"/>
            </w:tcBorders>
            <w:shd w:val="clear" w:color="000000" w:fill="EDF0F3"/>
            <w:vAlign w:val="center"/>
            <w:hideMark/>
          </w:tcPr>
          <w:p w14:paraId="36638FD5" w14:textId="77777777" w:rsidR="005B1670" w:rsidRPr="004505C2" w:rsidRDefault="005B1670" w:rsidP="00B92550">
            <w:pPr>
              <w:spacing w:before="120" w:after="120"/>
              <w:rPr>
                <w:rFonts w:eastAsia="Times New Roman"/>
                <w:b/>
                <w:bCs/>
                <w:color w:val="002839"/>
                <w:sz w:val="18"/>
                <w:szCs w:val="18"/>
              </w:rPr>
            </w:pPr>
            <w:r w:rsidRPr="004505C2">
              <w:rPr>
                <w:rFonts w:eastAsia="Times New Roman"/>
                <w:b/>
                <w:bCs/>
                <w:color w:val="002839"/>
                <w:sz w:val="18"/>
                <w:szCs w:val="18"/>
              </w:rPr>
              <w:t xml:space="preserve">Total </w:t>
            </w:r>
          </w:p>
        </w:tc>
        <w:tc>
          <w:tcPr>
            <w:tcW w:w="1341" w:type="pct"/>
            <w:tcBorders>
              <w:top w:val="nil"/>
              <w:left w:val="nil"/>
              <w:bottom w:val="single" w:sz="4" w:space="0" w:color="BFBFBF"/>
              <w:right w:val="single" w:sz="4" w:space="0" w:color="BFBFBF"/>
            </w:tcBorders>
            <w:shd w:val="clear" w:color="000000" w:fill="EDF0F3"/>
            <w:noWrap/>
            <w:vAlign w:val="bottom"/>
            <w:hideMark/>
          </w:tcPr>
          <w:p w14:paraId="24919C6C" w14:textId="42056660" w:rsidR="005B1670" w:rsidRPr="004505C2" w:rsidRDefault="00992AC1" w:rsidP="00B92550">
            <w:pPr>
              <w:spacing w:before="120" w:after="120"/>
              <w:jc w:val="right"/>
              <w:rPr>
                <w:rFonts w:eastAsia="Times New Roman"/>
                <w:b/>
                <w:bCs/>
                <w:color w:val="002839"/>
                <w:sz w:val="18"/>
                <w:szCs w:val="18"/>
              </w:rPr>
            </w:pPr>
            <w:r>
              <w:rPr>
                <w:rFonts w:eastAsia="Times New Roman"/>
                <w:b/>
                <w:bCs/>
                <w:color w:val="002839"/>
                <w:sz w:val="18"/>
                <w:szCs w:val="18"/>
              </w:rPr>
              <w:t>1</w:t>
            </w:r>
            <w:r w:rsidR="008F27AF">
              <w:rPr>
                <w:rFonts w:eastAsia="Times New Roman"/>
                <w:b/>
                <w:bCs/>
                <w:color w:val="002839"/>
                <w:sz w:val="18"/>
                <w:szCs w:val="18"/>
              </w:rPr>
              <w:t>45</w:t>
            </w:r>
            <w:r w:rsidR="005B1670" w:rsidRPr="004505C2">
              <w:rPr>
                <w:rFonts w:eastAsia="Times New Roman"/>
                <w:b/>
                <w:bCs/>
                <w:color w:val="002839"/>
                <w:sz w:val="18"/>
                <w:szCs w:val="18"/>
              </w:rPr>
              <w:t xml:space="preserve">,000 </w:t>
            </w:r>
          </w:p>
        </w:tc>
        <w:tc>
          <w:tcPr>
            <w:tcW w:w="1259" w:type="pct"/>
            <w:tcBorders>
              <w:top w:val="nil"/>
              <w:left w:val="nil"/>
              <w:bottom w:val="single" w:sz="4" w:space="0" w:color="BFBFBF"/>
              <w:right w:val="single" w:sz="4" w:space="0" w:color="BFBFBF"/>
            </w:tcBorders>
            <w:shd w:val="clear" w:color="000000" w:fill="EDF0F3"/>
            <w:noWrap/>
            <w:vAlign w:val="bottom"/>
            <w:hideMark/>
          </w:tcPr>
          <w:p w14:paraId="012A9E00" w14:textId="3DD43305" w:rsidR="005B1670" w:rsidRPr="004505C2" w:rsidRDefault="00D71656" w:rsidP="00B92550">
            <w:pPr>
              <w:spacing w:before="120" w:after="120"/>
              <w:jc w:val="right"/>
              <w:rPr>
                <w:rFonts w:eastAsia="Times New Roman"/>
                <w:b/>
                <w:bCs/>
                <w:color w:val="002839"/>
                <w:sz w:val="18"/>
                <w:szCs w:val="18"/>
              </w:rPr>
            </w:pPr>
            <w:r>
              <w:rPr>
                <w:rFonts w:eastAsia="Times New Roman"/>
                <w:b/>
                <w:bCs/>
                <w:color w:val="002839"/>
                <w:sz w:val="18"/>
                <w:szCs w:val="18"/>
              </w:rPr>
              <w:t>2</w:t>
            </w:r>
            <w:r w:rsidR="008F27AF">
              <w:rPr>
                <w:rFonts w:eastAsia="Times New Roman"/>
                <w:b/>
                <w:bCs/>
                <w:color w:val="002839"/>
                <w:sz w:val="18"/>
                <w:szCs w:val="18"/>
              </w:rPr>
              <w:t>10</w:t>
            </w:r>
            <w:r w:rsidR="005B1670" w:rsidRPr="004505C2">
              <w:rPr>
                <w:rFonts w:eastAsia="Times New Roman"/>
                <w:b/>
                <w:bCs/>
                <w:color w:val="002839"/>
                <w:sz w:val="18"/>
                <w:szCs w:val="18"/>
              </w:rPr>
              <w:t xml:space="preserve">,000 </w:t>
            </w:r>
          </w:p>
        </w:tc>
        <w:tc>
          <w:tcPr>
            <w:tcW w:w="645" w:type="pct"/>
            <w:tcBorders>
              <w:top w:val="nil"/>
              <w:left w:val="nil"/>
              <w:bottom w:val="single" w:sz="4" w:space="0" w:color="BFBFBF"/>
              <w:right w:val="single" w:sz="4" w:space="0" w:color="BFBFBF"/>
            </w:tcBorders>
            <w:shd w:val="clear" w:color="000000" w:fill="EDF0F3"/>
            <w:noWrap/>
            <w:vAlign w:val="bottom"/>
            <w:hideMark/>
          </w:tcPr>
          <w:p w14:paraId="5AFC1368" w14:textId="18E1B825" w:rsidR="005B1670" w:rsidRPr="004505C2" w:rsidRDefault="00BC02B7" w:rsidP="00B92550">
            <w:pPr>
              <w:spacing w:before="120" w:after="120"/>
              <w:jc w:val="right"/>
              <w:rPr>
                <w:rFonts w:eastAsia="Times New Roman"/>
                <w:b/>
                <w:bCs/>
                <w:color w:val="002839"/>
                <w:sz w:val="18"/>
                <w:szCs w:val="18"/>
              </w:rPr>
            </w:pPr>
            <w:r>
              <w:rPr>
                <w:rFonts w:eastAsia="Times New Roman"/>
                <w:b/>
                <w:bCs/>
                <w:color w:val="002839"/>
                <w:sz w:val="18"/>
                <w:szCs w:val="18"/>
              </w:rPr>
              <w:t>3</w:t>
            </w:r>
            <w:r w:rsidR="00D71656">
              <w:rPr>
                <w:rFonts w:eastAsia="Times New Roman"/>
                <w:b/>
                <w:bCs/>
                <w:color w:val="002839"/>
                <w:sz w:val="18"/>
                <w:szCs w:val="18"/>
              </w:rPr>
              <w:t>55</w:t>
            </w:r>
            <w:r w:rsidR="005B1670" w:rsidRPr="004505C2">
              <w:rPr>
                <w:rFonts w:eastAsia="Times New Roman"/>
                <w:b/>
                <w:bCs/>
                <w:color w:val="002839"/>
                <w:sz w:val="18"/>
                <w:szCs w:val="18"/>
              </w:rPr>
              <w:t xml:space="preserve">,000 </w:t>
            </w:r>
          </w:p>
        </w:tc>
      </w:tr>
    </w:tbl>
    <w:p w14:paraId="645229FB" w14:textId="77777777" w:rsidR="005B1670" w:rsidRPr="003D35DD" w:rsidRDefault="005B1670" w:rsidP="00AA21FF">
      <w:pPr>
        <w:rPr>
          <w:rFonts w:asciiTheme="minorBidi" w:hAnsiTheme="minorBidi" w:cstheme="minorBidi"/>
        </w:rPr>
      </w:pPr>
    </w:p>
    <w:p w14:paraId="3F2176C6" w14:textId="77777777" w:rsidR="005B1670" w:rsidRDefault="005B1670" w:rsidP="00AA21FF">
      <w:pPr>
        <w:rPr>
          <w:rFonts w:asciiTheme="minorBidi" w:hAnsiTheme="minorBidi" w:cstheme="minorBidi"/>
          <w:b/>
          <w:bCs/>
        </w:rPr>
      </w:pPr>
      <w:r>
        <w:rPr>
          <w:rFonts w:asciiTheme="minorBidi" w:hAnsiTheme="minorBidi" w:cstheme="minorBidi"/>
          <w:b/>
          <w:bCs/>
        </w:rPr>
        <w:br w:type="page"/>
      </w:r>
    </w:p>
    <w:p w14:paraId="01D655B0" w14:textId="77777777" w:rsidR="005B1670" w:rsidRPr="00BA5D5F" w:rsidRDefault="005B1670" w:rsidP="005B1670">
      <w:pPr>
        <w:pStyle w:val="ListParagraph"/>
        <w:numPr>
          <w:ilvl w:val="0"/>
          <w:numId w:val="26"/>
        </w:numPr>
        <w:spacing w:after="240"/>
        <w:ind w:left="360"/>
        <w:contextualSpacing w:val="0"/>
        <w:rPr>
          <w:rFonts w:ascii="Arial Body" w:hAnsi="Arial Body" w:cstheme="minorBidi"/>
          <w:b/>
          <w:bCs/>
        </w:rPr>
      </w:pPr>
      <w:r w:rsidRPr="00BA5D5F">
        <w:rPr>
          <w:rFonts w:ascii="Arial Body" w:hAnsi="Arial Body" w:cstheme="minorBidi"/>
          <w:b/>
          <w:bCs/>
        </w:rPr>
        <w:lastRenderedPageBreak/>
        <w:t>PROJECT BUDGET BY COST CATEGORY</w:t>
      </w:r>
    </w:p>
    <w:tbl>
      <w:tblPr>
        <w:tblW w:w="5000" w:type="pct"/>
        <w:tblLook w:val="04A0" w:firstRow="1" w:lastRow="0" w:firstColumn="1" w:lastColumn="0" w:noHBand="0" w:noVBand="1"/>
      </w:tblPr>
      <w:tblGrid>
        <w:gridCol w:w="2271"/>
        <w:gridCol w:w="1577"/>
        <w:gridCol w:w="1486"/>
        <w:gridCol w:w="1486"/>
        <w:gridCol w:w="1486"/>
        <w:gridCol w:w="1489"/>
        <w:gridCol w:w="1486"/>
        <w:gridCol w:w="1405"/>
        <w:gridCol w:w="1310"/>
      </w:tblGrid>
      <w:tr w:rsidR="005B1670" w:rsidRPr="00E6649A" w14:paraId="6A58D867" w14:textId="77777777" w:rsidTr="00945193">
        <w:trPr>
          <w:trHeight w:val="432"/>
        </w:trPr>
        <w:tc>
          <w:tcPr>
            <w:tcW w:w="811" w:type="pct"/>
            <w:tcBorders>
              <w:top w:val="single" w:sz="4" w:space="0" w:color="BFBFBF"/>
              <w:left w:val="single" w:sz="4" w:space="0" w:color="BFBFBF"/>
              <w:bottom w:val="nil"/>
              <w:right w:val="single" w:sz="4" w:space="0" w:color="A6A6A6"/>
            </w:tcBorders>
            <w:shd w:val="clear" w:color="000000" w:fill="C7CFD8"/>
            <w:noWrap/>
            <w:vAlign w:val="bottom"/>
            <w:hideMark/>
          </w:tcPr>
          <w:p w14:paraId="16A1E68E" w14:textId="77777777" w:rsidR="005B1670" w:rsidRPr="00E6649A" w:rsidRDefault="005B1670" w:rsidP="00AE0095">
            <w:pPr>
              <w:spacing w:before="120" w:after="120"/>
              <w:rPr>
                <w:rFonts w:eastAsia="Times New Roman"/>
                <w:i/>
                <w:iCs/>
                <w:color w:val="002839"/>
                <w:sz w:val="18"/>
                <w:szCs w:val="18"/>
              </w:rPr>
            </w:pPr>
            <w:r w:rsidRPr="00E6649A">
              <w:rPr>
                <w:rFonts w:eastAsia="Times New Roman"/>
                <w:i/>
                <w:iCs/>
                <w:color w:val="002839"/>
                <w:sz w:val="18"/>
                <w:szCs w:val="18"/>
              </w:rPr>
              <w:t>(in Swiss francs)</w:t>
            </w:r>
          </w:p>
        </w:tc>
        <w:tc>
          <w:tcPr>
            <w:tcW w:w="1094"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5C16901B" w14:textId="77777777" w:rsidR="005B1670" w:rsidRPr="00E6649A" w:rsidRDefault="005B1670" w:rsidP="00AE0095">
            <w:pPr>
              <w:spacing w:before="120" w:after="120"/>
              <w:jc w:val="center"/>
              <w:rPr>
                <w:rFonts w:eastAsia="Times New Roman"/>
                <w:b/>
                <w:bCs/>
                <w:color w:val="002839"/>
                <w:sz w:val="18"/>
                <w:szCs w:val="18"/>
              </w:rPr>
            </w:pPr>
            <w:r w:rsidRPr="00E6649A">
              <w:rPr>
                <w:rFonts w:eastAsia="Times New Roman"/>
                <w:b/>
                <w:bCs/>
                <w:color w:val="002839"/>
                <w:sz w:val="18"/>
                <w:szCs w:val="18"/>
              </w:rPr>
              <w:t xml:space="preserve">Travel, Training and Grants </w:t>
            </w:r>
          </w:p>
        </w:tc>
        <w:tc>
          <w:tcPr>
            <w:tcW w:w="2627" w:type="pct"/>
            <w:gridSpan w:val="5"/>
            <w:tcBorders>
              <w:top w:val="single" w:sz="4" w:space="0" w:color="BFBFBF"/>
              <w:left w:val="nil"/>
              <w:bottom w:val="single" w:sz="4" w:space="0" w:color="A6A6A6"/>
              <w:right w:val="single" w:sz="4" w:space="0" w:color="A6A6A6"/>
            </w:tcBorders>
            <w:shd w:val="clear" w:color="000000" w:fill="C7CFD8"/>
            <w:vAlign w:val="center"/>
            <w:hideMark/>
          </w:tcPr>
          <w:p w14:paraId="68A34754" w14:textId="77777777" w:rsidR="005B1670" w:rsidRPr="00E6649A" w:rsidRDefault="005B1670" w:rsidP="00AE0095">
            <w:pPr>
              <w:spacing w:before="120" w:after="120"/>
              <w:jc w:val="center"/>
              <w:rPr>
                <w:rFonts w:eastAsia="Times New Roman"/>
                <w:b/>
                <w:bCs/>
                <w:color w:val="002839"/>
                <w:sz w:val="18"/>
                <w:szCs w:val="18"/>
              </w:rPr>
            </w:pPr>
            <w:r w:rsidRPr="00E6649A">
              <w:rPr>
                <w:rFonts w:eastAsia="Times New Roman"/>
                <w:b/>
                <w:bCs/>
                <w:color w:val="002839"/>
                <w:sz w:val="18"/>
                <w:szCs w:val="18"/>
              </w:rPr>
              <w:t>Contractual Services</w:t>
            </w:r>
          </w:p>
        </w:tc>
        <w:tc>
          <w:tcPr>
            <w:tcW w:w="468" w:type="pct"/>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5AF45474" w14:textId="77777777" w:rsidR="005B1670" w:rsidRPr="00E6649A" w:rsidRDefault="005B1670" w:rsidP="00AE0095">
            <w:pPr>
              <w:spacing w:before="120" w:after="120"/>
              <w:jc w:val="center"/>
              <w:rPr>
                <w:rFonts w:eastAsia="Times New Roman"/>
                <w:b/>
                <w:bCs/>
                <w:color w:val="002839"/>
                <w:sz w:val="18"/>
                <w:szCs w:val="18"/>
              </w:rPr>
            </w:pPr>
            <w:r w:rsidRPr="00E6649A">
              <w:rPr>
                <w:rFonts w:eastAsia="Times New Roman"/>
                <w:b/>
                <w:bCs/>
                <w:color w:val="002839"/>
                <w:sz w:val="18"/>
                <w:szCs w:val="18"/>
              </w:rPr>
              <w:t>Total</w:t>
            </w:r>
          </w:p>
        </w:tc>
      </w:tr>
      <w:tr w:rsidR="005B1670" w:rsidRPr="00E6649A" w14:paraId="1D3B51C6" w14:textId="77777777" w:rsidTr="00873104">
        <w:trPr>
          <w:trHeight w:val="432"/>
        </w:trPr>
        <w:tc>
          <w:tcPr>
            <w:tcW w:w="811" w:type="pct"/>
            <w:tcBorders>
              <w:top w:val="nil"/>
              <w:left w:val="single" w:sz="4" w:space="0" w:color="BFBFBF"/>
              <w:bottom w:val="single" w:sz="4" w:space="0" w:color="BFBFBF"/>
              <w:right w:val="single" w:sz="4" w:space="0" w:color="A6A6A6"/>
            </w:tcBorders>
            <w:shd w:val="clear" w:color="000000" w:fill="C7CFD8"/>
            <w:noWrap/>
            <w:vAlign w:val="bottom"/>
            <w:hideMark/>
          </w:tcPr>
          <w:p w14:paraId="6D72E7B1" w14:textId="77777777" w:rsidR="005B1670" w:rsidRPr="00E6649A" w:rsidRDefault="005B1670" w:rsidP="00AE0095">
            <w:pPr>
              <w:spacing w:before="120" w:after="120"/>
              <w:rPr>
                <w:rFonts w:eastAsia="Times New Roman"/>
                <w:b/>
                <w:bCs/>
                <w:color w:val="002839"/>
                <w:sz w:val="18"/>
                <w:szCs w:val="18"/>
              </w:rPr>
            </w:pPr>
            <w:r w:rsidRPr="00E6649A">
              <w:rPr>
                <w:rFonts w:eastAsia="Times New Roman"/>
                <w:b/>
                <w:bCs/>
                <w:color w:val="002839"/>
                <w:sz w:val="18"/>
                <w:szCs w:val="18"/>
              </w:rPr>
              <w:t>Activities</w:t>
            </w:r>
          </w:p>
        </w:tc>
        <w:tc>
          <w:tcPr>
            <w:tcW w:w="563" w:type="pct"/>
            <w:tcBorders>
              <w:top w:val="nil"/>
              <w:left w:val="nil"/>
              <w:bottom w:val="single" w:sz="4" w:space="0" w:color="BFBFBF"/>
              <w:right w:val="single" w:sz="4" w:space="0" w:color="A6A6A6"/>
            </w:tcBorders>
            <w:shd w:val="clear" w:color="000000" w:fill="C7CFD8"/>
            <w:vAlign w:val="center"/>
            <w:hideMark/>
          </w:tcPr>
          <w:p w14:paraId="6C2F704D" w14:textId="77777777" w:rsidR="005B1670" w:rsidRPr="00E6649A" w:rsidRDefault="005B1670" w:rsidP="00AE0095">
            <w:pPr>
              <w:spacing w:before="120" w:after="120"/>
              <w:jc w:val="center"/>
              <w:rPr>
                <w:rFonts w:eastAsia="Times New Roman"/>
                <w:b/>
                <w:bCs/>
                <w:color w:val="002839"/>
                <w:sz w:val="18"/>
                <w:szCs w:val="18"/>
              </w:rPr>
            </w:pPr>
            <w:r w:rsidRPr="00E6649A">
              <w:rPr>
                <w:rFonts w:eastAsia="Times New Roman"/>
                <w:b/>
                <w:bCs/>
                <w:color w:val="002839"/>
                <w:sz w:val="18"/>
                <w:szCs w:val="18"/>
              </w:rPr>
              <w:t>Staff Missions</w:t>
            </w:r>
          </w:p>
        </w:tc>
        <w:tc>
          <w:tcPr>
            <w:tcW w:w="531" w:type="pct"/>
            <w:tcBorders>
              <w:top w:val="nil"/>
              <w:left w:val="nil"/>
              <w:bottom w:val="single" w:sz="4" w:space="0" w:color="BFBFBF"/>
              <w:right w:val="single" w:sz="4" w:space="0" w:color="A6A6A6"/>
            </w:tcBorders>
            <w:shd w:val="clear" w:color="000000" w:fill="C7CFD8"/>
            <w:vAlign w:val="center"/>
            <w:hideMark/>
          </w:tcPr>
          <w:p w14:paraId="72F435AD" w14:textId="77777777" w:rsidR="005B1670" w:rsidRPr="00E6649A" w:rsidRDefault="005B1670" w:rsidP="00AE0095">
            <w:pPr>
              <w:spacing w:before="120" w:after="120"/>
              <w:jc w:val="center"/>
              <w:rPr>
                <w:rFonts w:eastAsia="Times New Roman"/>
                <w:b/>
                <w:bCs/>
                <w:color w:val="002839"/>
                <w:sz w:val="18"/>
                <w:szCs w:val="18"/>
              </w:rPr>
            </w:pPr>
            <w:r w:rsidRPr="00E6649A">
              <w:rPr>
                <w:rFonts w:eastAsia="Times New Roman"/>
                <w:b/>
                <w:bCs/>
                <w:color w:val="002839"/>
                <w:sz w:val="18"/>
                <w:szCs w:val="18"/>
              </w:rPr>
              <w:t>Third-party Travel</w:t>
            </w:r>
          </w:p>
        </w:tc>
        <w:tc>
          <w:tcPr>
            <w:tcW w:w="531" w:type="pct"/>
            <w:tcBorders>
              <w:top w:val="nil"/>
              <w:left w:val="nil"/>
              <w:bottom w:val="single" w:sz="4" w:space="0" w:color="BFBFBF"/>
              <w:right w:val="single" w:sz="4" w:space="0" w:color="A6A6A6"/>
            </w:tcBorders>
            <w:shd w:val="clear" w:color="000000" w:fill="C7CFD8"/>
            <w:noWrap/>
            <w:vAlign w:val="center"/>
            <w:hideMark/>
          </w:tcPr>
          <w:p w14:paraId="1DBC29DB" w14:textId="77777777" w:rsidR="005B1670" w:rsidRPr="00E6649A" w:rsidRDefault="005B1670" w:rsidP="00AE0095">
            <w:pPr>
              <w:spacing w:before="120" w:after="120"/>
              <w:jc w:val="center"/>
              <w:rPr>
                <w:rFonts w:eastAsia="Times New Roman"/>
                <w:b/>
                <w:bCs/>
                <w:color w:val="002839"/>
                <w:sz w:val="18"/>
                <w:szCs w:val="18"/>
              </w:rPr>
            </w:pPr>
            <w:r w:rsidRPr="00E6649A">
              <w:rPr>
                <w:rFonts w:eastAsia="Times New Roman"/>
                <w:b/>
                <w:bCs/>
                <w:color w:val="002839"/>
                <w:sz w:val="18"/>
                <w:szCs w:val="18"/>
              </w:rPr>
              <w:t>Conferences</w:t>
            </w:r>
          </w:p>
        </w:tc>
        <w:tc>
          <w:tcPr>
            <w:tcW w:w="531" w:type="pct"/>
            <w:tcBorders>
              <w:top w:val="nil"/>
              <w:left w:val="nil"/>
              <w:bottom w:val="single" w:sz="4" w:space="0" w:color="BFBFBF"/>
              <w:right w:val="single" w:sz="4" w:space="0" w:color="A6A6A6"/>
            </w:tcBorders>
            <w:shd w:val="clear" w:color="000000" w:fill="C7CFD8"/>
            <w:noWrap/>
            <w:vAlign w:val="center"/>
            <w:hideMark/>
          </w:tcPr>
          <w:p w14:paraId="569E81B6" w14:textId="77777777" w:rsidR="005B1670" w:rsidRPr="00E6649A" w:rsidRDefault="005B1670" w:rsidP="00AE0095">
            <w:pPr>
              <w:spacing w:before="120" w:after="120"/>
              <w:jc w:val="center"/>
              <w:rPr>
                <w:rFonts w:eastAsia="Times New Roman"/>
                <w:b/>
                <w:bCs/>
                <w:color w:val="002839"/>
                <w:sz w:val="18"/>
                <w:szCs w:val="18"/>
              </w:rPr>
            </w:pPr>
            <w:r w:rsidRPr="00E6649A">
              <w:rPr>
                <w:rFonts w:eastAsia="Times New Roman"/>
                <w:b/>
                <w:bCs/>
                <w:color w:val="002839"/>
                <w:sz w:val="18"/>
                <w:szCs w:val="18"/>
              </w:rPr>
              <w:t>Publishing</w:t>
            </w:r>
          </w:p>
        </w:tc>
        <w:tc>
          <w:tcPr>
            <w:tcW w:w="532" w:type="pct"/>
            <w:tcBorders>
              <w:top w:val="nil"/>
              <w:left w:val="nil"/>
              <w:bottom w:val="single" w:sz="4" w:space="0" w:color="BFBFBF"/>
              <w:right w:val="single" w:sz="4" w:space="0" w:color="A6A6A6"/>
            </w:tcBorders>
            <w:shd w:val="clear" w:color="000000" w:fill="C7CFD8"/>
            <w:vAlign w:val="center"/>
            <w:hideMark/>
          </w:tcPr>
          <w:p w14:paraId="19E30414" w14:textId="77777777" w:rsidR="005B1670" w:rsidRPr="00E6649A" w:rsidRDefault="005B1670" w:rsidP="00AE0095">
            <w:pPr>
              <w:spacing w:before="120" w:after="120"/>
              <w:jc w:val="center"/>
              <w:rPr>
                <w:rFonts w:eastAsia="Times New Roman"/>
                <w:b/>
                <w:bCs/>
                <w:color w:val="002839"/>
                <w:sz w:val="18"/>
                <w:szCs w:val="18"/>
              </w:rPr>
            </w:pPr>
            <w:r w:rsidRPr="00E6649A">
              <w:rPr>
                <w:rFonts w:eastAsia="Times New Roman"/>
                <w:b/>
                <w:bCs/>
                <w:color w:val="002839"/>
                <w:sz w:val="18"/>
                <w:szCs w:val="18"/>
              </w:rPr>
              <w:t>Individual Contractual Services</w:t>
            </w:r>
          </w:p>
        </w:tc>
        <w:tc>
          <w:tcPr>
            <w:tcW w:w="531" w:type="pct"/>
            <w:tcBorders>
              <w:top w:val="nil"/>
              <w:left w:val="nil"/>
              <w:bottom w:val="single" w:sz="4" w:space="0" w:color="BFBFBF"/>
              <w:right w:val="single" w:sz="4" w:space="0" w:color="A6A6A6"/>
            </w:tcBorders>
            <w:shd w:val="clear" w:color="000000" w:fill="C7CFD8"/>
            <w:vAlign w:val="center"/>
            <w:hideMark/>
          </w:tcPr>
          <w:p w14:paraId="35202864" w14:textId="77777777" w:rsidR="005B1670" w:rsidRPr="00E6649A" w:rsidRDefault="005B1670" w:rsidP="00AE0095">
            <w:pPr>
              <w:spacing w:before="120" w:after="120"/>
              <w:jc w:val="center"/>
              <w:rPr>
                <w:rFonts w:eastAsia="Times New Roman"/>
                <w:b/>
                <w:bCs/>
                <w:color w:val="002839"/>
                <w:sz w:val="18"/>
                <w:szCs w:val="18"/>
              </w:rPr>
            </w:pPr>
            <w:r w:rsidRPr="00E6649A">
              <w:rPr>
                <w:rFonts w:eastAsia="Times New Roman"/>
                <w:b/>
                <w:bCs/>
                <w:color w:val="002839"/>
                <w:sz w:val="18"/>
                <w:szCs w:val="18"/>
              </w:rPr>
              <w:t>WIPO Fellowships</w:t>
            </w:r>
          </w:p>
        </w:tc>
        <w:tc>
          <w:tcPr>
            <w:tcW w:w="502" w:type="pct"/>
            <w:tcBorders>
              <w:top w:val="nil"/>
              <w:left w:val="nil"/>
              <w:bottom w:val="single" w:sz="4" w:space="0" w:color="BFBFBF"/>
              <w:right w:val="nil"/>
            </w:tcBorders>
            <w:shd w:val="clear" w:color="000000" w:fill="C7CFD8"/>
            <w:vAlign w:val="center"/>
            <w:hideMark/>
          </w:tcPr>
          <w:p w14:paraId="2DBA55DA" w14:textId="77777777" w:rsidR="005B1670" w:rsidRPr="00E6649A" w:rsidRDefault="005B1670" w:rsidP="00AE0095">
            <w:pPr>
              <w:spacing w:before="120" w:after="120"/>
              <w:jc w:val="center"/>
              <w:rPr>
                <w:rFonts w:eastAsia="Times New Roman"/>
                <w:b/>
                <w:bCs/>
                <w:color w:val="002839"/>
                <w:sz w:val="18"/>
                <w:szCs w:val="18"/>
              </w:rPr>
            </w:pPr>
            <w:r w:rsidRPr="00E6649A">
              <w:rPr>
                <w:rFonts w:eastAsia="Times New Roman"/>
                <w:b/>
                <w:bCs/>
                <w:color w:val="002839"/>
                <w:sz w:val="18"/>
                <w:szCs w:val="18"/>
              </w:rPr>
              <w:t>Other Contractual Services</w:t>
            </w:r>
          </w:p>
        </w:tc>
        <w:tc>
          <w:tcPr>
            <w:tcW w:w="468" w:type="pct"/>
            <w:vMerge/>
            <w:tcBorders>
              <w:top w:val="single" w:sz="4" w:space="0" w:color="BFBFBF"/>
              <w:left w:val="single" w:sz="4" w:space="0" w:color="A6A6A6"/>
              <w:bottom w:val="single" w:sz="4" w:space="0" w:color="BFBFBF"/>
              <w:right w:val="single" w:sz="4" w:space="0" w:color="BFBFBF"/>
            </w:tcBorders>
            <w:vAlign w:val="center"/>
            <w:hideMark/>
          </w:tcPr>
          <w:p w14:paraId="607C57A5" w14:textId="77777777" w:rsidR="005B1670" w:rsidRPr="00E6649A" w:rsidRDefault="005B1670" w:rsidP="00AE0095">
            <w:pPr>
              <w:spacing w:before="120" w:after="120"/>
              <w:rPr>
                <w:rFonts w:eastAsia="Times New Roman"/>
                <w:b/>
                <w:bCs/>
                <w:color w:val="002839"/>
                <w:sz w:val="18"/>
                <w:szCs w:val="18"/>
              </w:rPr>
            </w:pPr>
          </w:p>
        </w:tc>
      </w:tr>
      <w:tr w:rsidR="005B1670" w:rsidRPr="00AE0095" w14:paraId="43D170E4" w14:textId="77777777" w:rsidTr="00873104">
        <w:trPr>
          <w:trHeight w:val="432"/>
        </w:trPr>
        <w:tc>
          <w:tcPr>
            <w:tcW w:w="811" w:type="pct"/>
            <w:tcBorders>
              <w:top w:val="nil"/>
              <w:left w:val="single" w:sz="4" w:space="0" w:color="BFBFBF"/>
              <w:bottom w:val="single" w:sz="4" w:space="0" w:color="BFBFBF"/>
              <w:right w:val="single" w:sz="4" w:space="0" w:color="BFBFBF"/>
            </w:tcBorders>
            <w:shd w:val="clear" w:color="auto" w:fill="auto"/>
            <w:vAlign w:val="center"/>
            <w:hideMark/>
          </w:tcPr>
          <w:p w14:paraId="07BCE3F0" w14:textId="13F95FD6" w:rsidR="005B1670" w:rsidRPr="00AE0095" w:rsidRDefault="00086D16" w:rsidP="00873104">
            <w:pPr>
              <w:spacing w:before="120"/>
              <w:rPr>
                <w:rFonts w:eastAsia="Times New Roman"/>
                <w:color w:val="002839"/>
                <w:sz w:val="18"/>
                <w:szCs w:val="18"/>
              </w:rPr>
            </w:pPr>
            <w:r w:rsidRPr="00086D16">
              <w:rPr>
                <w:rFonts w:eastAsia="Times New Roman"/>
                <w:color w:val="002839"/>
                <w:sz w:val="18"/>
                <w:szCs w:val="18"/>
              </w:rPr>
              <w:t>Inclusion of official and publicly available NIPS in the WIPO Lex Database.</w:t>
            </w:r>
          </w:p>
        </w:tc>
        <w:tc>
          <w:tcPr>
            <w:tcW w:w="563" w:type="pct"/>
            <w:tcBorders>
              <w:top w:val="nil"/>
              <w:left w:val="nil"/>
              <w:bottom w:val="single" w:sz="4" w:space="0" w:color="BFBFBF"/>
              <w:right w:val="single" w:sz="4" w:space="0" w:color="BFBFBF"/>
            </w:tcBorders>
            <w:shd w:val="clear" w:color="auto" w:fill="auto"/>
            <w:noWrap/>
            <w:vAlign w:val="center"/>
            <w:hideMark/>
          </w:tcPr>
          <w:p w14:paraId="74811AD8" w14:textId="0DFFB9DC" w:rsidR="005B1670" w:rsidRPr="00AE0095" w:rsidRDefault="00617DE3" w:rsidP="00AE0095">
            <w:pPr>
              <w:spacing w:before="120" w:after="120"/>
              <w:jc w:val="right"/>
              <w:rPr>
                <w:rFonts w:eastAsia="Times New Roman"/>
                <w:color w:val="002839"/>
                <w:sz w:val="18"/>
                <w:szCs w:val="18"/>
              </w:rPr>
            </w:pPr>
            <w:r w:rsidRPr="00AE0095">
              <w:rPr>
                <w:rFonts w:eastAsia="Times New Roman"/>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17EFB433" w14:textId="230F76E8" w:rsidR="005B1670" w:rsidRPr="00AE0095" w:rsidRDefault="00617DE3" w:rsidP="00AE0095">
            <w:pPr>
              <w:spacing w:before="120" w:after="120"/>
              <w:jc w:val="right"/>
              <w:rPr>
                <w:rFonts w:eastAsia="Times New Roman"/>
                <w:color w:val="002839"/>
                <w:sz w:val="18"/>
                <w:szCs w:val="18"/>
              </w:rPr>
            </w:pPr>
            <w:r w:rsidRPr="00AE0095">
              <w:rPr>
                <w:rFonts w:eastAsia="Times New Roman"/>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61E0D960" w14:textId="4DA798D5"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0A001158"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32" w:type="pct"/>
            <w:tcBorders>
              <w:top w:val="nil"/>
              <w:left w:val="nil"/>
              <w:bottom w:val="single" w:sz="4" w:space="0" w:color="BFBFBF"/>
              <w:right w:val="single" w:sz="4" w:space="0" w:color="BFBFBF"/>
            </w:tcBorders>
            <w:shd w:val="clear" w:color="auto" w:fill="auto"/>
            <w:noWrap/>
            <w:vAlign w:val="center"/>
            <w:hideMark/>
          </w:tcPr>
          <w:p w14:paraId="3FA60BCD" w14:textId="14192DEE" w:rsidR="005B1670" w:rsidRPr="00AE0095" w:rsidRDefault="001D1171" w:rsidP="00AE0095">
            <w:pPr>
              <w:spacing w:before="120" w:after="120"/>
              <w:jc w:val="right"/>
              <w:rPr>
                <w:rFonts w:eastAsia="Times New Roman"/>
                <w:color w:val="002839"/>
                <w:sz w:val="18"/>
                <w:szCs w:val="18"/>
              </w:rPr>
            </w:pPr>
            <w:r>
              <w:rPr>
                <w:rFonts w:eastAsia="Malgun Gothic" w:hint="eastAsia"/>
                <w:color w:val="002839"/>
                <w:sz w:val="18"/>
                <w:szCs w:val="18"/>
                <w:lang w:eastAsia="ko-KR"/>
              </w:rPr>
              <w:t>3</w:t>
            </w:r>
            <w:r w:rsidR="00336852">
              <w:rPr>
                <w:rFonts w:eastAsia="Times New Roman"/>
                <w:color w:val="002839"/>
                <w:sz w:val="18"/>
                <w:szCs w:val="18"/>
              </w:rPr>
              <w:t>5</w:t>
            </w:r>
            <w:r w:rsidR="005B1670" w:rsidRPr="00AE0095">
              <w:rPr>
                <w:rFonts w:eastAsia="Times New Roman"/>
                <w:color w:val="002839"/>
                <w:sz w:val="18"/>
                <w:szCs w:val="18"/>
              </w:rPr>
              <w:t xml:space="preserve">,000 </w:t>
            </w:r>
          </w:p>
        </w:tc>
        <w:tc>
          <w:tcPr>
            <w:tcW w:w="531" w:type="pct"/>
            <w:tcBorders>
              <w:top w:val="nil"/>
              <w:left w:val="nil"/>
              <w:bottom w:val="single" w:sz="4" w:space="0" w:color="BFBFBF"/>
              <w:right w:val="single" w:sz="4" w:space="0" w:color="BFBFBF"/>
            </w:tcBorders>
            <w:shd w:val="clear" w:color="auto" w:fill="auto"/>
            <w:noWrap/>
            <w:vAlign w:val="center"/>
            <w:hideMark/>
          </w:tcPr>
          <w:p w14:paraId="601F7F1A"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02" w:type="pct"/>
            <w:tcBorders>
              <w:top w:val="nil"/>
              <w:left w:val="nil"/>
              <w:bottom w:val="single" w:sz="4" w:space="0" w:color="BFBFBF"/>
              <w:right w:val="single" w:sz="4" w:space="0" w:color="BFBFBF"/>
            </w:tcBorders>
            <w:shd w:val="clear" w:color="auto" w:fill="auto"/>
            <w:noWrap/>
            <w:vAlign w:val="center"/>
            <w:hideMark/>
          </w:tcPr>
          <w:p w14:paraId="335BFB29"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468" w:type="pct"/>
            <w:tcBorders>
              <w:top w:val="nil"/>
              <w:left w:val="nil"/>
              <w:bottom w:val="single" w:sz="4" w:space="0" w:color="BFBFBF"/>
              <w:right w:val="single" w:sz="4" w:space="0" w:color="BFBFBF"/>
            </w:tcBorders>
            <w:shd w:val="clear" w:color="auto" w:fill="auto"/>
            <w:noWrap/>
            <w:vAlign w:val="center"/>
            <w:hideMark/>
          </w:tcPr>
          <w:p w14:paraId="6ABF3141" w14:textId="02A7CDB5" w:rsidR="005B1670" w:rsidRPr="00AE0095" w:rsidRDefault="001D1171" w:rsidP="00AE0095">
            <w:pPr>
              <w:spacing w:before="120" w:after="120"/>
              <w:jc w:val="right"/>
              <w:rPr>
                <w:rFonts w:eastAsia="Times New Roman"/>
                <w:color w:val="002839"/>
                <w:sz w:val="18"/>
                <w:szCs w:val="18"/>
              </w:rPr>
            </w:pPr>
            <w:r>
              <w:rPr>
                <w:rFonts w:eastAsia="Malgun Gothic" w:hint="eastAsia"/>
                <w:color w:val="002839"/>
                <w:sz w:val="18"/>
                <w:szCs w:val="18"/>
                <w:lang w:eastAsia="ko-KR"/>
              </w:rPr>
              <w:t>3</w:t>
            </w:r>
            <w:r w:rsidR="00336852">
              <w:rPr>
                <w:rFonts w:eastAsia="Times New Roman"/>
                <w:color w:val="002839"/>
                <w:sz w:val="18"/>
                <w:szCs w:val="18"/>
              </w:rPr>
              <w:t>5</w:t>
            </w:r>
            <w:r w:rsidR="005B1670" w:rsidRPr="00AE0095">
              <w:rPr>
                <w:rFonts w:eastAsia="Times New Roman"/>
                <w:color w:val="002839"/>
                <w:sz w:val="18"/>
                <w:szCs w:val="18"/>
              </w:rPr>
              <w:t>,000</w:t>
            </w:r>
          </w:p>
        </w:tc>
      </w:tr>
      <w:tr w:rsidR="005B1670" w:rsidRPr="00AE0095" w14:paraId="6C0B686D" w14:textId="77777777" w:rsidTr="00873104">
        <w:trPr>
          <w:trHeight w:val="432"/>
        </w:trPr>
        <w:tc>
          <w:tcPr>
            <w:tcW w:w="811" w:type="pct"/>
            <w:tcBorders>
              <w:top w:val="nil"/>
              <w:left w:val="single" w:sz="4" w:space="0" w:color="BFBFBF"/>
              <w:bottom w:val="single" w:sz="4" w:space="0" w:color="BFBFBF"/>
              <w:right w:val="single" w:sz="4" w:space="0" w:color="BFBFBF"/>
            </w:tcBorders>
            <w:shd w:val="clear" w:color="auto" w:fill="auto"/>
            <w:vAlign w:val="center"/>
            <w:hideMark/>
          </w:tcPr>
          <w:p w14:paraId="54E4B258" w14:textId="4A987835" w:rsidR="005B1670" w:rsidRPr="00AE0095" w:rsidRDefault="005B1670" w:rsidP="00873104">
            <w:pPr>
              <w:spacing w:before="120"/>
              <w:rPr>
                <w:rFonts w:eastAsia="Times New Roman"/>
                <w:color w:val="002839"/>
                <w:sz w:val="18"/>
                <w:szCs w:val="18"/>
              </w:rPr>
            </w:pPr>
            <w:r w:rsidRPr="00AE0095">
              <w:rPr>
                <w:rFonts w:eastAsia="Times New Roman"/>
                <w:color w:val="002839"/>
                <w:sz w:val="18"/>
                <w:szCs w:val="18"/>
              </w:rPr>
              <w:t>Five case studies on the development</w:t>
            </w:r>
            <w:r w:rsidR="00505534">
              <w:rPr>
                <w:rFonts w:eastAsia="Times New Roman"/>
                <w:color w:val="002839"/>
                <w:sz w:val="18"/>
                <w:szCs w:val="18"/>
              </w:rPr>
              <w:t xml:space="preserve"> or implementation</w:t>
            </w:r>
            <w:r w:rsidRPr="00AE0095">
              <w:rPr>
                <w:rFonts w:eastAsia="Times New Roman"/>
                <w:color w:val="002839"/>
                <w:sz w:val="18"/>
                <w:szCs w:val="18"/>
              </w:rPr>
              <w:t xml:space="preserve"> of NIPS in selected Member States</w:t>
            </w:r>
          </w:p>
        </w:tc>
        <w:tc>
          <w:tcPr>
            <w:tcW w:w="563" w:type="pct"/>
            <w:tcBorders>
              <w:top w:val="nil"/>
              <w:left w:val="nil"/>
              <w:bottom w:val="single" w:sz="4" w:space="0" w:color="BFBFBF"/>
              <w:right w:val="single" w:sz="4" w:space="0" w:color="BFBFBF"/>
            </w:tcBorders>
            <w:shd w:val="clear" w:color="auto" w:fill="auto"/>
            <w:noWrap/>
            <w:vAlign w:val="center"/>
            <w:hideMark/>
          </w:tcPr>
          <w:p w14:paraId="649AB9CD"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1ED6D387"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327DA4A8"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192286DE"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32" w:type="pct"/>
            <w:tcBorders>
              <w:top w:val="nil"/>
              <w:left w:val="nil"/>
              <w:bottom w:val="single" w:sz="4" w:space="0" w:color="BFBFBF"/>
              <w:right w:val="single" w:sz="4" w:space="0" w:color="BFBFBF"/>
            </w:tcBorders>
            <w:shd w:val="clear" w:color="auto" w:fill="auto"/>
            <w:noWrap/>
            <w:vAlign w:val="center"/>
            <w:hideMark/>
          </w:tcPr>
          <w:p w14:paraId="5C9CB136"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xml:space="preserve">50,000 </w:t>
            </w:r>
          </w:p>
        </w:tc>
        <w:tc>
          <w:tcPr>
            <w:tcW w:w="531" w:type="pct"/>
            <w:tcBorders>
              <w:top w:val="nil"/>
              <w:left w:val="nil"/>
              <w:bottom w:val="single" w:sz="4" w:space="0" w:color="BFBFBF"/>
              <w:right w:val="single" w:sz="4" w:space="0" w:color="BFBFBF"/>
            </w:tcBorders>
            <w:shd w:val="clear" w:color="auto" w:fill="auto"/>
            <w:noWrap/>
            <w:vAlign w:val="center"/>
            <w:hideMark/>
          </w:tcPr>
          <w:p w14:paraId="02475829" w14:textId="29A77230"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w:t>
            </w:r>
          </w:p>
        </w:tc>
        <w:tc>
          <w:tcPr>
            <w:tcW w:w="502" w:type="pct"/>
            <w:tcBorders>
              <w:top w:val="nil"/>
              <w:left w:val="nil"/>
              <w:bottom w:val="single" w:sz="4" w:space="0" w:color="BFBFBF"/>
              <w:right w:val="single" w:sz="4" w:space="0" w:color="BFBFBF"/>
            </w:tcBorders>
            <w:shd w:val="clear" w:color="auto" w:fill="auto"/>
            <w:noWrap/>
            <w:vAlign w:val="center"/>
            <w:hideMark/>
          </w:tcPr>
          <w:p w14:paraId="060DD3D2"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w:t>
            </w:r>
          </w:p>
        </w:tc>
        <w:tc>
          <w:tcPr>
            <w:tcW w:w="468" w:type="pct"/>
            <w:tcBorders>
              <w:top w:val="nil"/>
              <w:left w:val="nil"/>
              <w:bottom w:val="single" w:sz="4" w:space="0" w:color="BFBFBF"/>
              <w:right w:val="single" w:sz="4" w:space="0" w:color="BFBFBF"/>
            </w:tcBorders>
            <w:shd w:val="clear" w:color="auto" w:fill="auto"/>
            <w:noWrap/>
            <w:vAlign w:val="center"/>
            <w:hideMark/>
          </w:tcPr>
          <w:p w14:paraId="5B83D83C" w14:textId="72B835B2"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50,000</w:t>
            </w:r>
          </w:p>
        </w:tc>
      </w:tr>
      <w:tr w:rsidR="005B1670" w:rsidRPr="00AE0095" w14:paraId="7D0ED0B7" w14:textId="77777777" w:rsidTr="00873104">
        <w:trPr>
          <w:trHeight w:val="432"/>
        </w:trPr>
        <w:tc>
          <w:tcPr>
            <w:tcW w:w="811" w:type="pct"/>
            <w:tcBorders>
              <w:top w:val="nil"/>
              <w:left w:val="single" w:sz="4" w:space="0" w:color="BFBFBF"/>
              <w:bottom w:val="single" w:sz="4" w:space="0" w:color="BFBFBF"/>
              <w:right w:val="single" w:sz="4" w:space="0" w:color="BFBFBF"/>
            </w:tcBorders>
            <w:shd w:val="clear" w:color="auto" w:fill="auto"/>
            <w:vAlign w:val="center"/>
            <w:hideMark/>
          </w:tcPr>
          <w:p w14:paraId="0CB20B12" w14:textId="77777777" w:rsidR="005B1670" w:rsidRPr="00AE0095" w:rsidRDefault="005B1670" w:rsidP="00873104">
            <w:pPr>
              <w:spacing w:before="120"/>
              <w:rPr>
                <w:rFonts w:eastAsia="Times New Roman"/>
                <w:color w:val="002839"/>
                <w:sz w:val="18"/>
                <w:szCs w:val="18"/>
              </w:rPr>
            </w:pPr>
            <w:r w:rsidRPr="00AE0095">
              <w:rPr>
                <w:rFonts w:eastAsia="Times New Roman"/>
                <w:color w:val="002839"/>
                <w:sz w:val="18"/>
                <w:szCs w:val="18"/>
              </w:rPr>
              <w:t>Literature review on the role of IP in the sectors/clusters relevant to NIPS</w:t>
            </w:r>
          </w:p>
        </w:tc>
        <w:tc>
          <w:tcPr>
            <w:tcW w:w="563" w:type="pct"/>
            <w:tcBorders>
              <w:top w:val="nil"/>
              <w:left w:val="nil"/>
              <w:bottom w:val="single" w:sz="4" w:space="0" w:color="BFBFBF"/>
              <w:right w:val="single" w:sz="4" w:space="0" w:color="BFBFBF"/>
            </w:tcBorders>
            <w:shd w:val="clear" w:color="auto" w:fill="auto"/>
            <w:noWrap/>
            <w:vAlign w:val="center"/>
            <w:hideMark/>
          </w:tcPr>
          <w:p w14:paraId="255F738E"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31" w:type="pct"/>
            <w:tcBorders>
              <w:top w:val="nil"/>
              <w:left w:val="nil"/>
              <w:bottom w:val="single" w:sz="4" w:space="0" w:color="BFBFBF"/>
              <w:right w:val="single" w:sz="4" w:space="0" w:color="BFBFBF"/>
            </w:tcBorders>
            <w:shd w:val="clear" w:color="auto" w:fill="auto"/>
            <w:noWrap/>
            <w:vAlign w:val="center"/>
            <w:hideMark/>
          </w:tcPr>
          <w:p w14:paraId="59E0C309" w14:textId="0429C2F0" w:rsidR="005B1670" w:rsidRPr="00AE0095" w:rsidRDefault="00617DE3" w:rsidP="00AE0095">
            <w:pPr>
              <w:spacing w:before="120" w:after="120"/>
              <w:jc w:val="right"/>
              <w:rPr>
                <w:rFonts w:eastAsia="Times New Roman"/>
                <w:color w:val="002839"/>
                <w:sz w:val="18"/>
                <w:szCs w:val="18"/>
              </w:rPr>
            </w:pPr>
            <w:r w:rsidRPr="00AE0095">
              <w:rPr>
                <w:rFonts w:eastAsia="Times New Roman"/>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1EA70FCE" w14:textId="022E84C1"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0A161C05"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32" w:type="pct"/>
            <w:tcBorders>
              <w:top w:val="nil"/>
              <w:left w:val="nil"/>
              <w:bottom w:val="single" w:sz="4" w:space="0" w:color="BFBFBF"/>
              <w:right w:val="single" w:sz="4" w:space="0" w:color="BFBFBF"/>
            </w:tcBorders>
            <w:shd w:val="clear" w:color="auto" w:fill="auto"/>
            <w:noWrap/>
            <w:vAlign w:val="center"/>
            <w:hideMark/>
          </w:tcPr>
          <w:p w14:paraId="0D3D988D" w14:textId="0D9ED3D8"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xml:space="preserve">20,000 </w:t>
            </w:r>
          </w:p>
        </w:tc>
        <w:tc>
          <w:tcPr>
            <w:tcW w:w="531" w:type="pct"/>
            <w:tcBorders>
              <w:top w:val="nil"/>
              <w:left w:val="nil"/>
              <w:bottom w:val="single" w:sz="4" w:space="0" w:color="BFBFBF"/>
              <w:right w:val="single" w:sz="4" w:space="0" w:color="BFBFBF"/>
            </w:tcBorders>
            <w:shd w:val="clear" w:color="auto" w:fill="auto"/>
            <w:noWrap/>
            <w:vAlign w:val="center"/>
            <w:hideMark/>
          </w:tcPr>
          <w:p w14:paraId="0F121D90"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02" w:type="pct"/>
            <w:tcBorders>
              <w:top w:val="nil"/>
              <w:left w:val="nil"/>
              <w:bottom w:val="single" w:sz="4" w:space="0" w:color="BFBFBF"/>
              <w:right w:val="single" w:sz="4" w:space="0" w:color="BFBFBF"/>
            </w:tcBorders>
            <w:shd w:val="clear" w:color="auto" w:fill="auto"/>
            <w:noWrap/>
            <w:vAlign w:val="center"/>
            <w:hideMark/>
          </w:tcPr>
          <w:p w14:paraId="4504C39A"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468" w:type="pct"/>
            <w:tcBorders>
              <w:top w:val="nil"/>
              <w:left w:val="nil"/>
              <w:bottom w:val="single" w:sz="4" w:space="0" w:color="BFBFBF"/>
              <w:right w:val="single" w:sz="4" w:space="0" w:color="BFBFBF"/>
            </w:tcBorders>
            <w:shd w:val="clear" w:color="auto" w:fill="auto"/>
            <w:noWrap/>
            <w:vAlign w:val="center"/>
            <w:hideMark/>
          </w:tcPr>
          <w:p w14:paraId="62D0BDD0" w14:textId="7624CEF3"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20,000</w:t>
            </w:r>
          </w:p>
        </w:tc>
      </w:tr>
      <w:tr w:rsidR="005B1670" w:rsidRPr="00AE0095" w14:paraId="6739D4E5" w14:textId="085B46D1" w:rsidTr="00873104">
        <w:trPr>
          <w:trHeight w:val="432"/>
        </w:trPr>
        <w:tc>
          <w:tcPr>
            <w:tcW w:w="811" w:type="pct"/>
            <w:tcBorders>
              <w:top w:val="nil"/>
              <w:left w:val="single" w:sz="4" w:space="0" w:color="BFBFBF"/>
              <w:bottom w:val="single" w:sz="4" w:space="0" w:color="BFBFBF"/>
              <w:right w:val="single" w:sz="4" w:space="0" w:color="BFBFBF"/>
            </w:tcBorders>
            <w:shd w:val="clear" w:color="auto" w:fill="auto"/>
            <w:vAlign w:val="center"/>
            <w:hideMark/>
          </w:tcPr>
          <w:p w14:paraId="3C69FBDC" w14:textId="6C7290F4" w:rsidR="005B1670" w:rsidRPr="00AE0095" w:rsidRDefault="004A3616" w:rsidP="00873104">
            <w:pPr>
              <w:spacing w:before="120"/>
              <w:rPr>
                <w:rFonts w:eastAsia="Times New Roman"/>
                <w:color w:val="002839"/>
                <w:sz w:val="18"/>
                <w:szCs w:val="18"/>
              </w:rPr>
            </w:pPr>
            <w:r w:rsidRPr="004A3616">
              <w:rPr>
                <w:rFonts w:eastAsia="Times New Roman"/>
                <w:color w:val="002839"/>
                <w:sz w:val="18"/>
                <w:szCs w:val="18"/>
              </w:rPr>
              <w:t xml:space="preserve">Toolkit for </w:t>
            </w:r>
            <w:r w:rsidR="00F15A80">
              <w:rPr>
                <w:rFonts w:eastAsia="Times New Roman"/>
                <w:color w:val="002839"/>
                <w:sz w:val="18"/>
                <w:szCs w:val="18"/>
              </w:rPr>
              <w:t xml:space="preserve">country-led evaluation </w:t>
            </w:r>
            <w:r w:rsidRPr="004A3616">
              <w:rPr>
                <w:rFonts w:eastAsia="Times New Roman"/>
                <w:color w:val="002839"/>
                <w:sz w:val="18"/>
                <w:szCs w:val="18"/>
              </w:rPr>
              <w:t>and/or monitoring of NIP</w:t>
            </w:r>
            <w:r w:rsidR="00F15A80">
              <w:rPr>
                <w:rFonts w:eastAsia="Times New Roman"/>
                <w:color w:val="002839"/>
                <w:sz w:val="18"/>
                <w:szCs w:val="18"/>
              </w:rPr>
              <w:t>S</w:t>
            </w:r>
          </w:p>
        </w:tc>
        <w:tc>
          <w:tcPr>
            <w:tcW w:w="563" w:type="pct"/>
            <w:tcBorders>
              <w:top w:val="nil"/>
              <w:left w:val="nil"/>
              <w:bottom w:val="single" w:sz="4" w:space="0" w:color="BFBFBF"/>
              <w:right w:val="single" w:sz="4" w:space="0" w:color="BFBFBF"/>
            </w:tcBorders>
            <w:shd w:val="clear" w:color="auto" w:fill="auto"/>
            <w:noWrap/>
            <w:vAlign w:val="center"/>
            <w:hideMark/>
          </w:tcPr>
          <w:p w14:paraId="48EFF8AB" w14:textId="5D1F2F09" w:rsidR="005B1670" w:rsidRPr="00AE0095" w:rsidRDefault="00617DE3" w:rsidP="00AE0095">
            <w:pPr>
              <w:spacing w:before="120" w:after="120"/>
              <w:jc w:val="right"/>
              <w:rPr>
                <w:rFonts w:eastAsia="Times New Roman"/>
                <w:color w:val="002839"/>
                <w:sz w:val="18"/>
                <w:szCs w:val="18"/>
              </w:rPr>
            </w:pPr>
            <w:r w:rsidRPr="00AE0095">
              <w:rPr>
                <w:rFonts w:eastAsia="Times New Roman"/>
                <w:color w:val="002839"/>
                <w:sz w:val="18"/>
                <w:szCs w:val="18"/>
              </w:rPr>
              <w:t>-</w:t>
            </w:r>
          </w:p>
        </w:tc>
        <w:tc>
          <w:tcPr>
            <w:tcW w:w="531" w:type="pct"/>
            <w:tcBorders>
              <w:top w:val="nil"/>
              <w:left w:val="nil"/>
              <w:bottom w:val="single" w:sz="4" w:space="0" w:color="BFBFBF"/>
              <w:right w:val="single" w:sz="4" w:space="0" w:color="BFBFBF"/>
            </w:tcBorders>
            <w:shd w:val="clear" w:color="auto" w:fill="auto"/>
            <w:noWrap/>
            <w:vAlign w:val="center"/>
            <w:hideMark/>
          </w:tcPr>
          <w:p w14:paraId="3923987B" w14:textId="424119F3"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31" w:type="pct"/>
            <w:tcBorders>
              <w:top w:val="nil"/>
              <w:left w:val="nil"/>
              <w:bottom w:val="single" w:sz="4" w:space="0" w:color="BFBFBF"/>
              <w:right w:val="single" w:sz="4" w:space="0" w:color="BFBFBF"/>
            </w:tcBorders>
            <w:shd w:val="clear" w:color="auto" w:fill="auto"/>
            <w:noWrap/>
            <w:vAlign w:val="center"/>
            <w:hideMark/>
          </w:tcPr>
          <w:p w14:paraId="259D70CA" w14:textId="06D1AEE3"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31" w:type="pct"/>
            <w:tcBorders>
              <w:top w:val="nil"/>
              <w:left w:val="nil"/>
              <w:bottom w:val="single" w:sz="4" w:space="0" w:color="BFBFBF"/>
              <w:right w:val="single" w:sz="4" w:space="0" w:color="BFBFBF"/>
            </w:tcBorders>
            <w:shd w:val="clear" w:color="auto" w:fill="auto"/>
            <w:noWrap/>
            <w:vAlign w:val="center"/>
            <w:hideMark/>
          </w:tcPr>
          <w:p w14:paraId="23FCC183" w14:textId="0EB000C2"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5,00</w:t>
            </w:r>
            <w:r w:rsidR="00B2216A">
              <w:rPr>
                <w:rFonts w:eastAsia="Times New Roman"/>
                <w:color w:val="002839"/>
                <w:sz w:val="18"/>
                <w:szCs w:val="18"/>
              </w:rPr>
              <w:t>0</w:t>
            </w:r>
          </w:p>
        </w:tc>
        <w:tc>
          <w:tcPr>
            <w:tcW w:w="532" w:type="pct"/>
            <w:tcBorders>
              <w:top w:val="nil"/>
              <w:left w:val="nil"/>
              <w:bottom w:val="single" w:sz="4" w:space="0" w:color="BFBFBF"/>
              <w:right w:val="single" w:sz="4" w:space="0" w:color="BFBFBF"/>
            </w:tcBorders>
            <w:shd w:val="clear" w:color="auto" w:fill="auto"/>
            <w:noWrap/>
            <w:vAlign w:val="center"/>
            <w:hideMark/>
          </w:tcPr>
          <w:p w14:paraId="3298870C" w14:textId="1F4AAC84"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xml:space="preserve">20,000 </w:t>
            </w:r>
          </w:p>
        </w:tc>
        <w:tc>
          <w:tcPr>
            <w:tcW w:w="531" w:type="pct"/>
            <w:tcBorders>
              <w:top w:val="nil"/>
              <w:left w:val="nil"/>
              <w:bottom w:val="single" w:sz="4" w:space="0" w:color="BFBFBF"/>
              <w:right w:val="single" w:sz="4" w:space="0" w:color="BFBFBF"/>
            </w:tcBorders>
            <w:shd w:val="clear" w:color="auto" w:fill="auto"/>
            <w:noWrap/>
            <w:vAlign w:val="center"/>
            <w:hideMark/>
          </w:tcPr>
          <w:p w14:paraId="2081A3A3" w14:textId="52A01C6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02" w:type="pct"/>
            <w:tcBorders>
              <w:top w:val="nil"/>
              <w:left w:val="nil"/>
              <w:bottom w:val="single" w:sz="4" w:space="0" w:color="BFBFBF"/>
              <w:right w:val="single" w:sz="4" w:space="0" w:color="BFBFBF"/>
            </w:tcBorders>
            <w:shd w:val="clear" w:color="auto" w:fill="auto"/>
            <w:noWrap/>
            <w:vAlign w:val="center"/>
            <w:hideMark/>
          </w:tcPr>
          <w:p w14:paraId="286F7A9C" w14:textId="7F399AB1"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5,000</w:t>
            </w:r>
          </w:p>
        </w:tc>
        <w:tc>
          <w:tcPr>
            <w:tcW w:w="468" w:type="pct"/>
            <w:tcBorders>
              <w:top w:val="nil"/>
              <w:left w:val="nil"/>
              <w:bottom w:val="single" w:sz="4" w:space="0" w:color="BFBFBF"/>
              <w:right w:val="single" w:sz="4" w:space="0" w:color="BFBFBF"/>
            </w:tcBorders>
            <w:shd w:val="clear" w:color="auto" w:fill="auto"/>
            <w:noWrap/>
            <w:vAlign w:val="center"/>
            <w:hideMark/>
          </w:tcPr>
          <w:p w14:paraId="57BF76B5" w14:textId="7D2428B9"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30,000</w:t>
            </w:r>
          </w:p>
        </w:tc>
      </w:tr>
      <w:tr w:rsidR="005B1670" w:rsidRPr="00AE0095" w14:paraId="42097BF6" w14:textId="77777777" w:rsidTr="00873104">
        <w:trPr>
          <w:trHeight w:val="432"/>
        </w:trPr>
        <w:tc>
          <w:tcPr>
            <w:tcW w:w="811" w:type="pct"/>
            <w:tcBorders>
              <w:top w:val="nil"/>
              <w:left w:val="single" w:sz="4" w:space="0" w:color="BFBFBF"/>
              <w:bottom w:val="single" w:sz="4" w:space="0" w:color="BFBFBF"/>
              <w:right w:val="single" w:sz="4" w:space="0" w:color="BFBFBF"/>
            </w:tcBorders>
            <w:shd w:val="clear" w:color="auto" w:fill="auto"/>
            <w:vAlign w:val="center"/>
          </w:tcPr>
          <w:p w14:paraId="30A9388C" w14:textId="0F71EDBA" w:rsidR="005B1670" w:rsidRPr="00AE0095" w:rsidRDefault="005B1670" w:rsidP="00873104">
            <w:pPr>
              <w:spacing w:before="120"/>
              <w:rPr>
                <w:rFonts w:eastAsia="Times New Roman"/>
                <w:color w:val="002839"/>
                <w:sz w:val="18"/>
                <w:szCs w:val="18"/>
              </w:rPr>
            </w:pPr>
            <w:r w:rsidRPr="00AE0095">
              <w:rPr>
                <w:rFonts w:eastAsia="Times New Roman"/>
                <w:color w:val="002839"/>
                <w:sz w:val="18"/>
                <w:szCs w:val="18"/>
              </w:rPr>
              <w:t>Two workshops for interested Member States</w:t>
            </w:r>
          </w:p>
        </w:tc>
        <w:tc>
          <w:tcPr>
            <w:tcW w:w="563" w:type="pct"/>
            <w:tcBorders>
              <w:top w:val="nil"/>
              <w:left w:val="nil"/>
              <w:bottom w:val="single" w:sz="4" w:space="0" w:color="BFBFBF"/>
              <w:right w:val="single" w:sz="4" w:space="0" w:color="BFBFBF"/>
            </w:tcBorders>
            <w:shd w:val="clear" w:color="auto" w:fill="auto"/>
            <w:noWrap/>
            <w:vAlign w:val="center"/>
          </w:tcPr>
          <w:p w14:paraId="66EB2727" w14:textId="4DFBD458" w:rsidR="005B1670" w:rsidRPr="00AE0095" w:rsidRDefault="001D1171" w:rsidP="00AE0095">
            <w:pPr>
              <w:spacing w:before="120" w:after="120"/>
              <w:jc w:val="right"/>
              <w:rPr>
                <w:rFonts w:eastAsia="Times New Roman"/>
                <w:color w:val="002839"/>
                <w:sz w:val="18"/>
                <w:szCs w:val="18"/>
              </w:rPr>
            </w:pPr>
            <w:r>
              <w:rPr>
                <w:rFonts w:eastAsia="Malgun Gothic" w:hint="eastAsia"/>
                <w:color w:val="002839"/>
                <w:sz w:val="18"/>
                <w:szCs w:val="18"/>
                <w:lang w:eastAsia="ko-KR"/>
              </w:rPr>
              <w:t>2</w:t>
            </w:r>
            <w:r w:rsidRPr="00AE0095">
              <w:rPr>
                <w:rFonts w:eastAsia="Times New Roman"/>
                <w:color w:val="002839"/>
                <w:sz w:val="18"/>
                <w:szCs w:val="18"/>
              </w:rPr>
              <w:t>0</w:t>
            </w:r>
            <w:r w:rsidR="005B1670" w:rsidRPr="00AE0095">
              <w:rPr>
                <w:rFonts w:eastAsia="Times New Roman"/>
                <w:color w:val="002839"/>
                <w:sz w:val="18"/>
                <w:szCs w:val="18"/>
              </w:rPr>
              <w:t>,000</w:t>
            </w:r>
          </w:p>
        </w:tc>
        <w:tc>
          <w:tcPr>
            <w:tcW w:w="531" w:type="pct"/>
            <w:tcBorders>
              <w:top w:val="nil"/>
              <w:left w:val="nil"/>
              <w:bottom w:val="single" w:sz="4" w:space="0" w:color="BFBFBF"/>
              <w:right w:val="single" w:sz="4" w:space="0" w:color="BFBFBF"/>
            </w:tcBorders>
            <w:shd w:val="clear" w:color="auto" w:fill="auto"/>
            <w:noWrap/>
            <w:vAlign w:val="center"/>
          </w:tcPr>
          <w:p w14:paraId="6649EA44" w14:textId="15B18E0B" w:rsidR="005B1670" w:rsidRPr="00AE0095" w:rsidRDefault="001D1171" w:rsidP="00AE0095">
            <w:pPr>
              <w:spacing w:before="120" w:after="120"/>
              <w:jc w:val="right"/>
              <w:rPr>
                <w:rFonts w:eastAsia="Times New Roman"/>
                <w:color w:val="002839"/>
                <w:sz w:val="18"/>
                <w:szCs w:val="18"/>
              </w:rPr>
            </w:pPr>
            <w:r>
              <w:rPr>
                <w:rFonts w:eastAsia="Malgun Gothic" w:hint="eastAsia"/>
                <w:color w:val="002839"/>
                <w:sz w:val="18"/>
                <w:szCs w:val="18"/>
                <w:lang w:eastAsia="ko-KR"/>
              </w:rPr>
              <w:t>80</w:t>
            </w:r>
            <w:r w:rsidR="005B1670" w:rsidRPr="00AE0095">
              <w:rPr>
                <w:rFonts w:eastAsia="Times New Roman"/>
                <w:color w:val="002839"/>
                <w:sz w:val="18"/>
                <w:szCs w:val="18"/>
              </w:rPr>
              <w:t>,000</w:t>
            </w:r>
          </w:p>
        </w:tc>
        <w:tc>
          <w:tcPr>
            <w:tcW w:w="531" w:type="pct"/>
            <w:tcBorders>
              <w:top w:val="nil"/>
              <w:left w:val="nil"/>
              <w:bottom w:val="single" w:sz="4" w:space="0" w:color="BFBFBF"/>
              <w:right w:val="single" w:sz="4" w:space="0" w:color="BFBFBF"/>
            </w:tcBorders>
            <w:shd w:val="clear" w:color="auto" w:fill="auto"/>
            <w:noWrap/>
            <w:vAlign w:val="center"/>
          </w:tcPr>
          <w:p w14:paraId="3CAD3082" w14:textId="78B63C26"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10,000</w:t>
            </w:r>
          </w:p>
        </w:tc>
        <w:tc>
          <w:tcPr>
            <w:tcW w:w="531" w:type="pct"/>
            <w:tcBorders>
              <w:top w:val="nil"/>
              <w:left w:val="nil"/>
              <w:bottom w:val="single" w:sz="4" w:space="0" w:color="BFBFBF"/>
              <w:right w:val="single" w:sz="4" w:space="0" w:color="BFBFBF"/>
            </w:tcBorders>
            <w:shd w:val="clear" w:color="auto" w:fill="auto"/>
            <w:noWrap/>
            <w:vAlign w:val="center"/>
          </w:tcPr>
          <w:p w14:paraId="5B2AC417"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32" w:type="pct"/>
            <w:tcBorders>
              <w:top w:val="nil"/>
              <w:left w:val="nil"/>
              <w:bottom w:val="single" w:sz="4" w:space="0" w:color="BFBFBF"/>
              <w:right w:val="single" w:sz="4" w:space="0" w:color="BFBFBF"/>
            </w:tcBorders>
            <w:shd w:val="clear" w:color="auto" w:fill="auto"/>
            <w:noWrap/>
            <w:vAlign w:val="center"/>
          </w:tcPr>
          <w:p w14:paraId="12B19088" w14:textId="7245872E"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15,000</w:t>
            </w:r>
          </w:p>
        </w:tc>
        <w:tc>
          <w:tcPr>
            <w:tcW w:w="531" w:type="pct"/>
            <w:tcBorders>
              <w:top w:val="nil"/>
              <w:left w:val="nil"/>
              <w:bottom w:val="single" w:sz="4" w:space="0" w:color="BFBFBF"/>
              <w:right w:val="single" w:sz="4" w:space="0" w:color="BFBFBF"/>
            </w:tcBorders>
            <w:shd w:val="clear" w:color="auto" w:fill="auto"/>
            <w:noWrap/>
            <w:vAlign w:val="center"/>
          </w:tcPr>
          <w:p w14:paraId="410273A5"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02" w:type="pct"/>
            <w:tcBorders>
              <w:top w:val="nil"/>
              <w:left w:val="nil"/>
              <w:bottom w:val="single" w:sz="4" w:space="0" w:color="BFBFBF"/>
              <w:right w:val="single" w:sz="4" w:space="0" w:color="BFBFBF"/>
            </w:tcBorders>
            <w:shd w:val="clear" w:color="auto" w:fill="auto"/>
            <w:noWrap/>
            <w:vAlign w:val="center"/>
          </w:tcPr>
          <w:p w14:paraId="161B4A4D" w14:textId="477F71B2"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25,000</w:t>
            </w:r>
          </w:p>
        </w:tc>
        <w:tc>
          <w:tcPr>
            <w:tcW w:w="468" w:type="pct"/>
            <w:tcBorders>
              <w:top w:val="nil"/>
              <w:left w:val="nil"/>
              <w:bottom w:val="single" w:sz="4" w:space="0" w:color="BFBFBF"/>
              <w:right w:val="single" w:sz="4" w:space="0" w:color="BFBFBF"/>
            </w:tcBorders>
            <w:shd w:val="clear" w:color="auto" w:fill="auto"/>
            <w:noWrap/>
            <w:vAlign w:val="center"/>
          </w:tcPr>
          <w:p w14:paraId="2FFE18C8" w14:textId="36F2B8C4" w:rsidR="005B1670" w:rsidRPr="00AE0095" w:rsidRDefault="001D1171" w:rsidP="00AE0095">
            <w:pPr>
              <w:spacing w:before="120" w:after="120"/>
              <w:jc w:val="right"/>
              <w:rPr>
                <w:rFonts w:eastAsia="Times New Roman"/>
                <w:color w:val="002839"/>
                <w:sz w:val="18"/>
                <w:szCs w:val="18"/>
              </w:rPr>
            </w:pPr>
            <w:r>
              <w:rPr>
                <w:rFonts w:eastAsia="Malgun Gothic" w:hint="eastAsia"/>
                <w:color w:val="002839"/>
                <w:sz w:val="18"/>
                <w:szCs w:val="18"/>
                <w:lang w:eastAsia="ko-KR"/>
              </w:rPr>
              <w:t>150</w:t>
            </w:r>
            <w:r w:rsidR="005B1670" w:rsidRPr="00AE0095">
              <w:rPr>
                <w:rFonts w:eastAsia="Times New Roman"/>
                <w:color w:val="002839"/>
                <w:sz w:val="18"/>
                <w:szCs w:val="18"/>
              </w:rPr>
              <w:t>,000</w:t>
            </w:r>
          </w:p>
        </w:tc>
      </w:tr>
      <w:tr w:rsidR="005B1670" w:rsidRPr="00AE0095" w14:paraId="5AFDCA85" w14:textId="77777777" w:rsidTr="00873104">
        <w:trPr>
          <w:trHeight w:val="432"/>
        </w:trPr>
        <w:tc>
          <w:tcPr>
            <w:tcW w:w="811" w:type="pct"/>
            <w:tcBorders>
              <w:top w:val="nil"/>
              <w:left w:val="single" w:sz="4" w:space="0" w:color="BFBFBF"/>
              <w:bottom w:val="single" w:sz="4" w:space="0" w:color="BFBFBF"/>
              <w:right w:val="single" w:sz="4" w:space="0" w:color="BFBFBF"/>
            </w:tcBorders>
            <w:shd w:val="clear" w:color="auto" w:fill="auto"/>
            <w:vAlign w:val="center"/>
          </w:tcPr>
          <w:p w14:paraId="00E554E7" w14:textId="77777777" w:rsidR="005B1670" w:rsidRPr="00AE0095" w:rsidRDefault="005B1670" w:rsidP="00873104">
            <w:pPr>
              <w:spacing w:before="120"/>
              <w:rPr>
                <w:rFonts w:eastAsia="Times New Roman"/>
                <w:color w:val="002839"/>
                <w:sz w:val="18"/>
                <w:szCs w:val="18"/>
              </w:rPr>
            </w:pPr>
            <w:r w:rsidRPr="00AE0095">
              <w:rPr>
                <w:rFonts w:eastAsia="Times New Roman"/>
                <w:color w:val="002839"/>
                <w:sz w:val="18"/>
                <w:szCs w:val="18"/>
              </w:rPr>
              <w:t>Guide for Developing and Implementing NIPS</w:t>
            </w:r>
          </w:p>
        </w:tc>
        <w:tc>
          <w:tcPr>
            <w:tcW w:w="563" w:type="pct"/>
            <w:tcBorders>
              <w:top w:val="nil"/>
              <w:left w:val="nil"/>
              <w:bottom w:val="single" w:sz="4" w:space="0" w:color="BFBFBF"/>
              <w:right w:val="single" w:sz="4" w:space="0" w:color="BFBFBF"/>
            </w:tcBorders>
            <w:shd w:val="clear" w:color="auto" w:fill="auto"/>
            <w:noWrap/>
            <w:vAlign w:val="center"/>
          </w:tcPr>
          <w:p w14:paraId="78F6CECC"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31" w:type="pct"/>
            <w:tcBorders>
              <w:top w:val="nil"/>
              <w:left w:val="nil"/>
              <w:bottom w:val="single" w:sz="4" w:space="0" w:color="BFBFBF"/>
              <w:right w:val="single" w:sz="4" w:space="0" w:color="BFBFBF"/>
            </w:tcBorders>
            <w:shd w:val="clear" w:color="auto" w:fill="auto"/>
            <w:noWrap/>
            <w:vAlign w:val="center"/>
          </w:tcPr>
          <w:p w14:paraId="2F6860BF"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31" w:type="pct"/>
            <w:tcBorders>
              <w:top w:val="nil"/>
              <w:left w:val="nil"/>
              <w:bottom w:val="single" w:sz="4" w:space="0" w:color="BFBFBF"/>
              <w:right w:val="single" w:sz="4" w:space="0" w:color="BFBFBF"/>
            </w:tcBorders>
            <w:shd w:val="clear" w:color="auto" w:fill="auto"/>
            <w:noWrap/>
            <w:vAlign w:val="center"/>
          </w:tcPr>
          <w:p w14:paraId="52544F56"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31" w:type="pct"/>
            <w:tcBorders>
              <w:top w:val="nil"/>
              <w:left w:val="nil"/>
              <w:bottom w:val="single" w:sz="4" w:space="0" w:color="BFBFBF"/>
              <w:right w:val="single" w:sz="4" w:space="0" w:color="BFBFBF"/>
            </w:tcBorders>
            <w:shd w:val="clear" w:color="auto" w:fill="auto"/>
            <w:noWrap/>
            <w:vAlign w:val="center"/>
          </w:tcPr>
          <w:p w14:paraId="077468D1"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5,000</w:t>
            </w:r>
          </w:p>
        </w:tc>
        <w:tc>
          <w:tcPr>
            <w:tcW w:w="532" w:type="pct"/>
            <w:tcBorders>
              <w:top w:val="nil"/>
              <w:left w:val="nil"/>
              <w:bottom w:val="single" w:sz="4" w:space="0" w:color="BFBFBF"/>
              <w:right w:val="single" w:sz="4" w:space="0" w:color="BFBFBF"/>
            </w:tcBorders>
            <w:shd w:val="clear" w:color="auto" w:fill="auto"/>
            <w:noWrap/>
            <w:vAlign w:val="center"/>
          </w:tcPr>
          <w:p w14:paraId="17E5D3D9" w14:textId="747FE86F"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35,000</w:t>
            </w:r>
          </w:p>
        </w:tc>
        <w:tc>
          <w:tcPr>
            <w:tcW w:w="531" w:type="pct"/>
            <w:tcBorders>
              <w:top w:val="nil"/>
              <w:left w:val="nil"/>
              <w:bottom w:val="single" w:sz="4" w:space="0" w:color="BFBFBF"/>
              <w:right w:val="single" w:sz="4" w:space="0" w:color="BFBFBF"/>
            </w:tcBorders>
            <w:shd w:val="clear" w:color="auto" w:fill="auto"/>
            <w:noWrap/>
            <w:vAlign w:val="center"/>
          </w:tcPr>
          <w:p w14:paraId="66FCEEF7"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02" w:type="pct"/>
            <w:tcBorders>
              <w:top w:val="nil"/>
              <w:left w:val="nil"/>
              <w:bottom w:val="single" w:sz="4" w:space="0" w:color="BFBFBF"/>
              <w:right w:val="single" w:sz="4" w:space="0" w:color="BFBFBF"/>
            </w:tcBorders>
            <w:shd w:val="clear" w:color="auto" w:fill="auto"/>
            <w:noWrap/>
            <w:vAlign w:val="center"/>
          </w:tcPr>
          <w:p w14:paraId="10687058"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468" w:type="pct"/>
            <w:tcBorders>
              <w:top w:val="nil"/>
              <w:left w:val="nil"/>
              <w:bottom w:val="single" w:sz="4" w:space="0" w:color="BFBFBF"/>
              <w:right w:val="single" w:sz="4" w:space="0" w:color="BFBFBF"/>
            </w:tcBorders>
            <w:shd w:val="clear" w:color="auto" w:fill="auto"/>
            <w:noWrap/>
            <w:vAlign w:val="center"/>
          </w:tcPr>
          <w:p w14:paraId="11AAA80E" w14:textId="507F9CEC"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40,000</w:t>
            </w:r>
          </w:p>
        </w:tc>
      </w:tr>
      <w:tr w:rsidR="005B1670" w:rsidRPr="00AE0095" w14:paraId="40239314" w14:textId="77777777" w:rsidTr="00873104">
        <w:trPr>
          <w:trHeight w:val="432"/>
        </w:trPr>
        <w:tc>
          <w:tcPr>
            <w:tcW w:w="811" w:type="pct"/>
            <w:tcBorders>
              <w:top w:val="nil"/>
              <w:left w:val="single" w:sz="4" w:space="0" w:color="BFBFBF"/>
              <w:bottom w:val="single" w:sz="4" w:space="0" w:color="BFBFBF"/>
              <w:right w:val="single" w:sz="4" w:space="0" w:color="BFBFBF"/>
            </w:tcBorders>
            <w:shd w:val="clear" w:color="auto" w:fill="auto"/>
            <w:vAlign w:val="center"/>
            <w:hideMark/>
          </w:tcPr>
          <w:p w14:paraId="554F3B50" w14:textId="77777777" w:rsidR="005B1670" w:rsidRPr="00AE0095" w:rsidRDefault="005B1670" w:rsidP="00873104">
            <w:pPr>
              <w:spacing w:before="120"/>
              <w:rPr>
                <w:rFonts w:eastAsia="Times New Roman"/>
                <w:color w:val="002839"/>
                <w:sz w:val="18"/>
                <w:szCs w:val="18"/>
              </w:rPr>
            </w:pPr>
            <w:r w:rsidRPr="00AE0095">
              <w:rPr>
                <w:rFonts w:eastAsia="Times New Roman"/>
                <w:color w:val="002839"/>
                <w:sz w:val="18"/>
                <w:szCs w:val="18"/>
              </w:rPr>
              <w:t xml:space="preserve">Project evaluation </w:t>
            </w:r>
          </w:p>
        </w:tc>
        <w:tc>
          <w:tcPr>
            <w:tcW w:w="563" w:type="pct"/>
            <w:tcBorders>
              <w:top w:val="nil"/>
              <w:left w:val="nil"/>
              <w:bottom w:val="single" w:sz="4" w:space="0" w:color="BFBFBF"/>
              <w:right w:val="single" w:sz="4" w:space="0" w:color="BFBFBF"/>
            </w:tcBorders>
            <w:shd w:val="clear" w:color="auto" w:fill="auto"/>
            <w:noWrap/>
            <w:vAlign w:val="center"/>
            <w:hideMark/>
          </w:tcPr>
          <w:p w14:paraId="5BA35496"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31" w:type="pct"/>
            <w:tcBorders>
              <w:top w:val="nil"/>
              <w:left w:val="nil"/>
              <w:bottom w:val="single" w:sz="4" w:space="0" w:color="BFBFBF"/>
              <w:right w:val="single" w:sz="4" w:space="0" w:color="BFBFBF"/>
            </w:tcBorders>
            <w:shd w:val="clear" w:color="auto" w:fill="auto"/>
            <w:noWrap/>
            <w:vAlign w:val="center"/>
            <w:hideMark/>
          </w:tcPr>
          <w:p w14:paraId="23F0E73E"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31" w:type="pct"/>
            <w:tcBorders>
              <w:top w:val="nil"/>
              <w:left w:val="nil"/>
              <w:bottom w:val="single" w:sz="4" w:space="0" w:color="BFBFBF"/>
              <w:right w:val="single" w:sz="4" w:space="0" w:color="BFBFBF"/>
            </w:tcBorders>
            <w:shd w:val="clear" w:color="auto" w:fill="auto"/>
            <w:noWrap/>
            <w:vAlign w:val="center"/>
            <w:hideMark/>
          </w:tcPr>
          <w:p w14:paraId="6BE40CD0"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31" w:type="pct"/>
            <w:tcBorders>
              <w:top w:val="nil"/>
              <w:left w:val="nil"/>
              <w:bottom w:val="single" w:sz="4" w:space="0" w:color="BFBFBF"/>
              <w:right w:val="single" w:sz="4" w:space="0" w:color="BFBFBF"/>
            </w:tcBorders>
            <w:shd w:val="clear" w:color="auto" w:fill="auto"/>
            <w:noWrap/>
            <w:vAlign w:val="center"/>
            <w:hideMark/>
          </w:tcPr>
          <w:p w14:paraId="26CC78DB"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32" w:type="pct"/>
            <w:tcBorders>
              <w:top w:val="nil"/>
              <w:left w:val="nil"/>
              <w:bottom w:val="single" w:sz="4" w:space="0" w:color="BFBFBF"/>
              <w:right w:val="single" w:sz="4" w:space="0" w:color="BFBFBF"/>
            </w:tcBorders>
            <w:shd w:val="clear" w:color="auto" w:fill="auto"/>
            <w:noWrap/>
            <w:vAlign w:val="center"/>
            <w:hideMark/>
          </w:tcPr>
          <w:p w14:paraId="0D45359D" w14:textId="77777777" w:rsidR="005B1670" w:rsidRPr="00AE0095" w:rsidRDefault="005B1670" w:rsidP="009F422F">
            <w:pPr>
              <w:spacing w:before="120" w:after="120"/>
              <w:jc w:val="right"/>
              <w:rPr>
                <w:rFonts w:eastAsia="Times New Roman"/>
                <w:color w:val="002839"/>
                <w:sz w:val="18"/>
                <w:szCs w:val="18"/>
              </w:rPr>
            </w:pPr>
            <w:r>
              <w:rPr>
                <w:rFonts w:eastAsia="Times New Roman"/>
                <w:color w:val="002839"/>
                <w:sz w:val="18"/>
                <w:szCs w:val="18"/>
              </w:rPr>
              <w:t>15,000</w:t>
            </w:r>
            <w:r w:rsidRPr="00AE0095">
              <w:rPr>
                <w:rFonts w:eastAsia="Times New Roman"/>
                <w:color w:val="002839"/>
                <w:sz w:val="18"/>
                <w:szCs w:val="18"/>
              </w:rPr>
              <w:t xml:space="preserve">                      </w:t>
            </w:r>
          </w:p>
        </w:tc>
        <w:tc>
          <w:tcPr>
            <w:tcW w:w="531" w:type="pct"/>
            <w:tcBorders>
              <w:top w:val="nil"/>
              <w:left w:val="nil"/>
              <w:bottom w:val="single" w:sz="4" w:space="0" w:color="BFBFBF"/>
              <w:right w:val="single" w:sz="4" w:space="0" w:color="BFBFBF"/>
            </w:tcBorders>
            <w:shd w:val="clear" w:color="auto" w:fill="auto"/>
            <w:noWrap/>
            <w:vAlign w:val="center"/>
            <w:hideMark/>
          </w:tcPr>
          <w:p w14:paraId="33268986"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02" w:type="pct"/>
            <w:tcBorders>
              <w:top w:val="nil"/>
              <w:left w:val="nil"/>
              <w:bottom w:val="single" w:sz="4" w:space="0" w:color="BFBFBF"/>
              <w:right w:val="single" w:sz="4" w:space="0" w:color="BFBFBF"/>
            </w:tcBorders>
            <w:shd w:val="clear" w:color="auto" w:fill="auto"/>
            <w:noWrap/>
            <w:vAlign w:val="center"/>
            <w:hideMark/>
          </w:tcPr>
          <w:p w14:paraId="6876AA13"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468" w:type="pct"/>
            <w:tcBorders>
              <w:top w:val="nil"/>
              <w:left w:val="nil"/>
              <w:bottom w:val="single" w:sz="4" w:space="0" w:color="BFBFBF"/>
              <w:right w:val="single" w:sz="4" w:space="0" w:color="BFBFBF"/>
            </w:tcBorders>
            <w:shd w:val="clear" w:color="auto" w:fill="auto"/>
            <w:noWrap/>
            <w:vAlign w:val="center"/>
            <w:hideMark/>
          </w:tcPr>
          <w:p w14:paraId="2B679749" w14:textId="4AB3F974"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15,000</w:t>
            </w:r>
          </w:p>
        </w:tc>
      </w:tr>
      <w:tr w:rsidR="005B1670" w:rsidRPr="00AE0095" w14:paraId="242C2AAF" w14:textId="77777777" w:rsidTr="00873104">
        <w:trPr>
          <w:trHeight w:val="432"/>
        </w:trPr>
        <w:tc>
          <w:tcPr>
            <w:tcW w:w="811" w:type="pct"/>
            <w:tcBorders>
              <w:top w:val="nil"/>
              <w:left w:val="single" w:sz="4" w:space="0" w:color="BFBFBF"/>
              <w:bottom w:val="single" w:sz="4" w:space="0" w:color="BFBFBF"/>
              <w:right w:val="single" w:sz="4" w:space="0" w:color="BFBFBF"/>
            </w:tcBorders>
            <w:shd w:val="clear" w:color="auto" w:fill="auto"/>
            <w:vAlign w:val="center"/>
            <w:hideMark/>
          </w:tcPr>
          <w:p w14:paraId="2FCE2BA7" w14:textId="77777777" w:rsidR="005B1670" w:rsidRPr="00AE0095" w:rsidRDefault="005B1670" w:rsidP="00873104">
            <w:pPr>
              <w:spacing w:before="120"/>
              <w:rPr>
                <w:rFonts w:eastAsia="Times New Roman"/>
                <w:color w:val="002839"/>
                <w:sz w:val="18"/>
                <w:szCs w:val="18"/>
              </w:rPr>
            </w:pPr>
            <w:r w:rsidRPr="00AE0095">
              <w:rPr>
                <w:rFonts w:eastAsia="Times New Roman"/>
                <w:color w:val="002839"/>
                <w:sz w:val="18"/>
                <w:szCs w:val="18"/>
              </w:rPr>
              <w:t xml:space="preserve">CDIP side event </w:t>
            </w:r>
          </w:p>
        </w:tc>
        <w:tc>
          <w:tcPr>
            <w:tcW w:w="563" w:type="pct"/>
            <w:tcBorders>
              <w:top w:val="nil"/>
              <w:left w:val="nil"/>
              <w:bottom w:val="single" w:sz="4" w:space="0" w:color="BFBFBF"/>
              <w:right w:val="single" w:sz="4" w:space="0" w:color="BFBFBF"/>
            </w:tcBorders>
            <w:shd w:val="clear" w:color="auto" w:fill="auto"/>
            <w:noWrap/>
            <w:vAlign w:val="center"/>
            <w:hideMark/>
          </w:tcPr>
          <w:p w14:paraId="136D60CA"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31" w:type="pct"/>
            <w:tcBorders>
              <w:top w:val="nil"/>
              <w:left w:val="nil"/>
              <w:bottom w:val="single" w:sz="4" w:space="0" w:color="BFBFBF"/>
              <w:right w:val="single" w:sz="4" w:space="0" w:color="BFBFBF"/>
            </w:tcBorders>
            <w:shd w:val="clear" w:color="auto" w:fill="auto"/>
            <w:noWrap/>
            <w:vAlign w:val="center"/>
            <w:hideMark/>
          </w:tcPr>
          <w:p w14:paraId="6626E4EC" w14:textId="4FFED401"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31" w:type="pct"/>
            <w:tcBorders>
              <w:top w:val="nil"/>
              <w:left w:val="nil"/>
              <w:bottom w:val="single" w:sz="4" w:space="0" w:color="BFBFBF"/>
              <w:right w:val="single" w:sz="4" w:space="0" w:color="BFBFBF"/>
            </w:tcBorders>
            <w:shd w:val="clear" w:color="auto" w:fill="auto"/>
            <w:noWrap/>
            <w:vAlign w:val="center"/>
            <w:hideMark/>
          </w:tcPr>
          <w:p w14:paraId="7D290CC5"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xml:space="preserve">15,000 </w:t>
            </w:r>
          </w:p>
        </w:tc>
        <w:tc>
          <w:tcPr>
            <w:tcW w:w="531" w:type="pct"/>
            <w:tcBorders>
              <w:top w:val="nil"/>
              <w:left w:val="nil"/>
              <w:bottom w:val="single" w:sz="4" w:space="0" w:color="BFBFBF"/>
              <w:right w:val="single" w:sz="4" w:space="0" w:color="BFBFBF"/>
            </w:tcBorders>
            <w:shd w:val="clear" w:color="auto" w:fill="auto"/>
            <w:noWrap/>
            <w:vAlign w:val="center"/>
            <w:hideMark/>
          </w:tcPr>
          <w:p w14:paraId="2ADBD602"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32" w:type="pct"/>
            <w:tcBorders>
              <w:top w:val="nil"/>
              <w:left w:val="nil"/>
              <w:bottom w:val="single" w:sz="4" w:space="0" w:color="BFBFBF"/>
              <w:right w:val="single" w:sz="4" w:space="0" w:color="BFBFBF"/>
            </w:tcBorders>
            <w:shd w:val="clear" w:color="auto" w:fill="auto"/>
            <w:noWrap/>
            <w:vAlign w:val="center"/>
            <w:hideMark/>
          </w:tcPr>
          <w:p w14:paraId="4EADC8B1"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31" w:type="pct"/>
            <w:tcBorders>
              <w:top w:val="nil"/>
              <w:left w:val="nil"/>
              <w:bottom w:val="single" w:sz="4" w:space="0" w:color="BFBFBF"/>
              <w:right w:val="single" w:sz="4" w:space="0" w:color="BFBFBF"/>
            </w:tcBorders>
            <w:shd w:val="clear" w:color="auto" w:fill="auto"/>
            <w:noWrap/>
            <w:vAlign w:val="center"/>
            <w:hideMark/>
          </w:tcPr>
          <w:p w14:paraId="7BF91074" w14:textId="77777777"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 -</w:t>
            </w:r>
          </w:p>
        </w:tc>
        <w:tc>
          <w:tcPr>
            <w:tcW w:w="502" w:type="pct"/>
            <w:tcBorders>
              <w:top w:val="nil"/>
              <w:left w:val="nil"/>
              <w:bottom w:val="single" w:sz="4" w:space="0" w:color="BFBFBF"/>
              <w:right w:val="single" w:sz="4" w:space="0" w:color="BFBFBF"/>
            </w:tcBorders>
            <w:shd w:val="clear" w:color="auto" w:fill="auto"/>
            <w:noWrap/>
            <w:vAlign w:val="center"/>
            <w:hideMark/>
          </w:tcPr>
          <w:p w14:paraId="1CF93066" w14:textId="17D452F6"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w:t>
            </w:r>
          </w:p>
        </w:tc>
        <w:tc>
          <w:tcPr>
            <w:tcW w:w="468" w:type="pct"/>
            <w:tcBorders>
              <w:top w:val="nil"/>
              <w:left w:val="nil"/>
              <w:bottom w:val="single" w:sz="4" w:space="0" w:color="BFBFBF"/>
              <w:right w:val="single" w:sz="4" w:space="0" w:color="BFBFBF"/>
            </w:tcBorders>
            <w:shd w:val="clear" w:color="auto" w:fill="auto"/>
            <w:noWrap/>
            <w:vAlign w:val="center"/>
            <w:hideMark/>
          </w:tcPr>
          <w:p w14:paraId="1EC26F15" w14:textId="7575AA4F" w:rsidR="005B1670" w:rsidRPr="00AE0095" w:rsidRDefault="005B1670" w:rsidP="00AE0095">
            <w:pPr>
              <w:spacing w:before="120" w:after="120"/>
              <w:jc w:val="right"/>
              <w:rPr>
                <w:rFonts w:eastAsia="Times New Roman"/>
                <w:color w:val="002839"/>
                <w:sz w:val="18"/>
                <w:szCs w:val="18"/>
              </w:rPr>
            </w:pPr>
            <w:r w:rsidRPr="00AE0095">
              <w:rPr>
                <w:rFonts w:eastAsia="Times New Roman"/>
                <w:color w:val="002839"/>
                <w:sz w:val="18"/>
                <w:szCs w:val="18"/>
              </w:rPr>
              <w:t>15,000</w:t>
            </w:r>
          </w:p>
        </w:tc>
      </w:tr>
      <w:tr w:rsidR="005B1670" w:rsidRPr="00AE0095" w14:paraId="34D767CC" w14:textId="77777777" w:rsidTr="00873104">
        <w:trPr>
          <w:trHeight w:val="432"/>
        </w:trPr>
        <w:tc>
          <w:tcPr>
            <w:tcW w:w="811" w:type="pct"/>
            <w:tcBorders>
              <w:top w:val="nil"/>
              <w:left w:val="single" w:sz="4" w:space="0" w:color="BFBFBF"/>
              <w:bottom w:val="single" w:sz="4" w:space="0" w:color="BFBFBF"/>
              <w:right w:val="single" w:sz="4" w:space="0" w:color="BFBFBF"/>
            </w:tcBorders>
            <w:shd w:val="clear" w:color="000000" w:fill="EDF0F3"/>
            <w:vAlign w:val="center"/>
            <w:hideMark/>
          </w:tcPr>
          <w:p w14:paraId="4D6E3BF0" w14:textId="77777777" w:rsidR="005B1670" w:rsidRPr="00AE0095" w:rsidRDefault="005B1670" w:rsidP="00AE0095">
            <w:pPr>
              <w:spacing w:before="120" w:after="120"/>
              <w:rPr>
                <w:rFonts w:eastAsia="Times New Roman"/>
                <w:b/>
                <w:bCs/>
                <w:color w:val="002839"/>
                <w:sz w:val="18"/>
                <w:szCs w:val="18"/>
              </w:rPr>
            </w:pPr>
            <w:r w:rsidRPr="00AE0095">
              <w:rPr>
                <w:rFonts w:eastAsia="Times New Roman"/>
                <w:b/>
                <w:bCs/>
                <w:color w:val="002839"/>
                <w:sz w:val="18"/>
                <w:szCs w:val="18"/>
              </w:rPr>
              <w:t xml:space="preserve">Total </w:t>
            </w:r>
          </w:p>
        </w:tc>
        <w:tc>
          <w:tcPr>
            <w:tcW w:w="563" w:type="pct"/>
            <w:tcBorders>
              <w:top w:val="nil"/>
              <w:left w:val="nil"/>
              <w:bottom w:val="single" w:sz="4" w:space="0" w:color="BFBFBF"/>
              <w:right w:val="single" w:sz="4" w:space="0" w:color="BFBFBF"/>
            </w:tcBorders>
            <w:shd w:val="clear" w:color="000000" w:fill="EDF0F3"/>
            <w:noWrap/>
            <w:vAlign w:val="center"/>
            <w:hideMark/>
          </w:tcPr>
          <w:p w14:paraId="18FE4127" w14:textId="0A2CDEE9" w:rsidR="005B1670" w:rsidRPr="00AE0095" w:rsidRDefault="001D1171" w:rsidP="00AE0095">
            <w:pPr>
              <w:spacing w:before="120" w:after="120"/>
              <w:jc w:val="right"/>
              <w:rPr>
                <w:rFonts w:eastAsia="Times New Roman"/>
                <w:b/>
                <w:bCs/>
                <w:color w:val="002839"/>
                <w:sz w:val="18"/>
                <w:szCs w:val="18"/>
              </w:rPr>
            </w:pPr>
            <w:r>
              <w:rPr>
                <w:rFonts w:eastAsia="Malgun Gothic" w:hint="eastAsia"/>
                <w:b/>
                <w:bCs/>
                <w:color w:val="002839"/>
                <w:sz w:val="18"/>
                <w:szCs w:val="18"/>
                <w:lang w:eastAsia="ko-KR"/>
              </w:rPr>
              <w:t>2</w:t>
            </w:r>
            <w:r w:rsidR="005B1670" w:rsidRPr="00AE0095">
              <w:rPr>
                <w:rFonts w:eastAsia="Times New Roman"/>
                <w:b/>
                <w:bCs/>
                <w:color w:val="002839"/>
                <w:sz w:val="18"/>
                <w:szCs w:val="18"/>
              </w:rPr>
              <w:t xml:space="preserve">0,000 </w:t>
            </w:r>
          </w:p>
        </w:tc>
        <w:tc>
          <w:tcPr>
            <w:tcW w:w="531" w:type="pct"/>
            <w:tcBorders>
              <w:top w:val="nil"/>
              <w:left w:val="nil"/>
              <w:bottom w:val="single" w:sz="4" w:space="0" w:color="BFBFBF"/>
              <w:right w:val="single" w:sz="4" w:space="0" w:color="BFBFBF"/>
            </w:tcBorders>
            <w:shd w:val="clear" w:color="000000" w:fill="EDF0F3"/>
            <w:noWrap/>
            <w:vAlign w:val="center"/>
            <w:hideMark/>
          </w:tcPr>
          <w:p w14:paraId="6D163C46" w14:textId="7E7FB557" w:rsidR="005B1670" w:rsidRPr="00AE0095" w:rsidRDefault="001D1171" w:rsidP="009F422F">
            <w:pPr>
              <w:spacing w:before="120" w:after="120"/>
              <w:jc w:val="right"/>
              <w:rPr>
                <w:rFonts w:eastAsia="Times New Roman"/>
                <w:b/>
                <w:bCs/>
                <w:color w:val="002839"/>
                <w:sz w:val="18"/>
                <w:szCs w:val="18"/>
              </w:rPr>
            </w:pPr>
            <w:r>
              <w:rPr>
                <w:rFonts w:eastAsia="Malgun Gothic" w:hint="eastAsia"/>
                <w:b/>
                <w:bCs/>
                <w:color w:val="002839"/>
                <w:sz w:val="18"/>
                <w:szCs w:val="18"/>
                <w:lang w:eastAsia="ko-KR"/>
              </w:rPr>
              <w:t>80</w:t>
            </w:r>
            <w:r w:rsidR="005B1670" w:rsidRPr="00AE0095">
              <w:rPr>
                <w:rFonts w:eastAsia="Times New Roman"/>
                <w:b/>
                <w:bCs/>
                <w:color w:val="002839"/>
                <w:sz w:val="18"/>
                <w:szCs w:val="18"/>
              </w:rPr>
              <w:t xml:space="preserve">,000 </w:t>
            </w:r>
          </w:p>
        </w:tc>
        <w:tc>
          <w:tcPr>
            <w:tcW w:w="531" w:type="pct"/>
            <w:tcBorders>
              <w:top w:val="nil"/>
              <w:left w:val="nil"/>
              <w:bottom w:val="single" w:sz="4" w:space="0" w:color="BFBFBF"/>
              <w:right w:val="single" w:sz="4" w:space="0" w:color="BFBFBF"/>
            </w:tcBorders>
            <w:shd w:val="clear" w:color="000000" w:fill="EDF0F3"/>
            <w:noWrap/>
            <w:vAlign w:val="center"/>
            <w:hideMark/>
          </w:tcPr>
          <w:p w14:paraId="091331BC" w14:textId="77777777" w:rsidR="005B1670" w:rsidRPr="00AE0095" w:rsidRDefault="005B1670" w:rsidP="00AE0095">
            <w:pPr>
              <w:spacing w:before="120" w:after="120"/>
              <w:jc w:val="right"/>
              <w:rPr>
                <w:rFonts w:eastAsia="Times New Roman"/>
                <w:b/>
                <w:bCs/>
                <w:color w:val="002839"/>
                <w:sz w:val="18"/>
                <w:szCs w:val="18"/>
              </w:rPr>
            </w:pPr>
            <w:r w:rsidRPr="00AE0095">
              <w:rPr>
                <w:rFonts w:eastAsia="Times New Roman"/>
                <w:b/>
                <w:bCs/>
                <w:color w:val="002839"/>
                <w:sz w:val="18"/>
                <w:szCs w:val="18"/>
              </w:rPr>
              <w:t xml:space="preserve">25,000 </w:t>
            </w:r>
          </w:p>
        </w:tc>
        <w:tc>
          <w:tcPr>
            <w:tcW w:w="531" w:type="pct"/>
            <w:tcBorders>
              <w:top w:val="nil"/>
              <w:left w:val="nil"/>
              <w:bottom w:val="single" w:sz="4" w:space="0" w:color="BFBFBF"/>
              <w:right w:val="single" w:sz="4" w:space="0" w:color="BFBFBF"/>
            </w:tcBorders>
            <w:shd w:val="clear" w:color="000000" w:fill="EDF0F3"/>
            <w:noWrap/>
            <w:vAlign w:val="center"/>
            <w:hideMark/>
          </w:tcPr>
          <w:p w14:paraId="4067A6C7" w14:textId="4FB0A494" w:rsidR="005B1670" w:rsidRPr="00AE0095" w:rsidRDefault="005B1670" w:rsidP="00AE0095">
            <w:pPr>
              <w:spacing w:before="120" w:after="120"/>
              <w:jc w:val="right"/>
              <w:rPr>
                <w:rFonts w:eastAsia="Times New Roman"/>
                <w:b/>
                <w:bCs/>
                <w:color w:val="002839"/>
                <w:sz w:val="18"/>
                <w:szCs w:val="18"/>
              </w:rPr>
            </w:pPr>
            <w:r w:rsidRPr="00AE0095">
              <w:rPr>
                <w:rFonts w:eastAsia="Times New Roman"/>
                <w:b/>
                <w:bCs/>
                <w:color w:val="002839"/>
                <w:sz w:val="18"/>
                <w:szCs w:val="18"/>
              </w:rPr>
              <w:t xml:space="preserve">10,000 </w:t>
            </w:r>
          </w:p>
        </w:tc>
        <w:tc>
          <w:tcPr>
            <w:tcW w:w="532" w:type="pct"/>
            <w:tcBorders>
              <w:top w:val="nil"/>
              <w:left w:val="nil"/>
              <w:bottom w:val="single" w:sz="4" w:space="0" w:color="BFBFBF"/>
              <w:right w:val="single" w:sz="4" w:space="0" w:color="BFBFBF"/>
            </w:tcBorders>
            <w:shd w:val="clear" w:color="000000" w:fill="EDF0F3"/>
            <w:noWrap/>
            <w:vAlign w:val="center"/>
            <w:hideMark/>
          </w:tcPr>
          <w:p w14:paraId="637603F2" w14:textId="4B869E48" w:rsidR="005B1670" w:rsidRPr="00AE0095" w:rsidRDefault="00741D58" w:rsidP="00AE0095">
            <w:pPr>
              <w:spacing w:before="120" w:after="120"/>
              <w:jc w:val="right"/>
              <w:rPr>
                <w:rFonts w:eastAsia="Times New Roman"/>
                <w:b/>
                <w:bCs/>
                <w:color w:val="002839"/>
                <w:sz w:val="18"/>
                <w:szCs w:val="18"/>
              </w:rPr>
            </w:pPr>
            <w:r>
              <w:rPr>
                <w:rFonts w:eastAsia="Times New Roman"/>
                <w:b/>
                <w:bCs/>
                <w:color w:val="002839"/>
                <w:sz w:val="18"/>
                <w:szCs w:val="18"/>
              </w:rPr>
              <w:t>1</w:t>
            </w:r>
            <w:r w:rsidR="000632A4">
              <w:rPr>
                <w:rFonts w:eastAsia="Times New Roman"/>
                <w:b/>
                <w:bCs/>
                <w:color w:val="002839"/>
                <w:sz w:val="18"/>
                <w:szCs w:val="18"/>
              </w:rPr>
              <w:t>9</w:t>
            </w:r>
            <w:r>
              <w:rPr>
                <w:rFonts w:eastAsia="Times New Roman"/>
                <w:b/>
                <w:bCs/>
                <w:color w:val="002839"/>
                <w:sz w:val="18"/>
                <w:szCs w:val="18"/>
              </w:rPr>
              <w:t>0</w:t>
            </w:r>
            <w:r w:rsidR="005B1670" w:rsidRPr="00AE0095">
              <w:rPr>
                <w:rFonts w:eastAsia="Times New Roman"/>
                <w:b/>
                <w:bCs/>
                <w:color w:val="002839"/>
                <w:sz w:val="18"/>
                <w:szCs w:val="18"/>
              </w:rPr>
              <w:t xml:space="preserve">,000 </w:t>
            </w:r>
          </w:p>
        </w:tc>
        <w:tc>
          <w:tcPr>
            <w:tcW w:w="531" w:type="pct"/>
            <w:tcBorders>
              <w:top w:val="nil"/>
              <w:left w:val="nil"/>
              <w:bottom w:val="single" w:sz="4" w:space="0" w:color="BFBFBF"/>
              <w:right w:val="single" w:sz="4" w:space="0" w:color="BFBFBF"/>
            </w:tcBorders>
            <w:shd w:val="clear" w:color="000000" w:fill="EDF0F3"/>
            <w:noWrap/>
            <w:vAlign w:val="center"/>
            <w:hideMark/>
          </w:tcPr>
          <w:p w14:paraId="41824B15" w14:textId="77777777" w:rsidR="005B1670" w:rsidRPr="00AE0095" w:rsidRDefault="005B1670" w:rsidP="00AE0095">
            <w:pPr>
              <w:spacing w:before="120" w:after="120"/>
              <w:jc w:val="right"/>
              <w:rPr>
                <w:rFonts w:eastAsia="Times New Roman"/>
                <w:b/>
                <w:bCs/>
                <w:color w:val="002839"/>
                <w:sz w:val="18"/>
                <w:szCs w:val="18"/>
              </w:rPr>
            </w:pPr>
            <w:r w:rsidRPr="00AE0095">
              <w:rPr>
                <w:rFonts w:eastAsia="Times New Roman"/>
                <w:b/>
                <w:bCs/>
                <w:sz w:val="18"/>
                <w:szCs w:val="18"/>
              </w:rPr>
              <w:t>-</w:t>
            </w:r>
          </w:p>
        </w:tc>
        <w:tc>
          <w:tcPr>
            <w:tcW w:w="502" w:type="pct"/>
            <w:tcBorders>
              <w:top w:val="nil"/>
              <w:left w:val="nil"/>
              <w:bottom w:val="single" w:sz="4" w:space="0" w:color="BFBFBF"/>
              <w:right w:val="single" w:sz="4" w:space="0" w:color="BFBFBF"/>
            </w:tcBorders>
            <w:shd w:val="clear" w:color="000000" w:fill="EDF0F3"/>
            <w:noWrap/>
            <w:vAlign w:val="center"/>
            <w:hideMark/>
          </w:tcPr>
          <w:p w14:paraId="3E873B3F" w14:textId="2459BA5D" w:rsidR="005B1670" w:rsidRPr="00AE0095" w:rsidRDefault="005B1670" w:rsidP="00AE0095">
            <w:pPr>
              <w:spacing w:before="120" w:after="120"/>
              <w:jc w:val="right"/>
              <w:rPr>
                <w:rFonts w:eastAsia="Times New Roman"/>
                <w:b/>
                <w:bCs/>
                <w:color w:val="002839"/>
                <w:sz w:val="18"/>
                <w:szCs w:val="18"/>
              </w:rPr>
            </w:pPr>
            <w:r w:rsidRPr="00AE0095">
              <w:rPr>
                <w:rFonts w:eastAsia="Times New Roman"/>
                <w:b/>
                <w:bCs/>
                <w:color w:val="002839"/>
                <w:sz w:val="18"/>
                <w:szCs w:val="18"/>
              </w:rPr>
              <w:t xml:space="preserve">30,000 </w:t>
            </w:r>
          </w:p>
        </w:tc>
        <w:tc>
          <w:tcPr>
            <w:tcW w:w="468" w:type="pct"/>
            <w:tcBorders>
              <w:top w:val="nil"/>
              <w:left w:val="nil"/>
              <w:bottom w:val="single" w:sz="4" w:space="0" w:color="BFBFBF"/>
              <w:right w:val="single" w:sz="4" w:space="0" w:color="BFBFBF"/>
            </w:tcBorders>
            <w:shd w:val="clear" w:color="000000" w:fill="EDF0F3"/>
            <w:noWrap/>
            <w:vAlign w:val="center"/>
            <w:hideMark/>
          </w:tcPr>
          <w:p w14:paraId="64F8B8D3" w14:textId="5FC3EF07" w:rsidR="005B1670" w:rsidRPr="00AE0095" w:rsidRDefault="00336852" w:rsidP="00AE0095">
            <w:pPr>
              <w:spacing w:before="120" w:after="120"/>
              <w:jc w:val="right"/>
              <w:rPr>
                <w:rFonts w:eastAsia="Times New Roman"/>
                <w:b/>
                <w:bCs/>
                <w:color w:val="002839"/>
                <w:sz w:val="18"/>
                <w:szCs w:val="18"/>
              </w:rPr>
            </w:pPr>
            <w:r>
              <w:rPr>
                <w:rFonts w:eastAsia="Times New Roman"/>
                <w:b/>
                <w:bCs/>
                <w:color w:val="002839"/>
                <w:sz w:val="18"/>
                <w:szCs w:val="18"/>
              </w:rPr>
              <w:t>355</w:t>
            </w:r>
            <w:r w:rsidR="005B1670" w:rsidRPr="00AE0095">
              <w:rPr>
                <w:rFonts w:eastAsia="Times New Roman"/>
                <w:b/>
                <w:bCs/>
                <w:color w:val="002839"/>
                <w:sz w:val="18"/>
                <w:szCs w:val="18"/>
              </w:rPr>
              <w:t xml:space="preserve">,000 </w:t>
            </w:r>
          </w:p>
        </w:tc>
      </w:tr>
    </w:tbl>
    <w:p w14:paraId="39D6CDB9" w14:textId="7040FAE9" w:rsidR="00BE034A" w:rsidRPr="00E53A01" w:rsidRDefault="005B1670" w:rsidP="004A3E0F">
      <w:pPr>
        <w:tabs>
          <w:tab w:val="left" w:pos="6480"/>
        </w:tabs>
        <w:spacing w:before="240"/>
        <w:ind w:left="5533"/>
      </w:pPr>
      <w:r>
        <w:tab/>
      </w:r>
      <w:r w:rsidRPr="00126689">
        <w:t xml:space="preserve">[End of </w:t>
      </w:r>
      <w:r>
        <w:t xml:space="preserve">annex and of </w:t>
      </w:r>
      <w:r w:rsidRPr="00126689">
        <w:t>document]</w:t>
      </w:r>
    </w:p>
    <w:sectPr w:rsidR="00BE034A" w:rsidRPr="00E53A01" w:rsidSect="005B1670">
      <w:pgSz w:w="16840" w:h="11907" w:orient="landscape"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06AC0" w14:textId="77777777" w:rsidR="006E7EC2" w:rsidRDefault="006E7EC2" w:rsidP="00DE7487">
      <w:r>
        <w:separator/>
      </w:r>
    </w:p>
  </w:endnote>
  <w:endnote w:type="continuationSeparator" w:id="0">
    <w:p w14:paraId="07DD8C80" w14:textId="77777777" w:rsidR="006E7EC2" w:rsidRDefault="006E7EC2" w:rsidP="00DE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dy">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4D094" w14:textId="2C79F11F" w:rsidR="00DE7487" w:rsidRDefault="00DE7487" w:rsidP="00DE748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2E6DE" w14:textId="422F526D" w:rsidR="00DE7487" w:rsidRDefault="00DE748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D07B7" w14:textId="624D1519" w:rsidR="00DE7487" w:rsidRDefault="00DE7487" w:rsidP="00DC3DD9">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C096D" w14:textId="0211072E" w:rsidR="005B1670" w:rsidRDefault="005B16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1B615" w14:textId="6F9D569F" w:rsidR="005B1670" w:rsidRDefault="005B167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B7111" w14:textId="6C9A1ED2" w:rsidR="005B1670" w:rsidRDefault="005B1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4BACE" w14:textId="77777777" w:rsidR="006E7EC2" w:rsidRDefault="006E7EC2" w:rsidP="00DE7487">
      <w:r>
        <w:separator/>
      </w:r>
    </w:p>
  </w:footnote>
  <w:footnote w:type="continuationSeparator" w:id="0">
    <w:p w14:paraId="31213E02" w14:textId="77777777" w:rsidR="006E7EC2" w:rsidRDefault="006E7EC2" w:rsidP="00DE7487">
      <w:r>
        <w:continuationSeparator/>
      </w:r>
    </w:p>
  </w:footnote>
  <w:footnote w:id="1">
    <w:p w14:paraId="5A341735" w14:textId="21CAD834" w:rsidR="00A31D19" w:rsidRDefault="00A31D19">
      <w:pPr>
        <w:pStyle w:val="FootnoteText"/>
      </w:pPr>
      <w:r>
        <w:rPr>
          <w:rStyle w:val="FootnoteReference"/>
        </w:rPr>
        <w:footnoteRef/>
      </w:r>
      <w:r>
        <w:t xml:space="preserve"> WIPO </w:t>
      </w:r>
      <w:r w:rsidR="00B711EE">
        <w:t>NIPS</w:t>
      </w:r>
      <w:r>
        <w:t xml:space="preserve"> webpage is available at:</w:t>
      </w:r>
      <w:r w:rsidR="00381E6E">
        <w:t xml:space="preserve"> </w:t>
      </w:r>
      <w:r>
        <w:t xml:space="preserve"> </w:t>
      </w:r>
      <w:hyperlink r:id="rId1" w:history="1">
        <w:r w:rsidRPr="00F811F7">
          <w:rPr>
            <w:rStyle w:val="Hyperlink"/>
          </w:rPr>
          <w:t>https://www.wipo.int/web/national-ip-strategies</w:t>
        </w:r>
      </w:hyperlink>
      <w:r>
        <w:t xml:space="preserve">. </w:t>
      </w:r>
    </w:p>
  </w:footnote>
  <w:footnote w:id="2">
    <w:p w14:paraId="48B63675" w14:textId="300DE533" w:rsidR="00185565" w:rsidRDefault="00185565">
      <w:pPr>
        <w:pStyle w:val="FootnoteText"/>
      </w:pPr>
      <w:r>
        <w:rPr>
          <w:rStyle w:val="FootnoteReference"/>
        </w:rPr>
        <w:footnoteRef/>
      </w:r>
      <w:r>
        <w:t xml:space="preserve"> </w:t>
      </w:r>
      <w:r w:rsidRPr="00185565">
        <w:t xml:space="preserve">WIPO </w:t>
      </w:r>
      <w:r w:rsidR="008E37B0">
        <w:t>NIPS</w:t>
      </w:r>
      <w:r w:rsidRPr="00185565">
        <w:t xml:space="preserve"> webpage is available at: </w:t>
      </w:r>
      <w:r w:rsidR="00FE1DC3">
        <w:t xml:space="preserve"> </w:t>
      </w:r>
      <w:hyperlink r:id="rId2" w:history="1">
        <w:r w:rsidR="00FE1DC3" w:rsidRPr="002B776A">
          <w:rPr>
            <w:rStyle w:val="Hyperlink"/>
          </w:rPr>
          <w:t>https://www.wipo.int/web/national-ip-strategies</w:t>
        </w:r>
      </w:hyperlink>
      <w:r w:rsidR="00FE1DC3">
        <w:t xml:space="preserve"> </w:t>
      </w:r>
    </w:p>
  </w:footnote>
  <w:footnote w:id="3">
    <w:p w14:paraId="56D3AD1F" w14:textId="77777777" w:rsidR="005B1670" w:rsidRDefault="005B1670" w:rsidP="00AA21FF">
      <w:pPr>
        <w:pStyle w:val="FootnoteText"/>
      </w:pPr>
      <w:r>
        <w:rPr>
          <w:rStyle w:val="FootnoteReference"/>
        </w:rPr>
        <w:footnoteRef/>
      </w:r>
      <w:r>
        <w:t>Implementation will start only once the pre-implementation activities have been delivered.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5A547" w14:textId="427EA745" w:rsidR="00F94AAF" w:rsidRPr="00F321E0" w:rsidRDefault="00F94AAF" w:rsidP="00F94AAF">
    <w:pPr>
      <w:pBdr>
        <w:top w:val="nil"/>
        <w:left w:val="nil"/>
        <w:bottom w:val="nil"/>
        <w:right w:val="nil"/>
        <w:between w:val="nil"/>
      </w:pBdr>
      <w:ind w:left="-1260" w:right="-560"/>
      <w:jc w:val="right"/>
      <w:rPr>
        <w:rFonts w:eastAsia="Calibri"/>
        <w:color w:val="000000"/>
      </w:rPr>
    </w:pPr>
    <w:r w:rsidRPr="00F321E0">
      <w:rPr>
        <w:rFonts w:eastAsia="Calibri"/>
        <w:color w:val="000000"/>
      </w:rPr>
      <w:t>CDIP/</w:t>
    </w:r>
    <w:r>
      <w:rPr>
        <w:rFonts w:eastAsia="Calibri"/>
        <w:color w:val="000000"/>
      </w:rPr>
      <w:t>33/XX</w:t>
    </w:r>
  </w:p>
  <w:p w14:paraId="1C423FE1" w14:textId="77777777" w:rsidR="00F94AAF" w:rsidRDefault="00F94AAF" w:rsidP="00F94AAF">
    <w:pPr>
      <w:ind w:left="-1260" w:right="-560"/>
      <w:jc w:val="right"/>
    </w:pPr>
    <w:r>
      <w:t xml:space="preserve">     </w:t>
    </w:r>
    <w:r>
      <w:tab/>
    </w:r>
    <w:r>
      <w:tab/>
    </w:r>
    <w:r>
      <w:tab/>
    </w:r>
    <w:r>
      <w:tab/>
    </w:r>
    <w:r>
      <w:tab/>
      <w:t xml:space="preserve">Annex, page </w:t>
    </w:r>
    <w:r>
      <w:fldChar w:fldCharType="begin"/>
    </w:r>
    <w:r>
      <w:instrText xml:space="preserve"> PAGE  \* MERGEFORMAT </w:instrText>
    </w:r>
    <w:r>
      <w:fldChar w:fldCharType="separate"/>
    </w:r>
    <w:r>
      <w:t>2</w:t>
    </w:r>
    <w:r>
      <w:fldChar w:fldCharType="end"/>
    </w:r>
  </w:p>
  <w:p w14:paraId="7E082102" w14:textId="77777777" w:rsidR="00F94AAF" w:rsidRDefault="00F94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4650D" w14:textId="61AF9394" w:rsidR="00F94AAF" w:rsidRPr="00F321E0" w:rsidRDefault="00F94AAF" w:rsidP="00F94AAF">
    <w:pPr>
      <w:pBdr>
        <w:top w:val="nil"/>
        <w:left w:val="nil"/>
        <w:bottom w:val="nil"/>
        <w:right w:val="nil"/>
        <w:between w:val="nil"/>
      </w:pBdr>
      <w:ind w:left="-1260" w:right="-560"/>
      <w:jc w:val="right"/>
      <w:rPr>
        <w:rFonts w:eastAsia="Calibri"/>
        <w:color w:val="000000"/>
      </w:rPr>
    </w:pPr>
    <w:r w:rsidRPr="00F321E0">
      <w:rPr>
        <w:rFonts w:eastAsia="Calibri"/>
        <w:color w:val="000000"/>
      </w:rPr>
      <w:t>CDIP/</w:t>
    </w:r>
    <w:r>
      <w:rPr>
        <w:rFonts w:eastAsia="Calibri"/>
        <w:color w:val="000000"/>
      </w:rPr>
      <w:t>33/X</w:t>
    </w:r>
  </w:p>
  <w:p w14:paraId="12A562F7" w14:textId="77777777" w:rsidR="00F94AAF" w:rsidRDefault="00F94AAF" w:rsidP="00F94AAF">
    <w:pPr>
      <w:ind w:left="-1260" w:right="-560"/>
      <w:jc w:val="right"/>
    </w:pPr>
    <w:r>
      <w:t xml:space="preserve">     </w:t>
    </w:r>
    <w:r>
      <w:tab/>
    </w:r>
    <w:r>
      <w:tab/>
    </w:r>
    <w:r>
      <w:tab/>
    </w:r>
    <w:r>
      <w:tab/>
    </w:r>
    <w:r>
      <w:tab/>
      <w:t xml:space="preserve">Annex, page </w:t>
    </w:r>
    <w:r>
      <w:fldChar w:fldCharType="begin"/>
    </w:r>
    <w:r>
      <w:instrText xml:space="preserve"> PAGE  \* MERGEFORMAT </w:instrText>
    </w:r>
    <w:r>
      <w:fldChar w:fldCharType="separate"/>
    </w:r>
    <w:r>
      <w:t>2</w:t>
    </w:r>
    <w:r>
      <w:fldChar w:fldCharType="end"/>
    </w:r>
  </w:p>
  <w:p w14:paraId="5C2F3FA5" w14:textId="77777777" w:rsidR="00174446" w:rsidRDefault="001744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94BE4" w14:textId="055CAD8E" w:rsidR="00582354" w:rsidRPr="00F321E0" w:rsidRDefault="00582354" w:rsidP="00F94AAF">
    <w:pPr>
      <w:pBdr>
        <w:top w:val="nil"/>
        <w:left w:val="nil"/>
        <w:bottom w:val="nil"/>
        <w:right w:val="nil"/>
        <w:between w:val="nil"/>
      </w:pBdr>
      <w:ind w:left="-1260" w:right="-560"/>
      <w:jc w:val="right"/>
      <w:rPr>
        <w:rFonts w:eastAsia="Calibri"/>
        <w:color w:val="000000"/>
      </w:rPr>
    </w:pPr>
    <w:r w:rsidRPr="00F321E0">
      <w:rPr>
        <w:rFonts w:eastAsia="Calibri"/>
        <w:color w:val="000000"/>
      </w:rPr>
      <w:t>CDIP/</w:t>
    </w:r>
    <w:r>
      <w:rPr>
        <w:rFonts w:eastAsia="Calibri"/>
        <w:color w:val="000000"/>
      </w:rPr>
      <w:t>33/</w:t>
    </w:r>
    <w:r w:rsidR="00BD2B7E">
      <w:rPr>
        <w:rFonts w:eastAsia="Calibri"/>
        <w:color w:val="000000"/>
      </w:rPr>
      <w:t>12</w:t>
    </w:r>
  </w:p>
  <w:p w14:paraId="34411ECE" w14:textId="77777777" w:rsidR="00582354" w:rsidRDefault="00582354" w:rsidP="00F94AAF">
    <w:pPr>
      <w:ind w:left="-1260" w:right="-560"/>
      <w:jc w:val="right"/>
    </w:pPr>
    <w:r>
      <w:t xml:space="preserve">     </w:t>
    </w:r>
    <w:r>
      <w:tab/>
    </w:r>
    <w:r>
      <w:tab/>
    </w:r>
    <w:r>
      <w:tab/>
    </w:r>
    <w:r>
      <w:tab/>
    </w:r>
    <w:r>
      <w:tab/>
      <w:t xml:space="preserve">Annex, page </w:t>
    </w:r>
    <w:r>
      <w:fldChar w:fldCharType="begin"/>
    </w:r>
    <w:r>
      <w:instrText xml:space="preserve"> PAGE  \* MERGEFORMAT </w:instrText>
    </w:r>
    <w:r>
      <w:fldChar w:fldCharType="separate"/>
    </w:r>
    <w:r>
      <w:t>2</w:t>
    </w:r>
    <w:r>
      <w:fldChar w:fldCharType="end"/>
    </w:r>
  </w:p>
  <w:p w14:paraId="4147886C" w14:textId="77777777" w:rsidR="00582354" w:rsidRDefault="00582354">
    <w:pPr>
      <w:pStyle w:val="Header"/>
    </w:pPr>
  </w:p>
  <w:p w14:paraId="5D4B4718" w14:textId="77777777" w:rsidR="000E77F2" w:rsidRDefault="000E77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D983D" w14:textId="5D9F26EA" w:rsidR="00582354" w:rsidRPr="00F321E0" w:rsidRDefault="00582354" w:rsidP="00582354">
    <w:pPr>
      <w:pBdr>
        <w:top w:val="nil"/>
        <w:left w:val="nil"/>
        <w:bottom w:val="nil"/>
        <w:right w:val="nil"/>
        <w:between w:val="nil"/>
      </w:pBdr>
      <w:ind w:left="-1260" w:right="-560"/>
      <w:jc w:val="right"/>
      <w:rPr>
        <w:rFonts w:eastAsia="Calibri"/>
        <w:color w:val="000000"/>
      </w:rPr>
    </w:pPr>
    <w:r w:rsidRPr="00F321E0">
      <w:rPr>
        <w:rFonts w:eastAsia="Calibri"/>
        <w:color w:val="000000"/>
      </w:rPr>
      <w:t>CDIP/</w:t>
    </w:r>
    <w:r>
      <w:rPr>
        <w:rFonts w:eastAsia="Calibri"/>
        <w:color w:val="000000"/>
      </w:rPr>
      <w:t>33/</w:t>
    </w:r>
    <w:r w:rsidR="00BD2B7E">
      <w:rPr>
        <w:rFonts w:eastAsia="Calibri"/>
        <w:color w:val="000000"/>
      </w:rPr>
      <w:t>12</w:t>
    </w:r>
  </w:p>
  <w:p w14:paraId="1B8617F5" w14:textId="77777777" w:rsidR="00582354" w:rsidRDefault="00582354" w:rsidP="00582354">
    <w:pPr>
      <w:ind w:left="-1260" w:right="-560"/>
      <w:jc w:val="right"/>
    </w:pPr>
    <w:r>
      <w:t xml:space="preserve">     </w:t>
    </w:r>
    <w:r>
      <w:tab/>
    </w:r>
    <w:r>
      <w:tab/>
    </w:r>
    <w:r>
      <w:tab/>
    </w:r>
    <w:r>
      <w:tab/>
    </w:r>
    <w:r>
      <w:tab/>
      <w:t>ANNEX</w:t>
    </w:r>
  </w:p>
  <w:p w14:paraId="1B92660B" w14:textId="77777777" w:rsidR="00582354" w:rsidRDefault="00582354" w:rsidP="00582354">
    <w:pPr>
      <w:ind w:left="-1260" w:right="-560"/>
      <w:jc w:val="right"/>
    </w:pPr>
  </w:p>
  <w:p w14:paraId="66DF5236" w14:textId="77777777" w:rsidR="00582354" w:rsidRDefault="00582354" w:rsidP="00582354">
    <w:pPr>
      <w:ind w:left="-1260" w:right="-56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05592" w14:textId="4C45AEE0" w:rsidR="00F94AAF" w:rsidRPr="00F321E0" w:rsidRDefault="00F94AAF" w:rsidP="00F94AAF">
    <w:pPr>
      <w:pBdr>
        <w:top w:val="nil"/>
        <w:left w:val="nil"/>
        <w:bottom w:val="nil"/>
        <w:right w:val="nil"/>
        <w:between w:val="nil"/>
      </w:pBdr>
      <w:ind w:left="-1260" w:right="-560"/>
      <w:jc w:val="right"/>
      <w:rPr>
        <w:rFonts w:eastAsia="Calibri"/>
        <w:color w:val="000000"/>
      </w:rPr>
    </w:pPr>
    <w:r w:rsidRPr="00F321E0">
      <w:rPr>
        <w:rFonts w:eastAsia="Calibri"/>
        <w:color w:val="000000"/>
      </w:rPr>
      <w:t>CDIP/</w:t>
    </w:r>
    <w:r>
      <w:rPr>
        <w:rFonts w:eastAsia="Calibri"/>
        <w:color w:val="000000"/>
      </w:rPr>
      <w:t>33/</w:t>
    </w:r>
    <w:r w:rsidR="00BD2B7E">
      <w:rPr>
        <w:rFonts w:eastAsia="Calibri"/>
        <w:color w:val="000000"/>
      </w:rPr>
      <w:t>12</w:t>
    </w:r>
  </w:p>
  <w:p w14:paraId="5DAF7570" w14:textId="77777777" w:rsidR="00F94AAF" w:rsidRDefault="00F94AAF" w:rsidP="00F94AAF">
    <w:pPr>
      <w:ind w:left="-1260" w:right="-560"/>
      <w:jc w:val="right"/>
    </w:pPr>
    <w:r>
      <w:t xml:space="preserve">     </w:t>
    </w:r>
    <w:r>
      <w:tab/>
    </w:r>
    <w:r>
      <w:tab/>
    </w:r>
    <w:r>
      <w:tab/>
    </w:r>
    <w:r>
      <w:tab/>
    </w:r>
    <w:r>
      <w:tab/>
      <w:t xml:space="preserve">Annex, page </w:t>
    </w:r>
    <w:r>
      <w:fldChar w:fldCharType="begin"/>
    </w:r>
    <w:r>
      <w:instrText xml:space="preserve"> PAGE  \* MERGEFORMAT </w:instrText>
    </w:r>
    <w:r>
      <w:fldChar w:fldCharType="separate"/>
    </w:r>
    <w:r>
      <w:t>2</w:t>
    </w:r>
    <w:r>
      <w:fldChar w:fldCharType="end"/>
    </w:r>
  </w:p>
  <w:p w14:paraId="33B445C1" w14:textId="77777777" w:rsidR="005B1670" w:rsidRDefault="005B1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5C172EE"/>
    <w:multiLevelType w:val="hybridMultilevel"/>
    <w:tmpl w:val="B024EA30"/>
    <w:lvl w:ilvl="0" w:tplc="938E3F00">
      <w:start w:val="1"/>
      <w:numFmt w:val="lowerLetter"/>
      <w:lvlText w:val="(%1)"/>
      <w:lvlJc w:val="left"/>
      <w:pPr>
        <w:ind w:left="470" w:hanging="360"/>
      </w:pPr>
      <w:rPr>
        <w:rFonts w:hint="default"/>
        <w:b w:val="0"/>
        <w:bCs/>
      </w:rPr>
    </w:lvl>
    <w:lvl w:ilvl="1" w:tplc="20000003" w:tentative="1">
      <w:start w:val="1"/>
      <w:numFmt w:val="bullet"/>
      <w:lvlText w:val="o"/>
      <w:lvlJc w:val="left"/>
      <w:pPr>
        <w:ind w:left="1190" w:hanging="360"/>
      </w:pPr>
      <w:rPr>
        <w:rFonts w:ascii="Courier New" w:hAnsi="Courier New" w:cs="Courier New" w:hint="default"/>
      </w:rPr>
    </w:lvl>
    <w:lvl w:ilvl="2" w:tplc="20000005" w:tentative="1">
      <w:start w:val="1"/>
      <w:numFmt w:val="bullet"/>
      <w:lvlText w:val=""/>
      <w:lvlJc w:val="left"/>
      <w:pPr>
        <w:ind w:left="1910" w:hanging="360"/>
      </w:pPr>
      <w:rPr>
        <w:rFonts w:ascii="Wingdings" w:hAnsi="Wingdings" w:hint="default"/>
      </w:rPr>
    </w:lvl>
    <w:lvl w:ilvl="3" w:tplc="20000001" w:tentative="1">
      <w:start w:val="1"/>
      <w:numFmt w:val="bullet"/>
      <w:lvlText w:val=""/>
      <w:lvlJc w:val="left"/>
      <w:pPr>
        <w:ind w:left="2630" w:hanging="360"/>
      </w:pPr>
      <w:rPr>
        <w:rFonts w:ascii="Symbol" w:hAnsi="Symbol" w:hint="default"/>
      </w:rPr>
    </w:lvl>
    <w:lvl w:ilvl="4" w:tplc="20000003" w:tentative="1">
      <w:start w:val="1"/>
      <w:numFmt w:val="bullet"/>
      <w:lvlText w:val="o"/>
      <w:lvlJc w:val="left"/>
      <w:pPr>
        <w:ind w:left="3350" w:hanging="360"/>
      </w:pPr>
      <w:rPr>
        <w:rFonts w:ascii="Courier New" w:hAnsi="Courier New" w:cs="Courier New" w:hint="default"/>
      </w:rPr>
    </w:lvl>
    <w:lvl w:ilvl="5" w:tplc="20000005" w:tentative="1">
      <w:start w:val="1"/>
      <w:numFmt w:val="bullet"/>
      <w:lvlText w:val=""/>
      <w:lvlJc w:val="left"/>
      <w:pPr>
        <w:ind w:left="4070" w:hanging="360"/>
      </w:pPr>
      <w:rPr>
        <w:rFonts w:ascii="Wingdings" w:hAnsi="Wingdings" w:hint="default"/>
      </w:rPr>
    </w:lvl>
    <w:lvl w:ilvl="6" w:tplc="20000001" w:tentative="1">
      <w:start w:val="1"/>
      <w:numFmt w:val="bullet"/>
      <w:lvlText w:val=""/>
      <w:lvlJc w:val="left"/>
      <w:pPr>
        <w:ind w:left="4790" w:hanging="360"/>
      </w:pPr>
      <w:rPr>
        <w:rFonts w:ascii="Symbol" w:hAnsi="Symbol" w:hint="default"/>
      </w:rPr>
    </w:lvl>
    <w:lvl w:ilvl="7" w:tplc="20000003" w:tentative="1">
      <w:start w:val="1"/>
      <w:numFmt w:val="bullet"/>
      <w:lvlText w:val="o"/>
      <w:lvlJc w:val="left"/>
      <w:pPr>
        <w:ind w:left="5510" w:hanging="360"/>
      </w:pPr>
      <w:rPr>
        <w:rFonts w:ascii="Courier New" w:hAnsi="Courier New" w:cs="Courier New" w:hint="default"/>
      </w:rPr>
    </w:lvl>
    <w:lvl w:ilvl="8" w:tplc="20000005" w:tentative="1">
      <w:start w:val="1"/>
      <w:numFmt w:val="bullet"/>
      <w:lvlText w:val=""/>
      <w:lvlJc w:val="left"/>
      <w:pPr>
        <w:ind w:left="6230" w:hanging="360"/>
      </w:pPr>
      <w:rPr>
        <w:rFonts w:ascii="Wingdings" w:hAnsi="Wingdings" w:hint="default"/>
      </w:rPr>
    </w:lvl>
  </w:abstractNum>
  <w:abstractNum w:abstractNumId="2" w15:restartNumberingAfterBreak="0">
    <w:nsid w:val="073649B3"/>
    <w:multiLevelType w:val="hybridMultilevel"/>
    <w:tmpl w:val="BD64199A"/>
    <w:lvl w:ilvl="0" w:tplc="E7D0B3AE">
      <w:start w:val="1"/>
      <w:numFmt w:val="lowerLetter"/>
      <w:lvlText w:val="%1)"/>
      <w:lvlJc w:val="left"/>
      <w:pPr>
        <w:ind w:left="470" w:hanging="360"/>
      </w:pPr>
      <w:rPr>
        <w:rFonts w:hint="default"/>
      </w:rPr>
    </w:lvl>
    <w:lvl w:ilvl="1" w:tplc="04160019" w:tentative="1">
      <w:start w:val="1"/>
      <w:numFmt w:val="lowerLetter"/>
      <w:lvlText w:val="%2."/>
      <w:lvlJc w:val="left"/>
      <w:pPr>
        <w:ind w:left="1190" w:hanging="360"/>
      </w:pPr>
    </w:lvl>
    <w:lvl w:ilvl="2" w:tplc="0416001B" w:tentative="1">
      <w:start w:val="1"/>
      <w:numFmt w:val="lowerRoman"/>
      <w:lvlText w:val="%3."/>
      <w:lvlJc w:val="right"/>
      <w:pPr>
        <w:ind w:left="1910" w:hanging="180"/>
      </w:pPr>
    </w:lvl>
    <w:lvl w:ilvl="3" w:tplc="0416000F" w:tentative="1">
      <w:start w:val="1"/>
      <w:numFmt w:val="decimal"/>
      <w:lvlText w:val="%4."/>
      <w:lvlJc w:val="left"/>
      <w:pPr>
        <w:ind w:left="2630" w:hanging="360"/>
      </w:pPr>
    </w:lvl>
    <w:lvl w:ilvl="4" w:tplc="04160019" w:tentative="1">
      <w:start w:val="1"/>
      <w:numFmt w:val="lowerLetter"/>
      <w:lvlText w:val="%5."/>
      <w:lvlJc w:val="left"/>
      <w:pPr>
        <w:ind w:left="3350" w:hanging="360"/>
      </w:pPr>
    </w:lvl>
    <w:lvl w:ilvl="5" w:tplc="0416001B" w:tentative="1">
      <w:start w:val="1"/>
      <w:numFmt w:val="lowerRoman"/>
      <w:lvlText w:val="%6."/>
      <w:lvlJc w:val="right"/>
      <w:pPr>
        <w:ind w:left="4070" w:hanging="180"/>
      </w:pPr>
    </w:lvl>
    <w:lvl w:ilvl="6" w:tplc="0416000F" w:tentative="1">
      <w:start w:val="1"/>
      <w:numFmt w:val="decimal"/>
      <w:lvlText w:val="%7."/>
      <w:lvlJc w:val="left"/>
      <w:pPr>
        <w:ind w:left="4790" w:hanging="360"/>
      </w:pPr>
    </w:lvl>
    <w:lvl w:ilvl="7" w:tplc="04160019" w:tentative="1">
      <w:start w:val="1"/>
      <w:numFmt w:val="lowerLetter"/>
      <w:lvlText w:val="%8."/>
      <w:lvlJc w:val="left"/>
      <w:pPr>
        <w:ind w:left="5510" w:hanging="360"/>
      </w:pPr>
    </w:lvl>
    <w:lvl w:ilvl="8" w:tplc="0416001B" w:tentative="1">
      <w:start w:val="1"/>
      <w:numFmt w:val="lowerRoman"/>
      <w:lvlText w:val="%9."/>
      <w:lvlJc w:val="right"/>
      <w:pPr>
        <w:ind w:left="6230" w:hanging="180"/>
      </w:pPr>
    </w:lvl>
  </w:abstractNum>
  <w:abstractNum w:abstractNumId="3" w15:restartNumberingAfterBreak="0">
    <w:nsid w:val="116912B6"/>
    <w:multiLevelType w:val="hybridMultilevel"/>
    <w:tmpl w:val="3E36E896"/>
    <w:lvl w:ilvl="0" w:tplc="9328EFE2">
      <w:numFmt w:val="bullet"/>
      <w:lvlText w:val="-"/>
      <w:lvlJc w:val="left"/>
      <w:pPr>
        <w:ind w:left="420" w:hanging="360"/>
      </w:pPr>
      <w:rPr>
        <w:rFonts w:ascii="Arial" w:eastAsia="Times New Roman" w:hAnsi="Arial" w:cs="Arial"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1314190E"/>
    <w:multiLevelType w:val="hybridMultilevel"/>
    <w:tmpl w:val="FD2ABE70"/>
    <w:lvl w:ilvl="0" w:tplc="FFFFFFFF">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A50D1D"/>
    <w:multiLevelType w:val="hybridMultilevel"/>
    <w:tmpl w:val="FD2ABE70"/>
    <w:lvl w:ilvl="0" w:tplc="FFFFFFFF">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1A7815"/>
    <w:multiLevelType w:val="hybridMultilevel"/>
    <w:tmpl w:val="FD2ABE70"/>
    <w:lvl w:ilvl="0" w:tplc="FFFFFFFF">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690AC6"/>
    <w:multiLevelType w:val="hybridMultilevel"/>
    <w:tmpl w:val="5F9EA010"/>
    <w:lvl w:ilvl="0" w:tplc="41304794">
      <w:start w:val="1"/>
      <w:numFmt w:val="lowerLetter"/>
      <w:lvlText w:val="%1)"/>
      <w:lvlJc w:val="left"/>
      <w:pPr>
        <w:ind w:left="470" w:hanging="360"/>
      </w:pPr>
      <w:rPr>
        <w:rFonts w:hint="default"/>
      </w:rPr>
    </w:lvl>
    <w:lvl w:ilvl="1" w:tplc="04160019" w:tentative="1">
      <w:start w:val="1"/>
      <w:numFmt w:val="lowerLetter"/>
      <w:lvlText w:val="%2."/>
      <w:lvlJc w:val="left"/>
      <w:pPr>
        <w:ind w:left="1190" w:hanging="360"/>
      </w:pPr>
    </w:lvl>
    <w:lvl w:ilvl="2" w:tplc="0416001B" w:tentative="1">
      <w:start w:val="1"/>
      <w:numFmt w:val="lowerRoman"/>
      <w:lvlText w:val="%3."/>
      <w:lvlJc w:val="right"/>
      <w:pPr>
        <w:ind w:left="1910" w:hanging="180"/>
      </w:pPr>
    </w:lvl>
    <w:lvl w:ilvl="3" w:tplc="0416000F" w:tentative="1">
      <w:start w:val="1"/>
      <w:numFmt w:val="decimal"/>
      <w:lvlText w:val="%4."/>
      <w:lvlJc w:val="left"/>
      <w:pPr>
        <w:ind w:left="2630" w:hanging="360"/>
      </w:pPr>
    </w:lvl>
    <w:lvl w:ilvl="4" w:tplc="04160019" w:tentative="1">
      <w:start w:val="1"/>
      <w:numFmt w:val="lowerLetter"/>
      <w:lvlText w:val="%5."/>
      <w:lvlJc w:val="left"/>
      <w:pPr>
        <w:ind w:left="3350" w:hanging="360"/>
      </w:pPr>
    </w:lvl>
    <w:lvl w:ilvl="5" w:tplc="0416001B" w:tentative="1">
      <w:start w:val="1"/>
      <w:numFmt w:val="lowerRoman"/>
      <w:lvlText w:val="%6."/>
      <w:lvlJc w:val="right"/>
      <w:pPr>
        <w:ind w:left="4070" w:hanging="180"/>
      </w:pPr>
    </w:lvl>
    <w:lvl w:ilvl="6" w:tplc="0416000F" w:tentative="1">
      <w:start w:val="1"/>
      <w:numFmt w:val="decimal"/>
      <w:lvlText w:val="%7."/>
      <w:lvlJc w:val="left"/>
      <w:pPr>
        <w:ind w:left="4790" w:hanging="360"/>
      </w:pPr>
    </w:lvl>
    <w:lvl w:ilvl="7" w:tplc="04160019" w:tentative="1">
      <w:start w:val="1"/>
      <w:numFmt w:val="lowerLetter"/>
      <w:lvlText w:val="%8."/>
      <w:lvlJc w:val="left"/>
      <w:pPr>
        <w:ind w:left="5510" w:hanging="360"/>
      </w:pPr>
    </w:lvl>
    <w:lvl w:ilvl="8" w:tplc="0416001B" w:tentative="1">
      <w:start w:val="1"/>
      <w:numFmt w:val="lowerRoman"/>
      <w:lvlText w:val="%9."/>
      <w:lvlJc w:val="right"/>
      <w:pPr>
        <w:ind w:left="6230" w:hanging="180"/>
      </w:pPr>
    </w:lvl>
  </w:abstractNum>
  <w:abstractNum w:abstractNumId="9" w15:restartNumberingAfterBreak="0">
    <w:nsid w:val="25C10D52"/>
    <w:multiLevelType w:val="hybridMultilevel"/>
    <w:tmpl w:val="793C4E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0" w15:restartNumberingAfterBreak="0">
    <w:nsid w:val="32413522"/>
    <w:multiLevelType w:val="hybridMultilevel"/>
    <w:tmpl w:val="62FE43F2"/>
    <w:lvl w:ilvl="0" w:tplc="66DA1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53026"/>
    <w:multiLevelType w:val="hybridMultilevel"/>
    <w:tmpl w:val="8B92D366"/>
    <w:lvl w:ilvl="0" w:tplc="869C8ADE">
      <w:start w:val="1"/>
      <w:numFmt w:val="decimal"/>
      <w:lvlText w:val="%1."/>
      <w:lvlJc w:val="left"/>
      <w:pPr>
        <w:ind w:left="720" w:hanging="360"/>
      </w:pPr>
      <w:rPr>
        <w:rFonts w:hint="default"/>
        <w:b w:val="0"/>
        <w:i/>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CE09FE"/>
    <w:multiLevelType w:val="hybridMultilevel"/>
    <w:tmpl w:val="B024EA30"/>
    <w:lvl w:ilvl="0" w:tplc="FFFFFFFF">
      <w:start w:val="1"/>
      <w:numFmt w:val="lowerLetter"/>
      <w:lvlText w:val="(%1)"/>
      <w:lvlJc w:val="left"/>
      <w:pPr>
        <w:ind w:left="470" w:hanging="360"/>
      </w:pPr>
      <w:rPr>
        <w:rFonts w:hint="default"/>
        <w:b w:val="0"/>
        <w:bCs/>
      </w:rPr>
    </w:lvl>
    <w:lvl w:ilvl="1" w:tplc="FFFFFFFF" w:tentative="1">
      <w:start w:val="1"/>
      <w:numFmt w:val="bullet"/>
      <w:lvlText w:val="o"/>
      <w:lvlJc w:val="left"/>
      <w:pPr>
        <w:ind w:left="1190" w:hanging="360"/>
      </w:pPr>
      <w:rPr>
        <w:rFonts w:ascii="Courier New" w:hAnsi="Courier New" w:cs="Courier New" w:hint="default"/>
      </w:rPr>
    </w:lvl>
    <w:lvl w:ilvl="2" w:tplc="FFFFFFFF" w:tentative="1">
      <w:start w:val="1"/>
      <w:numFmt w:val="bullet"/>
      <w:lvlText w:val=""/>
      <w:lvlJc w:val="left"/>
      <w:pPr>
        <w:ind w:left="1910" w:hanging="360"/>
      </w:pPr>
      <w:rPr>
        <w:rFonts w:ascii="Wingdings" w:hAnsi="Wingdings" w:hint="default"/>
      </w:rPr>
    </w:lvl>
    <w:lvl w:ilvl="3" w:tplc="FFFFFFFF" w:tentative="1">
      <w:start w:val="1"/>
      <w:numFmt w:val="bullet"/>
      <w:lvlText w:val=""/>
      <w:lvlJc w:val="left"/>
      <w:pPr>
        <w:ind w:left="2630" w:hanging="360"/>
      </w:pPr>
      <w:rPr>
        <w:rFonts w:ascii="Symbol" w:hAnsi="Symbol" w:hint="default"/>
      </w:rPr>
    </w:lvl>
    <w:lvl w:ilvl="4" w:tplc="FFFFFFFF" w:tentative="1">
      <w:start w:val="1"/>
      <w:numFmt w:val="bullet"/>
      <w:lvlText w:val="o"/>
      <w:lvlJc w:val="left"/>
      <w:pPr>
        <w:ind w:left="3350" w:hanging="360"/>
      </w:pPr>
      <w:rPr>
        <w:rFonts w:ascii="Courier New" w:hAnsi="Courier New" w:cs="Courier New" w:hint="default"/>
      </w:rPr>
    </w:lvl>
    <w:lvl w:ilvl="5" w:tplc="FFFFFFFF" w:tentative="1">
      <w:start w:val="1"/>
      <w:numFmt w:val="bullet"/>
      <w:lvlText w:val=""/>
      <w:lvlJc w:val="left"/>
      <w:pPr>
        <w:ind w:left="4070" w:hanging="360"/>
      </w:pPr>
      <w:rPr>
        <w:rFonts w:ascii="Wingdings" w:hAnsi="Wingdings" w:hint="default"/>
      </w:rPr>
    </w:lvl>
    <w:lvl w:ilvl="6" w:tplc="FFFFFFFF" w:tentative="1">
      <w:start w:val="1"/>
      <w:numFmt w:val="bullet"/>
      <w:lvlText w:val=""/>
      <w:lvlJc w:val="left"/>
      <w:pPr>
        <w:ind w:left="4790" w:hanging="360"/>
      </w:pPr>
      <w:rPr>
        <w:rFonts w:ascii="Symbol" w:hAnsi="Symbol" w:hint="default"/>
      </w:rPr>
    </w:lvl>
    <w:lvl w:ilvl="7" w:tplc="FFFFFFFF" w:tentative="1">
      <w:start w:val="1"/>
      <w:numFmt w:val="bullet"/>
      <w:lvlText w:val="o"/>
      <w:lvlJc w:val="left"/>
      <w:pPr>
        <w:ind w:left="5510" w:hanging="360"/>
      </w:pPr>
      <w:rPr>
        <w:rFonts w:ascii="Courier New" w:hAnsi="Courier New" w:cs="Courier New" w:hint="default"/>
      </w:rPr>
    </w:lvl>
    <w:lvl w:ilvl="8" w:tplc="FFFFFFFF" w:tentative="1">
      <w:start w:val="1"/>
      <w:numFmt w:val="bullet"/>
      <w:lvlText w:val=""/>
      <w:lvlJc w:val="left"/>
      <w:pPr>
        <w:ind w:left="6230" w:hanging="360"/>
      </w:pPr>
      <w:rPr>
        <w:rFonts w:ascii="Wingdings" w:hAnsi="Wingdings" w:hint="default"/>
      </w:rPr>
    </w:lvl>
  </w:abstractNum>
  <w:abstractNum w:abstractNumId="13" w15:restartNumberingAfterBreak="0">
    <w:nsid w:val="39F36F6B"/>
    <w:multiLevelType w:val="hybridMultilevel"/>
    <w:tmpl w:val="FE489D96"/>
    <w:lvl w:ilvl="0" w:tplc="E53CCEA4">
      <w:start w:val="1"/>
      <w:numFmt w:val="lowerRoman"/>
      <w:lvlText w:val="%1)"/>
      <w:lvlJc w:val="left"/>
      <w:pPr>
        <w:ind w:left="830" w:hanging="720"/>
      </w:pPr>
      <w:rPr>
        <w:rFonts w:hint="default"/>
      </w:rPr>
    </w:lvl>
    <w:lvl w:ilvl="1" w:tplc="04160019" w:tentative="1">
      <w:start w:val="1"/>
      <w:numFmt w:val="lowerLetter"/>
      <w:lvlText w:val="%2."/>
      <w:lvlJc w:val="left"/>
      <w:pPr>
        <w:ind w:left="1190" w:hanging="360"/>
      </w:pPr>
    </w:lvl>
    <w:lvl w:ilvl="2" w:tplc="0416001B" w:tentative="1">
      <w:start w:val="1"/>
      <w:numFmt w:val="lowerRoman"/>
      <w:lvlText w:val="%3."/>
      <w:lvlJc w:val="right"/>
      <w:pPr>
        <w:ind w:left="1910" w:hanging="180"/>
      </w:pPr>
    </w:lvl>
    <w:lvl w:ilvl="3" w:tplc="0416000F" w:tentative="1">
      <w:start w:val="1"/>
      <w:numFmt w:val="decimal"/>
      <w:lvlText w:val="%4."/>
      <w:lvlJc w:val="left"/>
      <w:pPr>
        <w:ind w:left="2630" w:hanging="360"/>
      </w:pPr>
    </w:lvl>
    <w:lvl w:ilvl="4" w:tplc="04160019" w:tentative="1">
      <w:start w:val="1"/>
      <w:numFmt w:val="lowerLetter"/>
      <w:lvlText w:val="%5."/>
      <w:lvlJc w:val="left"/>
      <w:pPr>
        <w:ind w:left="3350" w:hanging="360"/>
      </w:pPr>
    </w:lvl>
    <w:lvl w:ilvl="5" w:tplc="0416001B" w:tentative="1">
      <w:start w:val="1"/>
      <w:numFmt w:val="lowerRoman"/>
      <w:lvlText w:val="%6."/>
      <w:lvlJc w:val="right"/>
      <w:pPr>
        <w:ind w:left="4070" w:hanging="180"/>
      </w:pPr>
    </w:lvl>
    <w:lvl w:ilvl="6" w:tplc="0416000F" w:tentative="1">
      <w:start w:val="1"/>
      <w:numFmt w:val="decimal"/>
      <w:lvlText w:val="%7."/>
      <w:lvlJc w:val="left"/>
      <w:pPr>
        <w:ind w:left="4790" w:hanging="360"/>
      </w:pPr>
    </w:lvl>
    <w:lvl w:ilvl="7" w:tplc="04160019" w:tentative="1">
      <w:start w:val="1"/>
      <w:numFmt w:val="lowerLetter"/>
      <w:lvlText w:val="%8."/>
      <w:lvlJc w:val="left"/>
      <w:pPr>
        <w:ind w:left="5510" w:hanging="360"/>
      </w:pPr>
    </w:lvl>
    <w:lvl w:ilvl="8" w:tplc="0416001B" w:tentative="1">
      <w:start w:val="1"/>
      <w:numFmt w:val="lowerRoman"/>
      <w:lvlText w:val="%9."/>
      <w:lvlJc w:val="right"/>
      <w:pPr>
        <w:ind w:left="6230" w:hanging="180"/>
      </w:pPr>
    </w:lvl>
  </w:abstractNum>
  <w:abstractNum w:abstractNumId="14" w15:restartNumberingAfterBreak="0">
    <w:nsid w:val="3B5A1BAE"/>
    <w:multiLevelType w:val="hybridMultilevel"/>
    <w:tmpl w:val="7870F76C"/>
    <w:lvl w:ilvl="0" w:tplc="7F42A5F8">
      <w:start w:val="1"/>
      <w:numFmt w:val="decimal"/>
      <w:lvlText w:val="(%1)"/>
      <w:lvlJc w:val="left"/>
      <w:pPr>
        <w:ind w:left="480" w:hanging="360"/>
      </w:pPr>
      <w:rPr>
        <w:rFonts w:hint="default"/>
        <w:sz w:val="22"/>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783E9D"/>
    <w:multiLevelType w:val="hybridMultilevel"/>
    <w:tmpl w:val="DD1E855E"/>
    <w:lvl w:ilvl="0" w:tplc="91F625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9870AD"/>
    <w:multiLevelType w:val="hybridMultilevel"/>
    <w:tmpl w:val="5FA0EC4C"/>
    <w:lvl w:ilvl="0" w:tplc="1C986224">
      <w:start w:val="1"/>
      <w:numFmt w:val="decimal"/>
      <w:lvlText w:val="(%1)"/>
      <w:lvlJc w:val="left"/>
      <w:pPr>
        <w:ind w:left="480" w:hanging="360"/>
      </w:pPr>
      <w:rPr>
        <w:rFonts w:hint="default"/>
        <w:sz w:val="22"/>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5169018C"/>
    <w:multiLevelType w:val="hybridMultilevel"/>
    <w:tmpl w:val="0BC01D78"/>
    <w:lvl w:ilvl="0" w:tplc="10CA87AA">
      <w:start w:val="1"/>
      <w:numFmt w:val="lowerLetter"/>
      <w:lvlText w:val="%1)"/>
      <w:lvlJc w:val="left"/>
      <w:pPr>
        <w:ind w:left="470" w:hanging="360"/>
      </w:pPr>
      <w:rPr>
        <w:rFonts w:hint="default"/>
      </w:rPr>
    </w:lvl>
    <w:lvl w:ilvl="1" w:tplc="04160019" w:tentative="1">
      <w:start w:val="1"/>
      <w:numFmt w:val="lowerLetter"/>
      <w:lvlText w:val="%2."/>
      <w:lvlJc w:val="left"/>
      <w:pPr>
        <w:ind w:left="1190" w:hanging="360"/>
      </w:pPr>
    </w:lvl>
    <w:lvl w:ilvl="2" w:tplc="0416001B" w:tentative="1">
      <w:start w:val="1"/>
      <w:numFmt w:val="lowerRoman"/>
      <w:lvlText w:val="%3."/>
      <w:lvlJc w:val="right"/>
      <w:pPr>
        <w:ind w:left="1910" w:hanging="180"/>
      </w:pPr>
    </w:lvl>
    <w:lvl w:ilvl="3" w:tplc="0416000F" w:tentative="1">
      <w:start w:val="1"/>
      <w:numFmt w:val="decimal"/>
      <w:lvlText w:val="%4."/>
      <w:lvlJc w:val="left"/>
      <w:pPr>
        <w:ind w:left="2630" w:hanging="360"/>
      </w:pPr>
    </w:lvl>
    <w:lvl w:ilvl="4" w:tplc="04160019" w:tentative="1">
      <w:start w:val="1"/>
      <w:numFmt w:val="lowerLetter"/>
      <w:lvlText w:val="%5."/>
      <w:lvlJc w:val="left"/>
      <w:pPr>
        <w:ind w:left="3350" w:hanging="360"/>
      </w:pPr>
    </w:lvl>
    <w:lvl w:ilvl="5" w:tplc="0416001B" w:tentative="1">
      <w:start w:val="1"/>
      <w:numFmt w:val="lowerRoman"/>
      <w:lvlText w:val="%6."/>
      <w:lvlJc w:val="right"/>
      <w:pPr>
        <w:ind w:left="4070" w:hanging="180"/>
      </w:pPr>
    </w:lvl>
    <w:lvl w:ilvl="6" w:tplc="0416000F" w:tentative="1">
      <w:start w:val="1"/>
      <w:numFmt w:val="decimal"/>
      <w:lvlText w:val="%7."/>
      <w:lvlJc w:val="left"/>
      <w:pPr>
        <w:ind w:left="4790" w:hanging="360"/>
      </w:pPr>
    </w:lvl>
    <w:lvl w:ilvl="7" w:tplc="04160019" w:tentative="1">
      <w:start w:val="1"/>
      <w:numFmt w:val="lowerLetter"/>
      <w:lvlText w:val="%8."/>
      <w:lvlJc w:val="left"/>
      <w:pPr>
        <w:ind w:left="5510" w:hanging="360"/>
      </w:pPr>
    </w:lvl>
    <w:lvl w:ilvl="8" w:tplc="0416001B" w:tentative="1">
      <w:start w:val="1"/>
      <w:numFmt w:val="lowerRoman"/>
      <w:lvlText w:val="%9."/>
      <w:lvlJc w:val="right"/>
      <w:pPr>
        <w:ind w:left="6230" w:hanging="180"/>
      </w:pPr>
    </w:lvl>
  </w:abstractNum>
  <w:abstractNum w:abstractNumId="19" w15:restartNumberingAfterBreak="0">
    <w:nsid w:val="5A9B380D"/>
    <w:multiLevelType w:val="hybridMultilevel"/>
    <w:tmpl w:val="E7D0D0B6"/>
    <w:lvl w:ilvl="0" w:tplc="16900910">
      <w:start w:val="1"/>
      <w:numFmt w:val="lowerLetter"/>
      <w:lvlText w:val="%1)"/>
      <w:lvlJc w:val="left"/>
      <w:pPr>
        <w:ind w:left="470" w:hanging="360"/>
      </w:pPr>
      <w:rPr>
        <w:rFonts w:hint="default"/>
      </w:rPr>
    </w:lvl>
    <w:lvl w:ilvl="1" w:tplc="04160019" w:tentative="1">
      <w:start w:val="1"/>
      <w:numFmt w:val="lowerLetter"/>
      <w:lvlText w:val="%2."/>
      <w:lvlJc w:val="left"/>
      <w:pPr>
        <w:ind w:left="1190" w:hanging="360"/>
      </w:pPr>
    </w:lvl>
    <w:lvl w:ilvl="2" w:tplc="0416001B" w:tentative="1">
      <w:start w:val="1"/>
      <w:numFmt w:val="lowerRoman"/>
      <w:lvlText w:val="%3."/>
      <w:lvlJc w:val="right"/>
      <w:pPr>
        <w:ind w:left="1910" w:hanging="180"/>
      </w:pPr>
    </w:lvl>
    <w:lvl w:ilvl="3" w:tplc="0416000F" w:tentative="1">
      <w:start w:val="1"/>
      <w:numFmt w:val="decimal"/>
      <w:lvlText w:val="%4."/>
      <w:lvlJc w:val="left"/>
      <w:pPr>
        <w:ind w:left="2630" w:hanging="360"/>
      </w:pPr>
    </w:lvl>
    <w:lvl w:ilvl="4" w:tplc="04160019" w:tentative="1">
      <w:start w:val="1"/>
      <w:numFmt w:val="lowerLetter"/>
      <w:lvlText w:val="%5."/>
      <w:lvlJc w:val="left"/>
      <w:pPr>
        <w:ind w:left="3350" w:hanging="360"/>
      </w:pPr>
    </w:lvl>
    <w:lvl w:ilvl="5" w:tplc="0416001B" w:tentative="1">
      <w:start w:val="1"/>
      <w:numFmt w:val="lowerRoman"/>
      <w:lvlText w:val="%6."/>
      <w:lvlJc w:val="right"/>
      <w:pPr>
        <w:ind w:left="4070" w:hanging="180"/>
      </w:pPr>
    </w:lvl>
    <w:lvl w:ilvl="6" w:tplc="0416000F" w:tentative="1">
      <w:start w:val="1"/>
      <w:numFmt w:val="decimal"/>
      <w:lvlText w:val="%7."/>
      <w:lvlJc w:val="left"/>
      <w:pPr>
        <w:ind w:left="4790" w:hanging="360"/>
      </w:pPr>
    </w:lvl>
    <w:lvl w:ilvl="7" w:tplc="04160019" w:tentative="1">
      <w:start w:val="1"/>
      <w:numFmt w:val="lowerLetter"/>
      <w:lvlText w:val="%8."/>
      <w:lvlJc w:val="left"/>
      <w:pPr>
        <w:ind w:left="5510" w:hanging="360"/>
      </w:pPr>
    </w:lvl>
    <w:lvl w:ilvl="8" w:tplc="0416001B" w:tentative="1">
      <w:start w:val="1"/>
      <w:numFmt w:val="lowerRoman"/>
      <w:lvlText w:val="%9."/>
      <w:lvlJc w:val="right"/>
      <w:pPr>
        <w:ind w:left="6230" w:hanging="180"/>
      </w:pPr>
    </w:lvl>
  </w:abstractNum>
  <w:abstractNum w:abstractNumId="20" w15:restartNumberingAfterBreak="0">
    <w:nsid w:val="5ADB429B"/>
    <w:multiLevelType w:val="hybridMultilevel"/>
    <w:tmpl w:val="FD2ABE70"/>
    <w:lvl w:ilvl="0" w:tplc="938E3F00">
      <w:start w:val="1"/>
      <w:numFmt w:val="lowerLetter"/>
      <w:lvlText w:val="(%1)"/>
      <w:lvlJc w:val="left"/>
      <w:pPr>
        <w:ind w:left="720" w:hanging="360"/>
      </w:pPr>
      <w:rPr>
        <w:rFonts w:hint="default"/>
        <w:b w:val="0"/>
        <w:bCs/>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23"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6A620762"/>
    <w:multiLevelType w:val="hybridMultilevel"/>
    <w:tmpl w:val="C00896DC"/>
    <w:lvl w:ilvl="0" w:tplc="FBE89A52">
      <w:start w:val="1"/>
      <w:numFmt w:val="decimal"/>
      <w:lvlText w:val="(%1)"/>
      <w:lvlJc w:val="left"/>
      <w:pPr>
        <w:ind w:left="8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87239733">
    <w:abstractNumId w:val="5"/>
  </w:num>
  <w:num w:numId="2" w16cid:durableId="2053530045">
    <w:abstractNumId w:val="15"/>
  </w:num>
  <w:num w:numId="3" w16cid:durableId="1704791693">
    <w:abstractNumId w:val="27"/>
  </w:num>
  <w:num w:numId="4" w16cid:durableId="1334407746">
    <w:abstractNumId w:val="24"/>
  </w:num>
  <w:num w:numId="5" w16cid:durableId="1834181803">
    <w:abstractNumId w:val="0"/>
  </w:num>
  <w:num w:numId="6" w16cid:durableId="1308631476">
    <w:abstractNumId w:val="21"/>
  </w:num>
  <w:num w:numId="7" w16cid:durableId="635065831">
    <w:abstractNumId w:val="22"/>
  </w:num>
  <w:num w:numId="8" w16cid:durableId="294264032">
    <w:abstractNumId w:val="23"/>
  </w:num>
  <w:num w:numId="9" w16cid:durableId="952328978">
    <w:abstractNumId w:val="26"/>
  </w:num>
  <w:num w:numId="10" w16cid:durableId="592668303">
    <w:abstractNumId w:val="9"/>
  </w:num>
  <w:num w:numId="11" w16cid:durableId="26300378">
    <w:abstractNumId w:val="13"/>
  </w:num>
  <w:num w:numId="12" w16cid:durableId="1852599565">
    <w:abstractNumId w:val="18"/>
  </w:num>
  <w:num w:numId="13" w16cid:durableId="268633527">
    <w:abstractNumId w:val="2"/>
  </w:num>
  <w:num w:numId="14" w16cid:durableId="1627004650">
    <w:abstractNumId w:val="19"/>
  </w:num>
  <w:num w:numId="15" w16cid:durableId="695157588">
    <w:abstractNumId w:val="8"/>
  </w:num>
  <w:num w:numId="16" w16cid:durableId="1262881448">
    <w:abstractNumId w:val="20"/>
  </w:num>
  <w:num w:numId="17" w16cid:durableId="2047483332">
    <w:abstractNumId w:val="1"/>
  </w:num>
  <w:num w:numId="18" w16cid:durableId="1997802060">
    <w:abstractNumId w:val="12"/>
  </w:num>
  <w:num w:numId="19" w16cid:durableId="1057826014">
    <w:abstractNumId w:val="6"/>
  </w:num>
  <w:num w:numId="20" w16cid:durableId="1948080456">
    <w:abstractNumId w:val="25"/>
  </w:num>
  <w:num w:numId="21" w16cid:durableId="239218455">
    <w:abstractNumId w:val="14"/>
  </w:num>
  <w:num w:numId="22" w16cid:durableId="319844059">
    <w:abstractNumId w:val="17"/>
  </w:num>
  <w:num w:numId="23" w16cid:durableId="58019331">
    <w:abstractNumId w:val="7"/>
  </w:num>
  <w:num w:numId="24" w16cid:durableId="1364556159">
    <w:abstractNumId w:val="4"/>
  </w:num>
  <w:num w:numId="25" w16cid:durableId="1392777330">
    <w:abstractNumId w:val="16"/>
  </w:num>
  <w:num w:numId="26" w16cid:durableId="1932934360">
    <w:abstractNumId w:val="10"/>
  </w:num>
  <w:num w:numId="27" w16cid:durableId="84888349">
    <w:abstractNumId w:val="3"/>
  </w:num>
  <w:num w:numId="28" w16cid:durableId="16112320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87"/>
    <w:rsid w:val="00007378"/>
    <w:rsid w:val="0001205B"/>
    <w:rsid w:val="00016304"/>
    <w:rsid w:val="000223C1"/>
    <w:rsid w:val="00022C19"/>
    <w:rsid w:val="000230CE"/>
    <w:rsid w:val="000238F5"/>
    <w:rsid w:val="00027CE7"/>
    <w:rsid w:val="00032B72"/>
    <w:rsid w:val="000405D0"/>
    <w:rsid w:val="00041914"/>
    <w:rsid w:val="0004490B"/>
    <w:rsid w:val="000472B3"/>
    <w:rsid w:val="00052D54"/>
    <w:rsid w:val="000546E3"/>
    <w:rsid w:val="00056C9E"/>
    <w:rsid w:val="000632A4"/>
    <w:rsid w:val="000709DC"/>
    <w:rsid w:val="000735A1"/>
    <w:rsid w:val="000747B5"/>
    <w:rsid w:val="000767ED"/>
    <w:rsid w:val="000822C5"/>
    <w:rsid w:val="00086D16"/>
    <w:rsid w:val="00093F98"/>
    <w:rsid w:val="000A0E28"/>
    <w:rsid w:val="000A7C54"/>
    <w:rsid w:val="000B0EAE"/>
    <w:rsid w:val="000B1F22"/>
    <w:rsid w:val="000C3CFF"/>
    <w:rsid w:val="000C46F2"/>
    <w:rsid w:val="000D0B76"/>
    <w:rsid w:val="000D5316"/>
    <w:rsid w:val="000D6658"/>
    <w:rsid w:val="000E0623"/>
    <w:rsid w:val="000E2301"/>
    <w:rsid w:val="000E77F2"/>
    <w:rsid w:val="000E7D32"/>
    <w:rsid w:val="000F1605"/>
    <w:rsid w:val="000F2F45"/>
    <w:rsid w:val="000F49CB"/>
    <w:rsid w:val="000F5E56"/>
    <w:rsid w:val="000F7940"/>
    <w:rsid w:val="00100429"/>
    <w:rsid w:val="00101F2F"/>
    <w:rsid w:val="001155A2"/>
    <w:rsid w:val="001239EE"/>
    <w:rsid w:val="00133117"/>
    <w:rsid w:val="00133481"/>
    <w:rsid w:val="0014358C"/>
    <w:rsid w:val="00144735"/>
    <w:rsid w:val="00144F42"/>
    <w:rsid w:val="0015145D"/>
    <w:rsid w:val="00154D6A"/>
    <w:rsid w:val="00156412"/>
    <w:rsid w:val="00160A37"/>
    <w:rsid w:val="00163472"/>
    <w:rsid w:val="0016632F"/>
    <w:rsid w:val="00170C2F"/>
    <w:rsid w:val="001728AF"/>
    <w:rsid w:val="00174446"/>
    <w:rsid w:val="00175682"/>
    <w:rsid w:val="00176AA7"/>
    <w:rsid w:val="0018105C"/>
    <w:rsid w:val="00181864"/>
    <w:rsid w:val="00185565"/>
    <w:rsid w:val="00187564"/>
    <w:rsid w:val="0019025D"/>
    <w:rsid w:val="00195A4C"/>
    <w:rsid w:val="001A14E0"/>
    <w:rsid w:val="001A3E6C"/>
    <w:rsid w:val="001B4CA2"/>
    <w:rsid w:val="001B6924"/>
    <w:rsid w:val="001B6A5C"/>
    <w:rsid w:val="001B6ED8"/>
    <w:rsid w:val="001B727F"/>
    <w:rsid w:val="001C0442"/>
    <w:rsid w:val="001C05CA"/>
    <w:rsid w:val="001C40FA"/>
    <w:rsid w:val="001C5F6E"/>
    <w:rsid w:val="001C733D"/>
    <w:rsid w:val="001D06E8"/>
    <w:rsid w:val="001D1171"/>
    <w:rsid w:val="001D43E1"/>
    <w:rsid w:val="001D5D83"/>
    <w:rsid w:val="001D671B"/>
    <w:rsid w:val="001D7E4C"/>
    <w:rsid w:val="001E5B4F"/>
    <w:rsid w:val="001E77C6"/>
    <w:rsid w:val="001F0C05"/>
    <w:rsid w:val="001F1099"/>
    <w:rsid w:val="00200747"/>
    <w:rsid w:val="00201067"/>
    <w:rsid w:val="00202E4A"/>
    <w:rsid w:val="0021142D"/>
    <w:rsid w:val="0021498F"/>
    <w:rsid w:val="00222CC8"/>
    <w:rsid w:val="00224EC0"/>
    <w:rsid w:val="00227B34"/>
    <w:rsid w:val="00227F04"/>
    <w:rsid w:val="00234C52"/>
    <w:rsid w:val="00237B89"/>
    <w:rsid w:val="0024295A"/>
    <w:rsid w:val="002443C0"/>
    <w:rsid w:val="0024476A"/>
    <w:rsid w:val="00251B6A"/>
    <w:rsid w:val="002532DE"/>
    <w:rsid w:val="002577B1"/>
    <w:rsid w:val="00257BCE"/>
    <w:rsid w:val="002617D6"/>
    <w:rsid w:val="002639D8"/>
    <w:rsid w:val="00263AF8"/>
    <w:rsid w:val="00267607"/>
    <w:rsid w:val="002767FB"/>
    <w:rsid w:val="00276D42"/>
    <w:rsid w:val="00277F3D"/>
    <w:rsid w:val="0028057E"/>
    <w:rsid w:val="00287047"/>
    <w:rsid w:val="002A044D"/>
    <w:rsid w:val="002A2C33"/>
    <w:rsid w:val="002A2F92"/>
    <w:rsid w:val="002C0C07"/>
    <w:rsid w:val="002C54AC"/>
    <w:rsid w:val="002C7F24"/>
    <w:rsid w:val="002D1FBD"/>
    <w:rsid w:val="002D2AF2"/>
    <w:rsid w:val="002D356D"/>
    <w:rsid w:val="002D6F4A"/>
    <w:rsid w:val="002E1A83"/>
    <w:rsid w:val="002F2372"/>
    <w:rsid w:val="002F2AAC"/>
    <w:rsid w:val="002F30C9"/>
    <w:rsid w:val="002F4371"/>
    <w:rsid w:val="00304066"/>
    <w:rsid w:val="003052BE"/>
    <w:rsid w:val="00312DCF"/>
    <w:rsid w:val="0032277A"/>
    <w:rsid w:val="00322D0A"/>
    <w:rsid w:val="0033335E"/>
    <w:rsid w:val="00333FE9"/>
    <w:rsid w:val="00335CD7"/>
    <w:rsid w:val="0033644B"/>
    <w:rsid w:val="00336852"/>
    <w:rsid w:val="00337688"/>
    <w:rsid w:val="003404A5"/>
    <w:rsid w:val="00341C8A"/>
    <w:rsid w:val="0034470C"/>
    <w:rsid w:val="0035157A"/>
    <w:rsid w:val="00371A78"/>
    <w:rsid w:val="00371E74"/>
    <w:rsid w:val="00375D36"/>
    <w:rsid w:val="00377302"/>
    <w:rsid w:val="00380089"/>
    <w:rsid w:val="00380F42"/>
    <w:rsid w:val="00381E6E"/>
    <w:rsid w:val="0038684B"/>
    <w:rsid w:val="00387A35"/>
    <w:rsid w:val="00396BF0"/>
    <w:rsid w:val="0039755D"/>
    <w:rsid w:val="003A1E79"/>
    <w:rsid w:val="003A200E"/>
    <w:rsid w:val="003A3444"/>
    <w:rsid w:val="003A63F9"/>
    <w:rsid w:val="003A6FCB"/>
    <w:rsid w:val="003B7EB5"/>
    <w:rsid w:val="003C1E72"/>
    <w:rsid w:val="003C2249"/>
    <w:rsid w:val="003C6DE8"/>
    <w:rsid w:val="003C770F"/>
    <w:rsid w:val="003D0A43"/>
    <w:rsid w:val="003D1AE4"/>
    <w:rsid w:val="003D365D"/>
    <w:rsid w:val="003D3FA9"/>
    <w:rsid w:val="003D5B32"/>
    <w:rsid w:val="003D5D9F"/>
    <w:rsid w:val="003D7DA4"/>
    <w:rsid w:val="003E10A0"/>
    <w:rsid w:val="003E3A75"/>
    <w:rsid w:val="003E503B"/>
    <w:rsid w:val="003E6531"/>
    <w:rsid w:val="003F5BCC"/>
    <w:rsid w:val="003F78EB"/>
    <w:rsid w:val="004026F3"/>
    <w:rsid w:val="00402DEC"/>
    <w:rsid w:val="00404A8C"/>
    <w:rsid w:val="00404DD3"/>
    <w:rsid w:val="00406BC1"/>
    <w:rsid w:val="00406DA1"/>
    <w:rsid w:val="00411A70"/>
    <w:rsid w:val="00411A99"/>
    <w:rsid w:val="00413B64"/>
    <w:rsid w:val="00415FBB"/>
    <w:rsid w:val="00421C8F"/>
    <w:rsid w:val="00421D28"/>
    <w:rsid w:val="00422BC1"/>
    <w:rsid w:val="00422E4F"/>
    <w:rsid w:val="004272F9"/>
    <w:rsid w:val="0043088E"/>
    <w:rsid w:val="00431118"/>
    <w:rsid w:val="00432391"/>
    <w:rsid w:val="00441786"/>
    <w:rsid w:val="00450AAA"/>
    <w:rsid w:val="00457C73"/>
    <w:rsid w:val="00464C45"/>
    <w:rsid w:val="0047211A"/>
    <w:rsid w:val="00473FFF"/>
    <w:rsid w:val="00481830"/>
    <w:rsid w:val="00482981"/>
    <w:rsid w:val="004829FF"/>
    <w:rsid w:val="00492F80"/>
    <w:rsid w:val="004A1B0B"/>
    <w:rsid w:val="004A3616"/>
    <w:rsid w:val="004A3E0F"/>
    <w:rsid w:val="004C0475"/>
    <w:rsid w:val="004C2CAE"/>
    <w:rsid w:val="004C6B74"/>
    <w:rsid w:val="004D458B"/>
    <w:rsid w:val="004D5F4F"/>
    <w:rsid w:val="004E15EF"/>
    <w:rsid w:val="004E2E93"/>
    <w:rsid w:val="004F2DE8"/>
    <w:rsid w:val="004F3312"/>
    <w:rsid w:val="005035EC"/>
    <w:rsid w:val="00504148"/>
    <w:rsid w:val="00504FBB"/>
    <w:rsid w:val="00505534"/>
    <w:rsid w:val="005078AA"/>
    <w:rsid w:val="00516036"/>
    <w:rsid w:val="005203FD"/>
    <w:rsid w:val="005231B1"/>
    <w:rsid w:val="0052636A"/>
    <w:rsid w:val="00533BAF"/>
    <w:rsid w:val="00537587"/>
    <w:rsid w:val="00537A11"/>
    <w:rsid w:val="00537A8B"/>
    <w:rsid w:val="0054381C"/>
    <w:rsid w:val="00546133"/>
    <w:rsid w:val="00550A70"/>
    <w:rsid w:val="0055145C"/>
    <w:rsid w:val="00554B1D"/>
    <w:rsid w:val="00554D33"/>
    <w:rsid w:val="0056087D"/>
    <w:rsid w:val="00561B69"/>
    <w:rsid w:val="0057063A"/>
    <w:rsid w:val="00570A25"/>
    <w:rsid w:val="00570EEE"/>
    <w:rsid w:val="00573242"/>
    <w:rsid w:val="005764EF"/>
    <w:rsid w:val="00582354"/>
    <w:rsid w:val="005849DC"/>
    <w:rsid w:val="00586BB6"/>
    <w:rsid w:val="005949E7"/>
    <w:rsid w:val="005A1BA9"/>
    <w:rsid w:val="005A234C"/>
    <w:rsid w:val="005A3C1F"/>
    <w:rsid w:val="005A49BB"/>
    <w:rsid w:val="005A63E5"/>
    <w:rsid w:val="005A6F0F"/>
    <w:rsid w:val="005B1670"/>
    <w:rsid w:val="005B1DF6"/>
    <w:rsid w:val="005B41FE"/>
    <w:rsid w:val="005B6638"/>
    <w:rsid w:val="005C0E27"/>
    <w:rsid w:val="005D27CC"/>
    <w:rsid w:val="005D2A4F"/>
    <w:rsid w:val="005D2DFA"/>
    <w:rsid w:val="005D595C"/>
    <w:rsid w:val="005D6840"/>
    <w:rsid w:val="005E26D2"/>
    <w:rsid w:val="005F2488"/>
    <w:rsid w:val="005F4083"/>
    <w:rsid w:val="00602BB1"/>
    <w:rsid w:val="006044EC"/>
    <w:rsid w:val="006127C2"/>
    <w:rsid w:val="00614CE5"/>
    <w:rsid w:val="00617DE3"/>
    <w:rsid w:val="00623E5B"/>
    <w:rsid w:val="00625B01"/>
    <w:rsid w:val="00627C3B"/>
    <w:rsid w:val="006302E8"/>
    <w:rsid w:val="0063117E"/>
    <w:rsid w:val="00634909"/>
    <w:rsid w:val="006349ED"/>
    <w:rsid w:val="006353EF"/>
    <w:rsid w:val="006370C2"/>
    <w:rsid w:val="0064205B"/>
    <w:rsid w:val="0064427E"/>
    <w:rsid w:val="0064450F"/>
    <w:rsid w:val="006475B4"/>
    <w:rsid w:val="006569DF"/>
    <w:rsid w:val="00656F91"/>
    <w:rsid w:val="0066100F"/>
    <w:rsid w:val="00661F11"/>
    <w:rsid w:val="006629C1"/>
    <w:rsid w:val="00663015"/>
    <w:rsid w:val="0066451C"/>
    <w:rsid w:val="00683E5E"/>
    <w:rsid w:val="00685E12"/>
    <w:rsid w:val="00687359"/>
    <w:rsid w:val="00695288"/>
    <w:rsid w:val="00696FF6"/>
    <w:rsid w:val="0069712A"/>
    <w:rsid w:val="006A2E5D"/>
    <w:rsid w:val="006A4BB1"/>
    <w:rsid w:val="006A5096"/>
    <w:rsid w:val="006A7C55"/>
    <w:rsid w:val="006B0E3A"/>
    <w:rsid w:val="006B162D"/>
    <w:rsid w:val="006B46F8"/>
    <w:rsid w:val="006B73F5"/>
    <w:rsid w:val="006C0FA2"/>
    <w:rsid w:val="006C142D"/>
    <w:rsid w:val="006C4518"/>
    <w:rsid w:val="006C4B88"/>
    <w:rsid w:val="006C4CF7"/>
    <w:rsid w:val="006C666F"/>
    <w:rsid w:val="006D2048"/>
    <w:rsid w:val="006D7C1E"/>
    <w:rsid w:val="006E15DB"/>
    <w:rsid w:val="006E1A66"/>
    <w:rsid w:val="006E2D0D"/>
    <w:rsid w:val="006E5ED9"/>
    <w:rsid w:val="006E7EC2"/>
    <w:rsid w:val="006F009B"/>
    <w:rsid w:val="006F589F"/>
    <w:rsid w:val="006F7F28"/>
    <w:rsid w:val="0070218E"/>
    <w:rsid w:val="00704205"/>
    <w:rsid w:val="00713BD5"/>
    <w:rsid w:val="0071448A"/>
    <w:rsid w:val="00716A8F"/>
    <w:rsid w:val="00727C7B"/>
    <w:rsid w:val="00732373"/>
    <w:rsid w:val="0073508F"/>
    <w:rsid w:val="007356B1"/>
    <w:rsid w:val="00735760"/>
    <w:rsid w:val="00741D58"/>
    <w:rsid w:val="00741E70"/>
    <w:rsid w:val="00744C77"/>
    <w:rsid w:val="00750154"/>
    <w:rsid w:val="0075020D"/>
    <w:rsid w:val="00750ACA"/>
    <w:rsid w:val="00751063"/>
    <w:rsid w:val="007577AA"/>
    <w:rsid w:val="00761CBA"/>
    <w:rsid w:val="007641A4"/>
    <w:rsid w:val="00770BE3"/>
    <w:rsid w:val="007727F1"/>
    <w:rsid w:val="00775C86"/>
    <w:rsid w:val="00777AE7"/>
    <w:rsid w:val="00787165"/>
    <w:rsid w:val="0078766C"/>
    <w:rsid w:val="00790DFD"/>
    <w:rsid w:val="00791F66"/>
    <w:rsid w:val="0079643C"/>
    <w:rsid w:val="00797919"/>
    <w:rsid w:val="007A2E0B"/>
    <w:rsid w:val="007B240C"/>
    <w:rsid w:val="007B2B9D"/>
    <w:rsid w:val="007B3AE0"/>
    <w:rsid w:val="007B5C0F"/>
    <w:rsid w:val="007C01FA"/>
    <w:rsid w:val="007C2147"/>
    <w:rsid w:val="007C5318"/>
    <w:rsid w:val="007C56C1"/>
    <w:rsid w:val="007D1137"/>
    <w:rsid w:val="007D53C7"/>
    <w:rsid w:val="007E113F"/>
    <w:rsid w:val="007E2716"/>
    <w:rsid w:val="007E2A79"/>
    <w:rsid w:val="007E399E"/>
    <w:rsid w:val="007F39DA"/>
    <w:rsid w:val="007F6946"/>
    <w:rsid w:val="0080053A"/>
    <w:rsid w:val="00801447"/>
    <w:rsid w:val="00801F24"/>
    <w:rsid w:val="00804DB7"/>
    <w:rsid w:val="008056C3"/>
    <w:rsid w:val="0080789A"/>
    <w:rsid w:val="008117B9"/>
    <w:rsid w:val="00811B5A"/>
    <w:rsid w:val="00813759"/>
    <w:rsid w:val="00816726"/>
    <w:rsid w:val="00817A6D"/>
    <w:rsid w:val="00826BA9"/>
    <w:rsid w:val="00827F4E"/>
    <w:rsid w:val="00833169"/>
    <w:rsid w:val="0083604D"/>
    <w:rsid w:val="0084260A"/>
    <w:rsid w:val="00844F99"/>
    <w:rsid w:val="00850BFB"/>
    <w:rsid w:val="00852D32"/>
    <w:rsid w:val="00854B08"/>
    <w:rsid w:val="00855963"/>
    <w:rsid w:val="008614D3"/>
    <w:rsid w:val="00864B7F"/>
    <w:rsid w:val="00867F42"/>
    <w:rsid w:val="00876CF4"/>
    <w:rsid w:val="008835AA"/>
    <w:rsid w:val="00884BBD"/>
    <w:rsid w:val="00896B7A"/>
    <w:rsid w:val="00897F66"/>
    <w:rsid w:val="008A670C"/>
    <w:rsid w:val="008B56D1"/>
    <w:rsid w:val="008B69F7"/>
    <w:rsid w:val="008B6AE6"/>
    <w:rsid w:val="008C0C66"/>
    <w:rsid w:val="008C6E10"/>
    <w:rsid w:val="008C76F1"/>
    <w:rsid w:val="008D0425"/>
    <w:rsid w:val="008D0F80"/>
    <w:rsid w:val="008D1374"/>
    <w:rsid w:val="008D549B"/>
    <w:rsid w:val="008D654C"/>
    <w:rsid w:val="008D778E"/>
    <w:rsid w:val="008E29FC"/>
    <w:rsid w:val="008E3092"/>
    <w:rsid w:val="008E37B0"/>
    <w:rsid w:val="008F27AF"/>
    <w:rsid w:val="008F5458"/>
    <w:rsid w:val="00901660"/>
    <w:rsid w:val="00901C44"/>
    <w:rsid w:val="0090685E"/>
    <w:rsid w:val="00910345"/>
    <w:rsid w:val="00910B6D"/>
    <w:rsid w:val="00920E7D"/>
    <w:rsid w:val="00921801"/>
    <w:rsid w:val="00922AE1"/>
    <w:rsid w:val="009265F3"/>
    <w:rsid w:val="00927676"/>
    <w:rsid w:val="00927C24"/>
    <w:rsid w:val="009321AE"/>
    <w:rsid w:val="00934E4F"/>
    <w:rsid w:val="00936780"/>
    <w:rsid w:val="00943E2C"/>
    <w:rsid w:val="00945193"/>
    <w:rsid w:val="00947B8F"/>
    <w:rsid w:val="00953070"/>
    <w:rsid w:val="00956A6C"/>
    <w:rsid w:val="0096106D"/>
    <w:rsid w:val="00963D1E"/>
    <w:rsid w:val="00963FC2"/>
    <w:rsid w:val="0096416C"/>
    <w:rsid w:val="00964F45"/>
    <w:rsid w:val="00966DC6"/>
    <w:rsid w:val="00972BF0"/>
    <w:rsid w:val="009767A4"/>
    <w:rsid w:val="00984ACD"/>
    <w:rsid w:val="00990B99"/>
    <w:rsid w:val="009923F8"/>
    <w:rsid w:val="00992AC1"/>
    <w:rsid w:val="0099317B"/>
    <w:rsid w:val="00994962"/>
    <w:rsid w:val="009954FB"/>
    <w:rsid w:val="009B3D0F"/>
    <w:rsid w:val="009C0B02"/>
    <w:rsid w:val="009C21B4"/>
    <w:rsid w:val="009C26D4"/>
    <w:rsid w:val="009C35EC"/>
    <w:rsid w:val="009C5A00"/>
    <w:rsid w:val="009C7258"/>
    <w:rsid w:val="009D088B"/>
    <w:rsid w:val="009D4551"/>
    <w:rsid w:val="009D6FE9"/>
    <w:rsid w:val="009D78B2"/>
    <w:rsid w:val="009E20B4"/>
    <w:rsid w:val="009E77DE"/>
    <w:rsid w:val="009F1D70"/>
    <w:rsid w:val="009F298B"/>
    <w:rsid w:val="009F45F0"/>
    <w:rsid w:val="009F4F6D"/>
    <w:rsid w:val="009F56D2"/>
    <w:rsid w:val="009F6575"/>
    <w:rsid w:val="00A042E8"/>
    <w:rsid w:val="00A060C5"/>
    <w:rsid w:val="00A06489"/>
    <w:rsid w:val="00A13D8B"/>
    <w:rsid w:val="00A21A93"/>
    <w:rsid w:val="00A265A8"/>
    <w:rsid w:val="00A26A66"/>
    <w:rsid w:val="00A31D19"/>
    <w:rsid w:val="00A36FA6"/>
    <w:rsid w:val="00A43CD0"/>
    <w:rsid w:val="00A46CCC"/>
    <w:rsid w:val="00A50733"/>
    <w:rsid w:val="00A54CEE"/>
    <w:rsid w:val="00A67A42"/>
    <w:rsid w:val="00A702A0"/>
    <w:rsid w:val="00A733A3"/>
    <w:rsid w:val="00A74F50"/>
    <w:rsid w:val="00A77204"/>
    <w:rsid w:val="00A912EB"/>
    <w:rsid w:val="00A94888"/>
    <w:rsid w:val="00A949FA"/>
    <w:rsid w:val="00AA6AF0"/>
    <w:rsid w:val="00AB157F"/>
    <w:rsid w:val="00AB7395"/>
    <w:rsid w:val="00AB7874"/>
    <w:rsid w:val="00AC7751"/>
    <w:rsid w:val="00AD2F11"/>
    <w:rsid w:val="00AD4864"/>
    <w:rsid w:val="00AD4B95"/>
    <w:rsid w:val="00AE0AFC"/>
    <w:rsid w:val="00AE5751"/>
    <w:rsid w:val="00AE5F52"/>
    <w:rsid w:val="00AE7EB7"/>
    <w:rsid w:val="00AF4AF4"/>
    <w:rsid w:val="00AF59B2"/>
    <w:rsid w:val="00B05768"/>
    <w:rsid w:val="00B07DD9"/>
    <w:rsid w:val="00B116D5"/>
    <w:rsid w:val="00B127CB"/>
    <w:rsid w:val="00B14994"/>
    <w:rsid w:val="00B162D5"/>
    <w:rsid w:val="00B17D62"/>
    <w:rsid w:val="00B2216A"/>
    <w:rsid w:val="00B22320"/>
    <w:rsid w:val="00B228FC"/>
    <w:rsid w:val="00B22C30"/>
    <w:rsid w:val="00B2551D"/>
    <w:rsid w:val="00B263D1"/>
    <w:rsid w:val="00B31D0C"/>
    <w:rsid w:val="00B37449"/>
    <w:rsid w:val="00B40457"/>
    <w:rsid w:val="00B46F62"/>
    <w:rsid w:val="00B50C13"/>
    <w:rsid w:val="00B5301A"/>
    <w:rsid w:val="00B558C8"/>
    <w:rsid w:val="00B67F69"/>
    <w:rsid w:val="00B7007A"/>
    <w:rsid w:val="00B711EE"/>
    <w:rsid w:val="00B86ED1"/>
    <w:rsid w:val="00B87FAF"/>
    <w:rsid w:val="00B952FA"/>
    <w:rsid w:val="00B9579F"/>
    <w:rsid w:val="00B962C8"/>
    <w:rsid w:val="00BA1407"/>
    <w:rsid w:val="00BA44F1"/>
    <w:rsid w:val="00BB2FA6"/>
    <w:rsid w:val="00BB72C4"/>
    <w:rsid w:val="00BC02B7"/>
    <w:rsid w:val="00BC0AE4"/>
    <w:rsid w:val="00BC14BB"/>
    <w:rsid w:val="00BC2C56"/>
    <w:rsid w:val="00BC37E4"/>
    <w:rsid w:val="00BC6E96"/>
    <w:rsid w:val="00BD02BF"/>
    <w:rsid w:val="00BD27CB"/>
    <w:rsid w:val="00BD2B7E"/>
    <w:rsid w:val="00BD39E7"/>
    <w:rsid w:val="00BE034A"/>
    <w:rsid w:val="00BE07F9"/>
    <w:rsid w:val="00BE36A2"/>
    <w:rsid w:val="00BE3D57"/>
    <w:rsid w:val="00BE4551"/>
    <w:rsid w:val="00BF2422"/>
    <w:rsid w:val="00BF3847"/>
    <w:rsid w:val="00BF4E75"/>
    <w:rsid w:val="00C00FB2"/>
    <w:rsid w:val="00C06748"/>
    <w:rsid w:val="00C06832"/>
    <w:rsid w:val="00C07A10"/>
    <w:rsid w:val="00C127AD"/>
    <w:rsid w:val="00C2119B"/>
    <w:rsid w:val="00C23300"/>
    <w:rsid w:val="00C239B4"/>
    <w:rsid w:val="00C37DF6"/>
    <w:rsid w:val="00C40A0E"/>
    <w:rsid w:val="00C4126B"/>
    <w:rsid w:val="00C4144A"/>
    <w:rsid w:val="00C415A4"/>
    <w:rsid w:val="00C44591"/>
    <w:rsid w:val="00C44FC3"/>
    <w:rsid w:val="00C46DC3"/>
    <w:rsid w:val="00C475F4"/>
    <w:rsid w:val="00C50399"/>
    <w:rsid w:val="00C52F6B"/>
    <w:rsid w:val="00C554EC"/>
    <w:rsid w:val="00C565E8"/>
    <w:rsid w:val="00C6156A"/>
    <w:rsid w:val="00C61C5D"/>
    <w:rsid w:val="00C66DE4"/>
    <w:rsid w:val="00C74A2F"/>
    <w:rsid w:val="00C82BDC"/>
    <w:rsid w:val="00C913AC"/>
    <w:rsid w:val="00C969A5"/>
    <w:rsid w:val="00CA6BE8"/>
    <w:rsid w:val="00CB53F6"/>
    <w:rsid w:val="00CC36B6"/>
    <w:rsid w:val="00CC4DB4"/>
    <w:rsid w:val="00CC75EB"/>
    <w:rsid w:val="00CD70AC"/>
    <w:rsid w:val="00CD77E3"/>
    <w:rsid w:val="00CE4596"/>
    <w:rsid w:val="00CF3B78"/>
    <w:rsid w:val="00CF6487"/>
    <w:rsid w:val="00D01DE3"/>
    <w:rsid w:val="00D12039"/>
    <w:rsid w:val="00D13C0E"/>
    <w:rsid w:val="00D14ED9"/>
    <w:rsid w:val="00D23522"/>
    <w:rsid w:val="00D247B9"/>
    <w:rsid w:val="00D25D8D"/>
    <w:rsid w:val="00D26115"/>
    <w:rsid w:val="00D4062D"/>
    <w:rsid w:val="00D4102A"/>
    <w:rsid w:val="00D55618"/>
    <w:rsid w:val="00D62A8D"/>
    <w:rsid w:val="00D66321"/>
    <w:rsid w:val="00D71656"/>
    <w:rsid w:val="00D71B9C"/>
    <w:rsid w:val="00D7649C"/>
    <w:rsid w:val="00D766E6"/>
    <w:rsid w:val="00D857F9"/>
    <w:rsid w:val="00D9011C"/>
    <w:rsid w:val="00D902B2"/>
    <w:rsid w:val="00D96406"/>
    <w:rsid w:val="00DB1429"/>
    <w:rsid w:val="00DB205B"/>
    <w:rsid w:val="00DC4D98"/>
    <w:rsid w:val="00DD1BAB"/>
    <w:rsid w:val="00DD4F96"/>
    <w:rsid w:val="00DD6C4A"/>
    <w:rsid w:val="00DE0A75"/>
    <w:rsid w:val="00DE5B1A"/>
    <w:rsid w:val="00DE5D4D"/>
    <w:rsid w:val="00DE5D9E"/>
    <w:rsid w:val="00DE657B"/>
    <w:rsid w:val="00DE7487"/>
    <w:rsid w:val="00DF01E9"/>
    <w:rsid w:val="00DF0878"/>
    <w:rsid w:val="00DF49C6"/>
    <w:rsid w:val="00E007B0"/>
    <w:rsid w:val="00E03877"/>
    <w:rsid w:val="00E20984"/>
    <w:rsid w:val="00E20C65"/>
    <w:rsid w:val="00E26F0F"/>
    <w:rsid w:val="00E307F1"/>
    <w:rsid w:val="00E32BE9"/>
    <w:rsid w:val="00E33C6A"/>
    <w:rsid w:val="00E34594"/>
    <w:rsid w:val="00E3707B"/>
    <w:rsid w:val="00E37106"/>
    <w:rsid w:val="00E378EA"/>
    <w:rsid w:val="00E5307E"/>
    <w:rsid w:val="00E53A01"/>
    <w:rsid w:val="00E56375"/>
    <w:rsid w:val="00E6093A"/>
    <w:rsid w:val="00E75980"/>
    <w:rsid w:val="00E77205"/>
    <w:rsid w:val="00E842DC"/>
    <w:rsid w:val="00E84329"/>
    <w:rsid w:val="00E857E6"/>
    <w:rsid w:val="00E866BA"/>
    <w:rsid w:val="00EA1F96"/>
    <w:rsid w:val="00EA54C5"/>
    <w:rsid w:val="00EA5D20"/>
    <w:rsid w:val="00EB0626"/>
    <w:rsid w:val="00EB6C72"/>
    <w:rsid w:val="00EC3A80"/>
    <w:rsid w:val="00EC653D"/>
    <w:rsid w:val="00EC66BB"/>
    <w:rsid w:val="00ED5B74"/>
    <w:rsid w:val="00ED6914"/>
    <w:rsid w:val="00ED7018"/>
    <w:rsid w:val="00EE4B2C"/>
    <w:rsid w:val="00EE6BB5"/>
    <w:rsid w:val="00EE7A89"/>
    <w:rsid w:val="00EF687E"/>
    <w:rsid w:val="00F00DE4"/>
    <w:rsid w:val="00F0108B"/>
    <w:rsid w:val="00F02EB9"/>
    <w:rsid w:val="00F03213"/>
    <w:rsid w:val="00F04A3A"/>
    <w:rsid w:val="00F10720"/>
    <w:rsid w:val="00F1340D"/>
    <w:rsid w:val="00F15A80"/>
    <w:rsid w:val="00F16199"/>
    <w:rsid w:val="00F3003A"/>
    <w:rsid w:val="00F31DA3"/>
    <w:rsid w:val="00F3513A"/>
    <w:rsid w:val="00F43D83"/>
    <w:rsid w:val="00F46D28"/>
    <w:rsid w:val="00F50165"/>
    <w:rsid w:val="00F50D5A"/>
    <w:rsid w:val="00F55BE6"/>
    <w:rsid w:val="00F640FA"/>
    <w:rsid w:val="00F65023"/>
    <w:rsid w:val="00F658F7"/>
    <w:rsid w:val="00F74538"/>
    <w:rsid w:val="00F76143"/>
    <w:rsid w:val="00F81701"/>
    <w:rsid w:val="00F82309"/>
    <w:rsid w:val="00F8371A"/>
    <w:rsid w:val="00F94AAF"/>
    <w:rsid w:val="00FA16A0"/>
    <w:rsid w:val="00FA376F"/>
    <w:rsid w:val="00FA61D4"/>
    <w:rsid w:val="00FB5D8B"/>
    <w:rsid w:val="00FB7114"/>
    <w:rsid w:val="00FC2FE0"/>
    <w:rsid w:val="00FC3B6C"/>
    <w:rsid w:val="00FC733F"/>
    <w:rsid w:val="00FC7B26"/>
    <w:rsid w:val="00FD2D96"/>
    <w:rsid w:val="00FD65B7"/>
    <w:rsid w:val="00FE0C64"/>
    <w:rsid w:val="00FE0E5A"/>
    <w:rsid w:val="00FE1DC3"/>
    <w:rsid w:val="00FE2EA8"/>
    <w:rsid w:val="00FE3039"/>
    <w:rsid w:val="00FE3B98"/>
    <w:rsid w:val="00FE4B6B"/>
    <w:rsid w:val="00FE5475"/>
    <w:rsid w:val="00FE6C74"/>
    <w:rsid w:val="00FF0B2E"/>
    <w:rsid w:val="00FF1DA0"/>
    <w:rsid w:val="00FF5B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405D9"/>
  <w15:chartTrackingRefBased/>
  <w15:docId w15:val="{1611EA36-315A-4998-B3F6-8CD0796A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E7487"/>
    <w:pPr>
      <w:widowControl w:val="0"/>
      <w:autoSpaceDE w:val="0"/>
      <w:autoSpaceDN w:val="0"/>
    </w:pPr>
    <w:rPr>
      <w:rFonts w:ascii="Arial" w:eastAsia="Arial" w:hAnsi="Arial" w:cs="Arial"/>
      <w:sz w:val="22"/>
      <w:szCs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TableParagraph">
    <w:name w:val="Table Paragraph"/>
    <w:basedOn w:val="Normal"/>
    <w:uiPriority w:val="1"/>
    <w:qFormat/>
    <w:rsid w:val="00DE7487"/>
  </w:style>
  <w:style w:type="character" w:styleId="Hyperlink">
    <w:name w:val="Hyperlink"/>
    <w:basedOn w:val="DefaultParagraphFont"/>
    <w:uiPriority w:val="99"/>
    <w:unhideWhenUsed/>
    <w:rsid w:val="00DE7487"/>
    <w:rPr>
      <w:color w:val="0000FF" w:themeColor="hyperlink"/>
      <w:u w:val="single"/>
    </w:rPr>
  </w:style>
  <w:style w:type="character" w:customStyle="1" w:styleId="HeaderChar">
    <w:name w:val="Header Char"/>
    <w:basedOn w:val="DefaultParagraphFont"/>
    <w:link w:val="Header"/>
    <w:uiPriority w:val="99"/>
    <w:rsid w:val="00DE7487"/>
    <w:rPr>
      <w:rFonts w:ascii="Arial" w:hAnsi="Arial" w:cs="Arial"/>
      <w:sz w:val="22"/>
    </w:rPr>
  </w:style>
  <w:style w:type="table" w:styleId="TableGrid">
    <w:name w:val="Table Grid"/>
    <w:basedOn w:val="TableNormal"/>
    <w:rsid w:val="00F83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1BA9"/>
    <w:rPr>
      <w:rFonts w:ascii="Arial" w:eastAsia="Arial" w:hAnsi="Arial" w:cs="Arial"/>
      <w:sz w:val="22"/>
      <w:szCs w:val="22"/>
    </w:rPr>
  </w:style>
  <w:style w:type="character" w:styleId="CommentReference">
    <w:name w:val="annotation reference"/>
    <w:basedOn w:val="DefaultParagraphFont"/>
    <w:semiHidden/>
    <w:unhideWhenUsed/>
    <w:rsid w:val="006353EF"/>
    <w:rPr>
      <w:sz w:val="16"/>
      <w:szCs w:val="16"/>
    </w:rPr>
  </w:style>
  <w:style w:type="character" w:customStyle="1" w:styleId="CommentTextChar">
    <w:name w:val="Comment Text Char"/>
    <w:basedOn w:val="DefaultParagraphFont"/>
    <w:link w:val="CommentText"/>
    <w:semiHidden/>
    <w:rsid w:val="006353EF"/>
    <w:rPr>
      <w:rFonts w:ascii="Arial" w:eastAsia="Arial" w:hAnsi="Arial" w:cs="Arial"/>
      <w:sz w:val="18"/>
      <w:szCs w:val="22"/>
    </w:rPr>
  </w:style>
  <w:style w:type="paragraph" w:styleId="CommentSubject">
    <w:name w:val="annotation subject"/>
    <w:basedOn w:val="CommentText"/>
    <w:next w:val="CommentText"/>
    <w:link w:val="CommentSubjectChar"/>
    <w:semiHidden/>
    <w:unhideWhenUsed/>
    <w:rsid w:val="00554B1D"/>
    <w:rPr>
      <w:b/>
      <w:bCs/>
      <w:sz w:val="20"/>
      <w:szCs w:val="20"/>
    </w:rPr>
  </w:style>
  <w:style w:type="character" w:customStyle="1" w:styleId="CommentSubjectChar">
    <w:name w:val="Comment Subject Char"/>
    <w:basedOn w:val="CommentTextChar"/>
    <w:link w:val="CommentSubject"/>
    <w:semiHidden/>
    <w:rsid w:val="00554B1D"/>
    <w:rPr>
      <w:rFonts w:ascii="Arial" w:eastAsia="Arial" w:hAnsi="Arial" w:cs="Arial"/>
      <w:b/>
      <w:bCs/>
      <w:sz w:val="18"/>
      <w:szCs w:val="22"/>
    </w:rPr>
  </w:style>
  <w:style w:type="character" w:styleId="UnresolvedMention">
    <w:name w:val="Unresolved Mention"/>
    <w:basedOn w:val="DefaultParagraphFont"/>
    <w:uiPriority w:val="99"/>
    <w:semiHidden/>
    <w:unhideWhenUsed/>
    <w:rsid w:val="00966DC6"/>
    <w:rPr>
      <w:color w:val="605E5C"/>
      <w:shd w:val="clear" w:color="auto" w:fill="E1DFDD"/>
    </w:rPr>
  </w:style>
  <w:style w:type="paragraph" w:styleId="ListParagraph">
    <w:name w:val="List Paragraph"/>
    <w:basedOn w:val="Normal"/>
    <w:uiPriority w:val="34"/>
    <w:qFormat/>
    <w:rsid w:val="00222CC8"/>
    <w:pPr>
      <w:ind w:left="720"/>
      <w:contextualSpacing/>
    </w:pPr>
  </w:style>
  <w:style w:type="paragraph" w:customStyle="1" w:styleId="Default">
    <w:name w:val="Default"/>
    <w:rsid w:val="00E26F0F"/>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semiHidden/>
    <w:rsid w:val="005B1670"/>
    <w:rPr>
      <w:rFonts w:ascii="Arial" w:eastAsia="Arial" w:hAnsi="Arial" w:cs="Arial"/>
      <w:sz w:val="18"/>
      <w:szCs w:val="22"/>
    </w:rPr>
  </w:style>
  <w:style w:type="character" w:styleId="FootnoteReference">
    <w:name w:val="footnote reference"/>
    <w:basedOn w:val="DefaultParagraphFont"/>
    <w:semiHidden/>
    <w:unhideWhenUsed/>
    <w:rsid w:val="005B1670"/>
    <w:rPr>
      <w:vertAlign w:val="superscript"/>
    </w:rPr>
  </w:style>
  <w:style w:type="character" w:customStyle="1" w:styleId="FooterChar">
    <w:name w:val="Footer Char"/>
    <w:basedOn w:val="DefaultParagraphFont"/>
    <w:link w:val="Footer"/>
    <w:uiPriority w:val="99"/>
    <w:rsid w:val="005B1670"/>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68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web/national-ip-strategies" TargetMode="External"/><Relationship Id="rId1" Type="http://schemas.openxmlformats.org/officeDocument/2006/relationships/hyperlink" Target="https://www.wipo.int/web/national-ip-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1B398-B309-45CE-91F5-271BA0F8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2500</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CERBARI Mihaela</dc:creator>
  <cp:keywords>FOR OFFICIAL USE ONLY</cp:keywords>
  <dc:description/>
  <cp:lastModifiedBy>ESTEVES DOS SANTOS Anabela</cp:lastModifiedBy>
  <cp:revision>37</cp:revision>
  <cp:lastPrinted>2024-06-20T15:55:00Z</cp:lastPrinted>
  <dcterms:created xsi:type="dcterms:W3CDTF">2024-09-01T14:24:00Z</dcterms:created>
  <dcterms:modified xsi:type="dcterms:W3CDTF">2024-09-26T09:19:00Z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ae32d3e2-82a3-417a-877b-a9d20c1c4985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2024-09-17T14:56:30Z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db9d008c-072e-4e26-a515-b49b0d6cc09c</vt:lpwstr>
  </property>
  <property fmtid="{D5CDD505-2E9C-101B-9397-08002B2CF9AE}" pid="14" name="MSIP_Label_20773ee6-353b-4fb9-a59d-0b94c8c67bea_ContentBits">
    <vt:lpwstr>0</vt:lpwstr>
  </property>
</Properties>
</file>