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336CE" w:rsidTr="0088395E">
        <w:tc>
          <w:tcPr>
            <w:tcW w:w="4513" w:type="dxa"/>
            <w:tcBorders>
              <w:bottom w:val="single" w:sz="4" w:space="0" w:color="auto"/>
            </w:tcBorders>
            <w:tcMar>
              <w:bottom w:w="170" w:type="dxa"/>
            </w:tcMar>
          </w:tcPr>
          <w:p w:rsidR="00E504E5" w:rsidRPr="00D336CE" w:rsidRDefault="00E504E5" w:rsidP="00AB613D">
            <w:bookmarkStart w:id="0" w:name="_GoBack"/>
            <w:bookmarkEnd w:id="0"/>
          </w:p>
        </w:tc>
        <w:tc>
          <w:tcPr>
            <w:tcW w:w="4337" w:type="dxa"/>
            <w:tcBorders>
              <w:bottom w:val="single" w:sz="4" w:space="0" w:color="auto"/>
            </w:tcBorders>
            <w:tcMar>
              <w:left w:w="0" w:type="dxa"/>
              <w:right w:w="0" w:type="dxa"/>
            </w:tcMar>
          </w:tcPr>
          <w:p w:rsidR="00E504E5" w:rsidRPr="00D336CE" w:rsidRDefault="00160893" w:rsidP="00AB613D">
            <w:r w:rsidRPr="00D336CE">
              <w:rPr>
                <w:noProof/>
                <w:lang w:val="en-US" w:eastAsia="en-US"/>
              </w:rPr>
              <w:drawing>
                <wp:inline distT="0" distB="0" distL="0" distR="0" wp14:anchorId="0C6AE35E" wp14:editId="7BA150C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336CE" w:rsidRDefault="00E504E5" w:rsidP="00AB613D">
            <w:pPr>
              <w:jc w:val="right"/>
            </w:pPr>
            <w:r w:rsidRPr="00D336CE">
              <w:rPr>
                <w:b/>
                <w:sz w:val="40"/>
                <w:szCs w:val="40"/>
              </w:rPr>
              <w:t>S</w:t>
            </w:r>
          </w:p>
        </w:tc>
      </w:tr>
      <w:tr w:rsidR="008B2CC1" w:rsidRPr="00D336C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336CE" w:rsidRDefault="00186282" w:rsidP="00AB613D">
            <w:pPr>
              <w:jc w:val="right"/>
              <w:rPr>
                <w:rFonts w:ascii="Arial Black" w:hAnsi="Arial Black"/>
                <w:caps/>
                <w:sz w:val="15"/>
              </w:rPr>
            </w:pPr>
            <w:r w:rsidRPr="00D336CE">
              <w:rPr>
                <w:rFonts w:ascii="Arial Black" w:hAnsi="Arial Black"/>
                <w:caps/>
                <w:sz w:val="15"/>
              </w:rPr>
              <w:t>CDIP/17/</w:t>
            </w:r>
            <w:bookmarkStart w:id="1" w:name="Code"/>
            <w:bookmarkEnd w:id="1"/>
            <w:r w:rsidR="00160893" w:rsidRPr="00D336CE">
              <w:rPr>
                <w:rFonts w:ascii="Arial Black" w:hAnsi="Arial Black"/>
                <w:caps/>
                <w:sz w:val="15"/>
              </w:rPr>
              <w:t>5</w:t>
            </w:r>
          </w:p>
        </w:tc>
      </w:tr>
      <w:tr w:rsidR="008B2CC1" w:rsidRPr="00D336CE" w:rsidTr="00AB613D">
        <w:trPr>
          <w:trHeight w:hRule="exact" w:val="170"/>
        </w:trPr>
        <w:tc>
          <w:tcPr>
            <w:tcW w:w="9356" w:type="dxa"/>
            <w:gridSpan w:val="3"/>
            <w:noWrap/>
            <w:tcMar>
              <w:left w:w="0" w:type="dxa"/>
              <w:right w:w="0" w:type="dxa"/>
            </w:tcMar>
            <w:vAlign w:val="bottom"/>
          </w:tcPr>
          <w:p w:rsidR="008B2CC1" w:rsidRPr="00D336CE" w:rsidRDefault="008B2CC1" w:rsidP="00AB613D">
            <w:pPr>
              <w:jc w:val="right"/>
              <w:rPr>
                <w:rFonts w:ascii="Arial Black" w:hAnsi="Arial Black"/>
                <w:caps/>
                <w:sz w:val="15"/>
              </w:rPr>
            </w:pPr>
            <w:r w:rsidRPr="00D336CE">
              <w:rPr>
                <w:rFonts w:ascii="Arial Black" w:hAnsi="Arial Black"/>
                <w:caps/>
                <w:sz w:val="15"/>
              </w:rPr>
              <w:t>ORIGINAL:</w:t>
            </w:r>
            <w:r w:rsidR="00F84474" w:rsidRPr="00D336CE">
              <w:rPr>
                <w:rFonts w:ascii="Arial Black" w:hAnsi="Arial Black"/>
                <w:caps/>
                <w:sz w:val="15"/>
              </w:rPr>
              <w:t xml:space="preserve"> </w:t>
            </w:r>
            <w:r w:rsidRPr="00D336CE">
              <w:rPr>
                <w:rFonts w:ascii="Arial Black" w:hAnsi="Arial Black"/>
                <w:caps/>
                <w:sz w:val="15"/>
              </w:rPr>
              <w:t xml:space="preserve"> </w:t>
            </w:r>
            <w:bookmarkStart w:id="2" w:name="Original"/>
            <w:bookmarkEnd w:id="2"/>
            <w:r w:rsidR="00160893" w:rsidRPr="00D336CE">
              <w:rPr>
                <w:rFonts w:ascii="Arial Black" w:hAnsi="Arial Black"/>
                <w:caps/>
                <w:sz w:val="15"/>
              </w:rPr>
              <w:t>INGLÉS</w:t>
            </w:r>
          </w:p>
        </w:tc>
      </w:tr>
      <w:tr w:rsidR="008B2CC1" w:rsidRPr="00D336CE" w:rsidTr="00AB613D">
        <w:trPr>
          <w:trHeight w:hRule="exact" w:val="198"/>
        </w:trPr>
        <w:tc>
          <w:tcPr>
            <w:tcW w:w="9356" w:type="dxa"/>
            <w:gridSpan w:val="3"/>
            <w:tcMar>
              <w:left w:w="0" w:type="dxa"/>
              <w:right w:w="0" w:type="dxa"/>
            </w:tcMar>
            <w:vAlign w:val="bottom"/>
          </w:tcPr>
          <w:p w:rsidR="008B2CC1" w:rsidRPr="00D336CE" w:rsidRDefault="00675021" w:rsidP="0039737B">
            <w:pPr>
              <w:jc w:val="right"/>
              <w:rPr>
                <w:rFonts w:ascii="Arial Black" w:hAnsi="Arial Black"/>
                <w:caps/>
                <w:sz w:val="15"/>
              </w:rPr>
            </w:pPr>
            <w:r w:rsidRPr="00D336CE">
              <w:rPr>
                <w:rFonts w:ascii="Arial Black" w:hAnsi="Arial Black"/>
                <w:caps/>
                <w:sz w:val="15"/>
              </w:rPr>
              <w:t>fecha</w:t>
            </w:r>
            <w:r w:rsidR="008B2CC1" w:rsidRPr="00D336CE">
              <w:rPr>
                <w:rFonts w:ascii="Arial Black" w:hAnsi="Arial Black"/>
                <w:caps/>
                <w:sz w:val="15"/>
              </w:rPr>
              <w:t>:</w:t>
            </w:r>
            <w:r w:rsidR="00F84474" w:rsidRPr="00D336CE">
              <w:rPr>
                <w:rFonts w:ascii="Arial Black" w:hAnsi="Arial Black"/>
                <w:caps/>
                <w:sz w:val="15"/>
              </w:rPr>
              <w:t xml:space="preserve"> </w:t>
            </w:r>
            <w:r w:rsidR="008B2CC1" w:rsidRPr="00D336CE">
              <w:rPr>
                <w:rFonts w:ascii="Arial Black" w:hAnsi="Arial Black"/>
                <w:caps/>
                <w:sz w:val="15"/>
              </w:rPr>
              <w:t xml:space="preserve"> </w:t>
            </w:r>
            <w:bookmarkStart w:id="3" w:name="Date"/>
            <w:bookmarkEnd w:id="3"/>
            <w:r w:rsidR="00160893" w:rsidRPr="00D336CE">
              <w:rPr>
                <w:rFonts w:ascii="Arial Black" w:hAnsi="Arial Black"/>
                <w:caps/>
                <w:sz w:val="15"/>
              </w:rPr>
              <w:t>12 D</w:t>
            </w:r>
            <w:r w:rsidR="0039737B" w:rsidRPr="00D336CE">
              <w:rPr>
                <w:rFonts w:ascii="Arial Black" w:hAnsi="Arial Black"/>
                <w:caps/>
                <w:sz w:val="15"/>
              </w:rPr>
              <w:t>E</w:t>
            </w:r>
            <w:r w:rsidR="00160893" w:rsidRPr="00D336CE">
              <w:rPr>
                <w:rFonts w:ascii="Arial Black" w:hAnsi="Arial Black"/>
                <w:caps/>
                <w:sz w:val="15"/>
              </w:rPr>
              <w:t xml:space="preserve"> FEBRERO DE 2016</w:t>
            </w:r>
          </w:p>
        </w:tc>
      </w:tr>
    </w:tbl>
    <w:p w:rsidR="008B2CC1" w:rsidRPr="00D336CE" w:rsidRDefault="008B2CC1" w:rsidP="008B2CC1"/>
    <w:p w:rsidR="008B2CC1" w:rsidRPr="00D336CE" w:rsidRDefault="008B2CC1" w:rsidP="008B2CC1"/>
    <w:p w:rsidR="008B2CC1" w:rsidRPr="00D336CE" w:rsidRDefault="008B2CC1" w:rsidP="008B2CC1"/>
    <w:p w:rsidR="008B2CC1" w:rsidRPr="00D336CE" w:rsidRDefault="008B2CC1" w:rsidP="008B2CC1"/>
    <w:p w:rsidR="008B2CC1" w:rsidRPr="00D336CE" w:rsidRDefault="008B2CC1" w:rsidP="008B2CC1"/>
    <w:p w:rsidR="00B67CDC" w:rsidRPr="00D336CE" w:rsidRDefault="00186282" w:rsidP="00B67CDC">
      <w:pPr>
        <w:rPr>
          <w:b/>
          <w:sz w:val="28"/>
          <w:szCs w:val="28"/>
        </w:rPr>
      </w:pPr>
      <w:r w:rsidRPr="00D336CE">
        <w:rPr>
          <w:b/>
          <w:sz w:val="28"/>
          <w:szCs w:val="28"/>
        </w:rPr>
        <w:t>Comité de Desarrollo y Propiedad Intelectual (CDIP)</w:t>
      </w:r>
    </w:p>
    <w:p w:rsidR="003845C1" w:rsidRPr="00D336CE" w:rsidRDefault="003845C1" w:rsidP="003845C1"/>
    <w:p w:rsidR="003845C1" w:rsidRPr="00D336CE" w:rsidRDefault="003845C1" w:rsidP="003845C1"/>
    <w:p w:rsidR="00B67CDC" w:rsidRPr="00D336CE" w:rsidRDefault="00186282" w:rsidP="00B67CDC">
      <w:pPr>
        <w:rPr>
          <w:b/>
          <w:sz w:val="24"/>
          <w:szCs w:val="24"/>
        </w:rPr>
      </w:pPr>
      <w:r w:rsidRPr="00D336CE">
        <w:rPr>
          <w:b/>
          <w:sz w:val="24"/>
          <w:szCs w:val="24"/>
        </w:rPr>
        <w:t>Decimoséptima sesión</w:t>
      </w:r>
    </w:p>
    <w:p w:rsidR="00B67CDC" w:rsidRPr="00D336CE" w:rsidRDefault="00186282" w:rsidP="00B67CDC">
      <w:pPr>
        <w:rPr>
          <w:b/>
          <w:sz w:val="24"/>
          <w:szCs w:val="24"/>
        </w:rPr>
      </w:pPr>
      <w:r w:rsidRPr="00D336CE">
        <w:rPr>
          <w:b/>
          <w:sz w:val="24"/>
          <w:szCs w:val="24"/>
        </w:rPr>
        <w:t>Ginebra, 11 a 15 de abril de 2016</w:t>
      </w:r>
    </w:p>
    <w:p w:rsidR="008B2CC1" w:rsidRPr="00D336CE" w:rsidRDefault="008B2CC1" w:rsidP="008B2CC1"/>
    <w:p w:rsidR="008B2CC1" w:rsidRPr="00D336CE" w:rsidRDefault="008B2CC1" w:rsidP="008B2CC1"/>
    <w:p w:rsidR="008B2CC1" w:rsidRPr="00D336CE" w:rsidRDefault="008B2CC1" w:rsidP="008B2CC1"/>
    <w:p w:rsidR="008B2CC1" w:rsidRPr="00D336CE" w:rsidRDefault="00D336CE" w:rsidP="008B2CC1">
      <w:pPr>
        <w:rPr>
          <w:caps/>
          <w:sz w:val="24"/>
        </w:rPr>
      </w:pPr>
      <w:bookmarkStart w:id="4" w:name="TitleOfDoc"/>
      <w:bookmarkEnd w:id="4"/>
      <w:r>
        <w:rPr>
          <w:caps/>
          <w:sz w:val="24"/>
        </w:rPr>
        <w:t>procedimiento para actualizar la base de datos sobre flexibilidades</w:t>
      </w:r>
    </w:p>
    <w:p w:rsidR="008B2CC1" w:rsidRPr="00D336CE" w:rsidRDefault="008B2CC1" w:rsidP="008B2CC1"/>
    <w:p w:rsidR="008B2CC1" w:rsidRPr="00D336CE" w:rsidRDefault="00D336CE" w:rsidP="008B2CC1">
      <w:pPr>
        <w:rPr>
          <w:i/>
        </w:rPr>
      </w:pPr>
      <w:bookmarkStart w:id="5" w:name="Prepared"/>
      <w:bookmarkEnd w:id="5"/>
      <w:r>
        <w:rPr>
          <w:i/>
        </w:rPr>
        <w:t xml:space="preserve">Documento </w:t>
      </w:r>
      <w:r w:rsidR="00160893" w:rsidRPr="00D336CE">
        <w:rPr>
          <w:i/>
        </w:rPr>
        <w:t>preparado por la Secretaría</w:t>
      </w:r>
    </w:p>
    <w:p w:rsidR="008B2CC1" w:rsidRPr="00D336CE" w:rsidRDefault="008B2CC1" w:rsidP="003845C1"/>
    <w:p w:rsidR="000F5E56" w:rsidRPr="00D336CE" w:rsidRDefault="000F5E56"/>
    <w:p w:rsidR="00F84474" w:rsidRPr="00D336CE" w:rsidRDefault="00F84474"/>
    <w:p w:rsidR="00F84474" w:rsidRPr="00D336CE" w:rsidRDefault="00F84474"/>
    <w:p w:rsidR="00160893" w:rsidRPr="00D336CE" w:rsidRDefault="00160893" w:rsidP="00160893">
      <w:pPr>
        <w:rPr>
          <w:szCs w:val="22"/>
        </w:rPr>
      </w:pPr>
      <w:r w:rsidRPr="00D336CE">
        <w:rPr>
          <w:szCs w:val="22"/>
        </w:rPr>
        <w:fldChar w:fldCharType="begin"/>
      </w:r>
      <w:r w:rsidRPr="00D336CE">
        <w:rPr>
          <w:szCs w:val="22"/>
        </w:rPr>
        <w:instrText xml:space="preserve"> AUTONUM  </w:instrText>
      </w:r>
      <w:r w:rsidRPr="00D336CE">
        <w:rPr>
          <w:szCs w:val="22"/>
        </w:rPr>
        <w:fldChar w:fldCharType="end"/>
      </w:r>
      <w:r w:rsidRPr="00D336CE">
        <w:rPr>
          <w:szCs w:val="22"/>
        </w:rPr>
        <w:tab/>
      </w:r>
      <w:r w:rsidR="00120E46">
        <w:rPr>
          <w:szCs w:val="22"/>
        </w:rPr>
        <w:t>En su decimosexta sesión, el C</w:t>
      </w:r>
      <w:r w:rsidR="00D336CE">
        <w:rPr>
          <w:szCs w:val="22"/>
        </w:rPr>
        <w:t>omité de Desarrollo y Propiedad Intelectual (CDIP) pidió a la Secretaría que proponga un procedimiento para la actualización periódica de la base de datos sobre flexibilidades</w:t>
      </w:r>
      <w:r w:rsidR="0098466C">
        <w:rPr>
          <w:szCs w:val="22"/>
        </w:rPr>
        <w:t xml:space="preserve"> en </w:t>
      </w:r>
      <w:r w:rsidR="00D336CE">
        <w:rPr>
          <w:szCs w:val="22"/>
        </w:rPr>
        <w:t>el sistema de propiedad intelectual (P.I.), teniendo con ese fin en cuenta los comentarios formulados por los Estados miembros</w:t>
      </w:r>
      <w:r w:rsidRPr="00D336CE">
        <w:rPr>
          <w:szCs w:val="22"/>
        </w:rPr>
        <w:t>.</w:t>
      </w:r>
    </w:p>
    <w:p w:rsidR="00160893" w:rsidRPr="00D336CE" w:rsidRDefault="00160893" w:rsidP="00160893">
      <w:pPr>
        <w:rPr>
          <w:szCs w:val="22"/>
        </w:rPr>
      </w:pPr>
    </w:p>
    <w:p w:rsidR="00160893" w:rsidRPr="00D336CE" w:rsidRDefault="00160893" w:rsidP="00160893">
      <w:pPr>
        <w:rPr>
          <w:szCs w:val="22"/>
        </w:rPr>
      </w:pPr>
      <w:r w:rsidRPr="00D336CE">
        <w:rPr>
          <w:szCs w:val="22"/>
        </w:rPr>
        <w:fldChar w:fldCharType="begin"/>
      </w:r>
      <w:r w:rsidRPr="00D336CE">
        <w:rPr>
          <w:szCs w:val="22"/>
        </w:rPr>
        <w:instrText xml:space="preserve"> AUTONUM  </w:instrText>
      </w:r>
      <w:r w:rsidRPr="00D336CE">
        <w:rPr>
          <w:szCs w:val="22"/>
        </w:rPr>
        <w:fldChar w:fldCharType="end"/>
      </w:r>
      <w:r w:rsidRPr="00D336CE">
        <w:rPr>
          <w:szCs w:val="22"/>
        </w:rPr>
        <w:tab/>
      </w:r>
      <w:r w:rsidR="003457FD">
        <w:rPr>
          <w:szCs w:val="22"/>
        </w:rPr>
        <w:t>Por consiguiente</w:t>
      </w:r>
      <w:r w:rsidRPr="00D336CE">
        <w:rPr>
          <w:szCs w:val="22"/>
        </w:rPr>
        <w:t xml:space="preserve">, </w:t>
      </w:r>
      <w:r w:rsidR="003457FD">
        <w:rPr>
          <w:szCs w:val="22"/>
        </w:rPr>
        <w:t>en el Anexo del presente documento se proponen opciones para actualizar dicha base de datos.</w:t>
      </w:r>
    </w:p>
    <w:p w:rsidR="00160893" w:rsidRPr="00D336CE" w:rsidRDefault="00160893" w:rsidP="00160893">
      <w:pPr>
        <w:rPr>
          <w:szCs w:val="22"/>
        </w:rPr>
      </w:pPr>
    </w:p>
    <w:p w:rsidR="00160893" w:rsidRPr="00D336CE" w:rsidRDefault="00160893" w:rsidP="00160893">
      <w:pPr>
        <w:pStyle w:val="Endofdocument-Annex"/>
        <w:tabs>
          <w:tab w:val="left" w:pos="567"/>
        </w:tabs>
        <w:ind w:left="4950"/>
        <w:rPr>
          <w:i/>
          <w:iCs/>
          <w:szCs w:val="22"/>
          <w:lang w:val="es-ES"/>
        </w:rPr>
      </w:pPr>
      <w:r w:rsidRPr="003457FD">
        <w:rPr>
          <w:i/>
          <w:iCs/>
          <w:szCs w:val="22"/>
          <w:lang w:val="es-ES"/>
        </w:rPr>
        <w:fldChar w:fldCharType="begin"/>
      </w:r>
      <w:r w:rsidRPr="003457FD">
        <w:rPr>
          <w:i/>
          <w:iCs/>
          <w:szCs w:val="22"/>
          <w:lang w:val="es-ES"/>
        </w:rPr>
        <w:instrText xml:space="preserve"> AUTONUM  </w:instrText>
      </w:r>
      <w:r w:rsidRPr="003457FD">
        <w:rPr>
          <w:i/>
          <w:iCs/>
          <w:szCs w:val="22"/>
          <w:lang w:val="es-ES"/>
        </w:rPr>
        <w:fldChar w:fldCharType="end"/>
      </w:r>
      <w:r w:rsidRPr="003457FD">
        <w:rPr>
          <w:i/>
          <w:iCs/>
          <w:szCs w:val="22"/>
          <w:lang w:val="es-ES"/>
        </w:rPr>
        <w:tab/>
        <w:t>Se invita al CDIP a tomar nota de la información contenida en el Anexo del presente documento.</w:t>
      </w:r>
    </w:p>
    <w:p w:rsidR="00160893" w:rsidRPr="00D336CE" w:rsidRDefault="00160893" w:rsidP="00160893"/>
    <w:p w:rsidR="00160893" w:rsidRPr="00D336CE" w:rsidRDefault="00160893" w:rsidP="00160893"/>
    <w:p w:rsidR="00160893" w:rsidRPr="00D336CE" w:rsidRDefault="00160893" w:rsidP="00160893"/>
    <w:p w:rsidR="00160893" w:rsidRPr="00D336CE" w:rsidRDefault="00160893" w:rsidP="00160893">
      <w:pPr>
        <w:pStyle w:val="Endofdocument-Annex"/>
        <w:rPr>
          <w:lang w:val="es-ES"/>
        </w:rPr>
      </w:pPr>
      <w:r w:rsidRPr="00D336CE">
        <w:rPr>
          <w:lang w:val="es-ES"/>
        </w:rPr>
        <w:t>[</w:t>
      </w:r>
      <w:r w:rsidRPr="00D336CE">
        <w:rPr>
          <w:rStyle w:val="Endofdocument-AnnexChar"/>
          <w:lang w:val="es-ES"/>
        </w:rPr>
        <w:t>Sigue el Anexo</w:t>
      </w:r>
      <w:r w:rsidRPr="00D336CE">
        <w:rPr>
          <w:lang w:val="es-ES"/>
        </w:rPr>
        <w:t>]</w:t>
      </w:r>
    </w:p>
    <w:p w:rsidR="00160893" w:rsidRPr="00D336CE" w:rsidRDefault="00160893"/>
    <w:p w:rsidR="00160893" w:rsidRPr="00D336CE" w:rsidRDefault="00160893">
      <w:pPr>
        <w:sectPr w:rsidR="00160893" w:rsidRPr="00D336CE" w:rsidSect="00160893">
          <w:headerReference w:type="default" r:id="rId10"/>
          <w:pgSz w:w="11907" w:h="16840" w:code="9"/>
          <w:pgMar w:top="567" w:right="1134" w:bottom="1418" w:left="1418" w:header="510" w:footer="1021" w:gutter="0"/>
          <w:cols w:space="720"/>
          <w:titlePg/>
          <w:docGrid w:linePitch="299"/>
        </w:sectPr>
      </w:pPr>
    </w:p>
    <w:p w:rsidR="00160893" w:rsidRPr="00D336CE" w:rsidRDefault="0039737B" w:rsidP="00160893">
      <w:pPr>
        <w:pStyle w:val="NormalWeb"/>
        <w:numPr>
          <w:ilvl w:val="0"/>
          <w:numId w:val="8"/>
        </w:numPr>
        <w:kinsoku w:val="0"/>
        <w:overflowPunct w:val="0"/>
        <w:spacing w:before="96"/>
        <w:textAlignment w:val="baseline"/>
        <w:rPr>
          <w:rFonts w:ascii="Arial" w:eastAsia="Times New Roman" w:hAnsi="Arial" w:cs="Arial"/>
          <w:b/>
          <w:color w:val="000000"/>
          <w:sz w:val="22"/>
          <w:szCs w:val="22"/>
          <w:lang w:val="es-ES"/>
        </w:rPr>
      </w:pPr>
      <w:r w:rsidRPr="00D336CE">
        <w:rPr>
          <w:rFonts w:ascii="Arial" w:eastAsiaTheme="minorEastAsia" w:hAnsi="Arial" w:cs="Arial"/>
          <w:b/>
          <w:color w:val="000000" w:themeColor="text1"/>
          <w:sz w:val="22"/>
          <w:szCs w:val="22"/>
          <w:lang w:val="es-ES"/>
        </w:rPr>
        <w:lastRenderedPageBreak/>
        <w:t>ANTECEDENTES</w:t>
      </w:r>
    </w:p>
    <w:p w:rsidR="00160893" w:rsidRPr="00D336CE" w:rsidRDefault="00160893" w:rsidP="00160893">
      <w:pPr>
        <w:pStyle w:val="NormalWeb"/>
        <w:kinsoku w:val="0"/>
        <w:overflowPunct w:val="0"/>
        <w:spacing w:before="96"/>
        <w:textAlignment w:val="baseline"/>
        <w:rPr>
          <w:rFonts w:ascii="Arial" w:eastAsia="Times New Roman" w:hAnsi="Arial" w:cs="Arial"/>
          <w:color w:val="000000"/>
          <w:sz w:val="22"/>
          <w:szCs w:val="22"/>
          <w:lang w:val="es-ES"/>
        </w:rPr>
      </w:pPr>
    </w:p>
    <w:p w:rsidR="00160893" w:rsidRPr="00D336CE" w:rsidRDefault="00160893" w:rsidP="00160893">
      <w:pPr>
        <w:rPr>
          <w:szCs w:val="22"/>
        </w:rPr>
      </w:pPr>
      <w:r w:rsidRPr="00D336CE">
        <w:t>1.</w:t>
      </w:r>
      <w:r w:rsidRPr="00D336CE">
        <w:tab/>
      </w:r>
      <w:r w:rsidR="00120E46">
        <w:t>La b</w:t>
      </w:r>
      <w:r w:rsidR="00DB52C5">
        <w:t>ase de datos sobre flexibilidades en el sistema de propiedad intelectual (en adelante, “la base de datos”) fue publicada en junio de</w:t>
      </w:r>
      <w:r w:rsidRPr="00D336CE">
        <w:t xml:space="preserve"> 2013, </w:t>
      </w:r>
      <w:r w:rsidR="00DB52C5">
        <w:t>tal como convino el Comité en su sexta sesión</w:t>
      </w:r>
      <w:r w:rsidRPr="00D336CE">
        <w:t xml:space="preserve">: </w:t>
      </w:r>
      <w:hyperlink r:id="rId11" w:history="1">
        <w:r w:rsidR="00DB52C5">
          <w:rPr>
            <w:rStyle w:val="Hyperlink"/>
          </w:rPr>
          <w:t>http://www.wipo.int/ip-development/es/agenda/flexibilities/search.jsp</w:t>
        </w:r>
      </w:hyperlink>
      <w:r w:rsidRPr="00D336CE">
        <w:t xml:space="preserve">.  </w:t>
      </w:r>
      <w:r w:rsidR="00542F63">
        <w:t>La base de datos incluía una lista</w:t>
      </w:r>
      <w:r w:rsidRPr="00D336CE">
        <w:t xml:space="preserve"> flexibili</w:t>
      </w:r>
      <w:r w:rsidR="00542F63">
        <w:t>dades contenidas</w:t>
      </w:r>
      <w:r w:rsidRPr="00D336CE">
        <w:t xml:space="preserve"> </w:t>
      </w:r>
      <w:r w:rsidR="00542F63">
        <w:t>en el</w:t>
      </w:r>
      <w:r w:rsidRPr="00D336CE">
        <w:t xml:space="preserve"> </w:t>
      </w:r>
      <w:r w:rsidR="00542F63">
        <w:t>d</w:t>
      </w:r>
      <w:r w:rsidRPr="00D336CE">
        <w:rPr>
          <w:color w:val="000000"/>
          <w:szCs w:val="22"/>
        </w:rPr>
        <w:t>ocument</w:t>
      </w:r>
      <w:r w:rsidR="00542F63">
        <w:rPr>
          <w:color w:val="000000"/>
          <w:szCs w:val="22"/>
        </w:rPr>
        <w:t>o</w:t>
      </w:r>
      <w:r w:rsidRPr="00D336CE">
        <w:rPr>
          <w:color w:val="000000"/>
          <w:szCs w:val="22"/>
        </w:rPr>
        <w:t xml:space="preserve"> CDIP/5/4 Rev.</w:t>
      </w:r>
      <w:r w:rsidR="00542F63">
        <w:rPr>
          <w:color w:val="000000"/>
          <w:szCs w:val="22"/>
        </w:rPr>
        <w:t xml:space="preserve"> titulado</w:t>
      </w:r>
      <w:r w:rsidRPr="00D336CE">
        <w:t xml:space="preserve"> </w:t>
      </w:r>
      <w:r w:rsidR="009468EC">
        <w:rPr>
          <w:i/>
          <w:iCs/>
          <w:color w:val="000000"/>
          <w:szCs w:val="22"/>
        </w:rPr>
        <w:t>Flexibilidades en materia de patentes en el marco jurídico multilateral y su aplicación legislativa en los planos nacional y regional</w:t>
      </w:r>
      <w:r w:rsidRPr="00D336CE">
        <w:rPr>
          <w:color w:val="000000"/>
          <w:szCs w:val="22"/>
        </w:rPr>
        <w:t>,</w:t>
      </w:r>
      <w:r w:rsidR="009468EC">
        <w:rPr>
          <w:color w:val="000000"/>
          <w:szCs w:val="22"/>
        </w:rPr>
        <w:t xml:space="preserve"> a saber</w:t>
      </w:r>
      <w:r w:rsidRPr="00D336CE">
        <w:rPr>
          <w:color w:val="000000"/>
          <w:szCs w:val="22"/>
        </w:rPr>
        <w:t xml:space="preserve">: </w:t>
      </w:r>
    </w:p>
    <w:p w:rsidR="00160893" w:rsidRPr="00D336CE" w:rsidRDefault="00160893" w:rsidP="00160893">
      <w:pPr>
        <w:rPr>
          <w:szCs w:val="22"/>
        </w:rPr>
      </w:pPr>
    </w:p>
    <w:p w:rsidR="00160893" w:rsidRPr="00D336CE" w:rsidRDefault="00160893" w:rsidP="00160893">
      <w:pPr>
        <w:pStyle w:val="ONUME"/>
        <w:numPr>
          <w:ilvl w:val="0"/>
          <w:numId w:val="0"/>
        </w:numPr>
        <w:ind w:left="567"/>
      </w:pPr>
      <w:r w:rsidRPr="00D336CE">
        <w:t>a)</w:t>
      </w:r>
      <w:r w:rsidRPr="00D336CE">
        <w:tab/>
      </w:r>
      <w:r w:rsidR="009468EC" w:rsidRPr="009468EC">
        <w:t>Licencias obligatorias y uso por el gobierno</w:t>
      </w:r>
      <w:r w:rsidRPr="00D336CE">
        <w:t xml:space="preserve">; </w:t>
      </w:r>
    </w:p>
    <w:p w:rsidR="00160893" w:rsidRPr="00D336CE" w:rsidRDefault="00160893" w:rsidP="00160893">
      <w:pPr>
        <w:pStyle w:val="ONUME"/>
        <w:numPr>
          <w:ilvl w:val="0"/>
          <w:numId w:val="0"/>
        </w:numPr>
        <w:ind w:left="567"/>
      </w:pPr>
      <w:r w:rsidRPr="00D336CE">
        <w:t>b)</w:t>
      </w:r>
      <w:r w:rsidRPr="00D336CE">
        <w:tab/>
      </w:r>
      <w:r w:rsidR="002D1B72">
        <w:t>Agotamiento de los derechos</w:t>
      </w:r>
      <w:r w:rsidRPr="00D336CE">
        <w:t xml:space="preserve">; </w:t>
      </w:r>
    </w:p>
    <w:p w:rsidR="00160893" w:rsidRPr="00D336CE" w:rsidRDefault="00160893" w:rsidP="00160893">
      <w:pPr>
        <w:pStyle w:val="ONUME"/>
        <w:numPr>
          <w:ilvl w:val="0"/>
          <w:numId w:val="0"/>
        </w:numPr>
        <w:ind w:left="567"/>
      </w:pPr>
      <w:r w:rsidRPr="00D336CE">
        <w:t>c)</w:t>
      </w:r>
      <w:r w:rsidRPr="00D336CE">
        <w:tab/>
      </w:r>
      <w:r w:rsidR="002D1B72">
        <w:t>Exención relativa al examen reglamentario</w:t>
      </w:r>
      <w:r w:rsidRPr="00D336CE">
        <w:t>;</w:t>
      </w:r>
    </w:p>
    <w:p w:rsidR="00160893" w:rsidRPr="00D336CE" w:rsidRDefault="00160893" w:rsidP="00160893">
      <w:pPr>
        <w:pStyle w:val="ONUME"/>
        <w:numPr>
          <w:ilvl w:val="0"/>
          <w:numId w:val="0"/>
        </w:numPr>
        <w:ind w:left="567"/>
      </w:pPr>
      <w:r w:rsidRPr="00D336CE">
        <w:t>d)</w:t>
      </w:r>
      <w:r w:rsidRPr="00D336CE">
        <w:tab/>
      </w:r>
      <w:r w:rsidR="002D1B72">
        <w:t>Exención con fines de investigación</w:t>
      </w:r>
      <w:r w:rsidRPr="00D336CE">
        <w:t xml:space="preserve">;  </w:t>
      </w:r>
      <w:r w:rsidR="002D1B72">
        <w:t>y</w:t>
      </w:r>
    </w:p>
    <w:p w:rsidR="00160893" w:rsidRPr="00D336CE" w:rsidRDefault="00160893" w:rsidP="00160893">
      <w:pPr>
        <w:pStyle w:val="ONUME"/>
        <w:numPr>
          <w:ilvl w:val="0"/>
          <w:numId w:val="0"/>
        </w:numPr>
        <w:ind w:left="567"/>
      </w:pPr>
      <w:r w:rsidRPr="00D336CE">
        <w:t>e)</w:t>
      </w:r>
      <w:r w:rsidRPr="00D336CE">
        <w:tab/>
      </w:r>
      <w:r w:rsidR="002D1B72" w:rsidRPr="002D1B72">
        <w:t>Exclusiones respecto de la protección como modelo de utilidad</w:t>
      </w:r>
      <w:r w:rsidRPr="00D336CE">
        <w:t>.</w:t>
      </w:r>
    </w:p>
    <w:p w:rsidR="00160893" w:rsidRPr="00D336CE" w:rsidRDefault="00160893" w:rsidP="00160893">
      <w:r w:rsidRPr="00D336CE">
        <w:t>2.</w:t>
      </w:r>
      <w:r w:rsidRPr="00D336CE">
        <w:tab/>
      </w:r>
      <w:r w:rsidR="00E36C65">
        <w:t xml:space="preserve">A raíz de una petición del </w:t>
      </w:r>
      <w:r w:rsidRPr="00D336CE">
        <w:t xml:space="preserve">CDIP </w:t>
      </w:r>
      <w:r w:rsidR="00E36C65">
        <w:t>en su decimoquinta sesión</w:t>
      </w:r>
      <w:r w:rsidRPr="00D336CE">
        <w:t xml:space="preserve">, </w:t>
      </w:r>
      <w:r w:rsidR="00E36C65">
        <w:t xml:space="preserve">la Secretaría actualizó la base de datos a los fines de incluir nuevas disposiciones de leyes </w:t>
      </w:r>
      <w:r w:rsidR="00120E46">
        <w:t>extraídas</w:t>
      </w:r>
      <w:r w:rsidR="00E36C65">
        <w:t xml:space="preserve"> de los documentos</w:t>
      </w:r>
      <w:r w:rsidRPr="00D336CE">
        <w:rPr>
          <w:szCs w:val="22"/>
        </w:rPr>
        <w:t xml:space="preserve"> </w:t>
      </w:r>
      <w:r w:rsidRPr="00D336CE">
        <w:t xml:space="preserve">CDIP/7/3 Add., CDIP/13/10 Rev. </w:t>
      </w:r>
      <w:r w:rsidR="00E36C65">
        <w:t xml:space="preserve">Y </w:t>
      </w:r>
      <w:r w:rsidR="00B76669">
        <w:t>CDIP/15/6 sobre</w:t>
      </w:r>
      <w:r w:rsidR="00E36C65">
        <w:t xml:space="preserve"> flexibilidades en materia de patentes en el marco jurídico multilateral y su aplicación legislativa en los planos nacional y regional</w:t>
      </w:r>
      <w:r w:rsidR="00B76669">
        <w:rPr>
          <w:color w:val="000000"/>
          <w:szCs w:val="22"/>
        </w:rPr>
        <w:t>;  se trataba de las nueve flexibilidades siguientes</w:t>
      </w:r>
      <w:r w:rsidR="00120E46">
        <w:rPr>
          <w:color w:val="000000"/>
          <w:szCs w:val="22"/>
        </w:rPr>
        <w:t>:</w:t>
      </w:r>
    </w:p>
    <w:p w:rsidR="00160893" w:rsidRPr="00D336CE" w:rsidRDefault="00160893" w:rsidP="00160893">
      <w:pPr>
        <w:pStyle w:val="ListParagraph"/>
        <w:ind w:left="0"/>
        <w:rPr>
          <w:lang w:val="es-ES"/>
        </w:rPr>
      </w:pPr>
    </w:p>
    <w:p w:rsidR="00160893" w:rsidRPr="00D336CE" w:rsidRDefault="00160893" w:rsidP="00160893">
      <w:pPr>
        <w:pStyle w:val="ONUME"/>
        <w:numPr>
          <w:ilvl w:val="0"/>
          <w:numId w:val="0"/>
        </w:numPr>
        <w:ind w:left="567"/>
      </w:pPr>
      <w:r w:rsidRPr="00D336CE">
        <w:t>f)</w:t>
      </w:r>
      <w:r w:rsidRPr="00D336CE">
        <w:tab/>
        <w:t>Períodos de transición;</w:t>
      </w:r>
    </w:p>
    <w:p w:rsidR="00160893" w:rsidRPr="00D336CE" w:rsidRDefault="00160893" w:rsidP="00160893">
      <w:pPr>
        <w:pStyle w:val="ONUME"/>
        <w:numPr>
          <w:ilvl w:val="0"/>
          <w:numId w:val="0"/>
        </w:numPr>
        <w:ind w:left="567"/>
      </w:pPr>
      <w:r w:rsidRPr="00D336CE">
        <w:t>g)</w:t>
      </w:r>
      <w:r w:rsidRPr="00D336CE">
        <w:tab/>
        <w:t>Patentabilidad de sustancias existentes en la naturaleza;</w:t>
      </w:r>
    </w:p>
    <w:p w:rsidR="00160893" w:rsidRPr="00D336CE" w:rsidRDefault="00160893" w:rsidP="00160893">
      <w:pPr>
        <w:pStyle w:val="ONUME"/>
        <w:numPr>
          <w:ilvl w:val="0"/>
          <w:numId w:val="0"/>
        </w:numPr>
        <w:ind w:left="567"/>
      </w:pPr>
      <w:r w:rsidRPr="00D336CE">
        <w:t>h)</w:t>
      </w:r>
      <w:r w:rsidRPr="00D336CE">
        <w:tab/>
        <w:t>Flexibilidades relativas a la divulgación;</w:t>
      </w:r>
    </w:p>
    <w:p w:rsidR="00160893" w:rsidRPr="00D336CE" w:rsidRDefault="00160893" w:rsidP="00160893">
      <w:pPr>
        <w:pStyle w:val="ONUME"/>
        <w:numPr>
          <w:ilvl w:val="0"/>
          <w:numId w:val="0"/>
        </w:numPr>
        <w:ind w:left="567"/>
      </w:pPr>
      <w:r w:rsidRPr="00D336CE">
        <w:t>i)</w:t>
      </w:r>
      <w:r w:rsidRPr="00D336CE">
        <w:tab/>
        <w:t>Examen sustantivo;</w:t>
      </w:r>
    </w:p>
    <w:p w:rsidR="00160893" w:rsidRPr="00D336CE" w:rsidRDefault="00160893" w:rsidP="00160893">
      <w:pPr>
        <w:pStyle w:val="ONUME"/>
        <w:numPr>
          <w:ilvl w:val="0"/>
          <w:numId w:val="0"/>
        </w:numPr>
        <w:ind w:left="1134" w:hanging="567"/>
      </w:pPr>
      <w:r w:rsidRPr="00D336CE">
        <w:t>j)</w:t>
      </w:r>
      <w:r w:rsidRPr="00D336CE">
        <w:tab/>
        <w:t>Verificación de oficio por parte de las Oficinas de P.I. de cláusulas anticompetitivas contenidas en contratos en licencia;</w:t>
      </w:r>
    </w:p>
    <w:p w:rsidR="00160893" w:rsidRPr="00D336CE" w:rsidRDefault="00160893" w:rsidP="00160893">
      <w:pPr>
        <w:pStyle w:val="ONUME"/>
        <w:numPr>
          <w:ilvl w:val="0"/>
          <w:numId w:val="0"/>
        </w:numPr>
        <w:ind w:left="567"/>
      </w:pPr>
      <w:r w:rsidRPr="00D336CE">
        <w:t>k)</w:t>
      </w:r>
      <w:r w:rsidRPr="00D336CE">
        <w:tab/>
        <w:t>Alcance de la exclusión de la patentabilidad de plantas;</w:t>
      </w:r>
    </w:p>
    <w:p w:rsidR="00160893" w:rsidRPr="00D336CE" w:rsidRDefault="00160893" w:rsidP="00160893">
      <w:pPr>
        <w:pStyle w:val="ONUME"/>
        <w:numPr>
          <w:ilvl w:val="0"/>
          <w:numId w:val="0"/>
        </w:numPr>
        <w:ind w:left="1134" w:hanging="567"/>
      </w:pPr>
      <w:r w:rsidRPr="00D336CE">
        <w:t>l)</w:t>
      </w:r>
      <w:r w:rsidRPr="00D336CE">
        <w:tab/>
        <w:t>Patentabilidad, o exclusión de la patentabilidad, de las invenciones relacionadas con programas informáticos;</w:t>
      </w:r>
    </w:p>
    <w:p w:rsidR="00160893" w:rsidRPr="00D336CE" w:rsidRDefault="00160893" w:rsidP="00160893">
      <w:pPr>
        <w:pStyle w:val="ONUME"/>
        <w:numPr>
          <w:ilvl w:val="0"/>
          <w:numId w:val="0"/>
        </w:numPr>
        <w:ind w:left="1134" w:hanging="567"/>
      </w:pPr>
      <w:r w:rsidRPr="00D336CE">
        <w:t>m)</w:t>
      </w:r>
      <w:r w:rsidRPr="00D336CE">
        <w:tab/>
        <w:t>Flexibilidad para aplicar o no sanciones penales en la observancia de las patentes;  y</w:t>
      </w:r>
    </w:p>
    <w:p w:rsidR="00160893" w:rsidRPr="00D336CE" w:rsidRDefault="00160893" w:rsidP="00160893">
      <w:pPr>
        <w:pStyle w:val="ONUME"/>
        <w:numPr>
          <w:ilvl w:val="0"/>
          <w:numId w:val="0"/>
        </w:numPr>
        <w:ind w:left="1134" w:hanging="567"/>
      </w:pPr>
      <w:r w:rsidRPr="00D336CE">
        <w:t>n)</w:t>
      </w:r>
      <w:r w:rsidRPr="00D336CE">
        <w:tab/>
        <w:t>Medidas relativas a la seguridad nacional (las llamadas “excepciones relativas a la seguridad”).</w:t>
      </w:r>
    </w:p>
    <w:p w:rsidR="00160893" w:rsidRPr="00D336CE" w:rsidRDefault="00160893" w:rsidP="00160893">
      <w:pPr>
        <w:pStyle w:val="ListParagraph"/>
        <w:ind w:left="0"/>
        <w:rPr>
          <w:lang w:val="es-ES"/>
        </w:rPr>
      </w:pPr>
    </w:p>
    <w:p w:rsidR="00160893" w:rsidRPr="00D336CE" w:rsidRDefault="00160893" w:rsidP="00160893">
      <w:pPr>
        <w:rPr>
          <w:szCs w:val="22"/>
        </w:rPr>
      </w:pPr>
      <w:r w:rsidRPr="00D336CE">
        <w:t>3.</w:t>
      </w:r>
      <w:r w:rsidRPr="00D336CE">
        <w:tab/>
      </w:r>
      <w:r w:rsidR="00B76669">
        <w:t>Se añadieron también a la base de datos</w:t>
      </w:r>
      <w:r w:rsidR="00CE35A5">
        <w:t xml:space="preserve"> cuadros en los que se</w:t>
      </w:r>
      <w:r w:rsidR="00B76669">
        <w:t xml:space="preserve"> catego</w:t>
      </w:r>
      <w:r w:rsidR="00CE35A5">
        <w:t xml:space="preserve">rizan </w:t>
      </w:r>
      <w:r w:rsidR="00B76669">
        <w:t>las di</w:t>
      </w:r>
      <w:r w:rsidR="00CE35A5">
        <w:t>ferentes</w:t>
      </w:r>
      <w:r w:rsidR="00B76669">
        <w:t xml:space="preserve"> disposiciones relativas a flexibilidades específicas contempladas en los documentos anteriormente mencionados</w:t>
      </w:r>
      <w:r w:rsidRPr="00D336CE">
        <w:t>.</w:t>
      </w:r>
    </w:p>
    <w:p w:rsidR="00160893" w:rsidRPr="00D336CE" w:rsidRDefault="00160893" w:rsidP="00160893">
      <w:pPr>
        <w:autoSpaceDE w:val="0"/>
        <w:autoSpaceDN w:val="0"/>
        <w:adjustRightInd w:val="0"/>
        <w:rPr>
          <w:color w:val="000000"/>
          <w:szCs w:val="22"/>
        </w:rPr>
      </w:pPr>
    </w:p>
    <w:p w:rsidR="00160893" w:rsidRPr="00D336CE" w:rsidRDefault="00160893" w:rsidP="00160893">
      <w:r w:rsidRPr="00D336CE">
        <w:t>4.</w:t>
      </w:r>
      <w:r w:rsidRPr="00D336CE">
        <w:tab/>
      </w:r>
      <w:r w:rsidR="00BD7683">
        <w:t xml:space="preserve">En la decimosexta sesión del CDIP se examinó un informe acerca de la actualización de la base de datos sobre flexibilidades.  En el informe se ponía de relieve, entre otras cosas, </w:t>
      </w:r>
      <w:r w:rsidR="00AB441B">
        <w:t>el contenido de la base de datos</w:t>
      </w:r>
      <w:r w:rsidR="00120E46">
        <w:t xml:space="preserve"> en esa fecha</w:t>
      </w:r>
      <w:r w:rsidR="00AB441B">
        <w:t xml:space="preserve">, a saber, 1371 disposiciones contempladas en 202 jurisdicciones en relación con las catorce flexibilidades anteriormente enumeradas.  </w:t>
      </w:r>
      <w:r w:rsidR="00AB441B" w:rsidRPr="00AB441B">
        <w:t xml:space="preserve">El Comité pidió a la Secretaría que en su siguiente sesión </w:t>
      </w:r>
      <w:r w:rsidR="00494CA0">
        <w:t xml:space="preserve">propusiera </w:t>
      </w:r>
      <w:r w:rsidR="00AB441B" w:rsidRPr="00AB441B">
        <w:t xml:space="preserve">un mecanismo que permita </w:t>
      </w:r>
      <w:r w:rsidR="00AB441B" w:rsidRPr="00AB441B">
        <w:lastRenderedPageBreak/>
        <w:t>actualizar periódicamente la base de datos, teniendo en cuenta los comentarios formulados por los Estados miembros.</w:t>
      </w:r>
    </w:p>
    <w:p w:rsidR="00160893" w:rsidRPr="00D336CE" w:rsidRDefault="00160893" w:rsidP="00160893">
      <w:pPr>
        <w:jc w:val="both"/>
      </w:pPr>
    </w:p>
    <w:p w:rsidR="00160893" w:rsidRPr="00D336CE" w:rsidRDefault="00160893" w:rsidP="00160893">
      <w:pPr>
        <w:jc w:val="both"/>
        <w:rPr>
          <w:b/>
        </w:rPr>
      </w:pPr>
      <w:r w:rsidRPr="00D336CE">
        <w:t>5.</w:t>
      </w:r>
      <w:r w:rsidRPr="00D336CE">
        <w:tab/>
      </w:r>
      <w:r w:rsidR="0034549E">
        <w:t xml:space="preserve">Habida cuenta de que por  el momento no se puede determinar la periodicidad de las actualizaciones sobre las disposiciones de las legislaciones nacionales que constarán en la base de datos, hay que velar por que </w:t>
      </w:r>
      <w:r w:rsidR="00D8030F">
        <w:t xml:space="preserve">el </w:t>
      </w:r>
      <w:r w:rsidR="0034549E">
        <w:t xml:space="preserve">mecanismo para actualizar la base de datos no suponga  un uso </w:t>
      </w:r>
      <w:r w:rsidR="00D8030F">
        <w:t>inadecuado</w:t>
      </w:r>
      <w:r w:rsidR="0034549E">
        <w:t xml:space="preserve"> de los recursos humanos y financieros por  la Organización.  Por consiguiente</w:t>
      </w:r>
      <w:r w:rsidR="00DA3A4E">
        <w:t xml:space="preserve">, se barajan las dos opciones siguientes como mecanismos no complicados pero </w:t>
      </w:r>
      <w:r w:rsidR="007F508D">
        <w:t>seguros</w:t>
      </w:r>
      <w:r w:rsidR="00DA3A4E">
        <w:t xml:space="preserve"> para responder a las necesidades de los Estados miembros</w:t>
      </w:r>
      <w:r w:rsidRPr="00D336CE">
        <w:t>.</w:t>
      </w:r>
    </w:p>
    <w:p w:rsidR="00160893" w:rsidRPr="00D336CE" w:rsidRDefault="00160893" w:rsidP="00160893"/>
    <w:p w:rsidR="00160893" w:rsidRPr="00D336CE" w:rsidRDefault="00160893" w:rsidP="00160893"/>
    <w:p w:rsidR="00160893" w:rsidRPr="00D336CE" w:rsidRDefault="00160893" w:rsidP="00160893">
      <w:pPr>
        <w:pStyle w:val="NormalWeb"/>
        <w:numPr>
          <w:ilvl w:val="0"/>
          <w:numId w:val="8"/>
        </w:numPr>
        <w:kinsoku w:val="0"/>
        <w:overflowPunct w:val="0"/>
        <w:spacing w:before="96"/>
        <w:textAlignment w:val="baseline"/>
        <w:rPr>
          <w:rFonts w:ascii="Arial" w:hAnsi="Arial" w:cs="Arial"/>
          <w:b/>
          <w:caps/>
          <w:lang w:val="es-ES"/>
        </w:rPr>
      </w:pPr>
      <w:r w:rsidRPr="00D336CE">
        <w:rPr>
          <w:rFonts w:ascii="Arial" w:hAnsi="Arial" w:cs="Arial"/>
          <w:b/>
          <w:caps/>
          <w:lang w:val="es-ES"/>
        </w:rPr>
        <w:t>MEC</w:t>
      </w:r>
      <w:r w:rsidR="00DA3A4E">
        <w:rPr>
          <w:rFonts w:ascii="Arial" w:hAnsi="Arial" w:cs="Arial"/>
          <w:b/>
          <w:caps/>
          <w:lang w:val="es-ES"/>
        </w:rPr>
        <w:t>anismo de actualización de la base de datos sobre Flexibilidades</w:t>
      </w:r>
      <w:r w:rsidRPr="00D336CE">
        <w:rPr>
          <w:rFonts w:ascii="Arial" w:hAnsi="Arial" w:cs="Arial"/>
          <w:b/>
          <w:caps/>
          <w:lang w:val="es-ES"/>
        </w:rPr>
        <w:t xml:space="preserve"> </w:t>
      </w:r>
    </w:p>
    <w:p w:rsidR="00160893" w:rsidRPr="00D336CE" w:rsidRDefault="00160893" w:rsidP="00C24FAA"/>
    <w:p w:rsidR="00160893" w:rsidRPr="00D336CE" w:rsidRDefault="00160893" w:rsidP="00160893">
      <w:pPr>
        <w:pStyle w:val="ONUME"/>
        <w:numPr>
          <w:ilvl w:val="0"/>
          <w:numId w:val="0"/>
        </w:numPr>
        <w:rPr>
          <w:bCs/>
          <w:u w:val="single"/>
        </w:rPr>
      </w:pPr>
      <w:r w:rsidRPr="00D336CE">
        <w:rPr>
          <w:bCs/>
          <w:u w:val="single"/>
        </w:rPr>
        <w:t>Op</w:t>
      </w:r>
      <w:r w:rsidR="00CE35A5">
        <w:rPr>
          <w:bCs/>
          <w:u w:val="single"/>
        </w:rPr>
        <w:t>ción</w:t>
      </w:r>
      <w:r w:rsidRPr="00D336CE">
        <w:rPr>
          <w:bCs/>
          <w:u w:val="single"/>
        </w:rPr>
        <w:t xml:space="preserve"> I</w:t>
      </w:r>
    </w:p>
    <w:p w:rsidR="00160893" w:rsidRPr="00D336CE" w:rsidRDefault="00160893" w:rsidP="00160893">
      <w:pPr>
        <w:pStyle w:val="ONUME"/>
        <w:numPr>
          <w:ilvl w:val="0"/>
          <w:numId w:val="0"/>
        </w:numPr>
      </w:pPr>
      <w:r w:rsidRPr="00D336CE">
        <w:t>6.</w:t>
      </w:r>
      <w:r w:rsidRPr="00D336CE">
        <w:tab/>
      </w:r>
      <w:r w:rsidR="00CE35A5">
        <w:t>Los Estados miembros suministra</w:t>
      </w:r>
      <w:r w:rsidR="00D8030F">
        <w:t>rán</w:t>
      </w:r>
      <w:r w:rsidR="00CE35A5">
        <w:t xml:space="preserve"> a la Secretaría, por conducto de comunicaciones oficiales, </w:t>
      </w:r>
      <w:r w:rsidR="007F508D">
        <w:t xml:space="preserve">información </w:t>
      </w:r>
      <w:r w:rsidR="00CE35A5">
        <w:t>actualiza</w:t>
      </w:r>
      <w:r w:rsidR="007F508D">
        <w:t>da</w:t>
      </w:r>
      <w:r w:rsidR="00CE35A5">
        <w:t xml:space="preserve"> sobre sus disposiciones nacionales relativas a las flexibilidades contempladas en la base de datos</w:t>
      </w:r>
      <w:r w:rsidRPr="00D336CE">
        <w:t xml:space="preserve">.  </w:t>
      </w:r>
    </w:p>
    <w:p w:rsidR="00160893" w:rsidRPr="00D336CE" w:rsidRDefault="006245B1" w:rsidP="006245B1">
      <w:pPr>
        <w:pStyle w:val="ONUME"/>
        <w:numPr>
          <w:ilvl w:val="0"/>
          <w:numId w:val="0"/>
        </w:numPr>
      </w:pPr>
      <w:r>
        <w:t>7.</w:t>
      </w:r>
      <w:r>
        <w:tab/>
      </w:r>
      <w:r w:rsidR="007F508D">
        <w:t>La información actualizada que se notifique se inclu</w:t>
      </w:r>
      <w:r w:rsidR="00D8030F">
        <w:t>irá</w:t>
      </w:r>
      <w:r w:rsidR="007F508D">
        <w:t xml:space="preserve"> inmediatamente en la base de datos, en un nuevo campo llamado “Información actualizada de los Estados miembros”.  En el campo se deja</w:t>
      </w:r>
      <w:r w:rsidR="00D8030F">
        <w:t>rá</w:t>
      </w:r>
      <w:r w:rsidR="007F508D">
        <w:t xml:space="preserve"> claro que las disposiciones no han sido examinadas por la Secretaría para verificar su conformidad con la flexibilidad de que se trate.</w:t>
      </w:r>
    </w:p>
    <w:p w:rsidR="00160893" w:rsidRPr="00D336CE" w:rsidRDefault="006245B1" w:rsidP="006245B1">
      <w:pPr>
        <w:pStyle w:val="ONUME"/>
        <w:numPr>
          <w:ilvl w:val="0"/>
          <w:numId w:val="0"/>
        </w:numPr>
      </w:pPr>
      <w:r>
        <w:t>8.</w:t>
      </w:r>
      <w:r>
        <w:tab/>
      </w:r>
      <w:r w:rsidR="00D8030F">
        <w:t>L</w:t>
      </w:r>
      <w:r w:rsidR="000D492C">
        <w:t xml:space="preserve">a base de datos </w:t>
      </w:r>
      <w:r w:rsidR="00D8030F">
        <w:t xml:space="preserve">contendrá así </w:t>
      </w:r>
      <w:r w:rsidR="000D492C">
        <w:t>las disposiciones existentes en las legislaciones nacionales de P.I.</w:t>
      </w:r>
      <w:r w:rsidR="0097178D">
        <w:t>;  su fuente s</w:t>
      </w:r>
      <w:r w:rsidR="00D8030F">
        <w:t>erán</w:t>
      </w:r>
      <w:r w:rsidR="0097178D">
        <w:t xml:space="preserve"> los documentos que constan en el campo de flexibilidades que fueron examinados por el CDIP</w:t>
      </w:r>
      <w:r w:rsidR="0097178D">
        <w:rPr>
          <w:rStyle w:val="FootnoteReference"/>
        </w:rPr>
        <w:footnoteReference w:id="2"/>
      </w:r>
      <w:r w:rsidR="00D8030F">
        <w:t>, y en un campo separado figurará</w:t>
      </w:r>
      <w:r w:rsidR="0097178D">
        <w:t xml:space="preserve"> la información actualizada que haya sido notificada por los Estados miembros.</w:t>
      </w:r>
    </w:p>
    <w:p w:rsidR="00160893" w:rsidRPr="00D336CE" w:rsidRDefault="006245B1" w:rsidP="006245B1">
      <w:pPr>
        <w:pStyle w:val="ONUME"/>
        <w:numPr>
          <w:ilvl w:val="0"/>
          <w:numId w:val="0"/>
        </w:numPr>
      </w:pPr>
      <w:r>
        <w:t>9.</w:t>
      </w:r>
      <w:r>
        <w:tab/>
      </w:r>
      <w:r w:rsidR="0097178D">
        <w:t>La Secretaría presenta</w:t>
      </w:r>
      <w:r w:rsidR="00D8030F">
        <w:t>rá</w:t>
      </w:r>
      <w:r w:rsidR="0097178D">
        <w:t xml:space="preserve"> un informe anual al CDIP sobre la información actualizada que se haya añadido a la base de datos</w:t>
      </w:r>
      <w:r w:rsidR="00160893" w:rsidRPr="00D336CE">
        <w:t>.</w:t>
      </w:r>
    </w:p>
    <w:p w:rsidR="00160893" w:rsidRPr="00D336CE" w:rsidRDefault="00160893" w:rsidP="00160893">
      <w:pPr>
        <w:pStyle w:val="ONUME"/>
        <w:numPr>
          <w:ilvl w:val="0"/>
          <w:numId w:val="0"/>
        </w:numPr>
      </w:pPr>
    </w:p>
    <w:p w:rsidR="00160893" w:rsidRPr="00D336CE" w:rsidRDefault="00160893" w:rsidP="00160893">
      <w:pPr>
        <w:pStyle w:val="ONUME"/>
        <w:numPr>
          <w:ilvl w:val="0"/>
          <w:numId w:val="0"/>
        </w:numPr>
        <w:rPr>
          <w:bCs/>
          <w:u w:val="single"/>
        </w:rPr>
      </w:pPr>
      <w:r w:rsidRPr="00D336CE">
        <w:rPr>
          <w:bCs/>
          <w:u w:val="single"/>
        </w:rPr>
        <w:t>Op</w:t>
      </w:r>
      <w:r w:rsidR="0097178D">
        <w:rPr>
          <w:bCs/>
          <w:u w:val="single"/>
        </w:rPr>
        <w:t>ción</w:t>
      </w:r>
      <w:r w:rsidRPr="00D336CE">
        <w:rPr>
          <w:bCs/>
          <w:u w:val="single"/>
        </w:rPr>
        <w:t xml:space="preserve"> II</w:t>
      </w:r>
    </w:p>
    <w:p w:rsidR="00160893" w:rsidRPr="00D336CE" w:rsidRDefault="006245B1" w:rsidP="006245B1">
      <w:pPr>
        <w:pStyle w:val="ONUME"/>
        <w:numPr>
          <w:ilvl w:val="0"/>
          <w:numId w:val="0"/>
        </w:numPr>
      </w:pPr>
      <w:r>
        <w:t>10.</w:t>
      </w:r>
      <w:r>
        <w:tab/>
      </w:r>
      <w:r w:rsidR="00D8030F">
        <w:t>Los Estados miembros suministrarán a la Secretaría, por conducto de comunicaciones oficiales, información actualizada sobre sus disposiciones nacionales relativas a las flexibilidades contempladas en la base de datos</w:t>
      </w:r>
      <w:r w:rsidR="00160893" w:rsidRPr="00D336CE">
        <w:t>.</w:t>
      </w:r>
    </w:p>
    <w:p w:rsidR="00160893" w:rsidRPr="00D336CE" w:rsidRDefault="006245B1" w:rsidP="006245B1">
      <w:pPr>
        <w:pStyle w:val="ONUME"/>
        <w:numPr>
          <w:ilvl w:val="0"/>
          <w:numId w:val="0"/>
        </w:numPr>
      </w:pPr>
      <w:r>
        <w:t>11.</w:t>
      </w:r>
      <w:r>
        <w:tab/>
      </w:r>
      <w:r w:rsidR="0097178D">
        <w:t>La información actualizada que notifique</w:t>
      </w:r>
      <w:r w:rsidR="00D8030F">
        <w:t>n</w:t>
      </w:r>
      <w:r w:rsidR="0097178D">
        <w:t xml:space="preserve"> los Estados miembros </w:t>
      </w:r>
      <w:r w:rsidR="00D8030F">
        <w:t xml:space="preserve">guardará </w:t>
      </w:r>
      <w:r w:rsidR="0097178D">
        <w:t>relaci</w:t>
      </w:r>
      <w:r w:rsidR="00D8030F">
        <w:t>ón</w:t>
      </w:r>
      <w:r w:rsidR="0097178D">
        <w:t xml:space="preserve"> con:</w:t>
      </w:r>
      <w:r w:rsidR="00160893" w:rsidRPr="00D336CE">
        <w:t xml:space="preserve"> </w:t>
      </w:r>
    </w:p>
    <w:p w:rsidR="00160893" w:rsidRPr="00D336CE" w:rsidRDefault="00160893" w:rsidP="00160893">
      <w:pPr>
        <w:pStyle w:val="ONUME"/>
        <w:numPr>
          <w:ilvl w:val="0"/>
          <w:numId w:val="0"/>
        </w:numPr>
        <w:tabs>
          <w:tab w:val="num" w:pos="567"/>
        </w:tabs>
        <w:ind w:firstLine="567"/>
      </w:pPr>
      <w:r w:rsidRPr="00D336CE">
        <w:t>i)</w:t>
      </w:r>
      <w:r w:rsidRPr="00D336CE">
        <w:tab/>
      </w:r>
      <w:r w:rsidR="0097178D">
        <w:t>una</w:t>
      </w:r>
      <w:r w:rsidRPr="00D336CE">
        <w:t xml:space="preserve"> modifica</w:t>
      </w:r>
      <w:r w:rsidR="0097178D">
        <w:t>ción de uno o varios artículos ya incluidos en la base de datos</w:t>
      </w:r>
      <w:r w:rsidRPr="00D336CE">
        <w:t xml:space="preserve">;  </w:t>
      </w:r>
      <w:r w:rsidR="0097178D">
        <w:t>y</w:t>
      </w:r>
    </w:p>
    <w:p w:rsidR="00160893" w:rsidRPr="00D336CE" w:rsidRDefault="00160893" w:rsidP="00160893">
      <w:pPr>
        <w:pStyle w:val="ONUME"/>
        <w:numPr>
          <w:ilvl w:val="0"/>
          <w:numId w:val="0"/>
        </w:numPr>
        <w:tabs>
          <w:tab w:val="num" w:pos="567"/>
        </w:tabs>
        <w:ind w:left="574"/>
      </w:pPr>
      <w:r w:rsidRPr="00D336CE">
        <w:t>ii)</w:t>
      </w:r>
      <w:r w:rsidRPr="00D336CE">
        <w:tab/>
      </w:r>
      <w:r w:rsidR="0097178D">
        <w:t>uno o varios artículos que no existían antes y que hayan sido aprobados en la legislación nacional en relación con las flexibilidades contenidas en la base de datos</w:t>
      </w:r>
      <w:r w:rsidRPr="00D336CE">
        <w:t>.</w:t>
      </w:r>
    </w:p>
    <w:p w:rsidR="00160893" w:rsidRPr="00D336CE" w:rsidRDefault="006245B1" w:rsidP="006245B1">
      <w:pPr>
        <w:pStyle w:val="ONUME"/>
        <w:numPr>
          <w:ilvl w:val="0"/>
          <w:numId w:val="0"/>
        </w:numPr>
      </w:pPr>
      <w:r>
        <w:t>12.</w:t>
      </w:r>
      <w:r>
        <w:tab/>
      </w:r>
      <w:r w:rsidR="00327E9F">
        <w:t>La Secretaría lleva</w:t>
      </w:r>
      <w:r w:rsidR="00D8030F">
        <w:t>rá</w:t>
      </w:r>
      <w:r w:rsidR="00327E9F">
        <w:t xml:space="preserve"> a cabo un examen para determinar</w:t>
      </w:r>
      <w:r w:rsidR="00007BF7">
        <w:t xml:space="preserve"> si la información actualizada se ajusta al alcance y los criterios convenidos por el Comité al estudiar cada una de las flexibilidades</w:t>
      </w:r>
      <w:r w:rsidR="00160893" w:rsidRPr="00D336CE">
        <w:t>.</w:t>
      </w:r>
    </w:p>
    <w:p w:rsidR="00160893" w:rsidRPr="00D336CE" w:rsidRDefault="006245B1" w:rsidP="006245B1">
      <w:pPr>
        <w:pStyle w:val="ONUME"/>
        <w:numPr>
          <w:ilvl w:val="0"/>
          <w:numId w:val="0"/>
        </w:numPr>
      </w:pPr>
      <w:r>
        <w:lastRenderedPageBreak/>
        <w:t>13.</w:t>
      </w:r>
      <w:r>
        <w:tab/>
      </w:r>
      <w:r w:rsidR="00A83FB9">
        <w:t xml:space="preserve">Si dicha información actualizada </w:t>
      </w:r>
      <w:r w:rsidR="00937DCF">
        <w:t>se ajusta a</w:t>
      </w:r>
      <w:r w:rsidR="00A83FB9">
        <w:t xml:space="preserve">l </w:t>
      </w:r>
      <w:r w:rsidR="00171628">
        <w:t xml:space="preserve">ámbito de aplicación </w:t>
      </w:r>
      <w:r w:rsidR="00A83FB9">
        <w:t xml:space="preserve">y los criterios </w:t>
      </w:r>
      <w:r w:rsidR="00171628">
        <w:t>enunciados</w:t>
      </w:r>
      <w:r w:rsidR="00A83FB9">
        <w:t xml:space="preserve"> en el párrafo 12, la Secretaría publicará la disposición actualizada en la base de datos en un plazo de seis meses</w:t>
      </w:r>
      <w:r w:rsidR="00160893" w:rsidRPr="00D336CE">
        <w:t xml:space="preserve">.  </w:t>
      </w:r>
    </w:p>
    <w:p w:rsidR="00160893" w:rsidRPr="00D336CE" w:rsidRDefault="006245B1" w:rsidP="006245B1">
      <w:pPr>
        <w:pStyle w:val="ONUME"/>
        <w:numPr>
          <w:ilvl w:val="0"/>
          <w:numId w:val="0"/>
        </w:numPr>
      </w:pPr>
      <w:r>
        <w:t>14.</w:t>
      </w:r>
      <w:r>
        <w:tab/>
      </w:r>
      <w:r w:rsidR="00A83FB9">
        <w:t>Si la información actualizada no se ajusta a</w:t>
      </w:r>
      <w:r w:rsidR="00171628">
        <w:t xml:space="preserve">l ámbito de aplicación ni </w:t>
      </w:r>
      <w:r w:rsidR="00937DCF">
        <w:t xml:space="preserve">a </w:t>
      </w:r>
      <w:r w:rsidR="00171628">
        <w:t>los criterios en cuestión, la Secretaría comunicará a los respectivos Estados miembros las razones por las que no se ha procedido a actualizar la base de datos</w:t>
      </w:r>
      <w:r w:rsidR="00160893" w:rsidRPr="00D336CE">
        <w:t>.</w:t>
      </w:r>
    </w:p>
    <w:p w:rsidR="00160893" w:rsidRPr="00D336CE" w:rsidRDefault="006245B1" w:rsidP="006245B1">
      <w:pPr>
        <w:pStyle w:val="ONUME"/>
        <w:numPr>
          <w:ilvl w:val="0"/>
          <w:numId w:val="0"/>
        </w:numPr>
      </w:pPr>
      <w:r>
        <w:t>15.</w:t>
      </w:r>
      <w:r>
        <w:tab/>
      </w:r>
      <w:r w:rsidR="00AF3454">
        <w:t>La Secretaría presenta</w:t>
      </w:r>
      <w:r w:rsidR="00937DCF">
        <w:t>rá</w:t>
      </w:r>
      <w:r w:rsidR="00AF3454">
        <w:t xml:space="preserve"> un informe anual al CDIP sobre la información actualizada que se haya añadido a la base de datos</w:t>
      </w:r>
      <w:r w:rsidR="00160893" w:rsidRPr="00D336CE">
        <w:t>.</w:t>
      </w:r>
    </w:p>
    <w:p w:rsidR="00160893" w:rsidRPr="00D336CE" w:rsidRDefault="00160893" w:rsidP="00160893">
      <w:pPr>
        <w:pStyle w:val="ONUME"/>
        <w:numPr>
          <w:ilvl w:val="0"/>
          <w:numId w:val="0"/>
        </w:numPr>
      </w:pPr>
      <w:r w:rsidRPr="00D336CE">
        <w:t>16.</w:t>
      </w:r>
      <w:r w:rsidRPr="00D336CE">
        <w:tab/>
      </w:r>
      <w:r w:rsidR="00937DCF">
        <w:t>La</w:t>
      </w:r>
      <w:r w:rsidR="00CA4EC9">
        <w:t xml:space="preserve"> información actualizada solo se introducirá en la base de datos y no se modificarán ni los documentos de base ni cualquier otro documento pertinente.</w:t>
      </w:r>
    </w:p>
    <w:p w:rsidR="00160893" w:rsidRPr="00D336CE" w:rsidRDefault="00160893" w:rsidP="00160893">
      <w:pPr>
        <w:pStyle w:val="ONUME"/>
        <w:numPr>
          <w:ilvl w:val="0"/>
          <w:numId w:val="0"/>
        </w:numPr>
        <w:spacing w:after="0"/>
      </w:pPr>
      <w:r w:rsidRPr="00D336CE">
        <w:t>17.</w:t>
      </w:r>
      <w:r w:rsidRPr="00D336CE">
        <w:tab/>
      </w:r>
      <w:r w:rsidR="00CE75AF">
        <w:t>Sea cual sea la decisión que tome el Comité acerca de las opciones expuestas, puede ser necesario reflexionar acerca de los recursos humanos y financieros</w:t>
      </w:r>
      <w:r w:rsidR="00937DCF">
        <w:t xml:space="preserve"> necesarios</w:t>
      </w:r>
      <w:r w:rsidR="00CE75AF">
        <w:t xml:space="preserve">, en caso de que el número de informaciones actualizadas </w:t>
      </w:r>
      <w:r w:rsidR="00937DCF">
        <w:t xml:space="preserve">que se vayan recibiendo </w:t>
      </w:r>
      <w:r w:rsidR="00CE75AF">
        <w:t>supere la capacidad que tiene por el momento la Secretaría para absorber esa tarea.</w:t>
      </w:r>
    </w:p>
    <w:p w:rsidR="00160893" w:rsidRPr="00D336CE" w:rsidRDefault="00160893" w:rsidP="00160893">
      <w:pPr>
        <w:pStyle w:val="ONUME"/>
        <w:numPr>
          <w:ilvl w:val="0"/>
          <w:numId w:val="0"/>
        </w:numPr>
        <w:spacing w:after="0"/>
      </w:pPr>
    </w:p>
    <w:p w:rsidR="00160893" w:rsidRPr="00D336CE" w:rsidRDefault="00160893" w:rsidP="00160893">
      <w:pPr>
        <w:pStyle w:val="ONUME"/>
        <w:numPr>
          <w:ilvl w:val="0"/>
          <w:numId w:val="0"/>
        </w:numPr>
        <w:spacing w:after="0"/>
      </w:pPr>
    </w:p>
    <w:p w:rsidR="00160893" w:rsidRPr="00D336CE" w:rsidRDefault="00160893" w:rsidP="00160893">
      <w:pPr>
        <w:pStyle w:val="Endofdocument-Annex"/>
        <w:ind w:left="0"/>
        <w:rPr>
          <w:lang w:val="es-ES"/>
        </w:rPr>
      </w:pPr>
    </w:p>
    <w:p w:rsidR="00152CEA" w:rsidRPr="00D336CE" w:rsidRDefault="00160893" w:rsidP="00160893">
      <w:pPr>
        <w:pStyle w:val="Endofdocument-Annex"/>
        <w:rPr>
          <w:lang w:val="es-ES"/>
        </w:rPr>
      </w:pPr>
      <w:r w:rsidRPr="00D336CE">
        <w:rPr>
          <w:lang w:val="es-ES"/>
        </w:rPr>
        <w:t>[Fin del Anexo y del documento]</w:t>
      </w:r>
    </w:p>
    <w:sectPr w:rsidR="00152CEA" w:rsidRPr="00D336CE" w:rsidSect="00790748">
      <w:headerReference w:type="default" r:id="rId12"/>
      <w:headerReference w:type="first" r:id="rId13"/>
      <w:footerReference w:type="first" r:id="rId1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93" w:rsidRDefault="00160893">
      <w:r>
        <w:separator/>
      </w:r>
    </w:p>
  </w:endnote>
  <w:endnote w:type="continuationSeparator" w:id="0">
    <w:p w:rsidR="00160893" w:rsidRPr="009D30E6" w:rsidRDefault="00160893" w:rsidP="007E663E">
      <w:pPr>
        <w:rPr>
          <w:sz w:val="17"/>
          <w:szCs w:val="17"/>
        </w:rPr>
      </w:pPr>
      <w:r w:rsidRPr="009D30E6">
        <w:rPr>
          <w:sz w:val="17"/>
          <w:szCs w:val="17"/>
        </w:rPr>
        <w:separator/>
      </w:r>
    </w:p>
    <w:p w:rsidR="00160893" w:rsidRPr="007E663E" w:rsidRDefault="00160893" w:rsidP="007E663E">
      <w:pPr>
        <w:spacing w:after="60"/>
        <w:rPr>
          <w:sz w:val="17"/>
          <w:szCs w:val="17"/>
        </w:rPr>
      </w:pPr>
      <w:r>
        <w:rPr>
          <w:sz w:val="17"/>
        </w:rPr>
        <w:t>[Continuación de la nota de la página anterior]</w:t>
      </w:r>
    </w:p>
  </w:endnote>
  <w:endnote w:type="continuationNotice" w:id="1">
    <w:p w:rsidR="00160893" w:rsidRPr="007E663E" w:rsidRDefault="0016089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CF2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93" w:rsidRDefault="00160893">
      <w:r>
        <w:separator/>
      </w:r>
    </w:p>
  </w:footnote>
  <w:footnote w:type="continuationSeparator" w:id="0">
    <w:p w:rsidR="00160893" w:rsidRPr="009D30E6" w:rsidRDefault="00160893" w:rsidP="007E663E">
      <w:pPr>
        <w:rPr>
          <w:sz w:val="17"/>
          <w:szCs w:val="17"/>
        </w:rPr>
      </w:pPr>
      <w:r w:rsidRPr="009D30E6">
        <w:rPr>
          <w:sz w:val="17"/>
          <w:szCs w:val="17"/>
        </w:rPr>
        <w:separator/>
      </w:r>
    </w:p>
    <w:p w:rsidR="00160893" w:rsidRPr="007E663E" w:rsidRDefault="00160893" w:rsidP="007E663E">
      <w:pPr>
        <w:spacing w:after="60"/>
        <w:rPr>
          <w:sz w:val="17"/>
          <w:szCs w:val="17"/>
        </w:rPr>
      </w:pPr>
      <w:r>
        <w:rPr>
          <w:sz w:val="17"/>
        </w:rPr>
        <w:t>[Continuación de la nota de la página anterior]</w:t>
      </w:r>
    </w:p>
  </w:footnote>
  <w:footnote w:type="continuationNotice" w:id="1">
    <w:p w:rsidR="00160893" w:rsidRPr="007E663E" w:rsidRDefault="00160893" w:rsidP="007E663E">
      <w:pPr>
        <w:spacing w:before="60"/>
        <w:jc w:val="right"/>
        <w:rPr>
          <w:sz w:val="17"/>
          <w:szCs w:val="17"/>
        </w:rPr>
      </w:pPr>
      <w:r w:rsidRPr="007E663E">
        <w:rPr>
          <w:sz w:val="17"/>
          <w:szCs w:val="17"/>
        </w:rPr>
        <w:t>[Sigue la nota en la página siguiente]</w:t>
      </w:r>
    </w:p>
  </w:footnote>
  <w:footnote w:id="2">
    <w:p w:rsidR="0097178D" w:rsidRDefault="0097178D">
      <w:pPr>
        <w:pStyle w:val="FootnoteText"/>
      </w:pPr>
      <w:r>
        <w:rPr>
          <w:rStyle w:val="FootnoteReference"/>
        </w:rPr>
        <w:footnoteRef/>
      </w:r>
      <w:r>
        <w:t xml:space="preserve"> Como ya se ha mencionado, en la actualidad, la base de datos incluye disposiciones extraídas de los documentos </w:t>
      </w:r>
      <w:r w:rsidR="00D8030F">
        <w:rPr>
          <w:color w:val="000000"/>
          <w:szCs w:val="22"/>
        </w:rPr>
        <w:t>CDIP/5/4,</w:t>
      </w:r>
      <w:r w:rsidR="00D8030F" w:rsidRPr="0025304C">
        <w:t xml:space="preserve"> </w:t>
      </w:r>
      <w:r w:rsidR="00D8030F" w:rsidRPr="008A2AA4">
        <w:t>CDIP/7/3 Add</w:t>
      </w:r>
      <w:r w:rsidR="00D8030F">
        <w:t>.</w:t>
      </w:r>
      <w:r w:rsidR="00D8030F" w:rsidRPr="008A2AA4">
        <w:t>,</w:t>
      </w:r>
      <w:r w:rsidR="00D8030F">
        <w:t xml:space="preserve"> CDIP/13/10 Rev, y CDIP/15/6 </w:t>
      </w:r>
      <w:r>
        <w:t xml:space="preserve">sobre flexibilidades </w:t>
      </w:r>
      <w:r w:rsidRPr="0097178D">
        <w:rPr>
          <w:iCs/>
          <w:color w:val="000000"/>
          <w:szCs w:val="22"/>
        </w:rPr>
        <w:t>en materia de patentes en el marco jurídico multilateral y su aplicación legislativa en los planos nacional y regional</w:t>
      </w:r>
      <w:r w:rsidRPr="0097178D">
        <w:t xml:space="preserve"> </w:t>
      </w:r>
      <w:r w:rsidR="00937DC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160893" w:rsidP="00477D6B">
    <w:pPr>
      <w:jc w:val="right"/>
    </w:pPr>
    <w:bookmarkStart w:id="6" w:name="Code2"/>
    <w:bookmarkEnd w:id="6"/>
    <w:r>
      <w:t>CDIP/17/5</w:t>
    </w:r>
  </w:p>
  <w:p w:rsidR="00AE7F20" w:rsidRDefault="00AE7F20" w:rsidP="00477D6B">
    <w:pPr>
      <w:jc w:val="right"/>
    </w:pPr>
    <w:r>
      <w:t xml:space="preserve">página </w:t>
    </w:r>
    <w:r>
      <w:fldChar w:fldCharType="begin"/>
    </w:r>
    <w:r>
      <w:instrText xml:space="preserve"> PAGE  \* MERGEFORMAT </w:instrText>
    </w:r>
    <w:r>
      <w:fldChar w:fldCharType="separate"/>
    </w:r>
    <w:r w:rsidR="00F73B18">
      <w:rPr>
        <w:noProof/>
      </w:rPr>
      <w:t>1</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C24FAA" w:rsidP="00BA0CE1">
    <w:pPr>
      <w:pStyle w:val="Header"/>
      <w:jc w:val="right"/>
      <w:rPr>
        <w:lang w:val="fr-CH"/>
      </w:rPr>
    </w:pPr>
    <w:r>
      <w:rPr>
        <w:lang w:val="fr-CH"/>
      </w:rPr>
      <w:t>CDIP/17/5</w:t>
    </w:r>
  </w:p>
  <w:p w:rsidR="00117F8A" w:rsidRDefault="00C24FAA" w:rsidP="00BA0CE1">
    <w:pPr>
      <w:pStyle w:val="Header"/>
      <w:jc w:val="right"/>
      <w:rPr>
        <w:lang w:val="fr-CH"/>
      </w:rPr>
    </w:pPr>
    <w:r>
      <w:rPr>
        <w:lang w:val="fr-CH"/>
      </w:rPr>
      <w:t>Anex</w:t>
    </w:r>
    <w:r w:rsidR="00160893">
      <w:rPr>
        <w:lang w:val="fr-CH"/>
      </w:rPr>
      <w:t>o</w:t>
    </w:r>
    <w:r>
      <w:rPr>
        <w:lang w:val="fr-CH"/>
      </w:rPr>
      <w:t>, p</w:t>
    </w:r>
    <w:r w:rsidR="00160893">
      <w:rPr>
        <w:lang w:val="fr-CH"/>
      </w:rPr>
      <w:t>ágina</w:t>
    </w:r>
    <w:r>
      <w:rPr>
        <w:lang w:val="fr-CH"/>
      </w:rPr>
      <w:t xml:space="preserve"> </w:t>
    </w:r>
    <w:r w:rsidRPr="00790748">
      <w:rPr>
        <w:lang w:val="fr-CH"/>
      </w:rPr>
      <w:fldChar w:fldCharType="begin"/>
    </w:r>
    <w:r w:rsidRPr="00790748">
      <w:rPr>
        <w:lang w:val="fr-CH"/>
      </w:rPr>
      <w:instrText xml:space="preserve"> PAGE   \* MERGEFORMAT </w:instrText>
    </w:r>
    <w:r w:rsidRPr="00790748">
      <w:rPr>
        <w:lang w:val="fr-CH"/>
      </w:rPr>
      <w:fldChar w:fldCharType="separate"/>
    </w:r>
    <w:r w:rsidR="00CF279B">
      <w:rPr>
        <w:noProof/>
        <w:lang w:val="fr-CH"/>
      </w:rPr>
      <w:t>3</w:t>
    </w:r>
    <w:r w:rsidRPr="00790748">
      <w:rPr>
        <w:noProof/>
        <w:lang w:val="fr-CH"/>
      </w:rPr>
      <w:fldChar w:fldCharType="end"/>
    </w:r>
  </w:p>
  <w:p w:rsidR="00117F8A" w:rsidRDefault="00CF279B" w:rsidP="00BA0CE1">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C24FAA" w:rsidP="00790748">
    <w:pPr>
      <w:pStyle w:val="Header"/>
      <w:jc w:val="right"/>
    </w:pPr>
    <w:r>
      <w:t>CDIP/17/5</w:t>
    </w:r>
  </w:p>
  <w:p w:rsidR="00117F8A" w:rsidRDefault="00C24FAA" w:rsidP="00790748">
    <w:pPr>
      <w:pStyle w:val="Header"/>
      <w:jc w:val="right"/>
    </w:pPr>
    <w:r>
      <w:t>ANEX</w:t>
    </w:r>
    <w:r w:rsidR="00160893">
      <w:t>O</w:t>
    </w:r>
  </w:p>
  <w:p w:rsidR="00117F8A" w:rsidRDefault="00CF279B" w:rsidP="007907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86930DE"/>
    <w:multiLevelType w:val="hybridMultilevel"/>
    <w:tmpl w:val="08FC0712"/>
    <w:lvl w:ilvl="0" w:tplc="A60CAD62">
      <w:start w:val="1"/>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93"/>
    <w:rsid w:val="00007BF7"/>
    <w:rsid w:val="00010686"/>
    <w:rsid w:val="00052915"/>
    <w:rsid w:val="000D492C"/>
    <w:rsid w:val="000E3BB3"/>
    <w:rsid w:val="000F5E56"/>
    <w:rsid w:val="00120E46"/>
    <w:rsid w:val="001362EE"/>
    <w:rsid w:val="00152CEA"/>
    <w:rsid w:val="00160893"/>
    <w:rsid w:val="00171628"/>
    <w:rsid w:val="001832A6"/>
    <w:rsid w:val="00186282"/>
    <w:rsid w:val="001F7D7D"/>
    <w:rsid w:val="00247C2C"/>
    <w:rsid w:val="002634C4"/>
    <w:rsid w:val="002974BE"/>
    <w:rsid w:val="002D1B72"/>
    <w:rsid w:val="002E0F47"/>
    <w:rsid w:val="002F4E68"/>
    <w:rsid w:val="00327E9F"/>
    <w:rsid w:val="0034549E"/>
    <w:rsid w:val="003457FD"/>
    <w:rsid w:val="00354647"/>
    <w:rsid w:val="00377273"/>
    <w:rsid w:val="003845C1"/>
    <w:rsid w:val="00387287"/>
    <w:rsid w:val="0039737B"/>
    <w:rsid w:val="003E48F1"/>
    <w:rsid w:val="003F347A"/>
    <w:rsid w:val="00423E3E"/>
    <w:rsid w:val="00427AF4"/>
    <w:rsid w:val="0045231F"/>
    <w:rsid w:val="004647DA"/>
    <w:rsid w:val="00477808"/>
    <w:rsid w:val="00477D6B"/>
    <w:rsid w:val="00494CA0"/>
    <w:rsid w:val="004A6C37"/>
    <w:rsid w:val="004E297D"/>
    <w:rsid w:val="005248E0"/>
    <w:rsid w:val="005332F0"/>
    <w:rsid w:val="00542F63"/>
    <w:rsid w:val="0055013B"/>
    <w:rsid w:val="00571B99"/>
    <w:rsid w:val="00605827"/>
    <w:rsid w:val="006245B1"/>
    <w:rsid w:val="00636DF4"/>
    <w:rsid w:val="00675021"/>
    <w:rsid w:val="006A06C6"/>
    <w:rsid w:val="007224C8"/>
    <w:rsid w:val="00794BE2"/>
    <w:rsid w:val="007B71FE"/>
    <w:rsid w:val="007D781E"/>
    <w:rsid w:val="007E663E"/>
    <w:rsid w:val="007F508D"/>
    <w:rsid w:val="00815082"/>
    <w:rsid w:val="0088395E"/>
    <w:rsid w:val="008B2CC1"/>
    <w:rsid w:val="008E6BD6"/>
    <w:rsid w:val="0090731E"/>
    <w:rsid w:val="00937DCF"/>
    <w:rsid w:val="009468EC"/>
    <w:rsid w:val="00966A22"/>
    <w:rsid w:val="0097178D"/>
    <w:rsid w:val="00972F03"/>
    <w:rsid w:val="0098466C"/>
    <w:rsid w:val="009A0C8B"/>
    <w:rsid w:val="009B6241"/>
    <w:rsid w:val="00A16FC0"/>
    <w:rsid w:val="00A32C9E"/>
    <w:rsid w:val="00A83FB9"/>
    <w:rsid w:val="00AB441B"/>
    <w:rsid w:val="00AB613D"/>
    <w:rsid w:val="00AE7F20"/>
    <w:rsid w:val="00AF3454"/>
    <w:rsid w:val="00B65A0A"/>
    <w:rsid w:val="00B67CDC"/>
    <w:rsid w:val="00B72D36"/>
    <w:rsid w:val="00B76669"/>
    <w:rsid w:val="00BC4164"/>
    <w:rsid w:val="00BD2DCC"/>
    <w:rsid w:val="00BD7683"/>
    <w:rsid w:val="00C24FAA"/>
    <w:rsid w:val="00C90559"/>
    <w:rsid w:val="00C91369"/>
    <w:rsid w:val="00CA2251"/>
    <w:rsid w:val="00CA4EC9"/>
    <w:rsid w:val="00CE35A5"/>
    <w:rsid w:val="00CE75AF"/>
    <w:rsid w:val="00CF279B"/>
    <w:rsid w:val="00D336CE"/>
    <w:rsid w:val="00D56C7C"/>
    <w:rsid w:val="00D71B4D"/>
    <w:rsid w:val="00D8030F"/>
    <w:rsid w:val="00D90289"/>
    <w:rsid w:val="00D93D55"/>
    <w:rsid w:val="00DA3A4E"/>
    <w:rsid w:val="00DB52C5"/>
    <w:rsid w:val="00DC4C60"/>
    <w:rsid w:val="00E0079A"/>
    <w:rsid w:val="00E36C65"/>
    <w:rsid w:val="00E444DA"/>
    <w:rsid w:val="00E45C84"/>
    <w:rsid w:val="00E504E5"/>
    <w:rsid w:val="00EB7A3E"/>
    <w:rsid w:val="00EC401A"/>
    <w:rsid w:val="00EF530A"/>
    <w:rsid w:val="00EF6622"/>
    <w:rsid w:val="00F55408"/>
    <w:rsid w:val="00F66152"/>
    <w:rsid w:val="00F73B18"/>
    <w:rsid w:val="00F80845"/>
    <w:rsid w:val="00F84474"/>
    <w:rsid w:val="00F9735D"/>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w:basedOn w:val="Normal"/>
    <w:link w:val="FootnoteTextChar"/>
    <w:uiPriority w:val="99"/>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character" w:customStyle="1" w:styleId="Endofdocument-AnnexChar">
    <w:name w:val="[End of document - Annex] Char"/>
    <w:link w:val="Endofdocument-Annex"/>
    <w:rsid w:val="00160893"/>
    <w:rPr>
      <w:rFonts w:ascii="Arial" w:eastAsia="SimSun" w:hAnsi="Arial" w:cs="Arial"/>
      <w:sz w:val="22"/>
      <w:lang w:eastAsia="zh-CN"/>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aliases w:val="Footnote Char"/>
    <w:link w:val="FootnoteText"/>
    <w:uiPriority w:val="99"/>
    <w:semiHidden/>
    <w:locked/>
    <w:rsid w:val="00160893"/>
    <w:rPr>
      <w:rFonts w:ascii="Arial" w:eastAsia="SimSun" w:hAnsi="Arial" w:cs="Arial"/>
      <w:sz w:val="18"/>
      <w:lang w:val="es-ES" w:eastAsia="zh-CN"/>
    </w:rPr>
  </w:style>
  <w:style w:type="character" w:customStyle="1" w:styleId="HeaderChar">
    <w:name w:val="Header Char"/>
    <w:link w:val="Header"/>
    <w:semiHidden/>
    <w:locked/>
    <w:rsid w:val="00160893"/>
    <w:rPr>
      <w:rFonts w:ascii="Arial" w:eastAsia="SimSun" w:hAnsi="Arial" w:cs="Arial"/>
      <w:sz w:val="22"/>
      <w:lang w:val="es-ES" w:eastAsia="zh-CN"/>
    </w:rPr>
  </w:style>
  <w:style w:type="character" w:styleId="FootnoteReference">
    <w:name w:val="footnote reference"/>
    <w:aliases w:val="callout"/>
    <w:rsid w:val="00160893"/>
    <w:rPr>
      <w:rFonts w:cs="Times New Roman"/>
      <w:vertAlign w:val="superscript"/>
    </w:rPr>
  </w:style>
  <w:style w:type="character" w:styleId="Hyperlink">
    <w:name w:val="Hyperlink"/>
    <w:uiPriority w:val="99"/>
    <w:rsid w:val="00160893"/>
    <w:rPr>
      <w:color w:val="0000FF"/>
      <w:u w:val="single"/>
    </w:rPr>
  </w:style>
  <w:style w:type="paragraph" w:styleId="NormalWeb">
    <w:name w:val="Normal (Web)"/>
    <w:basedOn w:val="Normal"/>
    <w:uiPriority w:val="99"/>
    <w:rsid w:val="00160893"/>
    <w:rPr>
      <w:rFonts w:ascii="Times New Roman" w:hAnsi="Times New Roman" w:cs="Times New Roman"/>
      <w:sz w:val="24"/>
      <w:szCs w:val="24"/>
      <w:lang w:val="en-US"/>
    </w:rPr>
  </w:style>
  <w:style w:type="paragraph" w:styleId="ListParagraph">
    <w:name w:val="List Paragraph"/>
    <w:basedOn w:val="Normal"/>
    <w:uiPriority w:val="34"/>
    <w:qFormat/>
    <w:rsid w:val="00160893"/>
    <w:pPr>
      <w:ind w:left="720"/>
      <w:contextualSpacing/>
    </w:pPr>
    <w:rPr>
      <w:lang w:val="en-US"/>
    </w:rPr>
  </w:style>
  <w:style w:type="character" w:styleId="FollowedHyperlink">
    <w:name w:val="FollowedHyperlink"/>
    <w:basedOn w:val="DefaultParagraphFont"/>
    <w:rsid w:val="003457FD"/>
    <w:rPr>
      <w:color w:val="800080" w:themeColor="followedHyperlink"/>
      <w:u w:val="single"/>
    </w:rPr>
  </w:style>
  <w:style w:type="paragraph" w:styleId="BalloonText">
    <w:name w:val="Balloon Text"/>
    <w:basedOn w:val="Normal"/>
    <w:link w:val="BalloonTextChar"/>
    <w:rsid w:val="00CF279B"/>
    <w:rPr>
      <w:rFonts w:ascii="Tahoma" w:hAnsi="Tahoma" w:cs="Tahoma"/>
      <w:sz w:val="16"/>
      <w:szCs w:val="16"/>
    </w:rPr>
  </w:style>
  <w:style w:type="character" w:customStyle="1" w:styleId="BalloonTextChar">
    <w:name w:val="Balloon Text Char"/>
    <w:basedOn w:val="DefaultParagraphFont"/>
    <w:link w:val="BalloonText"/>
    <w:rsid w:val="00CF279B"/>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w:basedOn w:val="Normal"/>
    <w:link w:val="FootnoteTextChar"/>
    <w:uiPriority w:val="99"/>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character" w:customStyle="1" w:styleId="Endofdocument-AnnexChar">
    <w:name w:val="[End of document - Annex] Char"/>
    <w:link w:val="Endofdocument-Annex"/>
    <w:rsid w:val="00160893"/>
    <w:rPr>
      <w:rFonts w:ascii="Arial" w:eastAsia="SimSun" w:hAnsi="Arial" w:cs="Arial"/>
      <w:sz w:val="22"/>
      <w:lang w:eastAsia="zh-CN"/>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aliases w:val="Footnote Char"/>
    <w:link w:val="FootnoteText"/>
    <w:uiPriority w:val="99"/>
    <w:semiHidden/>
    <w:locked/>
    <w:rsid w:val="00160893"/>
    <w:rPr>
      <w:rFonts w:ascii="Arial" w:eastAsia="SimSun" w:hAnsi="Arial" w:cs="Arial"/>
      <w:sz w:val="18"/>
      <w:lang w:val="es-ES" w:eastAsia="zh-CN"/>
    </w:rPr>
  </w:style>
  <w:style w:type="character" w:customStyle="1" w:styleId="HeaderChar">
    <w:name w:val="Header Char"/>
    <w:link w:val="Header"/>
    <w:semiHidden/>
    <w:locked/>
    <w:rsid w:val="00160893"/>
    <w:rPr>
      <w:rFonts w:ascii="Arial" w:eastAsia="SimSun" w:hAnsi="Arial" w:cs="Arial"/>
      <w:sz w:val="22"/>
      <w:lang w:val="es-ES" w:eastAsia="zh-CN"/>
    </w:rPr>
  </w:style>
  <w:style w:type="character" w:styleId="FootnoteReference">
    <w:name w:val="footnote reference"/>
    <w:aliases w:val="callout"/>
    <w:rsid w:val="00160893"/>
    <w:rPr>
      <w:rFonts w:cs="Times New Roman"/>
      <w:vertAlign w:val="superscript"/>
    </w:rPr>
  </w:style>
  <w:style w:type="character" w:styleId="Hyperlink">
    <w:name w:val="Hyperlink"/>
    <w:uiPriority w:val="99"/>
    <w:rsid w:val="00160893"/>
    <w:rPr>
      <w:color w:val="0000FF"/>
      <w:u w:val="single"/>
    </w:rPr>
  </w:style>
  <w:style w:type="paragraph" w:styleId="NormalWeb">
    <w:name w:val="Normal (Web)"/>
    <w:basedOn w:val="Normal"/>
    <w:uiPriority w:val="99"/>
    <w:rsid w:val="00160893"/>
    <w:rPr>
      <w:rFonts w:ascii="Times New Roman" w:hAnsi="Times New Roman" w:cs="Times New Roman"/>
      <w:sz w:val="24"/>
      <w:szCs w:val="24"/>
      <w:lang w:val="en-US"/>
    </w:rPr>
  </w:style>
  <w:style w:type="paragraph" w:styleId="ListParagraph">
    <w:name w:val="List Paragraph"/>
    <w:basedOn w:val="Normal"/>
    <w:uiPriority w:val="34"/>
    <w:qFormat/>
    <w:rsid w:val="00160893"/>
    <w:pPr>
      <w:ind w:left="720"/>
      <w:contextualSpacing/>
    </w:pPr>
    <w:rPr>
      <w:lang w:val="en-US"/>
    </w:rPr>
  </w:style>
  <w:style w:type="character" w:styleId="FollowedHyperlink">
    <w:name w:val="FollowedHyperlink"/>
    <w:basedOn w:val="DefaultParagraphFont"/>
    <w:rsid w:val="003457FD"/>
    <w:rPr>
      <w:color w:val="800080" w:themeColor="followedHyperlink"/>
      <w:u w:val="single"/>
    </w:rPr>
  </w:style>
  <w:style w:type="paragraph" w:styleId="BalloonText">
    <w:name w:val="Balloon Text"/>
    <w:basedOn w:val="Normal"/>
    <w:link w:val="BalloonTextChar"/>
    <w:rsid w:val="00CF279B"/>
    <w:rPr>
      <w:rFonts w:ascii="Tahoma" w:hAnsi="Tahoma" w:cs="Tahoma"/>
      <w:sz w:val="16"/>
      <w:szCs w:val="16"/>
    </w:rPr>
  </w:style>
  <w:style w:type="character" w:customStyle="1" w:styleId="BalloonTextChar">
    <w:name w:val="Balloon Text Char"/>
    <w:basedOn w:val="DefaultParagraphFont"/>
    <w:link w:val="BalloonText"/>
    <w:rsid w:val="00CF279B"/>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development/en/agenda/flexibilities/search.j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7%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B601C-58F1-4E59-AA8D-D3777450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17 (S).dot</Template>
  <TotalTime>0</TotalTime>
  <Pages>4</Pages>
  <Words>1074</Words>
  <Characters>5998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CDIP/17/5</vt:lpstr>
    </vt:vector>
  </TitlesOfParts>
  <Company>WIPO</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CDIP/17/5</dc:title>
  <dc:creator>BRACI Biljana</dc:creator>
  <dc:description>KP - 19/2/2016</dc:description>
  <cp:lastModifiedBy>BRACI Biljana</cp:lastModifiedBy>
  <cp:revision>2</cp:revision>
  <cp:lastPrinted>2016-02-19T10:54:00Z</cp:lastPrinted>
  <dcterms:created xsi:type="dcterms:W3CDTF">2016-02-19T13:16:00Z</dcterms:created>
  <dcterms:modified xsi:type="dcterms:W3CDTF">2016-02-19T13:16:00Z</dcterms:modified>
</cp:coreProperties>
</file>