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12B3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12B3B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12B3B" w:rsidRDefault="00E219F2" w:rsidP="00916EE2">
            <w:pPr>
              <w:rPr>
                <w:lang w:val="es-ES"/>
              </w:rPr>
            </w:pPr>
            <w:r w:rsidRPr="00E12B3B">
              <w:rPr>
                <w:noProof/>
                <w:lang w:eastAsia="en-US"/>
              </w:rPr>
              <w:drawing>
                <wp:inline distT="0" distB="0" distL="0" distR="0" wp14:anchorId="5035A58F" wp14:editId="351D4F9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12B3B" w:rsidRDefault="00E219F2" w:rsidP="00916EE2">
            <w:pPr>
              <w:jc w:val="right"/>
              <w:rPr>
                <w:lang w:val="es-ES"/>
              </w:rPr>
            </w:pPr>
            <w:r w:rsidRPr="00E12B3B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E12B3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12B3B" w:rsidRDefault="00671B79" w:rsidP="00671B7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12B3B">
              <w:rPr>
                <w:rFonts w:ascii="Arial Black" w:hAnsi="Arial Black"/>
                <w:caps/>
                <w:sz w:val="15"/>
                <w:lang w:val="es-ES"/>
              </w:rPr>
              <w:t>CDIP/23/12</w:t>
            </w:r>
          </w:p>
        </w:tc>
      </w:tr>
      <w:tr w:rsidR="008B2CC1" w:rsidRPr="00E12B3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12B3B" w:rsidRDefault="00671B79" w:rsidP="00671B7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12B3B">
              <w:rPr>
                <w:rFonts w:ascii="Arial Black" w:hAnsi="Arial Black"/>
                <w:caps/>
                <w:sz w:val="15"/>
                <w:lang w:val="es-ES"/>
              </w:rPr>
              <w:t>ORIGINAL: INGLÉS</w:t>
            </w:r>
            <w:r w:rsidR="008B2CC1" w:rsidRPr="00E12B3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E12B3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12B3B" w:rsidRDefault="00671B79" w:rsidP="00671B7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12B3B">
              <w:rPr>
                <w:rFonts w:ascii="Arial Black" w:hAnsi="Arial Black"/>
                <w:caps/>
                <w:sz w:val="15"/>
                <w:lang w:val="es-ES"/>
              </w:rPr>
              <w:t>FECHA: 15 DE MARZO DE 2019</w:t>
            </w:r>
            <w:r w:rsidR="008B2CC1" w:rsidRPr="00E12B3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032406" w:rsidRPr="00E12B3B" w:rsidRDefault="00032406" w:rsidP="008B2CC1">
      <w:pPr>
        <w:rPr>
          <w:lang w:val="es-ES"/>
        </w:rPr>
      </w:pPr>
    </w:p>
    <w:p w:rsidR="00032406" w:rsidRPr="00E12B3B" w:rsidRDefault="00032406" w:rsidP="008B2CC1">
      <w:pPr>
        <w:rPr>
          <w:lang w:val="es-ES"/>
        </w:rPr>
      </w:pPr>
    </w:p>
    <w:p w:rsidR="00032406" w:rsidRPr="00E12B3B" w:rsidRDefault="00032406" w:rsidP="008B2CC1">
      <w:pPr>
        <w:rPr>
          <w:lang w:val="es-ES"/>
        </w:rPr>
      </w:pPr>
    </w:p>
    <w:p w:rsidR="00032406" w:rsidRPr="00E12B3B" w:rsidRDefault="00032406" w:rsidP="008B2CC1">
      <w:pPr>
        <w:rPr>
          <w:lang w:val="es-ES"/>
        </w:rPr>
      </w:pPr>
    </w:p>
    <w:p w:rsidR="00032406" w:rsidRPr="00E12B3B" w:rsidRDefault="00032406" w:rsidP="008B2CC1">
      <w:pPr>
        <w:rPr>
          <w:lang w:val="es-ES"/>
        </w:rPr>
      </w:pPr>
    </w:p>
    <w:p w:rsidR="00032406" w:rsidRPr="00E12B3B" w:rsidRDefault="00671B79" w:rsidP="00671B79">
      <w:pPr>
        <w:rPr>
          <w:b/>
          <w:sz w:val="28"/>
          <w:szCs w:val="28"/>
          <w:lang w:val="es-ES"/>
        </w:rPr>
      </w:pPr>
      <w:r w:rsidRPr="00E12B3B">
        <w:rPr>
          <w:b/>
          <w:sz w:val="28"/>
          <w:szCs w:val="28"/>
          <w:lang w:val="es-ES"/>
        </w:rPr>
        <w:t>Comité de Desarrollo y Propiedad Intelectual (CDIP)</w:t>
      </w:r>
    </w:p>
    <w:p w:rsidR="00032406" w:rsidRPr="00E12B3B" w:rsidRDefault="00032406" w:rsidP="003845C1">
      <w:pPr>
        <w:rPr>
          <w:lang w:val="es-ES"/>
        </w:rPr>
      </w:pPr>
    </w:p>
    <w:p w:rsidR="00032406" w:rsidRPr="00E12B3B" w:rsidRDefault="00032406" w:rsidP="003845C1">
      <w:pPr>
        <w:rPr>
          <w:lang w:val="es-ES"/>
        </w:rPr>
      </w:pPr>
    </w:p>
    <w:p w:rsidR="00032406" w:rsidRPr="00E12B3B" w:rsidRDefault="00671B79" w:rsidP="00671B79">
      <w:pPr>
        <w:rPr>
          <w:b/>
          <w:sz w:val="24"/>
          <w:szCs w:val="24"/>
          <w:lang w:val="es-ES"/>
        </w:rPr>
      </w:pPr>
      <w:r w:rsidRPr="00E12B3B">
        <w:rPr>
          <w:b/>
          <w:sz w:val="24"/>
          <w:szCs w:val="24"/>
          <w:lang w:val="es-ES"/>
        </w:rPr>
        <w:t>Vigesimotercera sesión</w:t>
      </w:r>
    </w:p>
    <w:p w:rsidR="00032406" w:rsidRPr="00E12B3B" w:rsidRDefault="00671B79" w:rsidP="00671B79">
      <w:pPr>
        <w:rPr>
          <w:b/>
          <w:sz w:val="24"/>
          <w:szCs w:val="24"/>
          <w:lang w:val="es-ES"/>
        </w:rPr>
      </w:pPr>
      <w:r w:rsidRPr="00E12B3B">
        <w:rPr>
          <w:b/>
          <w:sz w:val="24"/>
          <w:szCs w:val="24"/>
          <w:lang w:val="es-ES"/>
        </w:rPr>
        <w:t>Ginebra, 20 a 24 de mayo de 2019</w:t>
      </w:r>
    </w:p>
    <w:p w:rsidR="00032406" w:rsidRPr="00E12B3B" w:rsidRDefault="00032406" w:rsidP="008B2CC1">
      <w:pPr>
        <w:rPr>
          <w:lang w:val="es-ES"/>
        </w:rPr>
      </w:pPr>
    </w:p>
    <w:p w:rsidR="00032406" w:rsidRPr="00E12B3B" w:rsidRDefault="00032406" w:rsidP="008B2CC1">
      <w:pPr>
        <w:rPr>
          <w:lang w:val="es-ES"/>
        </w:rPr>
      </w:pPr>
    </w:p>
    <w:p w:rsidR="00032406" w:rsidRPr="00E12B3B" w:rsidRDefault="00032406" w:rsidP="008B2CC1">
      <w:pPr>
        <w:rPr>
          <w:lang w:val="es-ES"/>
        </w:rPr>
      </w:pPr>
    </w:p>
    <w:p w:rsidR="00032406" w:rsidRPr="00E12B3B" w:rsidRDefault="00671B79" w:rsidP="00671B79">
      <w:pPr>
        <w:rPr>
          <w:caps/>
          <w:sz w:val="24"/>
          <w:lang w:val="es-ES"/>
        </w:rPr>
      </w:pPr>
      <w:bookmarkStart w:id="1" w:name="TitleOfDoc"/>
      <w:bookmarkEnd w:id="1"/>
      <w:r w:rsidRPr="00E12B3B">
        <w:rPr>
          <w:caps/>
          <w:sz w:val="24"/>
          <w:lang w:val="es-ES"/>
        </w:rPr>
        <w:t xml:space="preserve">PROPUESTA DE SEGUIMIENTO Del </w:t>
      </w:r>
      <w:r w:rsidR="00863B2A">
        <w:rPr>
          <w:caps/>
          <w:sz w:val="24"/>
          <w:lang w:val="es-ES"/>
        </w:rPr>
        <w:t>“</w:t>
      </w:r>
      <w:r w:rsidRPr="00E12B3B">
        <w:rPr>
          <w:caps/>
          <w:sz w:val="24"/>
          <w:lang w:val="es-ES"/>
        </w:rPr>
        <w:t>Estudio De Viabilidad Relativo A La Mejora De La Compilación De Datos Económicos Correspondientes Al Sector Audiovisual En Determinados Países De África</w:t>
      </w:r>
      <w:r w:rsidR="00863B2A">
        <w:rPr>
          <w:caps/>
          <w:sz w:val="24"/>
          <w:lang w:val="es-ES"/>
        </w:rPr>
        <w:t>”</w:t>
      </w:r>
    </w:p>
    <w:p w:rsidR="00032406" w:rsidRPr="00E12B3B" w:rsidRDefault="00032406" w:rsidP="008B2CC1">
      <w:pPr>
        <w:rPr>
          <w:lang w:val="es-ES"/>
        </w:rPr>
      </w:pPr>
    </w:p>
    <w:p w:rsidR="00032406" w:rsidRPr="00E12B3B" w:rsidRDefault="00671B79" w:rsidP="00671B79">
      <w:pPr>
        <w:rPr>
          <w:i/>
          <w:lang w:val="es-ES"/>
        </w:rPr>
      </w:pPr>
      <w:bookmarkStart w:id="2" w:name="Prepared"/>
      <w:bookmarkEnd w:id="2"/>
      <w:r w:rsidRPr="00E12B3B">
        <w:rPr>
          <w:i/>
          <w:lang w:val="es-ES"/>
        </w:rPr>
        <w:t>Documento preparado por la Secretaría</w:t>
      </w:r>
    </w:p>
    <w:p w:rsidR="00032406" w:rsidRPr="00E12B3B" w:rsidRDefault="00032406">
      <w:pPr>
        <w:rPr>
          <w:lang w:val="es-ES"/>
        </w:rPr>
      </w:pPr>
    </w:p>
    <w:p w:rsidR="00032406" w:rsidRPr="00E12B3B" w:rsidRDefault="00032406">
      <w:pPr>
        <w:rPr>
          <w:lang w:val="es-ES"/>
        </w:rPr>
      </w:pPr>
    </w:p>
    <w:p w:rsidR="00032406" w:rsidRPr="00E12B3B" w:rsidRDefault="00032406">
      <w:pPr>
        <w:rPr>
          <w:lang w:val="es-ES"/>
        </w:rPr>
      </w:pPr>
    </w:p>
    <w:p w:rsidR="00032406" w:rsidRPr="00E12B3B" w:rsidRDefault="00032406">
      <w:pPr>
        <w:rPr>
          <w:lang w:val="es-ES"/>
        </w:rPr>
      </w:pPr>
    </w:p>
    <w:p w:rsidR="00032406" w:rsidRPr="00E12B3B" w:rsidRDefault="00032406" w:rsidP="00695EAA">
      <w:pPr>
        <w:pStyle w:val="ListParagraph"/>
        <w:ind w:left="0"/>
        <w:rPr>
          <w:lang w:val="es-ES"/>
        </w:rPr>
      </w:pPr>
    </w:p>
    <w:p w:rsidR="00032406" w:rsidRPr="00E12B3B" w:rsidRDefault="00695EAA" w:rsidP="00671B79">
      <w:pPr>
        <w:pStyle w:val="ListParagraph"/>
        <w:ind w:left="0"/>
        <w:rPr>
          <w:lang w:val="es-ES"/>
        </w:rPr>
      </w:pPr>
      <w:r w:rsidRPr="00E12B3B">
        <w:rPr>
          <w:lang w:val="es-ES"/>
        </w:rPr>
        <w:fldChar w:fldCharType="begin"/>
      </w:r>
      <w:r w:rsidRPr="00E12B3B">
        <w:rPr>
          <w:lang w:val="es-ES"/>
        </w:rPr>
        <w:instrText xml:space="preserve"> AUTONUM  </w:instrText>
      </w:r>
      <w:r w:rsidRPr="00E12B3B">
        <w:rPr>
          <w:lang w:val="es-ES"/>
        </w:rPr>
        <w:fldChar w:fldCharType="end"/>
      </w:r>
      <w:r w:rsidRPr="00E12B3B">
        <w:rPr>
          <w:lang w:val="es-ES"/>
        </w:rPr>
        <w:tab/>
      </w:r>
      <w:r w:rsidR="00671B79" w:rsidRPr="00E12B3B">
        <w:rPr>
          <w:lang w:val="es-ES"/>
        </w:rPr>
        <w:t xml:space="preserve">El </w:t>
      </w:r>
      <w:r w:rsidR="00863B2A">
        <w:rPr>
          <w:lang w:val="es-ES"/>
        </w:rPr>
        <w:t>“</w:t>
      </w:r>
      <w:r w:rsidR="00671B79" w:rsidRPr="00E12B3B">
        <w:rPr>
          <w:lang w:val="es-ES"/>
        </w:rPr>
        <w:t>Estudio de viabilidad relativo a la mejora de la compilación de datos económicos correspondientes al sector audiovisual en determinados países de África</w:t>
      </w:r>
      <w:r w:rsidR="00863B2A">
        <w:rPr>
          <w:lang w:val="es-ES"/>
        </w:rPr>
        <w:t>”</w:t>
      </w:r>
      <w:r w:rsidR="00671B79" w:rsidRPr="00E12B3B">
        <w:rPr>
          <w:lang w:val="es-ES"/>
        </w:rPr>
        <w:t>, que figura en el documento CDIP/21/INF/2, fue</w:t>
      </w:r>
      <w:r w:rsidR="00671B79" w:rsidRPr="00E12B3B">
        <w:rPr>
          <w:i/>
          <w:lang w:val="es-ES"/>
        </w:rPr>
        <w:t xml:space="preserve"> </w:t>
      </w:r>
      <w:r w:rsidR="00671B79" w:rsidRPr="00E12B3B">
        <w:rPr>
          <w:lang w:val="es-ES"/>
        </w:rPr>
        <w:t xml:space="preserve">preparado en el marco del </w:t>
      </w:r>
      <w:r w:rsidR="00863B2A">
        <w:rPr>
          <w:lang w:val="es-ES"/>
        </w:rPr>
        <w:t>“</w:t>
      </w:r>
      <w:r w:rsidR="00671B79" w:rsidRPr="00E12B3B">
        <w:rPr>
          <w:lang w:val="es-ES"/>
        </w:rPr>
        <w:t>Proyecto relativo al fortalecimiento y desarrollo del sector audiovisual en Burkina Faso y en determinados países de África</w:t>
      </w:r>
      <w:r w:rsidR="00671B79" w:rsidRPr="00E12B3B">
        <w:rPr>
          <w:b/>
          <w:lang w:val="es-ES"/>
        </w:rPr>
        <w:t xml:space="preserve"> </w:t>
      </w:r>
      <w:r w:rsidR="00671B79" w:rsidRPr="00E12B3B">
        <w:rPr>
          <w:lang w:val="es-ES"/>
        </w:rPr>
        <w:t>– Fase II</w:t>
      </w:r>
      <w:r w:rsidR="00863B2A">
        <w:rPr>
          <w:lang w:val="es-ES"/>
        </w:rPr>
        <w:t>”</w:t>
      </w:r>
      <w:r w:rsidR="00671B79" w:rsidRPr="00E12B3B">
        <w:rPr>
          <w:lang w:val="es-ES"/>
        </w:rPr>
        <w:t xml:space="preserve"> (documento CDIP/17/7).</w:t>
      </w:r>
    </w:p>
    <w:p w:rsidR="00032406" w:rsidRPr="00E12B3B" w:rsidRDefault="00032406" w:rsidP="00FC55C2">
      <w:pPr>
        <w:pStyle w:val="ListParagraph"/>
        <w:ind w:left="0"/>
        <w:rPr>
          <w:lang w:val="es-ES"/>
        </w:rPr>
      </w:pPr>
    </w:p>
    <w:p w:rsidR="00032406" w:rsidRPr="00E12B3B" w:rsidRDefault="00695EAA" w:rsidP="001C453E">
      <w:pPr>
        <w:rPr>
          <w:lang w:val="es-ES"/>
        </w:rPr>
      </w:pPr>
      <w:r w:rsidRPr="00E12B3B">
        <w:rPr>
          <w:lang w:val="es-ES"/>
        </w:rPr>
        <w:fldChar w:fldCharType="begin"/>
      </w:r>
      <w:r w:rsidRPr="00E12B3B">
        <w:rPr>
          <w:lang w:val="es-ES"/>
        </w:rPr>
        <w:instrText xml:space="preserve"> AUTONUM  </w:instrText>
      </w:r>
      <w:r w:rsidRPr="00E12B3B">
        <w:rPr>
          <w:lang w:val="es-ES"/>
        </w:rPr>
        <w:fldChar w:fldCharType="end"/>
      </w:r>
      <w:r w:rsidRPr="00E12B3B">
        <w:rPr>
          <w:lang w:val="es-ES"/>
        </w:rPr>
        <w:tab/>
      </w:r>
      <w:r w:rsidR="001C453E" w:rsidRPr="00E12B3B">
        <w:rPr>
          <w:lang w:val="es-ES"/>
        </w:rPr>
        <w:t xml:space="preserve">El estudio de viabilidad fue preparado por dos consultoras independientes, la Sra. Deirdre Kevin y la Sra. Sahar Ali, y presentado a la 21.ª sesión del CDIP. El Comité solicitó a la Secretaría que </w:t>
      </w:r>
      <w:r w:rsidR="00863B2A">
        <w:rPr>
          <w:lang w:val="es-ES"/>
        </w:rPr>
        <w:t>“</w:t>
      </w:r>
      <w:r w:rsidR="001C453E" w:rsidRPr="00E12B3B">
        <w:rPr>
          <w:lang w:val="es-ES"/>
        </w:rPr>
        <w:t>explorara la necesidad y la factibilidad de seguir trabajando en relación con este tema en el futuro.</w:t>
      </w:r>
      <w:r w:rsidR="00863B2A">
        <w:rPr>
          <w:lang w:val="es-ES"/>
        </w:rPr>
        <w:t>”</w:t>
      </w:r>
      <w:r w:rsidR="00981F54" w:rsidRPr="00E12B3B">
        <w:rPr>
          <w:lang w:val="es-ES"/>
        </w:rPr>
        <w:t xml:space="preserve"> </w:t>
      </w:r>
    </w:p>
    <w:p w:rsidR="00032406" w:rsidRPr="00E12B3B" w:rsidRDefault="00032406" w:rsidP="00695EAA">
      <w:pPr>
        <w:rPr>
          <w:lang w:val="es-ES"/>
        </w:rPr>
      </w:pPr>
    </w:p>
    <w:p w:rsidR="00032406" w:rsidRPr="00E12B3B" w:rsidRDefault="00695EAA" w:rsidP="000D15B3">
      <w:pPr>
        <w:rPr>
          <w:lang w:val="es-ES"/>
        </w:rPr>
      </w:pPr>
      <w:r w:rsidRPr="00E12B3B">
        <w:rPr>
          <w:lang w:val="es-ES"/>
        </w:rPr>
        <w:fldChar w:fldCharType="begin"/>
      </w:r>
      <w:r w:rsidRPr="00E12B3B">
        <w:rPr>
          <w:lang w:val="es-ES"/>
        </w:rPr>
        <w:instrText xml:space="preserve"> AUTONUM  </w:instrText>
      </w:r>
      <w:r w:rsidRPr="00E12B3B">
        <w:rPr>
          <w:lang w:val="es-ES"/>
        </w:rPr>
        <w:fldChar w:fldCharType="end"/>
      </w:r>
      <w:r w:rsidRPr="00E12B3B">
        <w:rPr>
          <w:lang w:val="es-ES"/>
        </w:rPr>
        <w:tab/>
      </w:r>
      <w:r w:rsidR="000D15B3" w:rsidRPr="00E12B3B">
        <w:rPr>
          <w:lang w:val="es-ES"/>
        </w:rPr>
        <w:t>En el Anexo del presente documento figura un plan de realización de actividades de seguimiento para dar a conocer los resultados del proyecto.</w:t>
      </w:r>
    </w:p>
    <w:p w:rsidR="00032406" w:rsidRPr="00E12B3B" w:rsidRDefault="00032406" w:rsidP="00FC55C2">
      <w:pPr>
        <w:rPr>
          <w:lang w:val="es-ES"/>
        </w:rPr>
      </w:pPr>
    </w:p>
    <w:p w:rsidR="00032406" w:rsidRPr="008A4DB1" w:rsidRDefault="00695EAA" w:rsidP="00863B2A">
      <w:pPr>
        <w:pStyle w:val="Endofdocument-Annex"/>
        <w:tabs>
          <w:tab w:val="left" w:pos="6096"/>
        </w:tabs>
        <w:rPr>
          <w:i/>
          <w:lang w:val="es-ES"/>
        </w:rPr>
      </w:pPr>
      <w:r w:rsidRPr="008A4DB1">
        <w:rPr>
          <w:i/>
          <w:lang w:val="es-ES"/>
        </w:rPr>
        <w:fldChar w:fldCharType="begin"/>
      </w:r>
      <w:r w:rsidRPr="008A4DB1">
        <w:rPr>
          <w:i/>
          <w:lang w:val="es-ES"/>
        </w:rPr>
        <w:instrText xml:space="preserve"> AUTONUM  </w:instrText>
      </w:r>
      <w:r w:rsidRPr="008A4DB1">
        <w:rPr>
          <w:i/>
          <w:lang w:val="es-ES"/>
        </w:rPr>
        <w:fldChar w:fldCharType="end"/>
      </w:r>
      <w:r w:rsidRPr="008A4DB1">
        <w:rPr>
          <w:i/>
          <w:lang w:val="es-ES"/>
        </w:rPr>
        <w:tab/>
      </w:r>
      <w:r w:rsidR="000D15B3" w:rsidRPr="008A4DB1">
        <w:rPr>
          <w:i/>
          <w:lang w:val="es-ES"/>
        </w:rPr>
        <w:t>Se invita al Comité a considerar el Anexo del presente documento.</w:t>
      </w:r>
    </w:p>
    <w:p w:rsidR="00032406" w:rsidRPr="00E12B3B" w:rsidRDefault="00032406" w:rsidP="008A4DB1">
      <w:pPr>
        <w:pStyle w:val="Endofdocument-Annex"/>
        <w:rPr>
          <w:lang w:val="es-ES"/>
        </w:rPr>
      </w:pPr>
    </w:p>
    <w:p w:rsidR="00032406" w:rsidRPr="00E12B3B" w:rsidRDefault="00032406" w:rsidP="008A4DB1">
      <w:pPr>
        <w:pStyle w:val="Endofdocument-Annex"/>
        <w:rPr>
          <w:lang w:val="es-ES"/>
        </w:rPr>
      </w:pPr>
    </w:p>
    <w:p w:rsidR="00032406" w:rsidRPr="00E12B3B" w:rsidRDefault="00032406" w:rsidP="008A4DB1">
      <w:pPr>
        <w:pStyle w:val="Endofdocument-Annex"/>
        <w:rPr>
          <w:lang w:val="es-ES"/>
        </w:rPr>
      </w:pPr>
    </w:p>
    <w:p w:rsidR="00032406" w:rsidRPr="00E12B3B" w:rsidRDefault="000D15B3" w:rsidP="008A4DB1">
      <w:pPr>
        <w:pStyle w:val="Endofdocument-Annex"/>
        <w:rPr>
          <w:lang w:val="es-ES"/>
        </w:rPr>
      </w:pPr>
      <w:r w:rsidRPr="00E12B3B">
        <w:rPr>
          <w:lang w:val="es-ES"/>
        </w:rPr>
        <w:t>[Sigue el Anexo]</w:t>
      </w:r>
    </w:p>
    <w:p w:rsidR="00032406" w:rsidRPr="00E12B3B" w:rsidRDefault="00032406" w:rsidP="00981F54">
      <w:pPr>
        <w:rPr>
          <w:lang w:val="es-ES"/>
        </w:rPr>
      </w:pPr>
    </w:p>
    <w:p w:rsidR="008A4DB1" w:rsidRDefault="008A4DB1" w:rsidP="00695EAA">
      <w:pPr>
        <w:rPr>
          <w:lang w:val="es-ES"/>
        </w:rPr>
        <w:sectPr w:rsidR="008A4DB1" w:rsidSect="00203D3C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81F54" w:rsidRPr="00E12B3B" w:rsidRDefault="00981F54" w:rsidP="00695EAA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6988"/>
      </w:tblGrid>
      <w:tr w:rsidR="00F962F4" w:rsidRPr="004825D4" w:rsidTr="009F1620">
        <w:tc>
          <w:tcPr>
            <w:tcW w:w="9345" w:type="dxa"/>
            <w:gridSpan w:val="2"/>
          </w:tcPr>
          <w:p w:rsidR="00032406" w:rsidRPr="00E12B3B" w:rsidRDefault="00032406" w:rsidP="00F962F4">
            <w:pPr>
              <w:jc w:val="center"/>
              <w:rPr>
                <w:b/>
                <w:lang w:val="es-ES"/>
              </w:rPr>
            </w:pPr>
          </w:p>
          <w:p w:rsidR="00032406" w:rsidRPr="00E12B3B" w:rsidRDefault="000D15B3" w:rsidP="000D15B3">
            <w:pPr>
              <w:jc w:val="center"/>
              <w:rPr>
                <w:b/>
                <w:lang w:val="es-ES"/>
              </w:rPr>
            </w:pPr>
            <w:r w:rsidRPr="00E12B3B">
              <w:rPr>
                <w:b/>
                <w:lang w:val="es-ES"/>
              </w:rPr>
              <w:t>PLAN DE REALIZACIÓN DE ACTIVIDADES DE SEGUIMIENTO</w:t>
            </w:r>
          </w:p>
          <w:p w:rsidR="00F962F4" w:rsidRPr="00E12B3B" w:rsidRDefault="00F962F4" w:rsidP="00F962F4">
            <w:pPr>
              <w:rPr>
                <w:lang w:val="es-ES"/>
              </w:rPr>
            </w:pPr>
          </w:p>
        </w:tc>
      </w:tr>
      <w:tr w:rsidR="00F962F4" w:rsidRPr="004825D4" w:rsidTr="008A4DB1">
        <w:tc>
          <w:tcPr>
            <w:tcW w:w="2294" w:type="dxa"/>
          </w:tcPr>
          <w:p w:rsidR="00F962F4" w:rsidRPr="00E12B3B" w:rsidRDefault="00032406" w:rsidP="00032406">
            <w:pPr>
              <w:rPr>
                <w:lang w:val="es-ES"/>
              </w:rPr>
            </w:pPr>
            <w:r w:rsidRPr="00E12B3B">
              <w:rPr>
                <w:i/>
                <w:lang w:val="es-ES"/>
              </w:rPr>
              <w:t>Título de la actividad/iniciativa</w:t>
            </w:r>
          </w:p>
        </w:tc>
        <w:tc>
          <w:tcPr>
            <w:tcW w:w="7051" w:type="dxa"/>
          </w:tcPr>
          <w:p w:rsidR="00032406" w:rsidRPr="00E12B3B" w:rsidRDefault="00032406" w:rsidP="00F962F4">
            <w:pPr>
              <w:rPr>
                <w:lang w:val="es-ES"/>
              </w:rPr>
            </w:pPr>
          </w:p>
          <w:p w:rsidR="00032406" w:rsidRPr="00E12B3B" w:rsidRDefault="000D15B3" w:rsidP="000D15B3">
            <w:pPr>
              <w:rPr>
                <w:lang w:val="es-ES"/>
              </w:rPr>
            </w:pPr>
            <w:r w:rsidRPr="00E12B3B">
              <w:rPr>
                <w:lang w:val="es-ES"/>
              </w:rPr>
              <w:t>Mejora de la compilación de datos correspondientes al sector audiovisual en África</w:t>
            </w:r>
          </w:p>
          <w:p w:rsidR="00F962F4" w:rsidRPr="00E12B3B" w:rsidRDefault="00F962F4" w:rsidP="00F962F4">
            <w:pPr>
              <w:rPr>
                <w:lang w:val="es-ES"/>
              </w:rPr>
            </w:pPr>
          </w:p>
        </w:tc>
      </w:tr>
      <w:tr w:rsidR="00F962F4" w:rsidRPr="004825D4" w:rsidTr="008A4DB1">
        <w:tc>
          <w:tcPr>
            <w:tcW w:w="2294" w:type="dxa"/>
          </w:tcPr>
          <w:p w:rsidR="00032406" w:rsidRPr="00E12B3B" w:rsidRDefault="00032406" w:rsidP="00F962F4">
            <w:pPr>
              <w:rPr>
                <w:i/>
                <w:szCs w:val="22"/>
                <w:lang w:val="es-ES"/>
              </w:rPr>
            </w:pPr>
          </w:p>
          <w:p w:rsidR="00032406" w:rsidRPr="00E12B3B" w:rsidRDefault="000D15B3" w:rsidP="000D15B3">
            <w:pPr>
              <w:rPr>
                <w:i/>
                <w:szCs w:val="22"/>
                <w:lang w:val="es-ES"/>
              </w:rPr>
            </w:pPr>
            <w:r w:rsidRPr="00E12B3B">
              <w:rPr>
                <w:i/>
                <w:szCs w:val="22"/>
                <w:lang w:val="es-ES"/>
              </w:rPr>
              <w:t>Breve descripción de la actividad/iniciativa</w:t>
            </w:r>
          </w:p>
          <w:p w:rsidR="00EE6077" w:rsidRPr="00E12B3B" w:rsidRDefault="00EE6077" w:rsidP="00F962F4">
            <w:pPr>
              <w:rPr>
                <w:lang w:val="es-ES"/>
              </w:rPr>
            </w:pPr>
          </w:p>
        </w:tc>
        <w:tc>
          <w:tcPr>
            <w:tcW w:w="7051" w:type="dxa"/>
          </w:tcPr>
          <w:p w:rsidR="00032406" w:rsidRPr="00E12B3B" w:rsidRDefault="00032406" w:rsidP="007B3815">
            <w:pPr>
              <w:ind w:left="720"/>
              <w:rPr>
                <w:rFonts w:eastAsia="Times New Roman"/>
                <w:szCs w:val="22"/>
                <w:lang w:val="es-ES" w:eastAsia="en-US"/>
              </w:rPr>
            </w:pPr>
          </w:p>
          <w:p w:rsidR="00032406" w:rsidRPr="00E12B3B" w:rsidRDefault="000D15B3" w:rsidP="000D15B3">
            <w:pPr>
              <w:numPr>
                <w:ilvl w:val="0"/>
                <w:numId w:val="10"/>
              </w:numPr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A</w:t>
            </w:r>
            <w:r w:rsidR="00A31EA8" w:rsidRPr="00E12B3B">
              <w:rPr>
                <w:rFonts w:eastAsia="Times New Roman"/>
                <w:szCs w:val="22"/>
                <w:lang w:val="es-ES" w:eastAsia="en-US"/>
              </w:rPr>
              <w:t xml:space="preserve">ntecedentes </w:t>
            </w:r>
          </w:p>
          <w:p w:rsidR="00032406" w:rsidRPr="00E12B3B" w:rsidRDefault="00032406" w:rsidP="007B3815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</w:p>
          <w:p w:rsidR="00032406" w:rsidRPr="00E12B3B" w:rsidRDefault="00032406" w:rsidP="001C453E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En 2017, e</w:t>
            </w:r>
            <w:r w:rsidR="001C453E" w:rsidRPr="00E12B3B">
              <w:rPr>
                <w:rFonts w:eastAsia="Times New Roman"/>
                <w:szCs w:val="22"/>
                <w:lang w:val="es-ES" w:eastAsia="en-US"/>
              </w:rPr>
              <w:t xml:space="preserve">n el contexto del proyecto sobre </w:t>
            </w:r>
            <w:r w:rsidR="00863B2A">
              <w:rPr>
                <w:rFonts w:eastAsia="Times New Roman"/>
                <w:szCs w:val="22"/>
                <w:lang w:val="es-ES" w:eastAsia="en-US"/>
              </w:rPr>
              <w:t>“</w:t>
            </w:r>
            <w:r w:rsidR="001C453E" w:rsidRPr="00E12B3B">
              <w:rPr>
                <w:rFonts w:eastAsia="Times New Roman"/>
                <w:szCs w:val="22"/>
                <w:lang w:val="es-ES" w:eastAsia="en-US"/>
              </w:rPr>
              <w:t>Fortalecimiento y desarrollo del sector audiovisual en Burkina Faso y en determinados países de África - Fase II</w:t>
            </w:r>
            <w:r w:rsidR="00863B2A">
              <w:rPr>
                <w:rFonts w:eastAsia="Times New Roman"/>
                <w:szCs w:val="22"/>
                <w:lang w:val="es-ES" w:eastAsia="en-US"/>
              </w:rPr>
              <w:t>”</w:t>
            </w:r>
            <w:r w:rsidR="001C453E" w:rsidRPr="00E12B3B">
              <w:rPr>
                <w:rFonts w:eastAsia="Times New Roman"/>
                <w:szCs w:val="22"/>
                <w:lang w:val="es-ES" w:eastAsia="en-US"/>
              </w:rPr>
              <w:t xml:space="preserve"> (documento CDIP/17/7), se encargó la realización de un </w:t>
            </w:r>
            <w:r w:rsidR="00B641AC" w:rsidRPr="00E12B3B">
              <w:rPr>
                <w:rFonts w:eastAsia="Times New Roman"/>
                <w:szCs w:val="22"/>
                <w:lang w:val="es-ES" w:eastAsia="en-US"/>
              </w:rPr>
              <w:t>e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>studio de viabilidad relativo a la m</w:t>
            </w:r>
            <w:r w:rsidR="001C453E" w:rsidRPr="00E12B3B">
              <w:rPr>
                <w:rFonts w:eastAsia="Times New Roman"/>
                <w:szCs w:val="22"/>
                <w:lang w:val="es-ES" w:eastAsia="en-US"/>
              </w:rPr>
              <w:t>ejora de la compilación de datos económicos correspondientes al sector audiovisual e</w:t>
            </w:r>
            <w:r w:rsidR="00B641AC" w:rsidRPr="00E12B3B">
              <w:rPr>
                <w:rFonts w:eastAsia="Times New Roman"/>
                <w:szCs w:val="22"/>
                <w:lang w:val="es-ES" w:eastAsia="en-US"/>
              </w:rPr>
              <w:t>n determinados países de África</w:t>
            </w:r>
            <w:r w:rsidR="001C453E" w:rsidRPr="00E12B3B">
              <w:rPr>
                <w:rFonts w:eastAsia="Times New Roman"/>
                <w:szCs w:val="22"/>
                <w:lang w:val="es-ES" w:eastAsia="en-US"/>
              </w:rPr>
              <w:t>.</w:t>
            </w:r>
            <w:r w:rsidR="007B3815" w:rsidRPr="00E12B3B">
              <w:rPr>
                <w:rFonts w:eastAsia="Times New Roman"/>
                <w:szCs w:val="22"/>
                <w:lang w:val="es-ES" w:eastAsia="en-US"/>
              </w:rPr>
              <w:t xml:space="preserve"> </w:t>
            </w:r>
            <w:r w:rsidR="00883B8A" w:rsidRPr="00E12B3B">
              <w:rPr>
                <w:rFonts w:eastAsia="Times New Roman"/>
                <w:szCs w:val="22"/>
                <w:lang w:val="es-ES" w:eastAsia="en-US"/>
              </w:rPr>
              <w:t>E</w:t>
            </w:r>
            <w:r w:rsidR="0016434E" w:rsidRPr="00E12B3B">
              <w:rPr>
                <w:rFonts w:eastAsia="Times New Roman"/>
                <w:szCs w:val="22"/>
                <w:lang w:val="es-ES" w:eastAsia="en-US"/>
              </w:rPr>
              <w:t xml:space="preserve">l estudio se </w:t>
            </w:r>
            <w:r w:rsidR="00883B8A" w:rsidRPr="00E12B3B">
              <w:rPr>
                <w:rFonts w:eastAsia="Times New Roman"/>
                <w:szCs w:val="22"/>
                <w:lang w:val="es-ES" w:eastAsia="en-US"/>
              </w:rPr>
              <w:t>centró en</w:t>
            </w:r>
            <w:r w:rsidR="0016434E" w:rsidRPr="00E12B3B">
              <w:rPr>
                <w:rFonts w:eastAsia="Times New Roman"/>
                <w:szCs w:val="22"/>
                <w:lang w:val="es-ES" w:eastAsia="en-US"/>
              </w:rPr>
              <w:t xml:space="preserve"> Burkina Faso, Côte d</w:t>
            </w:r>
            <w:r w:rsidR="00863B2A">
              <w:rPr>
                <w:rFonts w:eastAsia="Times New Roman"/>
                <w:szCs w:val="22"/>
                <w:lang w:val="es-ES" w:eastAsia="en-US"/>
              </w:rPr>
              <w:t>’</w:t>
            </w:r>
            <w:r w:rsidR="0016434E" w:rsidRPr="00E12B3B">
              <w:rPr>
                <w:rFonts w:eastAsia="Times New Roman"/>
                <w:szCs w:val="22"/>
                <w:lang w:val="es-ES" w:eastAsia="en-US"/>
              </w:rPr>
              <w:t>Ivoire, Kenya, Marruecos y el Senegal.</w:t>
            </w:r>
          </w:p>
          <w:p w:rsidR="00032406" w:rsidRPr="00E12B3B" w:rsidRDefault="00032406" w:rsidP="007B3815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</w:p>
          <w:p w:rsidR="00032406" w:rsidRPr="00E12B3B" w:rsidRDefault="00722FAD" w:rsidP="00722FAD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>El estudio puso de manifiesto la falta de datos relativos al sector audiovisual en los países estudiados.</w:t>
            </w:r>
            <w:r w:rsidR="007B3815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 </w:t>
            </w:r>
            <w:r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>Una de las conclusiones fue la necesidad de sensibilizar a las partes interesadas en el sector audiovisual sobre la importancia de mejorar la compilación de datos jurídicos y de datos sobre la actividad comercial en ese sector.</w:t>
            </w:r>
            <w:r w:rsidR="00E61926" w:rsidRPr="00E12B3B">
              <w:rPr>
                <w:rFonts w:eastAsia="Times New Roman"/>
                <w:szCs w:val="22"/>
                <w:lang w:val="es-ES" w:eastAsia="en-US"/>
              </w:rPr>
              <w:t xml:space="preserve"> 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>Para ello se definieron diversos pasos.</w:t>
            </w:r>
            <w:r w:rsidR="007B3815" w:rsidRPr="00E12B3B">
              <w:rPr>
                <w:rFonts w:eastAsia="Times New Roman"/>
                <w:szCs w:val="22"/>
                <w:lang w:val="es-ES" w:eastAsia="en-US"/>
              </w:rPr>
              <w:t xml:space="preserve"> </w:t>
            </w:r>
          </w:p>
          <w:p w:rsidR="00032406" w:rsidRPr="00E12B3B" w:rsidRDefault="007B3815" w:rsidP="007B3815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 </w:t>
            </w:r>
          </w:p>
          <w:p w:rsidR="00032406" w:rsidRPr="00E12B3B" w:rsidRDefault="00163517" w:rsidP="008461AF">
            <w:pPr>
              <w:shd w:val="clear" w:color="auto" w:fill="FAFAFA"/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>S</w:t>
            </w:r>
            <w:r w:rsidR="00722FAD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e </w:t>
            </w:r>
            <w:r w:rsidR="00B641AC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>conoce</w:t>
            </w:r>
            <w:r w:rsidR="00722FAD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 </w:t>
            </w:r>
            <w:r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poco </w:t>
            </w:r>
            <w:r w:rsidR="00722FAD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sobre el tamaño o la naturaleza del mercado audiovisual </w:t>
            </w:r>
            <w:r w:rsidR="00FB1EAB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>interno</w:t>
            </w:r>
            <w:r w:rsidR="00722FAD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 de muchos países en desarrollo.</w:t>
            </w:r>
            <w:r w:rsidR="007B3815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 </w:t>
            </w:r>
            <w:r w:rsidR="008461AF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Esto, junto con la naturaleza informal del sector y una pobre sensibilización sobre la PI, dificulta significativamente </w:t>
            </w:r>
            <w:r w:rsidR="00E61926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el reconocimiento </w:t>
            </w:r>
            <w:r w:rsidR="008461AF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y </w:t>
            </w:r>
            <w:r w:rsidR="00E61926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>la gestión adecuada</w:t>
            </w:r>
            <w:r w:rsidR="008461AF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 de los activos de PI para aprovechar el potencial económico del sector.</w:t>
            </w:r>
            <w:r w:rsidR="007B3815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> </w:t>
            </w:r>
            <w:r w:rsidR="008461AF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Diversos profesionales del sector audiovisual </w:t>
            </w:r>
            <w:r w:rsidR="00E548A2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han </w:t>
            </w:r>
            <w:r w:rsidR="008461AF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>subraya</w:t>
            </w:r>
            <w:r w:rsidR="00E548A2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do </w:t>
            </w:r>
            <w:r w:rsidR="008461AF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que la existencia de datos transparentes y fiables sobre el mercado </w:t>
            </w:r>
            <w:r w:rsidR="003061E0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podría </w:t>
            </w:r>
            <w:r w:rsidR="008461AF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ayudar a formular políticas claras y efectivas </w:t>
            </w:r>
            <w:r w:rsidR="003061E0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>en</w:t>
            </w:r>
            <w:r w:rsidR="008461AF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 el sector.</w:t>
            </w:r>
            <w:r w:rsidR="007B3815" w:rsidRPr="00E12B3B"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  <w:t xml:space="preserve"> </w:t>
            </w:r>
          </w:p>
          <w:p w:rsidR="00032406" w:rsidRPr="00E12B3B" w:rsidRDefault="00032406" w:rsidP="007B3815">
            <w:pPr>
              <w:shd w:val="clear" w:color="auto" w:fill="FAFAFA"/>
              <w:rPr>
                <w:rFonts w:eastAsia="Times New Roman"/>
                <w:szCs w:val="22"/>
                <w:shd w:val="clear" w:color="auto" w:fill="FAFAFA"/>
                <w:lang w:val="es-ES" w:eastAsia="en-US"/>
              </w:rPr>
            </w:pPr>
          </w:p>
          <w:p w:rsidR="00032406" w:rsidRPr="00E12B3B" w:rsidRDefault="004C4649" w:rsidP="00B628E5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El objeto de l</w:t>
            </w:r>
            <w:r w:rsidR="00B628E5" w:rsidRPr="00E12B3B">
              <w:rPr>
                <w:rFonts w:eastAsia="Times New Roman"/>
                <w:szCs w:val="22"/>
                <w:lang w:val="es-ES" w:eastAsia="en-US"/>
              </w:rPr>
              <w:t>a pr</w:t>
            </w:r>
            <w:r w:rsidR="00F254C3" w:rsidRPr="00E12B3B">
              <w:rPr>
                <w:rFonts w:eastAsia="Times New Roman"/>
                <w:szCs w:val="22"/>
                <w:lang w:val="es-ES" w:eastAsia="en-US"/>
              </w:rPr>
              <w:t xml:space="preserve">esente propuesta 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>es</w:t>
            </w:r>
            <w:r w:rsidR="00B628E5" w:rsidRPr="00E12B3B">
              <w:rPr>
                <w:rFonts w:eastAsia="Times New Roman"/>
                <w:szCs w:val="22"/>
                <w:lang w:val="es-ES" w:eastAsia="en-US"/>
              </w:rPr>
              <w:t xml:space="preserve"> dar a conocer</w:t>
            </w:r>
            <w:r w:rsidR="00F254C3" w:rsidRPr="00E12B3B">
              <w:rPr>
                <w:rFonts w:eastAsia="Times New Roman"/>
                <w:szCs w:val="22"/>
                <w:lang w:val="es-ES" w:eastAsia="en-US"/>
              </w:rPr>
              <w:t xml:space="preserve"> los resultados </w:t>
            </w:r>
            <w:r w:rsidR="00B628E5" w:rsidRPr="00E12B3B">
              <w:rPr>
                <w:rFonts w:eastAsia="Times New Roman"/>
                <w:szCs w:val="22"/>
                <w:lang w:val="es-ES" w:eastAsia="en-US"/>
              </w:rPr>
              <w:t xml:space="preserve">del </w:t>
            </w:r>
            <w:r w:rsidR="00F254C3" w:rsidRPr="00E12B3B">
              <w:rPr>
                <w:rFonts w:eastAsia="Times New Roman"/>
                <w:szCs w:val="22"/>
                <w:lang w:val="es-ES" w:eastAsia="en-US"/>
              </w:rPr>
              <w:t xml:space="preserve">proyecto del </w:t>
            </w:r>
            <w:r w:rsidR="00B628E5" w:rsidRPr="00E12B3B">
              <w:rPr>
                <w:rFonts w:eastAsia="Times New Roman"/>
                <w:szCs w:val="22"/>
                <w:lang w:val="es-ES" w:eastAsia="en-US"/>
              </w:rPr>
              <w:t xml:space="preserve">estudio arriba mencionado mediante la organización de dos 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>actividades principales</w:t>
            </w:r>
            <w:r w:rsidR="00B628E5" w:rsidRPr="00E12B3B">
              <w:rPr>
                <w:rFonts w:eastAsia="Times New Roman"/>
                <w:szCs w:val="22"/>
                <w:lang w:val="es-ES" w:eastAsia="en-US"/>
              </w:rPr>
              <w:t>:</w:t>
            </w:r>
          </w:p>
          <w:p w:rsidR="00032406" w:rsidRPr="00E12B3B" w:rsidRDefault="00B628E5" w:rsidP="00B628E5">
            <w:pPr>
              <w:numPr>
                <w:ilvl w:val="0"/>
                <w:numId w:val="11"/>
              </w:num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Un taller subregional para dar a conocer las constataciones del estudio;</w:t>
            </w:r>
          </w:p>
          <w:p w:rsidR="00032406" w:rsidRPr="00E12B3B" w:rsidRDefault="00B628E5" w:rsidP="00B628E5">
            <w:pPr>
              <w:numPr>
                <w:ilvl w:val="0"/>
                <w:numId w:val="11"/>
              </w:num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La redacción de un resumen, tras el taller, en el que se subrayen las experiencias en la materia y algunas posibles opciones para los países beneficiarios.</w:t>
            </w:r>
            <w:r w:rsidR="007B3815" w:rsidRPr="00E12B3B">
              <w:rPr>
                <w:rFonts w:eastAsia="Times New Roman"/>
                <w:szCs w:val="22"/>
                <w:lang w:val="es-ES" w:eastAsia="en-US"/>
              </w:rPr>
              <w:t xml:space="preserve"> </w:t>
            </w:r>
          </w:p>
          <w:p w:rsidR="00032406" w:rsidRPr="00E12B3B" w:rsidRDefault="00032406" w:rsidP="007B3815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</w:p>
          <w:p w:rsidR="00032406" w:rsidRPr="00E12B3B" w:rsidRDefault="00B628E5" w:rsidP="00B628E5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Los objetivos principales de esas actividades son:</w:t>
            </w:r>
          </w:p>
          <w:p w:rsidR="00032406" w:rsidRPr="00E12B3B" w:rsidRDefault="00032406" w:rsidP="007B3815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</w:p>
          <w:p w:rsidR="00032406" w:rsidRPr="00E12B3B" w:rsidRDefault="00B628E5" w:rsidP="00B628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Presentar las constataciones </w:t>
            </w:r>
            <w:r w:rsidR="004C4649" w:rsidRPr="00E12B3B">
              <w:rPr>
                <w:rFonts w:eastAsia="Times New Roman"/>
                <w:szCs w:val="22"/>
                <w:lang w:val="es-ES" w:eastAsia="en-US"/>
              </w:rPr>
              <w:t xml:space="preserve">principales 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>del estudio</w:t>
            </w:r>
            <w:r w:rsidR="00C438A3" w:rsidRPr="00E12B3B">
              <w:rPr>
                <w:rFonts w:eastAsia="Times New Roman"/>
                <w:szCs w:val="22"/>
                <w:lang w:val="es-ES" w:eastAsia="en-US"/>
              </w:rPr>
              <w:t>;</w:t>
            </w:r>
            <w:r w:rsidR="007B3815" w:rsidRPr="00E12B3B">
              <w:rPr>
                <w:rFonts w:eastAsia="Times New Roman"/>
                <w:szCs w:val="22"/>
                <w:lang w:val="es-ES" w:eastAsia="en-US"/>
              </w:rPr>
              <w:t xml:space="preserve"> </w:t>
            </w:r>
          </w:p>
          <w:p w:rsidR="00032406" w:rsidRPr="00E12B3B" w:rsidRDefault="00B628E5" w:rsidP="00B628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Sensibilizar aún más a las instancias encargadas de formular políticas y a los profesionales en el sector audiovisual de la importancia que tienen los datos jurídicos y </w:t>
            </w:r>
            <w:r w:rsidR="0027512B" w:rsidRPr="00E12B3B">
              <w:rPr>
                <w:rFonts w:eastAsia="Times New Roman"/>
                <w:szCs w:val="22"/>
                <w:lang w:val="es-ES" w:eastAsia="en-US"/>
              </w:rPr>
              <w:t xml:space="preserve">los 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>datos sobre la actividad comercial en el sector</w:t>
            </w:r>
            <w:r w:rsidR="00C438A3" w:rsidRPr="00E12B3B">
              <w:rPr>
                <w:rFonts w:eastAsia="Times New Roman"/>
                <w:szCs w:val="22"/>
                <w:lang w:val="es-ES" w:eastAsia="en-US"/>
              </w:rPr>
              <w:t>;</w:t>
            </w:r>
          </w:p>
          <w:p w:rsidR="00032406" w:rsidRPr="00E12B3B" w:rsidRDefault="00B628E5" w:rsidP="00B628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Ofrecer ejemplos de estrategias, instrumentos y mejores prácticas nacionales y regionales de éxito </w:t>
            </w:r>
            <w:r w:rsidR="0027512B" w:rsidRPr="00E12B3B">
              <w:rPr>
                <w:rFonts w:eastAsia="Times New Roman"/>
                <w:szCs w:val="22"/>
                <w:lang w:val="es-ES" w:eastAsia="en-US"/>
              </w:rPr>
              <w:t>para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 la compilación 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lastRenderedPageBreak/>
              <w:t>de datos jurídicos y datos sobre la actividad comercial en el sector audiovisual</w:t>
            </w:r>
            <w:r w:rsidR="00C438A3" w:rsidRPr="00E12B3B">
              <w:rPr>
                <w:rFonts w:eastAsia="Times New Roman"/>
                <w:szCs w:val="22"/>
                <w:lang w:val="es-ES" w:eastAsia="en-US"/>
              </w:rPr>
              <w:t>;</w:t>
            </w:r>
          </w:p>
          <w:p w:rsidR="00032406" w:rsidRPr="00E12B3B" w:rsidRDefault="00C438A3" w:rsidP="00B628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Plantear</w:t>
            </w:r>
            <w:r w:rsidR="00B628E5" w:rsidRPr="00E12B3B">
              <w:rPr>
                <w:rFonts w:eastAsia="Times New Roman"/>
                <w:szCs w:val="22"/>
                <w:lang w:val="es-ES" w:eastAsia="en-US"/>
              </w:rPr>
              <w:t xml:space="preserve"> diversas opciones que podrían seguir los países beneficiarios para aumentar la transparencia de estos datos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>.</w:t>
            </w:r>
          </w:p>
          <w:p w:rsidR="00F962F4" w:rsidRPr="00E12B3B" w:rsidRDefault="00F962F4" w:rsidP="00F962F4">
            <w:pPr>
              <w:rPr>
                <w:lang w:val="es-ES"/>
              </w:rPr>
            </w:pPr>
          </w:p>
        </w:tc>
      </w:tr>
      <w:tr w:rsidR="00F962F4" w:rsidRPr="004825D4" w:rsidTr="008A4DB1">
        <w:tc>
          <w:tcPr>
            <w:tcW w:w="2294" w:type="dxa"/>
          </w:tcPr>
          <w:p w:rsidR="00032406" w:rsidRPr="00E12B3B" w:rsidRDefault="00032406" w:rsidP="00F962F4">
            <w:pPr>
              <w:rPr>
                <w:i/>
                <w:szCs w:val="22"/>
                <w:lang w:val="es-ES"/>
              </w:rPr>
            </w:pPr>
          </w:p>
          <w:p w:rsidR="00032406" w:rsidRPr="00E12B3B" w:rsidRDefault="00B628E5" w:rsidP="00B628E5">
            <w:pPr>
              <w:rPr>
                <w:i/>
                <w:szCs w:val="22"/>
                <w:lang w:val="es-ES"/>
              </w:rPr>
            </w:pPr>
            <w:r w:rsidRPr="00E12B3B">
              <w:rPr>
                <w:i/>
                <w:szCs w:val="22"/>
                <w:lang w:val="es-ES"/>
              </w:rPr>
              <w:t>Actividades del proyecto</w:t>
            </w:r>
          </w:p>
          <w:p w:rsidR="00A61C8A" w:rsidRPr="00E12B3B" w:rsidRDefault="00A61C8A" w:rsidP="00F962F4">
            <w:pPr>
              <w:rPr>
                <w:lang w:val="es-ES"/>
              </w:rPr>
            </w:pPr>
          </w:p>
        </w:tc>
        <w:tc>
          <w:tcPr>
            <w:tcW w:w="7051" w:type="dxa"/>
          </w:tcPr>
          <w:p w:rsidR="00032406" w:rsidRPr="00E12B3B" w:rsidRDefault="00032406" w:rsidP="00F962F4">
            <w:pPr>
              <w:rPr>
                <w:lang w:val="es-ES"/>
              </w:rPr>
            </w:pPr>
          </w:p>
          <w:p w:rsidR="00032406" w:rsidRPr="00E12B3B" w:rsidRDefault="00B628E5" w:rsidP="00B628E5">
            <w:pPr>
              <w:jc w:val="both"/>
              <w:rPr>
                <w:b/>
                <w:szCs w:val="22"/>
                <w:lang w:val="es-ES"/>
              </w:rPr>
            </w:pPr>
            <w:r w:rsidRPr="00E12B3B">
              <w:rPr>
                <w:b/>
                <w:szCs w:val="22"/>
                <w:lang w:val="es-ES"/>
              </w:rPr>
              <w:t>Actividad 1 del proyecto:</w:t>
            </w:r>
            <w:r w:rsidR="00A61C8A" w:rsidRPr="00E12B3B">
              <w:rPr>
                <w:b/>
                <w:szCs w:val="22"/>
                <w:lang w:val="es-ES"/>
              </w:rPr>
              <w:t xml:space="preserve"> </w:t>
            </w:r>
          </w:p>
          <w:p w:rsidR="00032406" w:rsidRPr="00E12B3B" w:rsidRDefault="00032406" w:rsidP="00A61C8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2"/>
                <w:lang w:val="es-ES"/>
              </w:rPr>
            </w:pPr>
          </w:p>
          <w:p w:rsidR="00032406" w:rsidRPr="00E12B3B" w:rsidRDefault="00B628E5" w:rsidP="00B628E5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2"/>
                <w:lang w:val="es-ES"/>
              </w:rPr>
            </w:pPr>
            <w:r w:rsidRPr="00E12B3B">
              <w:rPr>
                <w:b/>
                <w:szCs w:val="22"/>
                <w:lang w:val="es-ES"/>
              </w:rPr>
              <w:t>Seminario subregional</w:t>
            </w:r>
            <w:r w:rsidR="00A61C8A" w:rsidRPr="00E12B3B">
              <w:rPr>
                <w:b/>
                <w:szCs w:val="22"/>
                <w:lang w:val="es-ES"/>
              </w:rPr>
              <w:t xml:space="preserve"> </w:t>
            </w:r>
          </w:p>
          <w:p w:rsidR="00032406" w:rsidRPr="00E12B3B" w:rsidRDefault="00032406" w:rsidP="00A61C8A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Cs w:val="22"/>
                <w:lang w:val="es-ES"/>
              </w:rPr>
            </w:pPr>
          </w:p>
          <w:p w:rsidR="00032406" w:rsidRPr="00E12B3B" w:rsidRDefault="00927877" w:rsidP="00927877">
            <w:pPr>
              <w:autoSpaceDE w:val="0"/>
              <w:autoSpaceDN w:val="0"/>
              <w:adjustRightInd w:val="0"/>
              <w:contextualSpacing/>
              <w:jc w:val="both"/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>El seminario versará sobre los beneficios empresariales, financieros y económicos que pueden emanar de una compilación rigurosa de datos para todas las partes en cuestión.</w:t>
            </w:r>
          </w:p>
          <w:p w:rsidR="00032406" w:rsidRPr="00E12B3B" w:rsidRDefault="00032406" w:rsidP="00A61C8A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Times New Roman"/>
                <w:b/>
                <w:szCs w:val="22"/>
                <w:lang w:val="es-ES" w:eastAsia="en-US"/>
              </w:rPr>
            </w:pPr>
          </w:p>
          <w:p w:rsidR="00032406" w:rsidRPr="00E12B3B" w:rsidRDefault="00F254C3" w:rsidP="001C453E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 xml:space="preserve">Durará </w:t>
            </w:r>
            <w:r w:rsidR="00005048" w:rsidRPr="00E12B3B">
              <w:rPr>
                <w:szCs w:val="22"/>
                <w:lang w:val="es-ES"/>
              </w:rPr>
              <w:t>tres días</w:t>
            </w:r>
            <w:r w:rsidR="001C453E" w:rsidRPr="00E12B3B">
              <w:rPr>
                <w:szCs w:val="22"/>
                <w:lang w:val="es-ES"/>
              </w:rPr>
              <w:t xml:space="preserve"> </w:t>
            </w:r>
            <w:r w:rsidRPr="00E12B3B">
              <w:rPr>
                <w:szCs w:val="22"/>
                <w:lang w:val="es-ES"/>
              </w:rPr>
              <w:t xml:space="preserve">y en él </w:t>
            </w:r>
            <w:r w:rsidR="001C453E" w:rsidRPr="00E12B3B">
              <w:rPr>
                <w:szCs w:val="22"/>
                <w:lang w:val="es-ES"/>
              </w:rPr>
              <w:t>participarán diversos representantes de instituciones nacionales encargadas de financiar, reglamentar y gestionar la producción y distribución en el sector audiovisual, así como organismos de radiodifusión, oficinas de derecho de autor y organismos de gestión colectiva.</w:t>
            </w:r>
            <w:r w:rsidR="00A61C8A" w:rsidRPr="00E12B3B">
              <w:rPr>
                <w:szCs w:val="22"/>
                <w:lang w:val="es-ES"/>
              </w:rPr>
              <w:t xml:space="preserve"> </w:t>
            </w:r>
          </w:p>
          <w:p w:rsidR="00032406" w:rsidRPr="00E12B3B" w:rsidRDefault="00032406" w:rsidP="00A61C8A">
            <w:pPr>
              <w:jc w:val="both"/>
              <w:rPr>
                <w:szCs w:val="22"/>
                <w:lang w:val="es-ES"/>
              </w:rPr>
            </w:pPr>
          </w:p>
          <w:p w:rsidR="00032406" w:rsidRPr="00E12B3B" w:rsidRDefault="00927877" w:rsidP="00927877">
            <w:pPr>
              <w:jc w:val="both"/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>También participarán instituciones asociadas subregionales, como la Comisión de la Unión Económica y Monetaria del África Occidental (UEMOA) y la CEDEAO.</w:t>
            </w:r>
            <w:r w:rsidR="00A61C8A" w:rsidRPr="00E12B3B">
              <w:rPr>
                <w:szCs w:val="22"/>
                <w:lang w:val="es-ES"/>
              </w:rPr>
              <w:t xml:space="preserve"> </w:t>
            </w:r>
          </w:p>
          <w:p w:rsidR="00032406" w:rsidRPr="00E12B3B" w:rsidRDefault="00032406" w:rsidP="00A61C8A">
            <w:pPr>
              <w:jc w:val="both"/>
              <w:rPr>
                <w:szCs w:val="22"/>
                <w:lang w:val="es-ES"/>
              </w:rPr>
            </w:pPr>
          </w:p>
          <w:p w:rsidR="00032406" w:rsidRPr="00E12B3B" w:rsidRDefault="00A45111" w:rsidP="002C48A4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>Formarán parte de</w:t>
            </w:r>
            <w:r w:rsidR="001C453E" w:rsidRPr="00E12B3B">
              <w:rPr>
                <w:szCs w:val="22"/>
                <w:lang w:val="es-ES"/>
              </w:rPr>
              <w:t xml:space="preserve"> los participantes y presentadores las dos investigadoras que llevaron a cabo el estudio y otros dos expertos.</w:t>
            </w:r>
            <w:r w:rsidR="00E61926" w:rsidRPr="00E12B3B">
              <w:rPr>
                <w:szCs w:val="22"/>
                <w:lang w:val="es-ES"/>
              </w:rPr>
              <w:t xml:space="preserve"> </w:t>
            </w:r>
            <w:r w:rsidR="002C48A4" w:rsidRPr="00E12B3B">
              <w:rPr>
                <w:szCs w:val="22"/>
                <w:lang w:val="es-ES"/>
              </w:rPr>
              <w:t xml:space="preserve">También participarán representantes de asociaciones profesionales europeas de derecho de autor (por ejemplo, de la SSA, la sociedad europea de autores audiovisuales, y del Observatorio Audiovisual Europeo) y representantes de la </w:t>
            </w:r>
            <w:r w:rsidR="002C48A4" w:rsidRPr="00E12B3B">
              <w:rPr>
                <w:i/>
                <w:szCs w:val="22"/>
                <w:lang w:val="es-ES"/>
              </w:rPr>
              <w:t>African Audiovisual and Cinema Commission</w:t>
            </w:r>
            <w:r w:rsidRPr="00E12B3B">
              <w:rPr>
                <w:szCs w:val="22"/>
                <w:lang w:val="es-ES"/>
              </w:rPr>
              <w:t xml:space="preserve"> de la Unión Africana</w:t>
            </w:r>
            <w:r w:rsidR="002C48A4" w:rsidRPr="00E12B3B">
              <w:rPr>
                <w:szCs w:val="22"/>
                <w:lang w:val="es-ES"/>
              </w:rPr>
              <w:t>.</w:t>
            </w:r>
            <w:r w:rsidR="00A61C8A" w:rsidRPr="00E12B3B">
              <w:rPr>
                <w:szCs w:val="22"/>
                <w:lang w:val="es-ES"/>
              </w:rPr>
              <w:t xml:space="preserve"> </w:t>
            </w:r>
          </w:p>
          <w:p w:rsidR="00032406" w:rsidRPr="00E12B3B" w:rsidRDefault="00032406" w:rsidP="00A61C8A">
            <w:pPr>
              <w:rPr>
                <w:szCs w:val="22"/>
                <w:lang w:val="es-ES"/>
              </w:rPr>
            </w:pPr>
          </w:p>
          <w:p w:rsidR="00032406" w:rsidRPr="00E12B3B" w:rsidRDefault="00297545" w:rsidP="002C48A4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 xml:space="preserve">Cada país beneficiario estará representado al menos por cinco </w:t>
            </w:r>
            <w:r w:rsidR="00847755" w:rsidRPr="00E12B3B">
              <w:rPr>
                <w:szCs w:val="22"/>
                <w:lang w:val="es-ES"/>
              </w:rPr>
              <w:t xml:space="preserve">profesionales de </w:t>
            </w:r>
            <w:r w:rsidRPr="00E12B3B">
              <w:rPr>
                <w:szCs w:val="22"/>
                <w:lang w:val="es-ES"/>
              </w:rPr>
              <w:t>diversas categorías</w:t>
            </w:r>
            <w:r w:rsidR="002C48A4" w:rsidRPr="00E12B3B">
              <w:rPr>
                <w:szCs w:val="22"/>
                <w:lang w:val="es-ES"/>
              </w:rPr>
              <w:t>, a saber:</w:t>
            </w:r>
          </w:p>
          <w:p w:rsidR="00032406" w:rsidRPr="00E12B3B" w:rsidRDefault="00032406" w:rsidP="00A61C8A">
            <w:pPr>
              <w:rPr>
                <w:szCs w:val="22"/>
                <w:lang w:val="es-ES"/>
              </w:rPr>
            </w:pPr>
          </w:p>
          <w:p w:rsidR="00032406" w:rsidRPr="00E12B3B" w:rsidRDefault="002C48A4" w:rsidP="002C48A4">
            <w:pPr>
              <w:numPr>
                <w:ilvl w:val="0"/>
                <w:numId w:val="10"/>
              </w:numPr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Un representante de la autoridad nacional encargada del derecho de autor</w:t>
            </w:r>
            <w:r w:rsidR="00297545" w:rsidRPr="00E12B3B">
              <w:rPr>
                <w:rFonts w:eastAsia="Times New Roman"/>
                <w:szCs w:val="22"/>
                <w:lang w:val="es-ES" w:eastAsia="en-US"/>
              </w:rPr>
              <w:t>;</w:t>
            </w:r>
          </w:p>
          <w:p w:rsidR="00032406" w:rsidRPr="00E12B3B" w:rsidRDefault="00CA3B20" w:rsidP="00CA3B20">
            <w:pPr>
              <w:numPr>
                <w:ilvl w:val="0"/>
                <w:numId w:val="10"/>
              </w:numPr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Un representante del organismo de gestión colectiva</w:t>
            </w:r>
            <w:r w:rsidR="00297545" w:rsidRPr="00E12B3B">
              <w:rPr>
                <w:rFonts w:eastAsia="Times New Roman"/>
                <w:szCs w:val="22"/>
                <w:lang w:val="es-ES" w:eastAsia="en-US"/>
              </w:rPr>
              <w:t>;</w:t>
            </w:r>
          </w:p>
          <w:p w:rsidR="00032406" w:rsidRPr="00E12B3B" w:rsidRDefault="00CA3B20" w:rsidP="00CA3B20">
            <w:pPr>
              <w:numPr>
                <w:ilvl w:val="0"/>
                <w:numId w:val="10"/>
              </w:numPr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Un representante de la comisión cinematográfica</w:t>
            </w:r>
            <w:r w:rsidR="00297545" w:rsidRPr="00E12B3B">
              <w:rPr>
                <w:rFonts w:eastAsia="Times New Roman"/>
                <w:szCs w:val="22"/>
                <w:lang w:val="es-ES" w:eastAsia="en-US"/>
              </w:rPr>
              <w:t>;</w:t>
            </w:r>
          </w:p>
          <w:p w:rsidR="00032406" w:rsidRPr="00E12B3B" w:rsidRDefault="00CA3B20" w:rsidP="00CA3B20">
            <w:pPr>
              <w:numPr>
                <w:ilvl w:val="0"/>
                <w:numId w:val="10"/>
              </w:numPr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Un representante de la autoridad reglamentaria nacional de comunicaciones</w:t>
            </w:r>
            <w:r w:rsidR="00297545" w:rsidRPr="00E12B3B">
              <w:rPr>
                <w:rFonts w:eastAsia="Times New Roman"/>
                <w:szCs w:val="22"/>
                <w:lang w:val="es-ES" w:eastAsia="en-US"/>
              </w:rPr>
              <w:t>;</w:t>
            </w:r>
          </w:p>
          <w:p w:rsidR="00032406" w:rsidRPr="00E12B3B" w:rsidRDefault="00CA3B20" w:rsidP="00CA3B20">
            <w:pPr>
              <w:numPr>
                <w:ilvl w:val="0"/>
                <w:numId w:val="10"/>
              </w:numPr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Un representante de la asociación de productores cinematográficos.</w:t>
            </w:r>
            <w:r w:rsidR="00E61926" w:rsidRPr="00E12B3B">
              <w:rPr>
                <w:rFonts w:eastAsia="Times New Roman"/>
                <w:szCs w:val="22"/>
                <w:lang w:val="es-ES" w:eastAsia="en-US"/>
              </w:rPr>
              <w:t xml:space="preserve"> </w:t>
            </w:r>
          </w:p>
          <w:p w:rsidR="00032406" w:rsidRPr="00E12B3B" w:rsidRDefault="00032406" w:rsidP="00A61C8A">
            <w:pPr>
              <w:contextualSpacing/>
              <w:jc w:val="both"/>
              <w:rPr>
                <w:szCs w:val="22"/>
                <w:lang w:val="es-ES"/>
              </w:rPr>
            </w:pPr>
          </w:p>
          <w:p w:rsidR="00032406" w:rsidRPr="00E12B3B" w:rsidRDefault="00032406" w:rsidP="00A61C8A">
            <w:pPr>
              <w:contextualSpacing/>
              <w:jc w:val="both"/>
              <w:rPr>
                <w:szCs w:val="22"/>
                <w:lang w:val="es-ES"/>
              </w:rPr>
            </w:pPr>
          </w:p>
          <w:p w:rsidR="00032406" w:rsidRPr="00E12B3B" w:rsidRDefault="00CA3B20" w:rsidP="00CA3B20">
            <w:pPr>
              <w:contextualSpacing/>
              <w:jc w:val="both"/>
              <w:rPr>
                <w:b/>
                <w:szCs w:val="22"/>
                <w:lang w:val="es-ES"/>
              </w:rPr>
            </w:pPr>
            <w:r w:rsidRPr="00E12B3B">
              <w:rPr>
                <w:b/>
                <w:szCs w:val="22"/>
                <w:lang w:val="es-ES"/>
              </w:rPr>
              <w:t>Actividad 2 del proyecto:</w:t>
            </w:r>
          </w:p>
          <w:p w:rsidR="00032406" w:rsidRPr="00E12B3B" w:rsidRDefault="00032406" w:rsidP="00A61C8A">
            <w:pPr>
              <w:contextualSpacing/>
              <w:jc w:val="both"/>
              <w:rPr>
                <w:b/>
                <w:szCs w:val="22"/>
                <w:lang w:val="es-ES"/>
              </w:rPr>
            </w:pPr>
          </w:p>
          <w:p w:rsidR="00032406" w:rsidRPr="00E12B3B" w:rsidRDefault="00032406" w:rsidP="00A61C8A">
            <w:pPr>
              <w:contextualSpacing/>
              <w:jc w:val="both"/>
              <w:rPr>
                <w:b/>
                <w:szCs w:val="22"/>
                <w:lang w:val="es-ES"/>
              </w:rPr>
            </w:pPr>
          </w:p>
          <w:p w:rsidR="00297545" w:rsidRPr="00E12B3B" w:rsidRDefault="00CA3B20" w:rsidP="00CA3B20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b/>
                <w:szCs w:val="22"/>
                <w:lang w:val="es-ES" w:eastAsia="en-US"/>
              </w:rPr>
              <w:t>Preparación del resumen tras el taller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. </w:t>
            </w:r>
          </w:p>
          <w:p w:rsidR="00297545" w:rsidRPr="00E12B3B" w:rsidRDefault="00297545" w:rsidP="00CA3B20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</w:p>
          <w:p w:rsidR="00032406" w:rsidRPr="00E12B3B" w:rsidRDefault="00CA3B20" w:rsidP="00CA3B20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En el documento:</w:t>
            </w:r>
          </w:p>
          <w:p w:rsidR="00032406" w:rsidRPr="00E12B3B" w:rsidRDefault="00CA3B20" w:rsidP="00CA3B20">
            <w:pPr>
              <w:numPr>
                <w:ilvl w:val="0"/>
                <w:numId w:val="10"/>
              </w:num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se subrayarán las experiencias en la materia y los diversos enfoques de compilación de datos </w:t>
            </w:r>
            <w:r w:rsidR="00297545" w:rsidRPr="00E12B3B">
              <w:rPr>
                <w:rFonts w:eastAsia="Times New Roman"/>
                <w:szCs w:val="22"/>
                <w:lang w:val="es-ES" w:eastAsia="en-US"/>
              </w:rPr>
              <w:t>en los países;</w:t>
            </w:r>
            <w:r w:rsidR="00A61C8A" w:rsidRPr="00E12B3B">
              <w:rPr>
                <w:rFonts w:eastAsia="Times New Roman"/>
                <w:szCs w:val="22"/>
                <w:lang w:val="es-ES" w:eastAsia="en-US"/>
              </w:rPr>
              <w:t xml:space="preserve"> </w:t>
            </w:r>
          </w:p>
          <w:p w:rsidR="00032406" w:rsidRPr="00E12B3B" w:rsidRDefault="00CA3B20" w:rsidP="00CA3B20">
            <w:pPr>
              <w:numPr>
                <w:ilvl w:val="0"/>
                <w:numId w:val="10"/>
              </w:num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se definirán algunas de las mejores prácticas estudiadas en el seminario</w:t>
            </w:r>
            <w:r w:rsidR="00297545" w:rsidRPr="00E12B3B">
              <w:rPr>
                <w:rFonts w:eastAsia="Times New Roman"/>
                <w:szCs w:val="22"/>
                <w:lang w:val="es-ES" w:eastAsia="en-US"/>
              </w:rPr>
              <w:t>;</w:t>
            </w:r>
          </w:p>
          <w:p w:rsidR="00032406" w:rsidRPr="00E12B3B" w:rsidRDefault="00CA3B20" w:rsidP="00CA3B20">
            <w:pPr>
              <w:numPr>
                <w:ilvl w:val="0"/>
                <w:numId w:val="10"/>
              </w:num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lastRenderedPageBreak/>
              <w:t xml:space="preserve">y se </w:t>
            </w:r>
            <w:r w:rsidR="00141DBF" w:rsidRPr="00E12B3B">
              <w:rPr>
                <w:rFonts w:eastAsia="Times New Roman"/>
                <w:szCs w:val="22"/>
                <w:lang w:val="es-ES" w:eastAsia="en-US"/>
              </w:rPr>
              <w:t>plantearán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 opciones para los países.</w:t>
            </w:r>
            <w:r w:rsidR="00A61C8A" w:rsidRPr="00E12B3B">
              <w:rPr>
                <w:rFonts w:eastAsia="Times New Roman"/>
                <w:szCs w:val="22"/>
                <w:lang w:val="es-ES" w:eastAsia="en-US"/>
              </w:rPr>
              <w:t xml:space="preserve"> </w:t>
            </w:r>
          </w:p>
          <w:p w:rsidR="00032406" w:rsidRPr="00E12B3B" w:rsidRDefault="00032406" w:rsidP="00A61C8A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</w:p>
          <w:p w:rsidR="00032406" w:rsidRPr="00E12B3B" w:rsidRDefault="005534BD" w:rsidP="005534BD">
            <w:pPr>
              <w:shd w:val="clear" w:color="auto" w:fill="FAFAFA"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También se evaluarán los </w:t>
            </w:r>
            <w:r w:rsidR="0042534B" w:rsidRPr="00E12B3B">
              <w:rPr>
                <w:rFonts w:eastAsia="Times New Roman"/>
                <w:szCs w:val="22"/>
                <w:lang w:val="es-ES" w:eastAsia="en-US"/>
              </w:rPr>
              <w:t xml:space="preserve">posibles 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mecanismos </w:t>
            </w:r>
            <w:r w:rsidR="0042534B" w:rsidRPr="00E12B3B">
              <w:rPr>
                <w:rFonts w:eastAsia="Times New Roman"/>
                <w:szCs w:val="22"/>
                <w:lang w:val="es-ES" w:eastAsia="en-US"/>
              </w:rPr>
              <w:t xml:space="preserve">mínimos jurídicos, estructurales, financieros y 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>de gobernanza</w:t>
            </w:r>
            <w:r w:rsidR="00627DF7" w:rsidRPr="00E12B3B">
              <w:rPr>
                <w:rFonts w:eastAsia="Times New Roman"/>
                <w:szCs w:val="22"/>
                <w:lang w:val="es-ES" w:eastAsia="en-US"/>
              </w:rPr>
              <w:t>,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 los enfoques para la </w:t>
            </w:r>
            <w:r w:rsidR="00627DF7" w:rsidRPr="00E12B3B">
              <w:rPr>
                <w:rFonts w:eastAsia="Times New Roman"/>
                <w:szCs w:val="22"/>
                <w:lang w:val="es-ES" w:eastAsia="en-US"/>
              </w:rPr>
              <w:t>compilación, compra e intercambio de datos</w:t>
            </w:r>
            <w:r w:rsidRPr="00E12B3B">
              <w:rPr>
                <w:rFonts w:eastAsia="Times New Roman"/>
                <w:szCs w:val="22"/>
                <w:lang w:val="es-ES" w:eastAsia="en-US"/>
              </w:rPr>
              <w:t xml:space="preserve"> y el establecimiento de redes.</w:t>
            </w:r>
          </w:p>
          <w:p w:rsidR="00032406" w:rsidRPr="00E12B3B" w:rsidRDefault="00032406" w:rsidP="00A61C8A">
            <w:pPr>
              <w:rPr>
                <w:szCs w:val="22"/>
                <w:u w:val="single"/>
                <w:lang w:val="es-ES"/>
              </w:rPr>
            </w:pPr>
          </w:p>
          <w:p w:rsidR="00032406" w:rsidRPr="00E12B3B" w:rsidRDefault="005534BD" w:rsidP="005534BD">
            <w:pPr>
              <w:rPr>
                <w:szCs w:val="22"/>
                <w:u w:val="single"/>
                <w:lang w:val="es-ES"/>
              </w:rPr>
            </w:pPr>
            <w:r w:rsidRPr="00E12B3B">
              <w:rPr>
                <w:szCs w:val="22"/>
                <w:u w:val="single"/>
                <w:lang w:val="es-ES"/>
              </w:rPr>
              <w:t>Cooperación con otras partes interesadas:</w:t>
            </w:r>
          </w:p>
          <w:p w:rsidR="00032406" w:rsidRPr="00E12B3B" w:rsidRDefault="00032406" w:rsidP="00A61C8A">
            <w:pPr>
              <w:rPr>
                <w:szCs w:val="22"/>
                <w:lang w:val="es-ES"/>
              </w:rPr>
            </w:pPr>
          </w:p>
          <w:p w:rsidR="00032406" w:rsidRDefault="005534BD" w:rsidP="005534BD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>En la ejecución estratégica del proyecto, y con miras a la sostenibilidad a largo plazo de sus efectos, se buscarán, si corresponde, sinergias con programas, proyectos e iniciativas de las partes interesadas pertinentes y de organizaciones como la UEMOA y la CEDEAO.</w:t>
            </w:r>
          </w:p>
          <w:p w:rsidR="008A4DB1" w:rsidRPr="00E12B3B" w:rsidRDefault="008A4DB1" w:rsidP="005534BD">
            <w:pPr>
              <w:rPr>
                <w:szCs w:val="22"/>
                <w:lang w:val="es-ES"/>
              </w:rPr>
            </w:pPr>
          </w:p>
          <w:p w:rsidR="00032406" w:rsidRPr="00E12B3B" w:rsidRDefault="00664222" w:rsidP="00664222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 xml:space="preserve">Los efectos e instrumentos de este proyecto se </w:t>
            </w:r>
            <w:r w:rsidR="00627DF7" w:rsidRPr="00E12B3B">
              <w:rPr>
                <w:szCs w:val="22"/>
                <w:lang w:val="es-ES"/>
              </w:rPr>
              <w:t>dará</w:t>
            </w:r>
            <w:r w:rsidR="003D6AA8" w:rsidRPr="00E12B3B">
              <w:rPr>
                <w:szCs w:val="22"/>
                <w:lang w:val="es-ES"/>
              </w:rPr>
              <w:t>n</w:t>
            </w:r>
            <w:r w:rsidR="00627DF7" w:rsidRPr="00E12B3B">
              <w:rPr>
                <w:szCs w:val="22"/>
                <w:lang w:val="es-ES"/>
              </w:rPr>
              <w:t xml:space="preserve"> a conocer a</w:t>
            </w:r>
            <w:r w:rsidRPr="00E12B3B">
              <w:rPr>
                <w:szCs w:val="22"/>
                <w:lang w:val="es-ES"/>
              </w:rPr>
              <w:t xml:space="preserve"> otros Estados miembros.</w:t>
            </w:r>
            <w:r w:rsidR="00A61C8A" w:rsidRPr="00E12B3B">
              <w:rPr>
                <w:szCs w:val="22"/>
                <w:lang w:val="es-ES"/>
              </w:rPr>
              <w:t xml:space="preserve"> </w:t>
            </w:r>
          </w:p>
          <w:p w:rsidR="00A61C8A" w:rsidRPr="00E12B3B" w:rsidRDefault="00A61C8A" w:rsidP="00F962F4">
            <w:pPr>
              <w:rPr>
                <w:lang w:val="es-ES"/>
              </w:rPr>
            </w:pPr>
          </w:p>
        </w:tc>
      </w:tr>
      <w:tr w:rsidR="00A61C8A" w:rsidRPr="004825D4" w:rsidTr="008A4DB1">
        <w:tc>
          <w:tcPr>
            <w:tcW w:w="2294" w:type="dxa"/>
          </w:tcPr>
          <w:p w:rsidR="00032406" w:rsidRPr="00E12B3B" w:rsidRDefault="00032406" w:rsidP="00A61C8A">
            <w:pPr>
              <w:rPr>
                <w:lang w:val="es-ES"/>
              </w:rPr>
            </w:pPr>
          </w:p>
          <w:p w:rsidR="00032406" w:rsidRPr="00E12B3B" w:rsidRDefault="00664222" w:rsidP="00664222">
            <w:pPr>
              <w:rPr>
                <w:i/>
                <w:szCs w:val="22"/>
                <w:lang w:val="es-ES"/>
              </w:rPr>
            </w:pPr>
            <w:r w:rsidRPr="00E12B3B">
              <w:rPr>
                <w:i/>
                <w:szCs w:val="22"/>
                <w:lang w:val="es-ES"/>
              </w:rPr>
              <w:t>Principales sectores de la OMPI interesados y vínculos con los programas de la Organización</w:t>
            </w:r>
          </w:p>
          <w:p w:rsidR="00A61C8A" w:rsidRPr="00E12B3B" w:rsidRDefault="00A61C8A" w:rsidP="00A61C8A">
            <w:pPr>
              <w:rPr>
                <w:lang w:val="es-ES"/>
              </w:rPr>
            </w:pPr>
          </w:p>
        </w:tc>
        <w:tc>
          <w:tcPr>
            <w:tcW w:w="7051" w:type="dxa"/>
          </w:tcPr>
          <w:p w:rsidR="00032406" w:rsidRPr="00E12B3B" w:rsidRDefault="00032406" w:rsidP="00A61C8A">
            <w:pPr>
              <w:rPr>
                <w:szCs w:val="22"/>
                <w:lang w:val="es-ES"/>
              </w:rPr>
            </w:pPr>
          </w:p>
          <w:p w:rsidR="00032406" w:rsidRPr="00E12B3B" w:rsidRDefault="00664222" w:rsidP="00664222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>Programa 3.</w:t>
            </w:r>
            <w:r w:rsidR="00A61C8A" w:rsidRPr="00E12B3B">
              <w:rPr>
                <w:szCs w:val="22"/>
                <w:lang w:val="es-ES"/>
              </w:rPr>
              <w:t xml:space="preserve"> </w:t>
            </w:r>
          </w:p>
          <w:p w:rsidR="00032406" w:rsidRPr="00E12B3B" w:rsidRDefault="00032406" w:rsidP="00A61C8A">
            <w:pPr>
              <w:rPr>
                <w:szCs w:val="22"/>
                <w:lang w:val="es-ES"/>
              </w:rPr>
            </w:pPr>
          </w:p>
          <w:p w:rsidR="00032406" w:rsidRPr="00E12B3B" w:rsidRDefault="00664222" w:rsidP="00664222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>Resultado previsto III.4: Fortalecimiento de los acuerdos de cooperación con instituciones de países en desarrollo, PMA y países en transición, adaptados a las necesidades de esos países.</w:t>
            </w:r>
            <w:r w:rsidR="00A61C8A" w:rsidRPr="00E12B3B">
              <w:rPr>
                <w:szCs w:val="22"/>
                <w:lang w:val="es-ES"/>
              </w:rPr>
              <w:t xml:space="preserve"> </w:t>
            </w:r>
          </w:p>
          <w:p w:rsidR="00032406" w:rsidRPr="00E12B3B" w:rsidRDefault="00032406" w:rsidP="00A61C8A">
            <w:pPr>
              <w:rPr>
                <w:szCs w:val="22"/>
                <w:lang w:val="es-ES"/>
              </w:rPr>
            </w:pPr>
          </w:p>
          <w:p w:rsidR="00032406" w:rsidRPr="00E12B3B" w:rsidRDefault="00664222" w:rsidP="00664222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 xml:space="preserve">Resultado previsto IV.2: Mejora del acceso y uso de información de PI por parte de instituciones de PI y </w:t>
            </w:r>
            <w:r w:rsidR="001D4663">
              <w:rPr>
                <w:szCs w:val="22"/>
                <w:lang w:val="es-ES"/>
              </w:rPr>
              <w:t>d</w:t>
            </w:r>
            <w:r w:rsidRPr="00E12B3B">
              <w:rPr>
                <w:szCs w:val="22"/>
                <w:lang w:val="es-ES"/>
              </w:rPr>
              <w:t>el público para fomentar la innovación y la creatividad.</w:t>
            </w:r>
          </w:p>
          <w:p w:rsidR="00A61C8A" w:rsidRPr="00E12B3B" w:rsidRDefault="00A61C8A" w:rsidP="00A61C8A">
            <w:pPr>
              <w:rPr>
                <w:szCs w:val="22"/>
                <w:lang w:val="es-ES"/>
              </w:rPr>
            </w:pPr>
          </w:p>
        </w:tc>
      </w:tr>
      <w:tr w:rsidR="00A61C8A" w:rsidRPr="004825D4" w:rsidTr="008A4DB1">
        <w:tc>
          <w:tcPr>
            <w:tcW w:w="2294" w:type="dxa"/>
          </w:tcPr>
          <w:p w:rsidR="00032406" w:rsidRPr="00E12B3B" w:rsidRDefault="00664222" w:rsidP="00E67483">
            <w:pPr>
              <w:pStyle w:val="Heading3"/>
              <w:keepNext w:val="0"/>
              <w:rPr>
                <w:i/>
                <w:szCs w:val="22"/>
                <w:u w:val="none"/>
                <w:lang w:val="es-ES"/>
              </w:rPr>
            </w:pPr>
            <w:r w:rsidRPr="00E12B3B">
              <w:rPr>
                <w:i/>
                <w:szCs w:val="22"/>
                <w:u w:val="none"/>
                <w:lang w:val="es-ES"/>
              </w:rPr>
              <w:t>Duración total</w:t>
            </w:r>
          </w:p>
          <w:p w:rsidR="00A61C8A" w:rsidRPr="00E12B3B" w:rsidRDefault="00A61C8A" w:rsidP="00A61C8A">
            <w:pPr>
              <w:rPr>
                <w:lang w:val="es-ES"/>
              </w:rPr>
            </w:pPr>
          </w:p>
        </w:tc>
        <w:tc>
          <w:tcPr>
            <w:tcW w:w="7051" w:type="dxa"/>
          </w:tcPr>
          <w:p w:rsidR="00032406" w:rsidRPr="00E12B3B" w:rsidRDefault="00032406" w:rsidP="00A61C8A">
            <w:pPr>
              <w:rPr>
                <w:lang w:val="es-ES"/>
              </w:rPr>
            </w:pPr>
          </w:p>
          <w:p w:rsidR="00032406" w:rsidRPr="00E12B3B" w:rsidRDefault="00664222" w:rsidP="00664222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>6 meses a partir del 1 de agosto de 2019</w:t>
            </w:r>
          </w:p>
          <w:p w:rsidR="00A61C8A" w:rsidRPr="00E12B3B" w:rsidRDefault="00A61C8A" w:rsidP="00A61C8A">
            <w:pPr>
              <w:rPr>
                <w:lang w:val="es-ES"/>
              </w:rPr>
            </w:pPr>
          </w:p>
        </w:tc>
      </w:tr>
      <w:tr w:rsidR="00A61C8A" w:rsidRPr="004825D4" w:rsidTr="008A4DB1">
        <w:tc>
          <w:tcPr>
            <w:tcW w:w="2294" w:type="dxa"/>
          </w:tcPr>
          <w:p w:rsidR="00032406" w:rsidRPr="00E12B3B" w:rsidRDefault="00F46C04" w:rsidP="00E67483">
            <w:pPr>
              <w:pStyle w:val="Heading3"/>
              <w:keepNext w:val="0"/>
              <w:rPr>
                <w:i/>
                <w:szCs w:val="22"/>
                <w:u w:val="none"/>
                <w:lang w:val="es-ES"/>
              </w:rPr>
            </w:pPr>
            <w:r w:rsidRPr="00E12B3B">
              <w:rPr>
                <w:i/>
                <w:szCs w:val="22"/>
                <w:u w:val="none"/>
                <w:lang w:val="es-ES"/>
              </w:rPr>
              <w:t>Presupuesto general</w:t>
            </w:r>
          </w:p>
          <w:p w:rsidR="00A61C8A" w:rsidRPr="00E12B3B" w:rsidRDefault="00A61C8A" w:rsidP="00A61C8A">
            <w:pPr>
              <w:rPr>
                <w:lang w:val="es-ES"/>
              </w:rPr>
            </w:pPr>
          </w:p>
        </w:tc>
        <w:tc>
          <w:tcPr>
            <w:tcW w:w="7051" w:type="dxa"/>
          </w:tcPr>
          <w:p w:rsidR="00032406" w:rsidRPr="00E12B3B" w:rsidRDefault="00032406" w:rsidP="00C07410">
            <w:pPr>
              <w:rPr>
                <w:szCs w:val="22"/>
                <w:lang w:val="es-ES"/>
              </w:rPr>
            </w:pPr>
          </w:p>
          <w:p w:rsidR="00032406" w:rsidRPr="00E12B3B" w:rsidRDefault="00F46C04" w:rsidP="00F46C04">
            <w:pPr>
              <w:rPr>
                <w:szCs w:val="22"/>
                <w:lang w:val="es-ES"/>
              </w:rPr>
            </w:pPr>
            <w:r w:rsidRPr="00E12B3B">
              <w:rPr>
                <w:szCs w:val="22"/>
                <w:lang w:val="es-ES"/>
              </w:rPr>
              <w:t xml:space="preserve">Gastos </w:t>
            </w:r>
            <w:r w:rsidR="00141DBF" w:rsidRPr="00E12B3B">
              <w:rPr>
                <w:szCs w:val="22"/>
                <w:lang w:val="es-ES"/>
              </w:rPr>
              <w:t>totales no relativos a</w:t>
            </w:r>
            <w:r w:rsidRPr="00E12B3B">
              <w:rPr>
                <w:szCs w:val="22"/>
                <w:lang w:val="es-ES"/>
              </w:rPr>
              <w:t xml:space="preserve"> personal:</w:t>
            </w:r>
            <w:r w:rsidR="00E61926" w:rsidRPr="00E12B3B">
              <w:rPr>
                <w:szCs w:val="22"/>
                <w:lang w:val="es-ES"/>
              </w:rPr>
              <w:t xml:space="preserve"> </w:t>
            </w:r>
            <w:r w:rsidRPr="00E12B3B">
              <w:rPr>
                <w:szCs w:val="22"/>
                <w:lang w:val="es-ES"/>
              </w:rPr>
              <w:t>50.000 francos suizos</w:t>
            </w:r>
          </w:p>
          <w:p w:rsidR="00C07410" w:rsidRPr="00E12B3B" w:rsidRDefault="00C07410" w:rsidP="00C07410">
            <w:pPr>
              <w:contextualSpacing/>
              <w:jc w:val="both"/>
              <w:rPr>
                <w:szCs w:val="22"/>
                <w:lang w:val="es-E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1620"/>
              <w:gridCol w:w="1440"/>
              <w:gridCol w:w="1227"/>
            </w:tblGrid>
            <w:tr w:rsidR="00C07410" w:rsidRPr="00E12B3B" w:rsidTr="00047B54">
              <w:tc>
                <w:tcPr>
                  <w:tcW w:w="2406" w:type="dxa"/>
                </w:tcPr>
                <w:p w:rsidR="00032406" w:rsidRPr="00E12B3B" w:rsidRDefault="00F46C04" w:rsidP="00C25909">
                  <w:pPr>
                    <w:rPr>
                      <w:b/>
                      <w:szCs w:val="22"/>
                      <w:lang w:val="es-ES"/>
                    </w:rPr>
                  </w:pPr>
                  <w:r w:rsidRPr="00E12B3B">
                    <w:rPr>
                      <w:b/>
                      <w:szCs w:val="22"/>
                      <w:lang w:val="es-ES"/>
                    </w:rPr>
                    <w:t>Producto del proyecto</w:t>
                  </w:r>
                </w:p>
                <w:p w:rsidR="00C07410" w:rsidRPr="00E12B3B" w:rsidRDefault="00C07410" w:rsidP="00C25909">
                  <w:pPr>
                    <w:rPr>
                      <w:szCs w:val="22"/>
                      <w:lang w:val="es-ES"/>
                    </w:rPr>
                  </w:pPr>
                </w:p>
              </w:tc>
              <w:tc>
                <w:tcPr>
                  <w:tcW w:w="1620" w:type="dxa"/>
                </w:tcPr>
                <w:p w:rsidR="00C07410" w:rsidRPr="00E12B3B" w:rsidRDefault="00141DBF" w:rsidP="00C25909">
                  <w:pPr>
                    <w:rPr>
                      <w:b/>
                      <w:szCs w:val="22"/>
                      <w:lang w:val="es-ES"/>
                    </w:rPr>
                  </w:pPr>
                  <w:r w:rsidRPr="00E12B3B">
                    <w:rPr>
                      <w:b/>
                      <w:szCs w:val="22"/>
                      <w:lang w:val="es-ES"/>
                    </w:rPr>
                    <w:t>Relativos a</w:t>
                  </w:r>
                  <w:r w:rsidR="00F46C04" w:rsidRPr="00E12B3B">
                    <w:rPr>
                      <w:b/>
                      <w:szCs w:val="22"/>
                      <w:lang w:val="es-ES"/>
                    </w:rPr>
                    <w:t xml:space="preserve"> personal</w:t>
                  </w:r>
                </w:p>
              </w:tc>
              <w:tc>
                <w:tcPr>
                  <w:tcW w:w="1440" w:type="dxa"/>
                </w:tcPr>
                <w:p w:rsidR="00C07410" w:rsidRPr="00E12B3B" w:rsidRDefault="00F46C04" w:rsidP="00C25909">
                  <w:pPr>
                    <w:rPr>
                      <w:b/>
                      <w:szCs w:val="22"/>
                      <w:lang w:val="es-ES"/>
                    </w:rPr>
                  </w:pPr>
                  <w:r w:rsidRPr="00E12B3B">
                    <w:rPr>
                      <w:b/>
                      <w:szCs w:val="22"/>
                      <w:lang w:val="es-ES"/>
                    </w:rPr>
                    <w:t>No relativos a personal</w:t>
                  </w:r>
                </w:p>
              </w:tc>
              <w:tc>
                <w:tcPr>
                  <w:tcW w:w="1227" w:type="dxa"/>
                </w:tcPr>
                <w:p w:rsidR="00C07410" w:rsidRPr="00E12B3B" w:rsidRDefault="00F46C04" w:rsidP="00C25909">
                  <w:pPr>
                    <w:rPr>
                      <w:b/>
                      <w:szCs w:val="22"/>
                      <w:lang w:val="es-ES"/>
                    </w:rPr>
                  </w:pPr>
                  <w:r w:rsidRPr="00E12B3B">
                    <w:rPr>
                      <w:b/>
                      <w:szCs w:val="22"/>
                      <w:lang w:val="es-ES"/>
                    </w:rPr>
                    <w:t>Total</w:t>
                  </w:r>
                </w:p>
              </w:tc>
            </w:tr>
            <w:tr w:rsidR="00C07410" w:rsidRPr="004825D4" w:rsidTr="00047B54">
              <w:tc>
                <w:tcPr>
                  <w:tcW w:w="2406" w:type="dxa"/>
                </w:tcPr>
                <w:p w:rsidR="00032406" w:rsidRPr="00E12B3B" w:rsidRDefault="00F46C04" w:rsidP="00F46C04">
                  <w:pPr>
                    <w:rPr>
                      <w:szCs w:val="22"/>
                      <w:lang w:val="es-ES"/>
                    </w:rPr>
                  </w:pPr>
                  <w:r w:rsidRPr="00E12B3B">
                    <w:rPr>
                      <w:szCs w:val="22"/>
                      <w:lang w:val="es-ES"/>
                    </w:rPr>
                    <w:t>Determinar el alcance de las instituciones para preparar la actividad</w:t>
                  </w:r>
                  <w:r w:rsidR="00C07410" w:rsidRPr="00E12B3B">
                    <w:rPr>
                      <w:szCs w:val="22"/>
                      <w:lang w:val="es-ES"/>
                    </w:rPr>
                    <w:t xml:space="preserve"> </w:t>
                  </w:r>
                </w:p>
                <w:p w:rsidR="00C07410" w:rsidRPr="00E12B3B" w:rsidRDefault="00C07410" w:rsidP="00C07410">
                  <w:pPr>
                    <w:jc w:val="both"/>
                    <w:rPr>
                      <w:szCs w:val="22"/>
                      <w:lang w:val="es-ES"/>
                    </w:rPr>
                  </w:pPr>
                </w:p>
              </w:tc>
              <w:tc>
                <w:tcPr>
                  <w:tcW w:w="1620" w:type="dxa"/>
                </w:tcPr>
                <w:p w:rsidR="00C07410" w:rsidRPr="00E12B3B" w:rsidRDefault="00C07410" w:rsidP="00C07410">
                  <w:pPr>
                    <w:jc w:val="both"/>
                    <w:rPr>
                      <w:szCs w:val="22"/>
                      <w:lang w:val="es-ES"/>
                    </w:rPr>
                  </w:pPr>
                </w:p>
              </w:tc>
              <w:tc>
                <w:tcPr>
                  <w:tcW w:w="1440" w:type="dxa"/>
                </w:tcPr>
                <w:p w:rsidR="00C07410" w:rsidRPr="00E12B3B" w:rsidRDefault="00C07410" w:rsidP="007024B9">
                  <w:pPr>
                    <w:jc w:val="right"/>
                    <w:rPr>
                      <w:szCs w:val="22"/>
                      <w:lang w:val="es-ES"/>
                    </w:rPr>
                  </w:pPr>
                  <w:r w:rsidRPr="00E12B3B">
                    <w:rPr>
                      <w:szCs w:val="22"/>
                      <w:lang w:val="es-ES"/>
                    </w:rPr>
                    <w:t>5</w:t>
                  </w:r>
                  <w:r w:rsidR="00627DF7" w:rsidRPr="00E12B3B">
                    <w:rPr>
                      <w:szCs w:val="22"/>
                      <w:lang w:val="es-ES"/>
                    </w:rPr>
                    <w:t>.</w:t>
                  </w:r>
                  <w:r w:rsidRPr="00E12B3B">
                    <w:rPr>
                      <w:szCs w:val="22"/>
                      <w:lang w:val="es-ES"/>
                    </w:rPr>
                    <w:t>000</w:t>
                  </w:r>
                </w:p>
              </w:tc>
              <w:tc>
                <w:tcPr>
                  <w:tcW w:w="1227" w:type="dxa"/>
                </w:tcPr>
                <w:p w:rsidR="00C07410" w:rsidRPr="00E12B3B" w:rsidRDefault="00C07410" w:rsidP="007024B9">
                  <w:pPr>
                    <w:jc w:val="right"/>
                    <w:rPr>
                      <w:szCs w:val="22"/>
                      <w:lang w:val="es-ES"/>
                    </w:rPr>
                  </w:pPr>
                  <w:r w:rsidRPr="00E12B3B">
                    <w:rPr>
                      <w:szCs w:val="22"/>
                      <w:lang w:val="es-ES"/>
                    </w:rPr>
                    <w:t>5</w:t>
                  </w:r>
                  <w:r w:rsidR="00627DF7" w:rsidRPr="00E12B3B">
                    <w:rPr>
                      <w:szCs w:val="22"/>
                      <w:lang w:val="es-ES"/>
                    </w:rPr>
                    <w:t>.</w:t>
                  </w:r>
                  <w:r w:rsidRPr="00E12B3B">
                    <w:rPr>
                      <w:szCs w:val="22"/>
                      <w:lang w:val="es-ES"/>
                    </w:rPr>
                    <w:t>000</w:t>
                  </w:r>
                </w:p>
              </w:tc>
            </w:tr>
            <w:tr w:rsidR="00C07410" w:rsidRPr="004825D4" w:rsidTr="00047B54">
              <w:tc>
                <w:tcPr>
                  <w:tcW w:w="2406" w:type="dxa"/>
                </w:tcPr>
                <w:p w:rsidR="00032406" w:rsidRPr="00E12B3B" w:rsidRDefault="00F46C04" w:rsidP="00F46C04">
                  <w:pPr>
                    <w:jc w:val="both"/>
                    <w:rPr>
                      <w:szCs w:val="22"/>
                      <w:lang w:val="es-ES"/>
                    </w:rPr>
                  </w:pPr>
                  <w:r w:rsidRPr="00E12B3B">
                    <w:rPr>
                      <w:szCs w:val="22"/>
                      <w:lang w:val="es-ES"/>
                    </w:rPr>
                    <w:t>Taller regional</w:t>
                  </w:r>
                </w:p>
                <w:p w:rsidR="00C07410" w:rsidRPr="00E12B3B" w:rsidRDefault="00C07410" w:rsidP="00C07410">
                  <w:pPr>
                    <w:jc w:val="both"/>
                    <w:rPr>
                      <w:szCs w:val="22"/>
                      <w:lang w:val="es-ES"/>
                    </w:rPr>
                  </w:pPr>
                </w:p>
              </w:tc>
              <w:tc>
                <w:tcPr>
                  <w:tcW w:w="1620" w:type="dxa"/>
                </w:tcPr>
                <w:p w:rsidR="00C07410" w:rsidRPr="00E12B3B" w:rsidRDefault="00C07410" w:rsidP="00C07410">
                  <w:pPr>
                    <w:jc w:val="both"/>
                    <w:rPr>
                      <w:szCs w:val="22"/>
                      <w:lang w:val="es-ES"/>
                    </w:rPr>
                  </w:pPr>
                </w:p>
              </w:tc>
              <w:tc>
                <w:tcPr>
                  <w:tcW w:w="1440" w:type="dxa"/>
                </w:tcPr>
                <w:p w:rsidR="00C07410" w:rsidRPr="00E12B3B" w:rsidRDefault="005543BB" w:rsidP="007024B9">
                  <w:pPr>
                    <w:jc w:val="right"/>
                    <w:rPr>
                      <w:szCs w:val="22"/>
                      <w:lang w:val="es-ES"/>
                    </w:rPr>
                  </w:pPr>
                  <w:r w:rsidRPr="00E12B3B">
                    <w:rPr>
                      <w:szCs w:val="22"/>
                      <w:lang w:val="es-ES"/>
                    </w:rPr>
                    <w:t>4</w:t>
                  </w:r>
                  <w:r w:rsidR="00C07410" w:rsidRPr="00E12B3B">
                    <w:rPr>
                      <w:szCs w:val="22"/>
                      <w:lang w:val="es-ES"/>
                    </w:rPr>
                    <w:t>0</w:t>
                  </w:r>
                  <w:r w:rsidR="00627DF7" w:rsidRPr="00E12B3B">
                    <w:rPr>
                      <w:szCs w:val="22"/>
                      <w:lang w:val="es-ES"/>
                    </w:rPr>
                    <w:t>.</w:t>
                  </w:r>
                  <w:r w:rsidR="00C07410" w:rsidRPr="00E12B3B">
                    <w:rPr>
                      <w:szCs w:val="22"/>
                      <w:lang w:val="es-ES"/>
                    </w:rPr>
                    <w:t>000</w:t>
                  </w:r>
                </w:p>
              </w:tc>
              <w:tc>
                <w:tcPr>
                  <w:tcW w:w="1227" w:type="dxa"/>
                </w:tcPr>
                <w:p w:rsidR="00C07410" w:rsidRPr="00E12B3B" w:rsidRDefault="005543BB" w:rsidP="007024B9">
                  <w:pPr>
                    <w:jc w:val="right"/>
                    <w:rPr>
                      <w:szCs w:val="22"/>
                      <w:lang w:val="es-ES"/>
                    </w:rPr>
                  </w:pPr>
                  <w:r w:rsidRPr="00E12B3B">
                    <w:rPr>
                      <w:szCs w:val="22"/>
                      <w:lang w:val="es-ES"/>
                    </w:rPr>
                    <w:t>40</w:t>
                  </w:r>
                  <w:r w:rsidR="00627DF7" w:rsidRPr="00E12B3B">
                    <w:rPr>
                      <w:szCs w:val="22"/>
                      <w:lang w:val="es-ES"/>
                    </w:rPr>
                    <w:t>.</w:t>
                  </w:r>
                  <w:r w:rsidR="00C07410" w:rsidRPr="00E12B3B">
                    <w:rPr>
                      <w:szCs w:val="22"/>
                      <w:lang w:val="es-ES"/>
                    </w:rPr>
                    <w:t xml:space="preserve">000 </w:t>
                  </w:r>
                </w:p>
              </w:tc>
            </w:tr>
            <w:tr w:rsidR="00C07410" w:rsidRPr="004825D4" w:rsidTr="00047B54">
              <w:tc>
                <w:tcPr>
                  <w:tcW w:w="2406" w:type="dxa"/>
                </w:tcPr>
                <w:p w:rsidR="00032406" w:rsidRPr="00E12B3B" w:rsidRDefault="00F46C04" w:rsidP="00F46C04">
                  <w:pPr>
                    <w:jc w:val="both"/>
                    <w:rPr>
                      <w:szCs w:val="22"/>
                      <w:lang w:val="es-ES"/>
                    </w:rPr>
                  </w:pPr>
                  <w:r w:rsidRPr="00E12B3B">
                    <w:rPr>
                      <w:szCs w:val="22"/>
                      <w:lang w:val="es-ES"/>
                    </w:rPr>
                    <w:t>Elaboración de seguimiento</w:t>
                  </w:r>
                  <w:r w:rsidR="00C07410" w:rsidRPr="00E12B3B">
                    <w:rPr>
                      <w:szCs w:val="22"/>
                      <w:lang w:val="es-ES"/>
                    </w:rPr>
                    <w:t xml:space="preserve"> </w:t>
                  </w:r>
                </w:p>
                <w:p w:rsidR="00C07410" w:rsidRPr="00E12B3B" w:rsidRDefault="00C07410" w:rsidP="00C07410">
                  <w:pPr>
                    <w:jc w:val="both"/>
                    <w:rPr>
                      <w:szCs w:val="22"/>
                      <w:lang w:val="es-ES"/>
                    </w:rPr>
                  </w:pPr>
                </w:p>
              </w:tc>
              <w:tc>
                <w:tcPr>
                  <w:tcW w:w="1620" w:type="dxa"/>
                </w:tcPr>
                <w:p w:rsidR="00C07410" w:rsidRPr="00E12B3B" w:rsidRDefault="00C07410" w:rsidP="00C07410">
                  <w:pPr>
                    <w:jc w:val="both"/>
                    <w:rPr>
                      <w:szCs w:val="22"/>
                      <w:lang w:val="es-ES"/>
                    </w:rPr>
                  </w:pPr>
                </w:p>
              </w:tc>
              <w:tc>
                <w:tcPr>
                  <w:tcW w:w="1440" w:type="dxa"/>
                </w:tcPr>
                <w:p w:rsidR="00C07410" w:rsidRPr="00E12B3B" w:rsidRDefault="005543BB" w:rsidP="007024B9">
                  <w:pPr>
                    <w:jc w:val="right"/>
                    <w:rPr>
                      <w:szCs w:val="22"/>
                      <w:lang w:val="es-ES"/>
                    </w:rPr>
                  </w:pPr>
                  <w:r w:rsidRPr="00E12B3B">
                    <w:rPr>
                      <w:szCs w:val="22"/>
                      <w:lang w:val="es-ES"/>
                    </w:rPr>
                    <w:t>5</w:t>
                  </w:r>
                  <w:r w:rsidR="00627DF7" w:rsidRPr="00E12B3B">
                    <w:rPr>
                      <w:szCs w:val="22"/>
                      <w:lang w:val="es-ES"/>
                    </w:rPr>
                    <w:t>.</w:t>
                  </w:r>
                  <w:r w:rsidR="00C07410" w:rsidRPr="00E12B3B">
                    <w:rPr>
                      <w:szCs w:val="22"/>
                      <w:lang w:val="es-ES"/>
                    </w:rPr>
                    <w:t>000</w:t>
                  </w:r>
                </w:p>
              </w:tc>
              <w:tc>
                <w:tcPr>
                  <w:tcW w:w="1227" w:type="dxa"/>
                </w:tcPr>
                <w:p w:rsidR="00C07410" w:rsidRPr="00E12B3B" w:rsidRDefault="005543BB" w:rsidP="007024B9">
                  <w:pPr>
                    <w:jc w:val="right"/>
                    <w:rPr>
                      <w:szCs w:val="22"/>
                      <w:lang w:val="es-ES"/>
                    </w:rPr>
                  </w:pPr>
                  <w:r w:rsidRPr="00E12B3B">
                    <w:rPr>
                      <w:szCs w:val="22"/>
                      <w:lang w:val="es-ES"/>
                    </w:rPr>
                    <w:t>5</w:t>
                  </w:r>
                  <w:r w:rsidR="00627DF7" w:rsidRPr="00E12B3B">
                    <w:rPr>
                      <w:szCs w:val="22"/>
                      <w:lang w:val="es-ES"/>
                    </w:rPr>
                    <w:t>.</w:t>
                  </w:r>
                  <w:r w:rsidR="00C07410" w:rsidRPr="00E12B3B">
                    <w:rPr>
                      <w:szCs w:val="22"/>
                      <w:lang w:val="es-ES"/>
                    </w:rPr>
                    <w:t>000</w:t>
                  </w:r>
                </w:p>
              </w:tc>
            </w:tr>
            <w:tr w:rsidR="00C07410" w:rsidRPr="004825D4" w:rsidTr="00047B54">
              <w:trPr>
                <w:trHeight w:val="377"/>
              </w:trPr>
              <w:tc>
                <w:tcPr>
                  <w:tcW w:w="2406" w:type="dxa"/>
                </w:tcPr>
                <w:p w:rsidR="00C07410" w:rsidRPr="00E12B3B" w:rsidRDefault="00F46C04" w:rsidP="00F46C04">
                  <w:pPr>
                    <w:jc w:val="both"/>
                    <w:rPr>
                      <w:b/>
                      <w:szCs w:val="22"/>
                      <w:lang w:val="es-ES"/>
                    </w:rPr>
                  </w:pPr>
                  <w:r w:rsidRPr="00E12B3B">
                    <w:rPr>
                      <w:b/>
                      <w:szCs w:val="22"/>
                      <w:lang w:val="es-ES"/>
                    </w:rPr>
                    <w:t>Total</w:t>
                  </w:r>
                  <w:r w:rsidR="00C07410" w:rsidRPr="00E12B3B">
                    <w:rPr>
                      <w:b/>
                      <w:szCs w:val="22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620" w:type="dxa"/>
                </w:tcPr>
                <w:p w:rsidR="00C07410" w:rsidRPr="00E12B3B" w:rsidRDefault="00C07410" w:rsidP="00C07410">
                  <w:pPr>
                    <w:jc w:val="both"/>
                    <w:rPr>
                      <w:szCs w:val="22"/>
                      <w:lang w:val="es-ES"/>
                    </w:rPr>
                  </w:pPr>
                </w:p>
              </w:tc>
              <w:tc>
                <w:tcPr>
                  <w:tcW w:w="1440" w:type="dxa"/>
                </w:tcPr>
                <w:p w:rsidR="00C07410" w:rsidRPr="00E12B3B" w:rsidRDefault="00C07410" w:rsidP="00C07410">
                  <w:pPr>
                    <w:jc w:val="both"/>
                    <w:rPr>
                      <w:szCs w:val="22"/>
                      <w:lang w:val="es-ES"/>
                    </w:rPr>
                  </w:pPr>
                </w:p>
              </w:tc>
              <w:tc>
                <w:tcPr>
                  <w:tcW w:w="1227" w:type="dxa"/>
                </w:tcPr>
                <w:p w:rsidR="00C07410" w:rsidRPr="00E12B3B" w:rsidRDefault="00CD0E78" w:rsidP="007024B9">
                  <w:pPr>
                    <w:jc w:val="right"/>
                    <w:rPr>
                      <w:b/>
                      <w:szCs w:val="22"/>
                      <w:lang w:val="es-ES"/>
                    </w:rPr>
                  </w:pPr>
                  <w:r w:rsidRPr="00E12B3B">
                    <w:rPr>
                      <w:b/>
                      <w:szCs w:val="22"/>
                      <w:lang w:val="es-ES"/>
                    </w:rPr>
                    <w:t>5</w:t>
                  </w:r>
                  <w:r w:rsidR="005543BB" w:rsidRPr="00E12B3B">
                    <w:rPr>
                      <w:b/>
                      <w:szCs w:val="22"/>
                      <w:lang w:val="es-ES"/>
                    </w:rPr>
                    <w:t>0</w:t>
                  </w:r>
                  <w:r w:rsidR="00627DF7" w:rsidRPr="00E12B3B">
                    <w:rPr>
                      <w:b/>
                      <w:szCs w:val="22"/>
                      <w:lang w:val="es-ES"/>
                    </w:rPr>
                    <w:t>.</w:t>
                  </w:r>
                  <w:r w:rsidR="00C07410" w:rsidRPr="00E12B3B">
                    <w:rPr>
                      <w:b/>
                      <w:szCs w:val="22"/>
                      <w:lang w:val="es-ES"/>
                    </w:rPr>
                    <w:t>000</w:t>
                  </w:r>
                </w:p>
              </w:tc>
            </w:tr>
          </w:tbl>
          <w:p w:rsidR="00032406" w:rsidRPr="00E12B3B" w:rsidRDefault="00032406" w:rsidP="00A61C8A">
            <w:pPr>
              <w:rPr>
                <w:lang w:val="es-ES"/>
              </w:rPr>
            </w:pPr>
          </w:p>
          <w:p w:rsidR="00C07410" w:rsidRPr="00E12B3B" w:rsidRDefault="00F46C04" w:rsidP="00F46C04">
            <w:pPr>
              <w:rPr>
                <w:lang w:val="es-ES"/>
              </w:rPr>
            </w:pPr>
            <w:r w:rsidRPr="00E12B3B">
              <w:rPr>
                <w:lang w:val="es-ES"/>
              </w:rPr>
              <w:t>El costo de estas actividades se cubrirá con el presupuesto existente de la División de Derecho de Autor.</w:t>
            </w:r>
          </w:p>
        </w:tc>
      </w:tr>
      <w:tr w:rsidR="00A61C8A" w:rsidRPr="004825D4" w:rsidTr="008A4DB1">
        <w:tc>
          <w:tcPr>
            <w:tcW w:w="2294" w:type="dxa"/>
          </w:tcPr>
          <w:p w:rsidR="00E67483" w:rsidRDefault="00E67483" w:rsidP="00E67483">
            <w:pPr>
              <w:keepNext/>
              <w:rPr>
                <w:i/>
                <w:lang w:val="es-ES"/>
              </w:rPr>
            </w:pPr>
          </w:p>
          <w:p w:rsidR="00A61C8A" w:rsidRPr="00E12B3B" w:rsidRDefault="0009777C" w:rsidP="00E67483">
            <w:pPr>
              <w:keepNext/>
              <w:rPr>
                <w:i/>
                <w:lang w:val="es-ES"/>
              </w:rPr>
            </w:pPr>
            <w:r w:rsidRPr="00E12B3B">
              <w:rPr>
                <w:i/>
                <w:lang w:val="es-ES"/>
              </w:rPr>
              <w:t>Resultados/incidencia del proyecto</w:t>
            </w:r>
          </w:p>
        </w:tc>
        <w:tc>
          <w:tcPr>
            <w:tcW w:w="7051" w:type="dxa"/>
          </w:tcPr>
          <w:p w:rsidR="00E67483" w:rsidRDefault="00E67483" w:rsidP="00E67483">
            <w:pPr>
              <w:keepNext/>
              <w:ind w:left="720"/>
              <w:contextualSpacing/>
              <w:rPr>
                <w:rFonts w:eastAsia="Times New Roman"/>
                <w:szCs w:val="22"/>
                <w:lang w:val="es-ES" w:eastAsia="en-US"/>
              </w:rPr>
            </w:pPr>
          </w:p>
          <w:p w:rsidR="00032406" w:rsidRPr="00E12B3B" w:rsidRDefault="0009777C" w:rsidP="00E67483">
            <w:pPr>
              <w:keepNext/>
              <w:numPr>
                <w:ilvl w:val="0"/>
                <w:numId w:val="12"/>
              </w:numPr>
              <w:contextualSpacing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Dar a conocer las constataciones del estudio de viabilidad sobre la importancia de los datos económicos correspondientes al sector audiovisual</w:t>
            </w:r>
            <w:r w:rsidR="006607CE" w:rsidRPr="00E12B3B">
              <w:rPr>
                <w:rFonts w:eastAsia="Times New Roman"/>
                <w:szCs w:val="22"/>
                <w:lang w:val="es-ES" w:eastAsia="en-US"/>
              </w:rPr>
              <w:t>;</w:t>
            </w:r>
          </w:p>
          <w:p w:rsidR="00032406" w:rsidRPr="00E12B3B" w:rsidRDefault="0009777C" w:rsidP="00E67483">
            <w:pPr>
              <w:keepNext/>
              <w:numPr>
                <w:ilvl w:val="0"/>
                <w:numId w:val="12"/>
              </w:numPr>
              <w:contextualSpacing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Aumentar la sensibilización sobre las metodologías de compilación, análisis y presentación de datos</w:t>
            </w:r>
            <w:r w:rsidR="006607CE" w:rsidRPr="00E12B3B">
              <w:rPr>
                <w:rFonts w:eastAsia="Times New Roman"/>
                <w:szCs w:val="22"/>
                <w:lang w:val="es-ES" w:eastAsia="en-US"/>
              </w:rPr>
              <w:t>;</w:t>
            </w:r>
          </w:p>
          <w:p w:rsidR="00032406" w:rsidRPr="00E12B3B" w:rsidRDefault="006607CE" w:rsidP="00E67483">
            <w:pPr>
              <w:keepNext/>
              <w:numPr>
                <w:ilvl w:val="0"/>
                <w:numId w:val="12"/>
              </w:numPr>
              <w:contextualSpacing/>
              <w:rPr>
                <w:rFonts w:eastAsia="Times New Roman"/>
                <w:szCs w:val="22"/>
                <w:lang w:val="es-ES" w:eastAsia="en-US"/>
              </w:rPr>
            </w:pPr>
            <w:r w:rsidRPr="00E12B3B">
              <w:rPr>
                <w:rFonts w:eastAsia="Times New Roman"/>
                <w:szCs w:val="22"/>
                <w:lang w:val="es-ES" w:eastAsia="en-US"/>
              </w:rPr>
              <w:t>Plantear</w:t>
            </w:r>
            <w:r w:rsidR="0009777C" w:rsidRPr="00E12B3B">
              <w:rPr>
                <w:rFonts w:eastAsia="Times New Roman"/>
                <w:szCs w:val="22"/>
                <w:lang w:val="es-ES" w:eastAsia="en-US"/>
              </w:rPr>
              <w:t xml:space="preserve"> opciones y posibles enfoques para mejorar la compilación de datos económicos.</w:t>
            </w:r>
          </w:p>
          <w:p w:rsidR="00C07410" w:rsidRPr="00E12B3B" w:rsidRDefault="00C07410" w:rsidP="00E67483">
            <w:pPr>
              <w:keepNext/>
              <w:ind w:left="720"/>
              <w:contextualSpacing/>
              <w:rPr>
                <w:rFonts w:eastAsia="Times New Roman"/>
                <w:szCs w:val="22"/>
                <w:lang w:val="es-ES" w:eastAsia="en-US"/>
              </w:rPr>
            </w:pPr>
          </w:p>
        </w:tc>
      </w:tr>
    </w:tbl>
    <w:p w:rsidR="00032406" w:rsidRPr="00E12B3B" w:rsidRDefault="00032406" w:rsidP="00F962F4">
      <w:pPr>
        <w:rPr>
          <w:lang w:val="es-ES"/>
        </w:rPr>
      </w:pPr>
    </w:p>
    <w:p w:rsidR="00032406" w:rsidRPr="00E12B3B" w:rsidRDefault="00032406">
      <w:pPr>
        <w:rPr>
          <w:lang w:val="es-ES"/>
        </w:rPr>
      </w:pPr>
    </w:p>
    <w:p w:rsidR="00032406" w:rsidRPr="00E12B3B" w:rsidRDefault="0009777C" w:rsidP="00E67483">
      <w:pPr>
        <w:pStyle w:val="Endofdocument-Annex"/>
        <w:rPr>
          <w:lang w:val="es-ES"/>
        </w:rPr>
      </w:pPr>
      <w:r w:rsidRPr="00E12B3B">
        <w:rPr>
          <w:lang w:val="es-ES"/>
        </w:rPr>
        <w:t>[Fin del Anexo y del documento]</w:t>
      </w:r>
    </w:p>
    <w:p w:rsidR="00032406" w:rsidRPr="00E12B3B" w:rsidRDefault="00032406">
      <w:pPr>
        <w:rPr>
          <w:lang w:val="es-ES"/>
        </w:rPr>
      </w:pPr>
    </w:p>
    <w:p w:rsidR="00FF478F" w:rsidRPr="00E12B3B" w:rsidRDefault="00FF478F">
      <w:pPr>
        <w:rPr>
          <w:lang w:val="es-ES"/>
        </w:rPr>
      </w:pPr>
    </w:p>
    <w:sectPr w:rsidR="00FF478F" w:rsidRPr="00E12B3B" w:rsidSect="008A4DB1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D3C" w:rsidRDefault="00203D3C">
      <w:r>
        <w:separator/>
      </w:r>
    </w:p>
  </w:endnote>
  <w:endnote w:type="continuationSeparator" w:id="0">
    <w:p w:rsidR="00203D3C" w:rsidRDefault="00203D3C" w:rsidP="003B38C1">
      <w:r>
        <w:separator/>
      </w:r>
    </w:p>
    <w:p w:rsidR="00203D3C" w:rsidRPr="003B38C1" w:rsidRDefault="00203D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3D3C" w:rsidRPr="003B38C1" w:rsidRDefault="00203D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D3C" w:rsidRDefault="00203D3C">
      <w:r>
        <w:separator/>
      </w:r>
    </w:p>
  </w:footnote>
  <w:footnote w:type="continuationSeparator" w:id="0">
    <w:p w:rsidR="00203D3C" w:rsidRDefault="00203D3C" w:rsidP="008B60B2">
      <w:r>
        <w:separator/>
      </w:r>
    </w:p>
    <w:p w:rsidR="00203D3C" w:rsidRPr="00ED77FB" w:rsidRDefault="00203D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3D3C" w:rsidRPr="00ED77FB" w:rsidRDefault="00203D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9777C" w:rsidP="0009777C">
    <w:pPr>
      <w:jc w:val="right"/>
    </w:pPr>
    <w:r w:rsidRPr="0009777C">
      <w:rPr>
        <w:lang w:val="es-ES_tradnl"/>
      </w:rPr>
      <w:t>CDIP/23/12</w:t>
    </w:r>
  </w:p>
  <w:p w:rsidR="00EC4E49" w:rsidRDefault="0009777C" w:rsidP="0009777C">
    <w:pPr>
      <w:jc w:val="right"/>
    </w:pPr>
    <w:r w:rsidRPr="0009777C">
      <w:rPr>
        <w:lang w:val="es-ES_tradnl"/>
      </w:rPr>
      <w:t>ANEXO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AA" w:rsidRDefault="0009777C" w:rsidP="0009777C">
    <w:pPr>
      <w:jc w:val="right"/>
    </w:pPr>
    <w:r w:rsidRPr="0009777C">
      <w:rPr>
        <w:lang w:val="es-ES_tradnl"/>
      </w:rPr>
      <w:t>CDIP/23/12</w:t>
    </w:r>
  </w:p>
  <w:p w:rsidR="00695EAA" w:rsidRDefault="0009777C" w:rsidP="0009777C">
    <w:pPr>
      <w:jc w:val="right"/>
    </w:pPr>
    <w:r w:rsidRPr="0009777C">
      <w:rPr>
        <w:lang w:val="es-ES_tradnl"/>
      </w:rPr>
      <w:t xml:space="preserve">Anexo, página </w:t>
    </w:r>
    <w:r w:rsidR="008A4DB1" w:rsidRPr="008A4DB1">
      <w:rPr>
        <w:lang w:val="es-ES_tradnl"/>
      </w:rPr>
      <w:fldChar w:fldCharType="begin"/>
    </w:r>
    <w:r w:rsidR="008A4DB1" w:rsidRPr="008A4DB1">
      <w:rPr>
        <w:lang w:val="es-ES_tradnl"/>
      </w:rPr>
      <w:instrText xml:space="preserve"> PAGE   \* MERGEFORMAT </w:instrText>
    </w:r>
    <w:r w:rsidR="008A4DB1" w:rsidRPr="008A4DB1">
      <w:rPr>
        <w:lang w:val="es-ES_tradnl"/>
      </w:rPr>
      <w:fldChar w:fldCharType="separate"/>
    </w:r>
    <w:r w:rsidR="00E14D4F">
      <w:rPr>
        <w:noProof/>
        <w:lang w:val="es-ES_tradnl"/>
      </w:rPr>
      <w:t>4</w:t>
    </w:r>
    <w:r w:rsidR="008A4DB1" w:rsidRPr="008A4DB1">
      <w:rPr>
        <w:noProof/>
        <w:lang w:val="es-ES_tradnl"/>
      </w:rPr>
      <w:fldChar w:fldCharType="end"/>
    </w:r>
  </w:p>
  <w:p w:rsidR="00695EAA" w:rsidRDefault="00695EA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AA" w:rsidRDefault="00695EAA" w:rsidP="00695EAA">
    <w:pPr>
      <w:pStyle w:val="Header"/>
      <w:jc w:val="right"/>
    </w:pPr>
    <w:r>
      <w:t>CDIP/23/12</w:t>
    </w:r>
  </w:p>
  <w:p w:rsidR="00695EAA" w:rsidRDefault="008A4DB1" w:rsidP="008A4DB1">
    <w:pPr>
      <w:pStyle w:val="Header"/>
      <w:jc w:val="right"/>
    </w:pPr>
    <w:r>
      <w:t>ANEXO</w:t>
    </w:r>
  </w:p>
  <w:p w:rsidR="00695EAA" w:rsidRDefault="00695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22C79"/>
    <w:multiLevelType w:val="hybridMultilevel"/>
    <w:tmpl w:val="D83E771A"/>
    <w:lvl w:ilvl="0" w:tplc="FC3E742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DD65F3"/>
    <w:multiLevelType w:val="hybridMultilevel"/>
    <w:tmpl w:val="F658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166C56"/>
    <w:multiLevelType w:val="hybridMultilevel"/>
    <w:tmpl w:val="0A3E5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918DE"/>
    <w:multiLevelType w:val="hybridMultilevel"/>
    <w:tmpl w:val="CB00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E31CA"/>
    <w:multiLevelType w:val="hybridMultilevel"/>
    <w:tmpl w:val="D1D694AA"/>
    <w:lvl w:ilvl="0" w:tplc="39689872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F545A"/>
    <w:multiLevelType w:val="hybridMultilevel"/>
    <w:tmpl w:val="6D6E7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Base OMPI|WIPOLDTERM"/>
    <w:docVar w:name="TermBaseURL" w:val="empty"/>
    <w:docVar w:name="TextBases" w:val="Team Server TMs\Spanish|TextBase TMs\WorkspaceSTS\Development\Dev_Agenda"/>
    <w:docVar w:name="TextBaseURL" w:val="empty"/>
    <w:docVar w:name="UILng" w:val="en"/>
  </w:docVars>
  <w:rsids>
    <w:rsidRoot w:val="00203D3C"/>
    <w:rsid w:val="00005048"/>
    <w:rsid w:val="00032406"/>
    <w:rsid w:val="00043CAA"/>
    <w:rsid w:val="00047B54"/>
    <w:rsid w:val="00070084"/>
    <w:rsid w:val="00075432"/>
    <w:rsid w:val="000968ED"/>
    <w:rsid w:val="0009777C"/>
    <w:rsid w:val="000D15B3"/>
    <w:rsid w:val="000F5E56"/>
    <w:rsid w:val="00112DE7"/>
    <w:rsid w:val="001362EE"/>
    <w:rsid w:val="00141DBF"/>
    <w:rsid w:val="00163517"/>
    <w:rsid w:val="0016434E"/>
    <w:rsid w:val="001647D5"/>
    <w:rsid w:val="00182CF2"/>
    <w:rsid w:val="001832A6"/>
    <w:rsid w:val="001C453E"/>
    <w:rsid w:val="001D4663"/>
    <w:rsid w:val="00203D3C"/>
    <w:rsid w:val="0021217E"/>
    <w:rsid w:val="002634C4"/>
    <w:rsid w:val="0027512B"/>
    <w:rsid w:val="002928D3"/>
    <w:rsid w:val="00297545"/>
    <w:rsid w:val="002B3C24"/>
    <w:rsid w:val="002C07E1"/>
    <w:rsid w:val="002C48A4"/>
    <w:rsid w:val="002F1FE6"/>
    <w:rsid w:val="002F4E68"/>
    <w:rsid w:val="003061E0"/>
    <w:rsid w:val="00312F7F"/>
    <w:rsid w:val="00361450"/>
    <w:rsid w:val="003673CF"/>
    <w:rsid w:val="003845C1"/>
    <w:rsid w:val="003A6F89"/>
    <w:rsid w:val="003B38C1"/>
    <w:rsid w:val="003D6AA8"/>
    <w:rsid w:val="003E5146"/>
    <w:rsid w:val="00423E3E"/>
    <w:rsid w:val="0042534B"/>
    <w:rsid w:val="00427AF4"/>
    <w:rsid w:val="004647DA"/>
    <w:rsid w:val="00474062"/>
    <w:rsid w:val="00477D6B"/>
    <w:rsid w:val="004825D4"/>
    <w:rsid w:val="004C4649"/>
    <w:rsid w:val="005019FF"/>
    <w:rsid w:val="0053057A"/>
    <w:rsid w:val="00547E5E"/>
    <w:rsid w:val="005534BD"/>
    <w:rsid w:val="005543BB"/>
    <w:rsid w:val="00560A29"/>
    <w:rsid w:val="005C6649"/>
    <w:rsid w:val="00605827"/>
    <w:rsid w:val="00627DF7"/>
    <w:rsid w:val="00646050"/>
    <w:rsid w:val="006607CE"/>
    <w:rsid w:val="00664222"/>
    <w:rsid w:val="006713CA"/>
    <w:rsid w:val="00671B79"/>
    <w:rsid w:val="00676C5C"/>
    <w:rsid w:val="00695EAA"/>
    <w:rsid w:val="007024B9"/>
    <w:rsid w:val="00722FAD"/>
    <w:rsid w:val="007B3815"/>
    <w:rsid w:val="007D1613"/>
    <w:rsid w:val="007E4C0E"/>
    <w:rsid w:val="007E5E36"/>
    <w:rsid w:val="00835F3A"/>
    <w:rsid w:val="008461AF"/>
    <w:rsid w:val="00847755"/>
    <w:rsid w:val="00863B2A"/>
    <w:rsid w:val="00883B8A"/>
    <w:rsid w:val="008A134B"/>
    <w:rsid w:val="008A4DB1"/>
    <w:rsid w:val="008A771A"/>
    <w:rsid w:val="008B2CC1"/>
    <w:rsid w:val="008B60B2"/>
    <w:rsid w:val="008F232E"/>
    <w:rsid w:val="0090731E"/>
    <w:rsid w:val="00916EE2"/>
    <w:rsid w:val="00927877"/>
    <w:rsid w:val="00966A22"/>
    <w:rsid w:val="0096722F"/>
    <w:rsid w:val="00980843"/>
    <w:rsid w:val="00981F54"/>
    <w:rsid w:val="009E2791"/>
    <w:rsid w:val="009E3F6F"/>
    <w:rsid w:val="009F499F"/>
    <w:rsid w:val="00A31EA8"/>
    <w:rsid w:val="00A37342"/>
    <w:rsid w:val="00A42DAF"/>
    <w:rsid w:val="00A45111"/>
    <w:rsid w:val="00A45BD8"/>
    <w:rsid w:val="00A52AE2"/>
    <w:rsid w:val="00A61C8A"/>
    <w:rsid w:val="00A869B7"/>
    <w:rsid w:val="00AC205C"/>
    <w:rsid w:val="00AF0A6B"/>
    <w:rsid w:val="00B05A69"/>
    <w:rsid w:val="00B27789"/>
    <w:rsid w:val="00B628E5"/>
    <w:rsid w:val="00B641AC"/>
    <w:rsid w:val="00B9734B"/>
    <w:rsid w:val="00BA30E2"/>
    <w:rsid w:val="00C07410"/>
    <w:rsid w:val="00C11BFE"/>
    <w:rsid w:val="00C15EAD"/>
    <w:rsid w:val="00C25909"/>
    <w:rsid w:val="00C438A3"/>
    <w:rsid w:val="00C5068F"/>
    <w:rsid w:val="00C86D74"/>
    <w:rsid w:val="00CA3B20"/>
    <w:rsid w:val="00CC3F4D"/>
    <w:rsid w:val="00CC46F0"/>
    <w:rsid w:val="00CD04F1"/>
    <w:rsid w:val="00CD0E78"/>
    <w:rsid w:val="00D0745A"/>
    <w:rsid w:val="00D45252"/>
    <w:rsid w:val="00D71B4D"/>
    <w:rsid w:val="00D93D55"/>
    <w:rsid w:val="00DA0A95"/>
    <w:rsid w:val="00E12B3B"/>
    <w:rsid w:val="00E14D4F"/>
    <w:rsid w:val="00E15015"/>
    <w:rsid w:val="00E219F2"/>
    <w:rsid w:val="00E335FE"/>
    <w:rsid w:val="00E5449D"/>
    <w:rsid w:val="00E548A2"/>
    <w:rsid w:val="00E61926"/>
    <w:rsid w:val="00E67483"/>
    <w:rsid w:val="00E67AA0"/>
    <w:rsid w:val="00E770FB"/>
    <w:rsid w:val="00EA7D6E"/>
    <w:rsid w:val="00EC4E49"/>
    <w:rsid w:val="00ED0A94"/>
    <w:rsid w:val="00ED77FB"/>
    <w:rsid w:val="00EE45FA"/>
    <w:rsid w:val="00EE6077"/>
    <w:rsid w:val="00EF36B6"/>
    <w:rsid w:val="00F254C3"/>
    <w:rsid w:val="00F46C04"/>
    <w:rsid w:val="00F66152"/>
    <w:rsid w:val="00F962F4"/>
    <w:rsid w:val="00FB1EAB"/>
    <w:rsid w:val="00FC55C2"/>
    <w:rsid w:val="00FF478F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C03F5247-36F1-4B60-803B-789588CA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203D3C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FC55C2"/>
    <w:rPr>
      <w:vertAlign w:val="superscript"/>
    </w:rPr>
  </w:style>
  <w:style w:type="table" w:styleId="TableGrid">
    <w:name w:val="Table Grid"/>
    <w:basedOn w:val="TableNormal"/>
    <w:rsid w:val="00F9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A61C8A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702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24B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C782-F358-489F-8ADF-2ECC3AA4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23 (E)</Template>
  <TotalTime>0</TotalTime>
  <Pages>5</Pages>
  <Words>1173</Words>
  <Characters>6733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CDIP/23/12</vt:lpstr>
    </vt:vector>
  </TitlesOfParts>
  <Company>WIPO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CDIP/23/12</dc:title>
  <dc:creator>CEVALLOS DUQUE Nilo</dc:creator>
  <cp:lastModifiedBy>SARKISSOVA Anna</cp:lastModifiedBy>
  <cp:revision>2</cp:revision>
  <cp:lastPrinted>2011-02-15T11:56:00Z</cp:lastPrinted>
  <dcterms:created xsi:type="dcterms:W3CDTF">2019-04-04T13:44:00Z</dcterms:created>
  <dcterms:modified xsi:type="dcterms:W3CDTF">2019-04-04T13:44:00Z</dcterms:modified>
</cp:coreProperties>
</file>