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eastAsia="es-E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7070" w:rsidP="008525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8525E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934A7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934A7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934A7">
              <w:rPr>
                <w:rFonts w:ascii="Arial Black" w:hAnsi="Arial Black"/>
                <w:caps/>
                <w:sz w:val="15"/>
              </w:rPr>
              <w:t>30 DE SEPTIEMBRE DE 2019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CA7070" w:rsidP="00B67CDC">
      <w:pPr>
        <w:rPr>
          <w:b/>
          <w:sz w:val="28"/>
          <w:szCs w:val="28"/>
        </w:rPr>
      </w:pPr>
      <w:r w:rsidRPr="00603F32">
        <w:rPr>
          <w:b/>
          <w:sz w:val="28"/>
          <w:szCs w:val="28"/>
        </w:rPr>
        <w:t>Comité de Desarrollo y Propiedad Intelectual (CDIP)</w:t>
      </w:r>
    </w:p>
    <w:p w:rsidR="003845C1" w:rsidRDefault="003845C1" w:rsidP="003845C1"/>
    <w:p w:rsidR="003845C1" w:rsidRDefault="003845C1" w:rsidP="003845C1"/>
    <w:p w:rsidR="008525EB" w:rsidRPr="00603F32" w:rsidRDefault="008525EB" w:rsidP="008525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Vigesimocuarta </w:t>
      </w:r>
      <w:r w:rsidRPr="00603F32">
        <w:rPr>
          <w:b/>
          <w:sz w:val="24"/>
          <w:szCs w:val="24"/>
        </w:rPr>
        <w:t>sesión</w:t>
      </w:r>
    </w:p>
    <w:p w:rsidR="008525EB" w:rsidRPr="00603F32" w:rsidRDefault="008525EB" w:rsidP="008525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18</w:t>
      </w:r>
      <w:r w:rsidRPr="00603F32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22</w:t>
      </w:r>
      <w:r w:rsidRPr="00603F32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noviembre de 2019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934A7" w:rsidRDefault="00B934A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PROPUESTA REVISADA DE PROYECTO PRESENTADA POR EL ESTADO PLURINACIONAL DE BOLIVIA SOBRE EL REGISTRO DE MARCAS COLECTIVAS DE EMPRENDIMIENTOS LOCALES COMO EJE TRANSVERSAL DE DESARROLLO ECONÓMICO </w:t>
      </w:r>
    </w:p>
    <w:p w:rsidR="008B2CC1" w:rsidRPr="003845C1" w:rsidRDefault="008B2CC1" w:rsidP="008B2CC1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531B83" w:rsidP="008B2CC1">
      <w:pPr>
        <w:rPr>
          <w:i/>
        </w:rPr>
      </w:pPr>
      <w:bookmarkStart w:id="4" w:name="Prepared"/>
      <w:bookmarkEnd w:id="4"/>
      <w:r>
        <w:rPr>
          <w:i/>
        </w:rPr>
        <w:t>Documento preparado</w:t>
      </w:r>
      <w:r w:rsidR="00B934A7"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B934A7" w:rsidRDefault="00B934A7" w:rsidP="00B934A7">
      <w:pPr>
        <w:rPr>
          <w:szCs w:val="22"/>
        </w:rPr>
      </w:pPr>
    </w:p>
    <w:p w:rsidR="009F4312" w:rsidRPr="00C542B7" w:rsidRDefault="009F4312" w:rsidP="00B934A7">
      <w:pPr>
        <w:rPr>
          <w:szCs w:val="22"/>
        </w:rPr>
      </w:pPr>
    </w:p>
    <w:p w:rsidR="00B934A7" w:rsidRPr="00C542B7" w:rsidRDefault="00B934A7" w:rsidP="009F4312">
      <w:pPr>
        <w:pStyle w:val="ONUMFS"/>
      </w:pPr>
      <w:r w:rsidRPr="00C542B7">
        <w:t xml:space="preserve">El Comité de Desarrollo y Propiedad Intelectual (CDIP), en su vigesimotercera sesión, examinó el documento CDIP/23/15 relativo a la </w:t>
      </w:r>
      <w:r w:rsidRPr="00C542B7">
        <w:rPr>
          <w:i/>
        </w:rPr>
        <w:t>Propuesta de proyecto presentada por el Estado Plurinacional de Bolivia sobre el registro de marcas colectivas de emprendimientos locales como eje transversal de desarrollo económico</w:t>
      </w:r>
      <w:r w:rsidRPr="00C542B7">
        <w:t xml:space="preserve">. </w:t>
      </w:r>
      <w:r w:rsidRPr="00C542B7">
        <w:rPr>
          <w:rFonts w:ascii="Arial Unicode MS" w:eastAsia="Times New Roman" w:hAnsi="Arial Unicode MS" w:cs="Arial Unicode MS"/>
          <w:lang w:eastAsia="fr-CH"/>
        </w:rPr>
        <w:t xml:space="preserve">El Comité </w:t>
      </w:r>
      <w:r w:rsidR="000D0882">
        <w:rPr>
          <w:rFonts w:ascii="Arial Unicode MS" w:eastAsia="Times New Roman" w:hAnsi="Arial Unicode MS" w:cs="Arial Unicode MS"/>
          <w:lang w:eastAsia="fr-CH"/>
        </w:rPr>
        <w:t>“</w:t>
      </w:r>
      <w:r w:rsidRPr="00C542B7">
        <w:rPr>
          <w:rFonts w:ascii="Arial Unicode MS" w:eastAsia="Times New Roman" w:hAnsi="Arial Unicode MS" w:cs="Arial Unicode MS"/>
          <w:lang w:eastAsia="fr-CH"/>
        </w:rPr>
        <w:t>valoró positivamente la propuesta de proyecto y pidió al Estado Plurinacional de Bolivia que colabore con la Secretaría para seguir desarrollando el proyecto para su examen en la próxima sesión</w:t>
      </w:r>
      <w:r w:rsidR="000D0882">
        <w:rPr>
          <w:rFonts w:ascii="Arial Unicode MS" w:eastAsia="Times New Roman" w:hAnsi="Arial Unicode MS" w:cs="Arial Unicode MS"/>
          <w:lang w:eastAsia="fr-CH"/>
        </w:rPr>
        <w:t>”</w:t>
      </w:r>
      <w:r w:rsidRPr="00C542B7">
        <w:t>.</w:t>
      </w:r>
    </w:p>
    <w:p w:rsidR="00B934A7" w:rsidRPr="009F4312" w:rsidRDefault="00B934A7" w:rsidP="00B934A7">
      <w:pPr>
        <w:pStyle w:val="ONUMFS"/>
        <w:rPr>
          <w:rStyle w:val="ONUMFSChar"/>
        </w:rPr>
      </w:pPr>
      <w:r w:rsidRPr="00C542B7">
        <w:t>El Anexo del presente documento contiene una propuesta revisada de proyecto del Estado Plurinacional de Bolivia, preparada con el apoyo de la Secretaría de la OMPI.</w:t>
      </w:r>
    </w:p>
    <w:p w:rsidR="00B934A7" w:rsidRPr="009F4312" w:rsidRDefault="00B934A7" w:rsidP="000D0882">
      <w:pPr>
        <w:pStyle w:val="ONUMFS"/>
        <w:tabs>
          <w:tab w:val="left" w:pos="6096"/>
        </w:tabs>
        <w:spacing w:after="0"/>
        <w:ind w:left="5529"/>
        <w:rPr>
          <w:rStyle w:val="ONUMFSChar"/>
          <w:i/>
        </w:rPr>
      </w:pPr>
      <w:r w:rsidRPr="009F4312">
        <w:rPr>
          <w:rStyle w:val="ONUMFSChar"/>
          <w:i/>
        </w:rPr>
        <w:t>Se invita al CDIP a considerar el Anexo del presente documento.</w:t>
      </w:r>
    </w:p>
    <w:p w:rsidR="00B934A7" w:rsidRPr="00C542B7" w:rsidRDefault="00B934A7" w:rsidP="009F4312">
      <w:pPr>
        <w:ind w:left="5529"/>
        <w:rPr>
          <w:szCs w:val="22"/>
        </w:rPr>
      </w:pPr>
    </w:p>
    <w:p w:rsidR="00B934A7" w:rsidRPr="00C542B7" w:rsidRDefault="00B934A7" w:rsidP="009F4312">
      <w:pPr>
        <w:ind w:left="5529"/>
        <w:rPr>
          <w:szCs w:val="22"/>
        </w:rPr>
      </w:pPr>
    </w:p>
    <w:p w:rsidR="00B934A7" w:rsidRPr="00C542B7" w:rsidRDefault="00B934A7" w:rsidP="009F4312">
      <w:pPr>
        <w:ind w:left="5529"/>
        <w:rPr>
          <w:szCs w:val="22"/>
        </w:rPr>
      </w:pPr>
    </w:p>
    <w:p w:rsidR="00B934A7" w:rsidRPr="00C542B7" w:rsidRDefault="00B934A7" w:rsidP="00B934A7">
      <w:pPr>
        <w:pStyle w:val="Endofdocument-Annex"/>
        <w:rPr>
          <w:szCs w:val="22"/>
          <w:lang w:val="es-ES"/>
        </w:rPr>
      </w:pPr>
    </w:p>
    <w:p w:rsidR="00B934A7" w:rsidRPr="00C542B7" w:rsidRDefault="00B934A7" w:rsidP="009F4312">
      <w:pPr>
        <w:pStyle w:val="Endofdocument-Annex"/>
        <w:rPr>
          <w:lang w:val="es-ES"/>
        </w:rPr>
        <w:sectPr w:rsidR="00B934A7" w:rsidRPr="00C542B7" w:rsidSect="000D0882">
          <w:headerReference w:type="even" r:id="rId8"/>
          <w:headerReference w:type="default" r:id="rId9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  <w:r w:rsidRPr="00C542B7">
        <w:rPr>
          <w:lang w:val="es-ES"/>
        </w:rPr>
        <w:t xml:space="preserve">[Sigue el </w:t>
      </w:r>
      <w:r w:rsidRPr="00531B83">
        <w:rPr>
          <w:lang w:val="es-419"/>
        </w:rPr>
        <w:t>Anexo</w:t>
      </w:r>
      <w:r w:rsidRPr="00C542B7">
        <w:rPr>
          <w:lang w:val="es-ES"/>
        </w:rPr>
        <w:t>]</w:t>
      </w:r>
    </w:p>
    <w:p w:rsidR="00B934A7" w:rsidRPr="00C542B7" w:rsidRDefault="00B934A7" w:rsidP="00B934A7">
      <w:pPr>
        <w:pStyle w:val="Endofdocument-Annex"/>
        <w:ind w:left="0"/>
        <w:rPr>
          <w:b/>
          <w:szCs w:val="22"/>
          <w:lang w:val="es-ES"/>
        </w:rPr>
      </w:pPr>
      <w:r w:rsidRPr="00C542B7">
        <w:rPr>
          <w:b/>
          <w:szCs w:val="22"/>
          <w:lang w:val="es-ES"/>
        </w:rPr>
        <w:lastRenderedPageBreak/>
        <w:t>RECOMENDACIONES 1, 4 Y 10 DE LA AGENDA PARA EL DESARROLLO</w:t>
      </w:r>
    </w:p>
    <w:p w:rsidR="00B934A7" w:rsidRPr="00C542B7" w:rsidRDefault="00B934A7" w:rsidP="00B934A7">
      <w:pPr>
        <w:pStyle w:val="Endofdocument-Annex"/>
        <w:ind w:left="0"/>
        <w:rPr>
          <w:b/>
          <w:szCs w:val="22"/>
          <w:lang w:val="es-ES"/>
        </w:rPr>
      </w:pPr>
    </w:p>
    <w:p w:rsidR="00B934A7" w:rsidRPr="00C542B7" w:rsidRDefault="00B934A7" w:rsidP="00B934A7">
      <w:pPr>
        <w:pStyle w:val="Endofdocument-Annex"/>
        <w:ind w:left="0"/>
        <w:rPr>
          <w:b/>
          <w:szCs w:val="22"/>
          <w:lang w:val="es-ES"/>
        </w:rPr>
      </w:pPr>
      <w:r w:rsidRPr="00C542B7">
        <w:rPr>
          <w:b/>
          <w:szCs w:val="22"/>
          <w:lang w:val="es-ES"/>
        </w:rPr>
        <w:t>DOCUMENTO DEL PROYECTO</w:t>
      </w:r>
    </w:p>
    <w:p w:rsidR="00B934A7" w:rsidRPr="00C542B7" w:rsidRDefault="00B934A7" w:rsidP="00B934A7">
      <w:pPr>
        <w:rPr>
          <w:b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7394"/>
      </w:tblGrid>
      <w:tr w:rsidR="00B934A7" w:rsidRPr="00C542B7" w:rsidTr="000D0882">
        <w:trPr>
          <w:trHeight w:val="285"/>
        </w:trPr>
        <w:tc>
          <w:tcPr>
            <w:tcW w:w="9445" w:type="dxa"/>
            <w:gridSpan w:val="2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RESUMEN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C542B7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jc w:val="both"/>
              <w:rPr>
                <w:u w:val="single"/>
              </w:rPr>
            </w:pPr>
          </w:p>
          <w:p w:rsidR="00B934A7" w:rsidRPr="00C542B7" w:rsidRDefault="00B934A7" w:rsidP="00630D8C">
            <w:pPr>
              <w:rPr>
                <w:u w:val="single"/>
              </w:rPr>
            </w:pPr>
            <w:r w:rsidRPr="00C542B7">
              <w:rPr>
                <w:u w:val="single"/>
              </w:rPr>
              <w:t>Código del proyecto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  <w:rPr>
                <w:i/>
              </w:rPr>
            </w:pPr>
          </w:p>
          <w:p w:rsidR="00B934A7" w:rsidRPr="00C542B7" w:rsidRDefault="00B934A7" w:rsidP="000D0882">
            <w:pPr>
              <w:jc w:val="both"/>
              <w:rPr>
                <w:i/>
              </w:rPr>
            </w:pPr>
            <w:r w:rsidRPr="00C542B7">
              <w:rPr>
                <w:i/>
              </w:rPr>
              <w:t>DA_1_4_10_01</w:t>
            </w:r>
          </w:p>
          <w:p w:rsidR="00B934A7" w:rsidRPr="00C542B7" w:rsidRDefault="00B934A7" w:rsidP="000D0882">
            <w:pPr>
              <w:jc w:val="both"/>
              <w:rPr>
                <w:i/>
              </w:rPr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jc w:val="both"/>
              <w:rPr>
                <w:u w:val="single"/>
              </w:rPr>
            </w:pPr>
          </w:p>
          <w:p w:rsidR="00B934A7" w:rsidRPr="00C542B7" w:rsidRDefault="00B934A7" w:rsidP="000D0882">
            <w:pPr>
              <w:jc w:val="both"/>
              <w:rPr>
                <w:u w:val="single"/>
              </w:rPr>
            </w:pPr>
            <w:r w:rsidRPr="00C542B7">
              <w:rPr>
                <w:u w:val="single"/>
              </w:rPr>
              <w:t>Título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  <w:rPr>
                <w:rStyle w:val="ONUMFSChar"/>
              </w:rPr>
            </w:pPr>
          </w:p>
          <w:p w:rsidR="00B934A7" w:rsidRPr="00C542B7" w:rsidRDefault="00B934A7" w:rsidP="000D0882">
            <w:r w:rsidRPr="00C542B7">
              <w:t xml:space="preserve">Registro de marcas colectivas de emprendimientos locales como eje transversal de desarrollo económico </w:t>
            </w:r>
          </w:p>
          <w:p w:rsidR="00B934A7" w:rsidRPr="00C542B7" w:rsidRDefault="00B934A7" w:rsidP="000D0882">
            <w:pPr>
              <w:jc w:val="both"/>
              <w:rPr>
                <w:rStyle w:val="ONUMFSChar"/>
              </w:rPr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jc w:val="both"/>
              <w:rPr>
                <w:u w:val="single"/>
              </w:rPr>
            </w:pPr>
          </w:p>
          <w:p w:rsidR="00B934A7" w:rsidRPr="00C542B7" w:rsidRDefault="00B934A7" w:rsidP="000D0882">
            <w:pPr>
              <w:jc w:val="both"/>
              <w:rPr>
                <w:u w:val="single"/>
              </w:rPr>
            </w:pPr>
            <w:r w:rsidRPr="00C542B7">
              <w:rPr>
                <w:u w:val="single"/>
              </w:rPr>
              <w:t>Recomendaciones de la Agenda para el Desarrollo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  <w:rPr>
                <w:i/>
              </w:rPr>
            </w:pPr>
          </w:p>
          <w:p w:rsidR="00B934A7" w:rsidRPr="00C542B7" w:rsidRDefault="00B934A7" w:rsidP="000D0882">
            <w:r w:rsidRPr="00C542B7">
              <w:rPr>
                <w:i/>
              </w:rPr>
              <w:t>Recomendación 1</w:t>
            </w:r>
            <w:r w:rsidRPr="00C542B7">
              <w:t>: La asistencia técnica de la OMPI deberá, entre otras cosas, estar orientada a potenciar el desarrollo y obedecer a una demanda, ser transparente y tener en cuenta las prioridades y necesidades especiales de los países en desarrollo, especialmente las de los PMA, así como los distintos niveles de desarrollo de los Estados miembros; además, las actividades deberán incluir su calendario de ejecución. A este respecto, el diseño, los mecanismos de ejecución y los procesos de evaluación de los programas de asistencia técnica deberán estar adaptados a cada país.</w:t>
            </w:r>
          </w:p>
          <w:p w:rsidR="00B934A7" w:rsidRPr="00C542B7" w:rsidRDefault="00B934A7" w:rsidP="000D0882"/>
          <w:p w:rsidR="00B934A7" w:rsidRPr="00C542B7" w:rsidRDefault="00B934A7" w:rsidP="000D0882">
            <w:r w:rsidRPr="00C542B7">
              <w:rPr>
                <w:i/>
              </w:rPr>
              <w:t>Recomendación 4:</w:t>
            </w:r>
            <w:r w:rsidRPr="00C542B7">
              <w:t xml:space="preserve"> Destacar, en particular, las necesidades de las pymes y las instituciones de investigación científica, así como las industrias culturales, y asistir a los Estados miembros, cuando estos lo soliciten, en el establecimiento de estrategias nacionales adecuadas en el campo de la </w:t>
            </w:r>
            <w:r>
              <w:t>propiedad intelectual</w:t>
            </w:r>
            <w:r w:rsidRPr="00C542B7">
              <w:t>.</w:t>
            </w:r>
          </w:p>
          <w:p w:rsidR="00B934A7" w:rsidRPr="00C542B7" w:rsidRDefault="00B934A7" w:rsidP="000D0882"/>
          <w:p w:rsidR="00B934A7" w:rsidRPr="00C542B7" w:rsidRDefault="00B934A7" w:rsidP="000D0882">
            <w:r w:rsidRPr="00C542B7">
              <w:rPr>
                <w:i/>
              </w:rPr>
              <w:t>Recomendación 10</w:t>
            </w:r>
            <w:r w:rsidRPr="00C542B7">
              <w:t xml:space="preserve">: Ayudar a los Estados miembros a fomentar y mejorar la capacidad de las instituciones nacionales de </w:t>
            </w:r>
            <w:r>
              <w:t>propiedad intelectual</w:t>
            </w:r>
            <w:r w:rsidRPr="00C542B7">
              <w:t xml:space="preserve"> mediante el desarrollo de la infraestructura y de otros servicios, para que dichas instituciones sean más eficaces y lograr un equilibrio adecuado entre la protección de la </w:t>
            </w:r>
            <w:r>
              <w:t>propiedad intelectual</w:t>
            </w:r>
            <w:r w:rsidRPr="00C542B7">
              <w:t xml:space="preserve"> y el interés público. Este tipo de asistencia técnica debe beneficiar también a las organizaciones regionales y subregionales de </w:t>
            </w:r>
            <w:r>
              <w:t>propiedad intelectual</w:t>
            </w:r>
            <w:r w:rsidRPr="00C542B7">
              <w:t>.</w:t>
            </w:r>
          </w:p>
          <w:p w:rsidR="00B934A7" w:rsidRPr="00C542B7" w:rsidRDefault="00B934A7" w:rsidP="000D0882">
            <w:pPr>
              <w:rPr>
                <w:rStyle w:val="ONUMFSChar"/>
              </w:rPr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rPr>
                <w:u w:val="single"/>
              </w:rPr>
            </w:pPr>
          </w:p>
          <w:p w:rsidR="00B934A7" w:rsidRPr="00C542B7" w:rsidRDefault="00B934A7" w:rsidP="000D0882">
            <w:r w:rsidRPr="00C542B7">
              <w:rPr>
                <w:u w:val="single"/>
              </w:rPr>
              <w:t>Breve descripción del proyecto</w:t>
            </w:r>
          </w:p>
        </w:tc>
        <w:tc>
          <w:tcPr>
            <w:tcW w:w="7394" w:type="dxa"/>
          </w:tcPr>
          <w:p w:rsidR="00B934A7" w:rsidRPr="00C542B7" w:rsidRDefault="00B934A7" w:rsidP="000D0882"/>
          <w:p w:rsidR="00B934A7" w:rsidRPr="00C542B7" w:rsidRDefault="00B934A7" w:rsidP="000D0882">
            <w:r w:rsidRPr="00C542B7">
              <w:t xml:space="preserve">El proyecto pretende que la </w:t>
            </w:r>
            <w:r>
              <w:t>o</w:t>
            </w:r>
            <w:r w:rsidRPr="00C542B7">
              <w:t xml:space="preserve">ficina </w:t>
            </w:r>
            <w:r>
              <w:t>n</w:t>
            </w:r>
            <w:r w:rsidRPr="00C542B7">
              <w:t xml:space="preserve">acional </w:t>
            </w:r>
            <w:r>
              <w:t>c</w:t>
            </w:r>
            <w:r w:rsidRPr="00C542B7">
              <w:t>ompetente (</w:t>
            </w:r>
            <w:r>
              <w:t xml:space="preserve">el </w:t>
            </w:r>
            <w:r w:rsidRPr="00C542B7">
              <w:t xml:space="preserve">SENAPI, en el caso del Estado Plurinacional de Bolivia, o la oficina que corresponda en cada país beneficiario) se convierta en una entidad articuladora entre el registro de marcas colectivas y el desarrollo local </w:t>
            </w:r>
            <w:r>
              <w:t>a partir del</w:t>
            </w:r>
            <w:r w:rsidRPr="00C542B7">
              <w:t xml:space="preserve"> apoyo a </w:t>
            </w:r>
            <w:r>
              <w:t>las pymes</w:t>
            </w:r>
            <w:r w:rsidRPr="00C542B7">
              <w:t xml:space="preserve"> </w:t>
            </w:r>
            <w:r>
              <w:t>promoviendo</w:t>
            </w:r>
            <w:r w:rsidRPr="00C542B7">
              <w:t xml:space="preserve"> prácticas que generen una imagen positiva de su producto, </w:t>
            </w:r>
            <w:r>
              <w:t xml:space="preserve">la </w:t>
            </w:r>
            <w:r w:rsidRPr="00C542B7">
              <w:t xml:space="preserve">comercialización a escala nacional, </w:t>
            </w:r>
            <w:r>
              <w:t xml:space="preserve">el </w:t>
            </w:r>
            <w:r w:rsidRPr="00C542B7">
              <w:t xml:space="preserve">vínculo con prácticas tradicionales y </w:t>
            </w:r>
            <w:r>
              <w:t xml:space="preserve">el </w:t>
            </w:r>
            <w:r w:rsidRPr="00C542B7">
              <w:t>valor agregado por la priorización de productos orgánicos y ambientalmente sostenibles.</w:t>
            </w:r>
          </w:p>
          <w:p w:rsidR="00B934A7" w:rsidRPr="00C542B7" w:rsidRDefault="00B934A7" w:rsidP="000D0882"/>
          <w:p w:rsidR="00B934A7" w:rsidRPr="00C542B7" w:rsidRDefault="00B934A7" w:rsidP="000D0882">
            <w:r>
              <w:t>La propuesta consiste en</w:t>
            </w:r>
            <w:r w:rsidRPr="00C542B7">
              <w:t xml:space="preserve"> conformar una </w:t>
            </w:r>
            <w:r w:rsidR="000D0882">
              <w:t>“</w:t>
            </w:r>
            <w:r w:rsidRPr="00C542B7">
              <w:t>incubadora de marcas colectivas</w:t>
            </w:r>
            <w:r w:rsidR="000D0882">
              <w:t>”</w:t>
            </w:r>
            <w:r w:rsidRPr="00C542B7">
              <w:t xml:space="preserve">, con la participación del SENAPI y las entidades privadas y públicas vinculadas pertinentes (según corresponda en cada país beneficiario), </w:t>
            </w:r>
            <w:r>
              <w:t>que tendrá el encargo</w:t>
            </w:r>
            <w:r w:rsidRPr="00C542B7">
              <w:t xml:space="preserve"> de evaluar la viabilidad técnica, financiera y de mercado de los productos y servicios que </w:t>
            </w:r>
            <w:r>
              <w:t xml:space="preserve">aquellos </w:t>
            </w:r>
            <w:r w:rsidRPr="00C542B7">
              <w:lastRenderedPageBreak/>
              <w:t>seleccionen, proporcionar servicios de asesoría técnica de protección de la marca y brindar asistencia en el registro de marcas colectivas.</w:t>
            </w:r>
          </w:p>
          <w:p w:rsidR="00B934A7" w:rsidRPr="00C542B7" w:rsidRDefault="00B934A7" w:rsidP="000D0882"/>
          <w:p w:rsidR="00B934A7" w:rsidRPr="00C542B7" w:rsidRDefault="00B934A7" w:rsidP="000D0882">
            <w:r w:rsidRPr="00C542B7">
              <w:t>De esa manera se contribuirá al crecimiento económico y al desarrollo de las regiones de todo el Estado Plurinacional de Bolivia (y de otros tres países en desarrollo) mediante el aprovechamiento de la</w:t>
            </w:r>
            <w:r>
              <w:t>s</w:t>
            </w:r>
            <w:r w:rsidRPr="00C542B7">
              <w:t xml:space="preserve"> relaci</w:t>
            </w:r>
            <w:r>
              <w:t>ones</w:t>
            </w:r>
            <w:r w:rsidRPr="00C542B7">
              <w:t xml:space="preserve"> entre </w:t>
            </w:r>
            <w:r>
              <w:t xml:space="preserve">el </w:t>
            </w:r>
            <w:r w:rsidRPr="00C542B7">
              <w:t xml:space="preserve">capital social, </w:t>
            </w:r>
            <w:r>
              <w:t xml:space="preserve">los </w:t>
            </w:r>
            <w:r w:rsidRPr="00C542B7">
              <w:t>emprendimientos productivos y la propiedad intelectual.</w:t>
            </w:r>
          </w:p>
          <w:p w:rsidR="00B934A7" w:rsidRPr="00C542B7" w:rsidRDefault="00B934A7" w:rsidP="000D0882"/>
          <w:p w:rsidR="00B934A7" w:rsidRPr="00C542B7" w:rsidRDefault="00B934A7" w:rsidP="000D0882">
            <w:r w:rsidRPr="00C542B7">
              <w:t xml:space="preserve">Se requerirá asistencia técnica en tres etapas. En la primera, se </w:t>
            </w:r>
            <w:r>
              <w:t>buscarán</w:t>
            </w:r>
            <w:r w:rsidRPr="00C542B7">
              <w:t xml:space="preserve"> emprendedores y otras partes interesadas que puedan beneficiarse del registro de una marca colectiva. En la segunda, se creará y registrará la marca colectiva. En la tercera, se brindará asistencia a través de actividades de sensibilización y capacitación con miras a contribuir a </w:t>
            </w:r>
            <w:r>
              <w:t>la</w:t>
            </w:r>
            <w:r w:rsidRPr="00C542B7">
              <w:t xml:space="preserve"> sostenibilidad</w:t>
            </w:r>
            <w:r>
              <w:t xml:space="preserve"> de la marca</w:t>
            </w:r>
            <w:r w:rsidRPr="00C542B7">
              <w:t>.</w:t>
            </w:r>
          </w:p>
          <w:p w:rsidR="00B934A7" w:rsidRPr="00C542B7" w:rsidRDefault="00B934A7" w:rsidP="000D0882"/>
          <w:p w:rsidR="00B934A7" w:rsidRPr="00C542B7" w:rsidRDefault="00B934A7" w:rsidP="000D0882">
            <w:pPr>
              <w:rPr>
                <w:u w:val="single"/>
              </w:rPr>
            </w:pPr>
            <w:r w:rsidRPr="00C542B7">
              <w:rPr>
                <w:u w:val="single"/>
              </w:rPr>
              <w:t>Resultados esperados del proyecto</w:t>
            </w:r>
          </w:p>
          <w:p w:rsidR="00B934A7" w:rsidRPr="00C542B7" w:rsidRDefault="00B934A7" w:rsidP="000D0882">
            <w:r w:rsidRPr="00C542B7">
              <w:t>La estructuración de un sistema de apoyo y fortalecimiento para facilitar el registro de marcas colectivas de emprendimientos locales como eje transversal del desarrollo económico productivo.</w:t>
            </w:r>
          </w:p>
          <w:p w:rsidR="00B934A7" w:rsidRPr="00C542B7" w:rsidRDefault="00B934A7" w:rsidP="000D0882"/>
        </w:tc>
      </w:tr>
      <w:tr w:rsidR="00B934A7" w:rsidRPr="00C542B7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rPr>
                <w:u w:val="single"/>
              </w:rPr>
            </w:pPr>
          </w:p>
          <w:p w:rsidR="00B934A7" w:rsidRPr="00C542B7" w:rsidRDefault="00B934A7" w:rsidP="000D0882">
            <w:pPr>
              <w:rPr>
                <w:u w:val="single"/>
              </w:rPr>
            </w:pPr>
            <w:r w:rsidRPr="00C542B7">
              <w:rPr>
                <w:u w:val="single"/>
              </w:rPr>
              <w:t>Programa de ejecución</w:t>
            </w:r>
          </w:p>
          <w:p w:rsidR="00B934A7" w:rsidRPr="00C542B7" w:rsidRDefault="00B934A7" w:rsidP="000D0882">
            <w:pPr>
              <w:rPr>
                <w:u w:val="single"/>
              </w:rPr>
            </w:pP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8</w:t>
            </w: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jc w:val="both"/>
              <w:rPr>
                <w:u w:val="single"/>
              </w:rPr>
            </w:pPr>
          </w:p>
          <w:p w:rsidR="00B934A7" w:rsidRPr="00C542B7" w:rsidRDefault="00B934A7" w:rsidP="000D0882">
            <w:pPr>
              <w:rPr>
                <w:u w:val="single"/>
              </w:rPr>
            </w:pPr>
            <w:r w:rsidRPr="00C542B7">
              <w:rPr>
                <w:u w:val="single"/>
              </w:rPr>
              <w:t xml:space="preserve">Vínculos con otros programas o con proyectos de la </w:t>
            </w:r>
            <w:r>
              <w:rPr>
                <w:u w:val="single"/>
              </w:rPr>
              <w:t>AD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Programas: 2, 6, 9 y 30</w:t>
            </w:r>
          </w:p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r w:rsidRPr="00C542B7">
              <w:t xml:space="preserve">Proyectos: DA_4_10_01, </w:t>
            </w:r>
            <w:r w:rsidR="000D0882">
              <w:t>“</w:t>
            </w:r>
            <w:r w:rsidRPr="00C542B7">
              <w:t>La PI y el desarrollo de marcas de productos para fomentar las actividades comerciales en los países en desarrollo y los PMA</w:t>
            </w:r>
            <w:r w:rsidR="000D0882">
              <w:t>”</w:t>
            </w:r>
            <w:r w:rsidRPr="00C542B7">
              <w:t xml:space="preserve">; DA_4_10_02, </w:t>
            </w:r>
            <w:r w:rsidR="000D0882">
              <w:t>“</w:t>
            </w:r>
            <w:r w:rsidRPr="00C542B7">
              <w:t>Proyecto piloto sobr</w:t>
            </w:r>
            <w:r>
              <w:t>e la propiedad intelectual (PI</w:t>
            </w:r>
            <w:r w:rsidRPr="00C542B7">
              <w:t>) y la gestión de diseños para fomentar las actividades comerciales en los países en desarrollo y los países menos adelantados (PMA)</w:t>
            </w:r>
            <w:r w:rsidR="000D0882">
              <w:t>”</w:t>
            </w:r>
            <w:r w:rsidRPr="00C542B7">
              <w:t xml:space="preserve">; DA_1_10_12_01, </w:t>
            </w:r>
            <w:r w:rsidR="000D0882">
              <w:t>“</w:t>
            </w:r>
            <w:r w:rsidRPr="00C542B7">
              <w:t>Propiedad intelectual y turismo gastronómico en el Perú y otros países en desarrollo: fomento del desarrollo del turismo gastronómico a través de la propiedad intelectual</w:t>
            </w:r>
            <w:r w:rsidR="000D0882">
              <w:t>”</w:t>
            </w:r>
            <w:r w:rsidRPr="00C542B7">
              <w:t xml:space="preserve">; DA_1_10_12_40_01, </w:t>
            </w:r>
            <w:r w:rsidR="000D0882">
              <w:t>“</w:t>
            </w:r>
            <w:r w:rsidRPr="00C542B7">
              <w:t>Propiedad intelectual, turismo y cultura: apoyo a los objetivos de desarrollo y promoción del patrimonio cultural de Egipto y otros países en desarrollo</w:t>
            </w:r>
            <w:r w:rsidR="000D0882">
              <w:t>”</w:t>
            </w:r>
          </w:p>
          <w:p w:rsidR="00B934A7" w:rsidRPr="00C542B7" w:rsidRDefault="00B934A7" w:rsidP="000D0882">
            <w:pPr>
              <w:jc w:val="both"/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0D0882">
            <w:pPr>
              <w:jc w:val="both"/>
              <w:rPr>
                <w:u w:val="single"/>
              </w:rPr>
            </w:pPr>
          </w:p>
          <w:p w:rsidR="00B934A7" w:rsidRPr="00C542B7" w:rsidRDefault="00B934A7" w:rsidP="000D0882">
            <w:pPr>
              <w:rPr>
                <w:u w:val="single"/>
              </w:rPr>
            </w:pPr>
            <w:r w:rsidRPr="00C542B7">
              <w:rPr>
                <w:u w:val="single"/>
              </w:rPr>
              <w:t>Vínculos con los resultados previstos en el presupuesto por programas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i/>
                <w:lang w:val="es-ES"/>
              </w:rPr>
              <w:t>Resultado previsto III.1</w:t>
            </w:r>
            <w:r w:rsidRPr="00C542B7">
              <w:rPr>
                <w:rFonts w:ascii="Arial" w:hAnsi="Arial" w:cs="Arial"/>
                <w:lang w:val="es-ES"/>
              </w:rPr>
              <w:t xml:space="preserve">. Estrategias y planes nacionales de innovación y PI que estén en sintonía con los objetivos nacionales de desarrollo. 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i/>
                <w:lang w:val="es-ES"/>
              </w:rPr>
              <w:t>Resultado previsto</w:t>
            </w:r>
            <w:r w:rsidRPr="00C542B7">
              <w:rPr>
                <w:rFonts w:ascii="Arial" w:hAnsi="Arial" w:cs="Arial"/>
                <w:lang w:val="es-ES"/>
              </w:rPr>
              <w:t> </w:t>
            </w:r>
            <w:r w:rsidRPr="00C542B7">
              <w:rPr>
                <w:rFonts w:ascii="Arial" w:hAnsi="Arial" w:cs="Arial"/>
                <w:i/>
                <w:lang w:val="es-ES"/>
              </w:rPr>
              <w:t>III.2</w:t>
            </w:r>
            <w:r w:rsidRPr="00C542B7">
              <w:rPr>
                <w:rFonts w:ascii="Arial" w:hAnsi="Arial" w:cs="Arial"/>
                <w:lang w:val="es-ES"/>
              </w:rPr>
              <w:t>: Mejora de las capacidades en el ámbito de los recursos humanos para hacer frente a la gran diversidad de exigencias que supone la utilización eficaz de la PI para fomentar el desarrollo en los países en desarrollo, PMA y países con economías en transición.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i/>
                <w:lang w:val="es-ES"/>
              </w:rPr>
              <w:t>Resultado previsto</w:t>
            </w:r>
            <w:r w:rsidRPr="00C542B7">
              <w:rPr>
                <w:rFonts w:ascii="Arial" w:hAnsi="Arial" w:cs="Arial"/>
                <w:lang w:val="es-ES"/>
              </w:rPr>
              <w:t> </w:t>
            </w:r>
            <w:r w:rsidRPr="00C542B7">
              <w:rPr>
                <w:rFonts w:ascii="Arial" w:hAnsi="Arial" w:cs="Arial"/>
                <w:i/>
                <w:lang w:val="es-ES"/>
              </w:rPr>
              <w:t>III.6</w:t>
            </w:r>
            <w:r w:rsidRPr="00C542B7">
              <w:rPr>
                <w:rFonts w:ascii="Arial" w:hAnsi="Arial" w:cs="Arial"/>
                <w:lang w:val="es-ES"/>
              </w:rPr>
              <w:t>: Mayor capacidad de las pymes, las universidades y las instituciones de investigación para utilizar eficazmente la PI con el fin de apoyar la innovación.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C542B7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630D8C">
            <w:pPr>
              <w:rPr>
                <w:u w:val="single"/>
              </w:rPr>
            </w:pPr>
          </w:p>
          <w:p w:rsidR="00B934A7" w:rsidRPr="00C542B7" w:rsidRDefault="00B934A7" w:rsidP="00630D8C">
            <w:r w:rsidRPr="00C542B7">
              <w:rPr>
                <w:u w:val="single"/>
              </w:rPr>
              <w:lastRenderedPageBreak/>
              <w:t>Duración del proyecto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lastRenderedPageBreak/>
              <w:t>24 meses</w:t>
            </w:r>
          </w:p>
          <w:p w:rsidR="00B934A7" w:rsidRPr="00C542B7" w:rsidRDefault="00B934A7" w:rsidP="000D0882">
            <w:pPr>
              <w:jc w:val="both"/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B934A7" w:rsidRPr="00C542B7" w:rsidRDefault="00B934A7" w:rsidP="00630D8C">
            <w:pPr>
              <w:rPr>
                <w:u w:val="single"/>
              </w:rPr>
            </w:pPr>
          </w:p>
          <w:p w:rsidR="00B934A7" w:rsidRPr="00C542B7" w:rsidRDefault="00B934A7" w:rsidP="00630D8C">
            <w:pPr>
              <w:rPr>
                <w:u w:val="single"/>
              </w:rPr>
            </w:pPr>
            <w:r w:rsidRPr="00C542B7">
              <w:rPr>
                <w:u w:val="single"/>
              </w:rPr>
              <w:t>Presupuesto del proyecto</w:t>
            </w:r>
          </w:p>
        </w:tc>
        <w:tc>
          <w:tcPr>
            <w:tcW w:w="7394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Presupuesto Total: 450.000 francos suizos, de los cuales 325.000 francos suizos corresponden a gastos no relativos al personal y 125.000 a recursos de personal</w:t>
            </w:r>
          </w:p>
        </w:tc>
      </w:tr>
      <w:tr w:rsidR="00B934A7" w:rsidRPr="00C542B7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DESCRIPCIÓN DEL PROYECTO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C542B7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u w:val="single"/>
                <w:lang w:val="es-ES"/>
              </w:rPr>
              <w:t>Introducción</w:t>
            </w:r>
          </w:p>
          <w:p w:rsidR="00B934A7" w:rsidRPr="00C542B7" w:rsidRDefault="00B934A7" w:rsidP="000D0882">
            <w:pPr>
              <w:ind w:left="-120" w:firstLine="708"/>
              <w:jc w:val="both"/>
            </w:pPr>
          </w:p>
        </w:tc>
      </w:tr>
      <w:tr w:rsidR="00B934A7" w:rsidRPr="00150EA1" w:rsidTr="000D08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9445" w:type="dxa"/>
            <w:gridSpan w:val="2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En muchos países de la región, las pymes aprovechan las ventajas comparativas que obtienen al formar grupos, tradicionalmente federaciones o asociaciones que complementan su acceso a los mercados mediante la especialización de la oferta de sus productos o mediante servicios organizados por sectores geográficos o industriales.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La mayoría de emprendimientos socio-comunitarios identificados por el SENAPI operan de forma </w:t>
            </w:r>
            <w:proofErr w:type="gramStart"/>
            <w:r w:rsidRPr="00C542B7">
              <w:rPr>
                <w:szCs w:val="22"/>
              </w:rPr>
              <w:t>colectiva</w:t>
            </w:r>
            <w:proofErr w:type="gramEnd"/>
            <w:r w:rsidRPr="00C542B7">
              <w:rPr>
                <w:szCs w:val="22"/>
              </w:rPr>
              <w:t xml:space="preserve"> pero desconocen las ventajas del uso de una marca colectiva,</w:t>
            </w:r>
            <w:r w:rsidRPr="00C542B7">
              <w:t xml:space="preserve"> </w:t>
            </w:r>
            <w:r w:rsidRPr="00C542B7">
              <w:rPr>
                <w:szCs w:val="22"/>
              </w:rPr>
              <w:t xml:space="preserve">por lo que se requiere una amplia difusión de los alcances, beneficios y contribuciones de las </w:t>
            </w:r>
            <w:r>
              <w:rPr>
                <w:szCs w:val="22"/>
              </w:rPr>
              <w:t>pymes</w:t>
            </w:r>
            <w:r w:rsidRPr="00C542B7">
              <w:rPr>
                <w:szCs w:val="22"/>
              </w:rPr>
              <w:t xml:space="preserve">, que pueden representar una ventaja comparativa, pues al ser empresas relativamente pequeñas adquieren mayor dinamismo colectivo. Las pequeñas empresas operan sin un gran aparato burocrático y poseen mucha mayor flexibilidad para adaptarse a las condiciones del mercado. Una ventaja es también el trabajo en equipo, que beneficia a las economías de escala y lleva a un mayor reconocimiento de su </w:t>
            </w:r>
            <w:r w:rsidR="000D0882">
              <w:rPr>
                <w:szCs w:val="22"/>
              </w:rPr>
              <w:t>“</w:t>
            </w:r>
            <w:r w:rsidRPr="00C542B7">
              <w:rPr>
                <w:szCs w:val="22"/>
              </w:rPr>
              <w:t>producto de marca</w:t>
            </w:r>
            <w:r w:rsidR="000D0882">
              <w:rPr>
                <w:szCs w:val="22"/>
              </w:rPr>
              <w:t>”</w:t>
            </w:r>
            <w:r w:rsidRPr="00C542B7">
              <w:rPr>
                <w:szCs w:val="22"/>
              </w:rPr>
              <w:t>, en las mismas condiciones que las empresas de mayor tamaño.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</w:tc>
      </w:tr>
    </w:tbl>
    <w:p w:rsidR="00B934A7" w:rsidRPr="00C542B7" w:rsidRDefault="00B934A7" w:rsidP="00B934A7"/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934A7" w:rsidRPr="00C542B7" w:rsidTr="000D0882">
        <w:tc>
          <w:tcPr>
            <w:tcW w:w="9445" w:type="dxa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u w:val="single"/>
                <w:lang w:val="es-ES"/>
              </w:rPr>
              <w:t>Objetivos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150EA1" w:rsidTr="000D0882">
        <w:tc>
          <w:tcPr>
            <w:tcW w:w="9445" w:type="dxa"/>
          </w:tcPr>
          <w:p w:rsidR="00B934A7" w:rsidRPr="00C542B7" w:rsidRDefault="00B934A7" w:rsidP="000D0882">
            <w:pPr>
              <w:pStyle w:val="HTMLPreformatted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B934A7" w:rsidRPr="00C542B7" w:rsidRDefault="00B934A7" w:rsidP="000D0882">
            <w:pPr>
              <w:pStyle w:val="HTMLPreformatted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542B7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Objetivo general</w:t>
            </w:r>
            <w:r w:rsidRPr="00C542B7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:rsidR="00B934A7" w:rsidRPr="00C542B7" w:rsidRDefault="00B934A7" w:rsidP="000D0882">
            <w:pPr>
              <w:pStyle w:val="HTMLPreformatted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Desarrollar un sistema de apoyo y fortalecimiento para facilitar el registro de marcas colectivas de emprendimientos locales como eje transversal de desarrollo económico.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pStyle w:val="HTMLPreformatted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542B7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Objetivos específicos</w:t>
            </w:r>
            <w:r w:rsidRPr="00C542B7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</w:p>
          <w:p w:rsidR="00B934A7" w:rsidRPr="00C542B7" w:rsidRDefault="00B934A7" w:rsidP="000D0882">
            <w:pPr>
              <w:pStyle w:val="HTMLPreformatted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Diseñar una estrategia de sensibilización, información y difusión sobre ventajas, oportunidades y beneficios del registro de marcas colectivas como propiedad intelectual de pequeños emprendimientos comunitarios.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Contribuir al fortalecimiento de una estructura institucional para apoyar la identificación, desarrollo y registro de marcas colectivas.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Default="00B934A7" w:rsidP="000D08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 xml:space="preserve">Promover mecanismos de protección, salvaguarda y apoyo a pequeños emprendimientos a partir del uso de marcas colectivas. </w:t>
            </w:r>
          </w:p>
          <w:p w:rsidR="00630D8C" w:rsidRDefault="00630D8C" w:rsidP="00630D8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:rsidR="00630D8C" w:rsidRDefault="00630D8C" w:rsidP="00630D8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:rsidR="00630D8C" w:rsidRDefault="00630D8C" w:rsidP="00630D8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:rsidR="00630D8C" w:rsidRPr="00C542B7" w:rsidRDefault="00630D8C" w:rsidP="00630D8C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C542B7" w:rsidTr="000D0882">
        <w:tc>
          <w:tcPr>
            <w:tcW w:w="9445" w:type="dxa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C542B7">
              <w:rPr>
                <w:rFonts w:ascii="Arial" w:hAnsi="Arial" w:cs="Arial"/>
                <w:u w:val="single"/>
                <w:lang w:val="es-ES"/>
              </w:rPr>
              <w:lastRenderedPageBreak/>
              <w:t>Estrategia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</w:tr>
      <w:tr w:rsidR="00B934A7" w:rsidRPr="00150EA1" w:rsidTr="000D0882">
        <w:tc>
          <w:tcPr>
            <w:tcW w:w="9445" w:type="dxa"/>
          </w:tcPr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A. </w:t>
            </w:r>
            <w:r w:rsidRPr="00C542B7">
              <w:rPr>
                <w:szCs w:val="22"/>
                <w:u w:val="single"/>
              </w:rPr>
              <w:t>Alcance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El proyecto se ejecutará en el Estado Plurinacional de Bolivia y otros tres países beneficiarios, </w:t>
            </w:r>
            <w:r>
              <w:rPr>
                <w:szCs w:val="22"/>
              </w:rPr>
              <w:t xml:space="preserve">teniendo en cuenta </w:t>
            </w:r>
            <w:r w:rsidRPr="00C542B7">
              <w:rPr>
                <w:szCs w:val="22"/>
              </w:rPr>
              <w:t xml:space="preserve">el apoyo y </w:t>
            </w:r>
            <w:r>
              <w:rPr>
                <w:szCs w:val="22"/>
              </w:rPr>
              <w:t xml:space="preserve">las </w:t>
            </w:r>
            <w:r w:rsidRPr="00C542B7">
              <w:rPr>
                <w:szCs w:val="22"/>
              </w:rPr>
              <w:t>líneas de cooperación conjunta de la OMPI.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B. </w:t>
            </w:r>
            <w:r w:rsidRPr="00C542B7">
              <w:rPr>
                <w:szCs w:val="22"/>
                <w:u w:val="single"/>
              </w:rPr>
              <w:t>Criterios para la selección de los países beneficiarios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La selección de los otros tres países piloto se basará en los siguientes criterios, entre otros: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 xml:space="preserve">Designación </w:t>
            </w:r>
            <w:r>
              <w:rPr>
                <w:rFonts w:ascii="Arial" w:hAnsi="Arial" w:cs="Arial"/>
                <w:lang w:val="es-ES"/>
              </w:rPr>
              <w:t>de un</w:t>
            </w:r>
            <w:r w:rsidRPr="00C542B7">
              <w:rPr>
                <w:rFonts w:ascii="Arial" w:hAnsi="Arial" w:cs="Arial"/>
                <w:lang w:val="es-ES"/>
              </w:rPr>
              <w:t xml:space="preserve"> coordinador nacional que actuará como representante institucional del país.</w:t>
            </w:r>
          </w:p>
          <w:p w:rsidR="00B934A7" w:rsidRPr="00C542B7" w:rsidRDefault="00B934A7" w:rsidP="000D0882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Existencia de instituciones de protección y un marco legislativo para las marcas colectivas;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Preferiblemente, existencia de una asociación u otra organización o grupo de productores que pueda beneficiarse del uso de una marca colectiva;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Necesidad práctica de apoyar a las empresas locales en el desarrollo de marcas colectivas;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 xml:space="preserve">Expresión de interés por parte de los organismos de </w:t>
            </w:r>
            <w:r w:rsidRPr="00FC308A">
              <w:rPr>
                <w:rFonts w:ascii="Arial" w:hAnsi="Arial" w:cs="Arial"/>
                <w:lang w:val="es-ES"/>
              </w:rPr>
              <w:t>propiedad intelectual</w:t>
            </w:r>
            <w:r w:rsidRPr="00C542B7">
              <w:rPr>
                <w:rFonts w:ascii="Arial" w:hAnsi="Arial" w:cs="Arial"/>
                <w:lang w:val="es-ES"/>
              </w:rPr>
              <w:t xml:space="preserve"> del Estado miembro; 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Compromiso del país de destinar los recursos necesarios para garantizar la ejecución efectiva del proyecto y su sostenibilidad.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Los Estados miembros interesados en participar en el proyecto deberán presentar una propuesta que contenga una breve descripción de los elementos anteriormente señalados. 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keepNext/>
              <w:keepLines/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C. </w:t>
            </w:r>
            <w:r w:rsidRPr="00C542B7">
              <w:rPr>
                <w:szCs w:val="22"/>
                <w:u w:val="single"/>
              </w:rPr>
              <w:t>Estrategia de ejecución</w:t>
            </w:r>
          </w:p>
          <w:p w:rsidR="00B934A7" w:rsidRPr="00C542B7" w:rsidRDefault="00B934A7" w:rsidP="000D0882">
            <w:pPr>
              <w:keepNext/>
              <w:keepLines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La ejecución del </w:t>
            </w:r>
            <w:r>
              <w:rPr>
                <w:szCs w:val="22"/>
              </w:rPr>
              <w:t>p</w:t>
            </w:r>
            <w:r w:rsidRPr="00C542B7">
              <w:rPr>
                <w:szCs w:val="22"/>
              </w:rPr>
              <w:t xml:space="preserve">royecto </w:t>
            </w:r>
            <w:r>
              <w:rPr>
                <w:szCs w:val="22"/>
              </w:rPr>
              <w:t>estará integrada por</w:t>
            </w:r>
            <w:r w:rsidRPr="00C542B7">
              <w:rPr>
                <w:szCs w:val="22"/>
              </w:rPr>
              <w:t xml:space="preserve"> tres fases: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  <w:r w:rsidRPr="00C542B7">
              <w:rPr>
                <w:szCs w:val="22"/>
              </w:rPr>
              <w:t>Fase 1: Identificación de los productos que podrían beneficiarse de una marca colectiva y selección del producto final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1.1: Estudio exploratorio sobre las áreas de producción y las empresas comunitarias susceptibles de beneficiarse del uso de marcas colectivas.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Acción 1.2: Sesión de información </w:t>
            </w:r>
            <w:r>
              <w:rPr>
                <w:szCs w:val="22"/>
              </w:rPr>
              <w:t>dirigida a</w:t>
            </w:r>
            <w:r w:rsidRPr="00C542B7">
              <w:rPr>
                <w:szCs w:val="22"/>
              </w:rPr>
              <w:t xml:space="preserve"> autoridades y empresarios locales sobre los posibles beneficios del uso de marcas colectivas.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Acción 1.3: Selección de un producto en cada país beneficiario para llevar a cabo el desarrollo y registro de una marca colectiva</w:t>
            </w:r>
            <w:r>
              <w:rPr>
                <w:szCs w:val="22"/>
              </w:rPr>
              <w:t>,</w:t>
            </w:r>
            <w:r w:rsidRPr="00C542B7">
              <w:rPr>
                <w:szCs w:val="22"/>
              </w:rPr>
              <w:t xml:space="preserve"> y creación de una asociación o identificación de una asociación ya existente.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1.4: Taller con los miembros de la asociación sobre fortalecimiento de identidades colectivas y desarrollo de marcas para uso comercial.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  <w:r w:rsidRPr="00C542B7">
              <w:rPr>
                <w:szCs w:val="22"/>
              </w:rPr>
              <w:t>Fase 2: Desarrollo, registro y lanzamiento de la marca colectiva</w:t>
            </w: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2.1: Redacción y adopción del reglamento de uso de la marca colectiva.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2.2: Diseño del logotipo de la marca colectiva y acuerdo sobre el mismo.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2.3: Registro de la marca colectiva.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Acción 2.4: Celebración de actos </w:t>
            </w:r>
            <w:r>
              <w:rPr>
                <w:szCs w:val="22"/>
              </w:rPr>
              <w:t>de</w:t>
            </w:r>
            <w:r w:rsidRPr="00C542B7">
              <w:rPr>
                <w:szCs w:val="22"/>
              </w:rPr>
              <w:t xml:space="preserve"> lanzamiento de la marca colectiva.</w:t>
            </w: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</w:p>
          <w:p w:rsidR="00B934A7" w:rsidRPr="00C542B7" w:rsidRDefault="00B934A7" w:rsidP="000D0882">
            <w:pPr>
              <w:ind w:left="330"/>
              <w:rPr>
                <w:szCs w:val="22"/>
              </w:rPr>
            </w:pPr>
            <w:r w:rsidRPr="00C542B7">
              <w:rPr>
                <w:szCs w:val="22"/>
              </w:rPr>
              <w:t xml:space="preserve">Fase 3: Actividades de fortalecimiento de capacidades y sensibilización 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Acción 3.1: Elaboración de una guía práctica sobre desarrollo y registro de marcas colectivas para reproducir el proceso en otras situaciones, y adaptación </w:t>
            </w:r>
            <w:r>
              <w:rPr>
                <w:szCs w:val="22"/>
              </w:rPr>
              <w:t>a</w:t>
            </w:r>
            <w:r w:rsidRPr="00C542B7">
              <w:rPr>
                <w:szCs w:val="22"/>
              </w:rPr>
              <w:t xml:space="preserve"> cada país beneficiario.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Acción 3.2: </w:t>
            </w:r>
            <w:r>
              <w:rPr>
                <w:szCs w:val="22"/>
              </w:rPr>
              <w:t>Organización</w:t>
            </w:r>
            <w:r w:rsidRPr="00C542B7">
              <w:rPr>
                <w:szCs w:val="22"/>
              </w:rPr>
              <w:t xml:space="preserve"> de una actividad de formación para funcionarios de PI sobre desarrollo y registro de marcas colectivas.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Acción 3.3: Producción de material de sensibilización (folletos de promoción y cortometrajes).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keepNext/>
              <w:keepLines/>
              <w:rPr>
                <w:szCs w:val="22"/>
              </w:rPr>
            </w:pPr>
            <w:r w:rsidRPr="00C542B7">
              <w:rPr>
                <w:szCs w:val="22"/>
              </w:rPr>
              <w:t xml:space="preserve">D. </w:t>
            </w:r>
            <w:r w:rsidRPr="00C542B7">
              <w:rPr>
                <w:szCs w:val="22"/>
                <w:u w:val="single"/>
              </w:rPr>
              <w:t>Riesgos potenciales y medidas de mitigación</w:t>
            </w:r>
          </w:p>
          <w:p w:rsidR="00B934A7" w:rsidRPr="00C542B7" w:rsidRDefault="00B934A7" w:rsidP="000D0882">
            <w:pPr>
              <w:keepNext/>
              <w:keepLines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Riesgo 1: </w:t>
            </w:r>
            <w:r>
              <w:rPr>
                <w:szCs w:val="22"/>
              </w:rPr>
              <w:t>R</w:t>
            </w:r>
            <w:r w:rsidRPr="00C542B7">
              <w:rPr>
                <w:szCs w:val="22"/>
              </w:rPr>
              <w:t xml:space="preserve">esistencia de algunas asociaciones de productores a </w:t>
            </w:r>
            <w:r>
              <w:rPr>
                <w:szCs w:val="22"/>
              </w:rPr>
              <w:t>cambiar</w:t>
            </w:r>
            <w:r w:rsidRPr="00C542B7">
              <w:rPr>
                <w:szCs w:val="22"/>
              </w:rPr>
              <w:t xml:space="preserve"> cuando comienza el registro de la marca colectiva.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E17722">
              <w:rPr>
                <w:szCs w:val="22"/>
              </w:rPr>
              <w:t xml:space="preserve">Mitigación 1: Organizar campañas de información y sensibilización </w:t>
            </w:r>
            <w:r>
              <w:rPr>
                <w:szCs w:val="22"/>
              </w:rPr>
              <w:t>de</w:t>
            </w:r>
            <w:r w:rsidRPr="00E17722">
              <w:rPr>
                <w:szCs w:val="22"/>
              </w:rPr>
              <w:t xml:space="preserve"> gran repercusión </w:t>
            </w:r>
            <w:r>
              <w:rPr>
                <w:szCs w:val="22"/>
              </w:rPr>
              <w:t>sobre</w:t>
            </w:r>
            <w:r w:rsidRPr="00E17722">
              <w:rPr>
                <w:szCs w:val="22"/>
              </w:rPr>
              <w:t xml:space="preserve"> las ventajas comparativas de la utilización de las marcas colectivas.</w:t>
            </w:r>
            <w:r w:rsidRPr="00C542B7">
              <w:rPr>
                <w:szCs w:val="22"/>
              </w:rPr>
              <w:t xml:space="preserve"> 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Riesgo 2: Posibles conflictos en el seno de las asociaciones comunitarias </w:t>
            </w:r>
            <w:r>
              <w:rPr>
                <w:szCs w:val="22"/>
              </w:rPr>
              <w:t>susceptibles de</w:t>
            </w:r>
            <w:r w:rsidRPr="00C542B7">
              <w:rPr>
                <w:szCs w:val="22"/>
              </w:rPr>
              <w:t xml:space="preserve"> retrasar el inicio del proceso de incubación de la marca colectiva. 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 xml:space="preserve">Mitigación 2: </w:t>
            </w:r>
            <w:r>
              <w:rPr>
                <w:szCs w:val="22"/>
              </w:rPr>
              <w:t>Adoptar medidas</w:t>
            </w:r>
            <w:r w:rsidRPr="00C542B7">
              <w:rPr>
                <w:szCs w:val="22"/>
              </w:rPr>
              <w:t xml:space="preserve"> de sensibilización de las autoridades y los productores locales </w:t>
            </w:r>
            <w:r>
              <w:rPr>
                <w:szCs w:val="22"/>
              </w:rPr>
              <w:t>sobre</w:t>
            </w:r>
            <w:r w:rsidRPr="00C542B7">
              <w:rPr>
                <w:szCs w:val="22"/>
              </w:rPr>
              <w:t xml:space="preserve"> los efectos que tienen </w:t>
            </w:r>
            <w:r>
              <w:rPr>
                <w:szCs w:val="22"/>
              </w:rPr>
              <w:t>las deficiencias organizativas</w:t>
            </w:r>
            <w:r w:rsidRPr="00C542B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en relación con </w:t>
            </w:r>
            <w:r w:rsidRPr="00C542B7">
              <w:rPr>
                <w:szCs w:val="22"/>
              </w:rPr>
              <w:t xml:space="preserve">la formulación de ideas </w:t>
            </w:r>
            <w:r>
              <w:rPr>
                <w:szCs w:val="22"/>
              </w:rPr>
              <w:t xml:space="preserve">productivas </w:t>
            </w:r>
            <w:r w:rsidRPr="00C542B7">
              <w:rPr>
                <w:szCs w:val="22"/>
              </w:rPr>
              <w:t>por parte de los asociados.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Riesgo 3: Limitación de la capacidad institucional de los grupos beneficiarios para elaborar y registrar la marca colectiva y sacar provecho de ella.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Mitigación 3: Realización de una evaluación institucional de los posibles grupos beneficiarios antes de la selección.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</w:tc>
      </w:tr>
      <w:tr w:rsidR="00B934A7" w:rsidRPr="00C542B7" w:rsidTr="000D0882">
        <w:tc>
          <w:tcPr>
            <w:tcW w:w="9445" w:type="dxa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C542B7">
              <w:rPr>
                <w:rFonts w:ascii="Arial" w:hAnsi="Arial" w:cs="Arial"/>
                <w:lang w:val="es-ES"/>
              </w:rPr>
              <w:t>SUPERVISIÓN Y EVALUACIÓN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C542B7" w:rsidTr="000D0882">
        <w:tc>
          <w:tcPr>
            <w:tcW w:w="9445" w:type="dxa"/>
          </w:tcPr>
          <w:p w:rsidR="00B934A7" w:rsidRPr="00C542B7" w:rsidRDefault="00B934A7" w:rsidP="000D088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C542B7">
              <w:rPr>
                <w:rFonts w:ascii="Arial" w:hAnsi="Arial" w:cs="Arial"/>
                <w:u w:val="single"/>
                <w:lang w:val="es-ES"/>
              </w:rPr>
              <w:t>Calendario de supervisión del proyecto</w:t>
            </w:r>
          </w:p>
          <w:p w:rsidR="00B934A7" w:rsidRPr="00C542B7" w:rsidRDefault="00B934A7" w:rsidP="000D088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934A7" w:rsidRPr="00150EA1" w:rsidTr="000D0882">
        <w:tc>
          <w:tcPr>
            <w:tcW w:w="944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Se presentará al CDIP un informe anual sobre la marcha de las actividades.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Una vez concluido el proyecto, se realizará un informe final de evaluación interna que se presentará al CDIP.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lastRenderedPageBreak/>
              <w:t>Una vez concluido el proyecto, un consultor externo elaborará un informe final independiente de evaluación que se presentará al CDIP.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</w:tr>
    </w:tbl>
    <w:p w:rsidR="00B934A7" w:rsidRPr="00C542B7" w:rsidRDefault="00B934A7" w:rsidP="00B934A7"/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B934A7" w:rsidRPr="00C542B7" w:rsidTr="000D0882">
        <w:tc>
          <w:tcPr>
            <w:tcW w:w="9445" w:type="dxa"/>
            <w:gridSpan w:val="2"/>
          </w:tcPr>
          <w:p w:rsidR="00B934A7" w:rsidRPr="00C542B7" w:rsidRDefault="00B934A7" w:rsidP="000D0882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:rsidR="00B934A7" w:rsidRPr="00C542B7" w:rsidRDefault="00B934A7" w:rsidP="000D0882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  <w:lang w:val="es-ES"/>
              </w:rPr>
            </w:pPr>
            <w:r w:rsidRPr="00C542B7">
              <w:rPr>
                <w:rFonts w:ascii="Arial" w:hAnsi="Arial" w:cs="Arial"/>
                <w:u w:val="single"/>
                <w:lang w:val="es-ES"/>
              </w:rPr>
              <w:t>Evaluación interna del proyecto</w:t>
            </w:r>
          </w:p>
          <w:p w:rsidR="00B934A7" w:rsidRPr="00C542B7" w:rsidRDefault="00B934A7" w:rsidP="000D0882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Arial" w:hAnsi="Arial" w:cs="Arial"/>
                <w:u w:val="single"/>
                <w:lang w:val="es-ES"/>
              </w:rPr>
            </w:pP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  <w:u w:val="single"/>
              </w:rPr>
            </w:pPr>
            <w:r w:rsidRPr="00C542B7">
              <w:rPr>
                <w:i/>
                <w:szCs w:val="22"/>
              </w:rPr>
              <w:t>Productos del proyecto</w:t>
            </w:r>
          </w:p>
        </w:tc>
        <w:tc>
          <w:tcPr>
            <w:tcW w:w="6030" w:type="dxa"/>
          </w:tcPr>
          <w:p w:rsidR="00B934A7" w:rsidRPr="00C542B7" w:rsidRDefault="00440340" w:rsidP="00440340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Indicadores de ejecuci</w:t>
            </w:r>
            <w:r w:rsidR="00B934A7" w:rsidRPr="00C542B7">
              <w:rPr>
                <w:i/>
                <w:szCs w:val="22"/>
              </w:rPr>
              <w:t xml:space="preserve">ón </w:t>
            </w:r>
            <w:r>
              <w:rPr>
                <w:i/>
                <w:szCs w:val="22"/>
              </w:rPr>
              <w:t>satisfactoria</w:t>
            </w:r>
            <w:r w:rsidR="00B934A7" w:rsidRPr="00C542B7">
              <w:rPr>
                <w:i/>
                <w:szCs w:val="22"/>
              </w:rPr>
              <w:t xml:space="preserve"> (Indicadores de productos)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Selección de tres países beneficiarios (además del Estado Plurinacional de Bolivia)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Selección de tres países (con arreglo a los cr</w:t>
            </w:r>
            <w:r>
              <w:rPr>
                <w:szCs w:val="22"/>
              </w:rPr>
              <w:t>iterios de selección acordados); y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Designación de coordinadores para la ejec</w:t>
            </w:r>
            <w:r>
              <w:rPr>
                <w:szCs w:val="22"/>
              </w:rPr>
              <w:t>ución del proyecto en cada país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Aprobación de los planes del proyecto en cada país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Elaboración y aprobación de cuatro planes de ejecución del proyecto (uno por país beneficiario).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Elaboración de cuatro estudios exploratorios sobre productos o servicios que podrían beneficiarse del uso de marcas colectivas (uno por país beneficiario)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Validación del estudio exploratorio final por los coordinadores locales de los países beneficiarios y por la Secretaría de la OMPI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Actividades de información dirigidas a las autoridades y los empresarios locales sobre los posibles beneficios del uso de marcas colectivas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Un porcentaje importante de participantes en el evento afirmó comprender mejor los posibles beneficios del uso de marcas colectivas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Selección de un producto en cada país beneficiario para llevar a cabo el desarrollo y registro de una marca colectiva</w:t>
            </w:r>
            <w:r>
              <w:rPr>
                <w:szCs w:val="22"/>
              </w:rPr>
              <w:t>,</w:t>
            </w:r>
            <w:r w:rsidRPr="00C542B7">
              <w:rPr>
                <w:szCs w:val="22"/>
              </w:rPr>
              <w:t xml:space="preserve"> y creación de una asociación o identificación de una asociación ya existente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Selección de un producto y creación o identificación de una asociación en cada país beneficiario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Redacción y adopción del reglamento de uso de la marca colectiva (en cada país beneficiario)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Redacción y adopción del reglamento de uso en cada país beneficiario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Diseño del logotipo de la marca colectiva (en cada país beneficiario) </w:t>
            </w: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Diseño del logotipo y acuerdo sobre el mismo en cada país beneficiario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Registro de la marca colectiva (en cada país beneficiario)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Una marca colectiva registrada en cada país beneficiario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Celebración de un acto para el lanzamiento de la marca colectiva</w:t>
            </w: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Organización satisfactoria</w:t>
            </w:r>
            <w:r w:rsidRPr="00C542B7">
              <w:rPr>
                <w:szCs w:val="22"/>
              </w:rPr>
              <w:t xml:space="preserve"> de un acto de lanzamiento (uno por cada marca colectiva o país beneficiario)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rPr>
                <w:szCs w:val="22"/>
              </w:rPr>
            </w:pPr>
          </w:p>
          <w:p w:rsidR="00B934A7" w:rsidRPr="00C542B7" w:rsidRDefault="00B934A7" w:rsidP="000D0882">
            <w:pPr>
              <w:rPr>
                <w:szCs w:val="22"/>
              </w:rPr>
            </w:pPr>
            <w:r w:rsidRPr="00C542B7">
              <w:rPr>
                <w:szCs w:val="22"/>
              </w:rPr>
              <w:t>Elaboración de una guía práctica sobre desarrollo y registro de marcas colectivas para reproducir el proceso en otras situaciones</w:t>
            </w:r>
          </w:p>
          <w:p w:rsidR="00B934A7" w:rsidRPr="00C542B7" w:rsidRDefault="00B934A7" w:rsidP="000D0882">
            <w:pPr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Elaboración y adaptación de una guía práctica </w:t>
            </w:r>
            <w:r>
              <w:rPr>
                <w:szCs w:val="22"/>
              </w:rPr>
              <w:t>a</w:t>
            </w:r>
            <w:r w:rsidRPr="00C542B7">
              <w:rPr>
                <w:szCs w:val="22"/>
              </w:rPr>
              <w:t xml:space="preserve"> cada país beneficiario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Organización</w:t>
            </w:r>
            <w:r w:rsidRPr="00C542B7">
              <w:rPr>
                <w:szCs w:val="22"/>
              </w:rPr>
              <w:t xml:space="preserve"> de una actividad de formación para funcionarios de PI sobre desarrollo y registro de marcas colectivas (en cada país beneficiario)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Un porcentaje importante de participantes afirmó que la actividad había mejorado su nivel de conocimientos y competencias en relación con el desarrollo y registro de marcas colectivas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Producción de material de sensibilización (en cada país beneficiario)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Producción de un folleto de promoción y un cortometraje (en cada país beneficiario)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i/>
                <w:szCs w:val="22"/>
              </w:rPr>
            </w:pPr>
            <w:r w:rsidRPr="00C542B7">
              <w:rPr>
                <w:i/>
                <w:szCs w:val="22"/>
              </w:rPr>
              <w:t>Objetivos del proyecto</w:t>
            </w:r>
          </w:p>
        </w:tc>
        <w:tc>
          <w:tcPr>
            <w:tcW w:w="6030" w:type="dxa"/>
          </w:tcPr>
          <w:p w:rsidR="00B934A7" w:rsidRPr="00C542B7" w:rsidRDefault="00B934A7" w:rsidP="00440340">
            <w:pPr>
              <w:rPr>
                <w:i/>
                <w:szCs w:val="22"/>
              </w:rPr>
            </w:pPr>
            <w:r w:rsidRPr="00C542B7">
              <w:rPr>
                <w:i/>
                <w:szCs w:val="22"/>
              </w:rPr>
              <w:t>Indicadores de logro de</w:t>
            </w:r>
            <w:r w:rsidR="00440340">
              <w:rPr>
                <w:i/>
                <w:szCs w:val="22"/>
              </w:rPr>
              <w:t xml:space="preserve"> </w:t>
            </w:r>
            <w:r w:rsidRPr="00C542B7">
              <w:rPr>
                <w:i/>
                <w:szCs w:val="22"/>
              </w:rPr>
              <w:t>l</w:t>
            </w:r>
            <w:r w:rsidR="00440340">
              <w:rPr>
                <w:i/>
                <w:szCs w:val="22"/>
              </w:rPr>
              <w:t>os</w:t>
            </w:r>
            <w:r w:rsidRPr="00C542B7">
              <w:rPr>
                <w:i/>
                <w:szCs w:val="22"/>
              </w:rPr>
              <w:t xml:space="preserve"> objetivo</w:t>
            </w:r>
            <w:r w:rsidR="00440340">
              <w:rPr>
                <w:i/>
                <w:szCs w:val="22"/>
              </w:rPr>
              <w:t>s</w:t>
            </w:r>
            <w:r w:rsidRPr="00C542B7">
              <w:rPr>
                <w:i/>
                <w:szCs w:val="22"/>
              </w:rPr>
              <w:t xml:space="preserve"> del proyecto (Indicadores de efectos)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Diseñar una estrategia de sensibilización, información y difusión sobre ventajas, oportunidades y beneficios del registro de marcas colectivas como propiedad intelectual de pequeños emprendimientos comunitarios</w:t>
            </w:r>
          </w:p>
          <w:p w:rsidR="00B934A7" w:rsidRPr="00C542B7" w:rsidRDefault="00B934A7" w:rsidP="000D0882">
            <w:pPr>
              <w:jc w:val="both"/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Un porcentaje importante de los pequeños emprendimientos comunitarios han afirmado conocer las ventajas, oportunidades y beneficios del registro de marcas colectivas (encuesta</w:t>
            </w:r>
            <w:r w:rsidRPr="00C542B7">
              <w:t>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 </w:t>
            </w: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</w:pPr>
          </w:p>
          <w:p w:rsidR="00B934A7" w:rsidRPr="00C542B7" w:rsidRDefault="00B934A7" w:rsidP="000D0882">
            <w:pPr>
              <w:jc w:val="both"/>
            </w:pPr>
            <w:r w:rsidRPr="00C542B7">
              <w:t>Contribuir al fortalecimiento de una estructura institucional para apoyar la identificación, desarrollo y registro de marcas colectivas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 xml:space="preserve">Desarrollo y registro de una marca colectiva en cada país beneficiario 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</w:tr>
      <w:tr w:rsidR="00B934A7" w:rsidRPr="00150EA1" w:rsidTr="000D0882">
        <w:tc>
          <w:tcPr>
            <w:tcW w:w="3415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812BAA" w:rsidRDefault="00B934A7" w:rsidP="000D0882">
            <w:pPr>
              <w:jc w:val="both"/>
            </w:pPr>
            <w:r w:rsidRPr="00C542B7">
              <w:t xml:space="preserve">Promover mecanismos de protección, salvaguarda y apoyo a pequeños emprendimientos a partir del uso de marcas colectivas </w:t>
            </w:r>
          </w:p>
        </w:tc>
        <w:tc>
          <w:tcPr>
            <w:tcW w:w="6030" w:type="dxa"/>
          </w:tcPr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  <w:r w:rsidRPr="00C542B7">
              <w:rPr>
                <w:szCs w:val="22"/>
              </w:rPr>
              <w:t>Registro de nuevas marcas colectivas en el periodo de cinco años a contar desde la finalización del proyecto en cada país beneficiario (evaluación del impacto)</w:t>
            </w:r>
          </w:p>
          <w:p w:rsidR="00B934A7" w:rsidRPr="00C542B7" w:rsidRDefault="00B934A7" w:rsidP="000D0882">
            <w:pPr>
              <w:jc w:val="both"/>
              <w:rPr>
                <w:szCs w:val="22"/>
              </w:rPr>
            </w:pPr>
          </w:p>
        </w:tc>
      </w:tr>
    </w:tbl>
    <w:p w:rsidR="00B934A7" w:rsidRPr="00C542B7" w:rsidRDefault="00B934A7" w:rsidP="00B934A7"/>
    <w:p w:rsidR="00B934A7" w:rsidRPr="00C542B7" w:rsidRDefault="00B934A7" w:rsidP="00B934A7">
      <w:pPr>
        <w:sectPr w:rsidR="00B934A7" w:rsidRPr="00C542B7" w:rsidSect="000D0882">
          <w:headerReference w:type="even" r:id="rId10"/>
          <w:headerReference w:type="first" r:id="rId11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B934A7" w:rsidRPr="00C542B7" w:rsidRDefault="00B934A7" w:rsidP="00B934A7">
      <w:pPr>
        <w:rPr>
          <w:szCs w:val="22"/>
        </w:rPr>
      </w:pPr>
      <w:r w:rsidRPr="00C542B7">
        <w:lastRenderedPageBreak/>
        <w:t>4.</w:t>
      </w:r>
      <w:r w:rsidRPr="00C542B7">
        <w:tab/>
      </w:r>
      <w:r w:rsidRPr="00C542B7">
        <w:rPr>
          <w:szCs w:val="22"/>
        </w:rPr>
        <w:t>CALENDARIO DE EJECUCIÓN</w:t>
      </w:r>
      <w:r w:rsidRPr="00C542B7">
        <w:rPr>
          <w:rStyle w:val="FootnoteReference"/>
          <w:szCs w:val="22"/>
        </w:rPr>
        <w:footnoteReference w:id="2"/>
      </w:r>
      <w:r w:rsidRPr="00C542B7">
        <w:rPr>
          <w:b/>
          <w:szCs w:val="22"/>
        </w:rPr>
        <w:t xml:space="preserve"> </w:t>
      </w:r>
    </w:p>
    <w:p w:rsidR="00B934A7" w:rsidRPr="00C542B7" w:rsidRDefault="00B934A7" w:rsidP="00B934A7">
      <w:pPr>
        <w:rPr>
          <w:szCs w:val="22"/>
        </w:rPr>
      </w:pPr>
    </w:p>
    <w:tbl>
      <w:tblPr>
        <w:tblpPr w:leftFromText="180" w:rightFromText="180" w:vertAnchor="text" w:tblpY="1"/>
        <w:tblOverlap w:val="never"/>
        <w:tblW w:w="12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55"/>
        <w:gridCol w:w="720"/>
        <w:gridCol w:w="720"/>
        <w:gridCol w:w="630"/>
        <w:gridCol w:w="630"/>
        <w:gridCol w:w="720"/>
        <w:gridCol w:w="720"/>
        <w:gridCol w:w="720"/>
        <w:gridCol w:w="630"/>
      </w:tblGrid>
      <w:tr w:rsidR="00B934A7" w:rsidRPr="00C542B7" w:rsidTr="000D0882">
        <w:trPr>
          <w:trHeight w:val="277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bookmarkStart w:id="5" w:name="_GoBack" w:colFirst="0" w:colLast="8"/>
            <w:r w:rsidRPr="00C24930">
              <w:rPr>
                <w:sz w:val="20"/>
              </w:rPr>
              <w:t>Actividad</w:t>
            </w:r>
          </w:p>
        </w:tc>
        <w:tc>
          <w:tcPr>
            <w:tcW w:w="5490" w:type="dxa"/>
            <w:gridSpan w:val="8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Trimestres</w:t>
            </w: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1.º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2.º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3.º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4.º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1.º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2.º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3.º</w:t>
            </w: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4.º</w:t>
            </w: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Actividades preparatorias:</w:t>
            </w:r>
          </w:p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-Selección de países beneficiarios</w:t>
            </w:r>
          </w:p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-Designación de coordinadores locales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Aprobación de los planes del proyecto en cada país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 xml:space="preserve">Elaboración de un estudio exploratorio en cada país beneficiario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Actividad de información en cada país beneficiario dirigida a las autoridades y los empresarios locales sobre los posibles beneficios del uso de marcas colectivas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Selección de un producto en cada país beneficiario para llevar a cabo el desarrollo y registro de una marca colectiva, y creación de una asociación o identificación de una asociación ya existente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Taller con los miembros de la asociación,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Redacción y adopción del reglamento de uso de la marca colectiva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Diseño del logotipo de la marca colectiva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Registro de la marca colectiva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Celebración de un acto de lanzamiento de la marca colectiva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Elaboración de una guía práctica sobre desarrollo y registro de marcas colectivas para reproducir el proceso en otras situaciones, y adaptación a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59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Organización de una actividad de formación para funcionarios de PI en cada país beneficiario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Producción de material de sensibilización (folletos de promoción y cortometrajes en cada país beneficiario)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</w:tr>
      <w:tr w:rsidR="00B934A7" w:rsidRPr="00C542B7" w:rsidTr="000D0882">
        <w:trPr>
          <w:trHeight w:val="283"/>
        </w:trPr>
        <w:tc>
          <w:tcPr>
            <w:tcW w:w="7455" w:type="dxa"/>
            <w:shd w:val="clear" w:color="auto" w:fill="auto"/>
          </w:tcPr>
          <w:p w:rsidR="00B934A7" w:rsidRPr="00C24930" w:rsidRDefault="00B934A7" w:rsidP="000D0882">
            <w:pPr>
              <w:rPr>
                <w:sz w:val="20"/>
              </w:rPr>
            </w:pPr>
            <w:r w:rsidRPr="00C24930">
              <w:rPr>
                <w:sz w:val="20"/>
              </w:rPr>
              <w:t>Evaluación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934A7" w:rsidRPr="00C24930" w:rsidRDefault="00B934A7" w:rsidP="000D0882">
            <w:pPr>
              <w:jc w:val="center"/>
              <w:rPr>
                <w:sz w:val="20"/>
              </w:rPr>
            </w:pPr>
            <w:r w:rsidRPr="00C24930">
              <w:rPr>
                <w:sz w:val="20"/>
              </w:rPr>
              <w:t>X</w:t>
            </w:r>
          </w:p>
        </w:tc>
      </w:tr>
      <w:bookmarkEnd w:id="5"/>
    </w:tbl>
    <w:p w:rsidR="00B934A7" w:rsidRPr="00C542B7" w:rsidRDefault="00B934A7" w:rsidP="00B934A7">
      <w:r w:rsidRPr="00C542B7">
        <w:br w:type="page"/>
      </w:r>
    </w:p>
    <w:p w:rsidR="00B934A7" w:rsidRPr="00C542B7" w:rsidRDefault="00B934A7" w:rsidP="00B934A7">
      <w:r w:rsidRPr="00C542B7">
        <w:lastRenderedPageBreak/>
        <w:t xml:space="preserve">5. </w:t>
      </w:r>
      <w:r w:rsidRPr="00C542B7">
        <w:rPr>
          <w:szCs w:val="22"/>
        </w:rPr>
        <w:t xml:space="preserve">RECURSOS TOTALES POR PRODUCTO </w:t>
      </w:r>
    </w:p>
    <w:p w:rsidR="00B934A7" w:rsidRPr="00C542B7" w:rsidRDefault="00B934A7" w:rsidP="00B934A7">
      <w:pPr>
        <w:rPr>
          <w:szCs w:val="22"/>
        </w:rPr>
      </w:pPr>
    </w:p>
    <w:p w:rsidR="00B934A7" w:rsidRPr="00C542B7" w:rsidRDefault="00B934A7" w:rsidP="00B934A7">
      <w:pPr>
        <w:rPr>
          <w:szCs w:val="22"/>
        </w:rPr>
      </w:pPr>
    </w:p>
    <w:tbl>
      <w:tblPr>
        <w:tblW w:w="132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1257"/>
        <w:gridCol w:w="2172"/>
        <w:gridCol w:w="1061"/>
        <w:gridCol w:w="2905"/>
        <w:gridCol w:w="2505"/>
      </w:tblGrid>
      <w:tr w:rsidR="00B934A7" w:rsidRPr="00C542B7" w:rsidTr="00D5481D">
        <w:trPr>
          <w:trHeight w:val="263"/>
        </w:trPr>
        <w:tc>
          <w:tcPr>
            <w:tcW w:w="3546" w:type="dxa"/>
            <w:shd w:val="clear" w:color="000000" w:fill="DCE6F1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Productos del proyecto</w:t>
            </w:r>
          </w:p>
        </w:tc>
        <w:tc>
          <w:tcPr>
            <w:tcW w:w="3586" w:type="dxa"/>
            <w:gridSpan w:val="2"/>
            <w:shd w:val="clear" w:color="000000" w:fill="DCE6F1"/>
            <w:vAlign w:val="bottom"/>
            <w:hideMark/>
          </w:tcPr>
          <w:p w:rsidR="00B934A7" w:rsidRPr="00440340" w:rsidRDefault="00B934A7" w:rsidP="000D0882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2020</w:t>
            </w:r>
          </w:p>
        </w:tc>
        <w:tc>
          <w:tcPr>
            <w:tcW w:w="3402" w:type="dxa"/>
            <w:gridSpan w:val="2"/>
            <w:shd w:val="clear" w:color="000000" w:fill="DCE6F1"/>
          </w:tcPr>
          <w:p w:rsidR="00B934A7" w:rsidRPr="00440340" w:rsidRDefault="00B934A7" w:rsidP="000D0882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2021</w:t>
            </w:r>
          </w:p>
        </w:tc>
        <w:tc>
          <w:tcPr>
            <w:tcW w:w="2693" w:type="dxa"/>
            <w:shd w:val="clear" w:color="000000" w:fill="DCE6F1"/>
            <w:vAlign w:val="center"/>
            <w:hideMark/>
          </w:tcPr>
          <w:p w:rsidR="00B934A7" w:rsidRPr="00440340" w:rsidRDefault="00B934A7" w:rsidP="000D0882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Total</w:t>
            </w:r>
          </w:p>
        </w:tc>
      </w:tr>
      <w:tr w:rsidR="00B934A7" w:rsidRPr="00C542B7" w:rsidTr="00D5481D">
        <w:trPr>
          <w:trHeight w:val="589"/>
        </w:trPr>
        <w:tc>
          <w:tcPr>
            <w:tcW w:w="3546" w:type="dxa"/>
            <w:shd w:val="clear" w:color="000000" w:fill="DCE6F1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1280" w:type="dxa"/>
            <w:shd w:val="clear" w:color="000000" w:fill="DCE6F1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Personal</w:t>
            </w:r>
          </w:p>
        </w:tc>
        <w:tc>
          <w:tcPr>
            <w:tcW w:w="2306" w:type="dxa"/>
            <w:shd w:val="clear" w:color="000000" w:fill="DCE6F1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No relativos a personal</w:t>
            </w:r>
          </w:p>
        </w:tc>
        <w:tc>
          <w:tcPr>
            <w:tcW w:w="275" w:type="dxa"/>
            <w:shd w:val="clear" w:color="000000" w:fill="DCE6F1"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Personal</w:t>
            </w:r>
          </w:p>
        </w:tc>
        <w:tc>
          <w:tcPr>
            <w:tcW w:w="3127" w:type="dxa"/>
            <w:shd w:val="clear" w:color="000000" w:fill="DCE6F1"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No relativos a personal</w:t>
            </w:r>
          </w:p>
        </w:tc>
        <w:tc>
          <w:tcPr>
            <w:tcW w:w="2693" w:type="dxa"/>
            <w:shd w:val="clear" w:color="000000" w:fill="DCE6F1"/>
            <w:vAlign w:val="bottom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 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  <w:hideMark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estudios exploratorios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28.000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28.000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actividades de información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30.000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30.000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sz w:val="20"/>
              </w:rPr>
              <w:t>Selección de un producto e identificación o creación de asociación (4)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20.000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talleres con miembros de la asociación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30.000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30.000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Redacción y adopción de reglamento (4)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28.000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28.000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Diseño del logotipo (4)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9.000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9.000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Registro de la marca colectiva (4)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10.000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actos de lanzamiento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50.000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50.000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Guía práctica y adaptación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18.000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18.000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actividades de formación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66.000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66.000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conjuntos de material de sensibilización (folletos y cortometrajes)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26.000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26.000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Evaluación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10.000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10.000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Total relativos a personal</w:t>
            </w:r>
            <w:r w:rsidRPr="00440340">
              <w:rPr>
                <w:rStyle w:val="FootnoteReference"/>
                <w:rFonts w:eastAsia="Times New Roman"/>
                <w:b/>
                <w:sz w:val="20"/>
                <w:lang w:eastAsia="en-US"/>
              </w:rPr>
              <w:footnoteReference w:id="3"/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62.500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62.500</w:t>
            </w: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125.000</w:t>
            </w:r>
          </w:p>
        </w:tc>
      </w:tr>
      <w:tr w:rsidR="00B934A7" w:rsidRPr="00C542B7" w:rsidTr="00D5481D">
        <w:trPr>
          <w:trHeight w:val="383"/>
        </w:trPr>
        <w:tc>
          <w:tcPr>
            <w:tcW w:w="3546" w:type="dxa"/>
            <w:shd w:val="clear" w:color="auto" w:fill="auto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Total no relativos a personal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145.000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180.000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sz w:val="20"/>
                <w:lang w:eastAsia="en-US"/>
              </w:rPr>
              <w:t>325.000</w:t>
            </w:r>
          </w:p>
        </w:tc>
      </w:tr>
      <w:tr w:rsidR="00B934A7" w:rsidRPr="00C542B7" w:rsidTr="00D5481D">
        <w:trPr>
          <w:trHeight w:val="255"/>
        </w:trPr>
        <w:tc>
          <w:tcPr>
            <w:tcW w:w="3546" w:type="dxa"/>
            <w:shd w:val="clear" w:color="auto" w:fill="auto"/>
            <w:vAlign w:val="center"/>
            <w:hideMark/>
          </w:tcPr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Total</w:t>
            </w:r>
          </w:p>
          <w:p w:rsidR="00B934A7" w:rsidRPr="00440340" w:rsidRDefault="00B934A7" w:rsidP="000D0882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62.500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145.000</w:t>
            </w:r>
          </w:p>
        </w:tc>
        <w:tc>
          <w:tcPr>
            <w:tcW w:w="275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62.500</w:t>
            </w:r>
          </w:p>
        </w:tc>
        <w:tc>
          <w:tcPr>
            <w:tcW w:w="3127" w:type="dxa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180.000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34A7" w:rsidRPr="00440340" w:rsidRDefault="00B934A7" w:rsidP="000D0882">
            <w:pPr>
              <w:jc w:val="right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440340">
              <w:rPr>
                <w:rFonts w:eastAsia="Times New Roman"/>
                <w:b/>
                <w:bCs/>
                <w:sz w:val="20"/>
                <w:lang w:eastAsia="en-US"/>
              </w:rPr>
              <w:t>450.000</w:t>
            </w:r>
          </w:p>
        </w:tc>
      </w:tr>
    </w:tbl>
    <w:p w:rsidR="00B934A7" w:rsidRPr="00C542B7" w:rsidRDefault="00B934A7" w:rsidP="00B934A7">
      <w:pPr>
        <w:rPr>
          <w:bCs/>
          <w:iCs/>
          <w:szCs w:val="22"/>
        </w:rPr>
      </w:pPr>
      <w:r w:rsidRPr="00C542B7">
        <w:rPr>
          <w:szCs w:val="22"/>
        </w:rPr>
        <w:br w:type="page"/>
      </w:r>
      <w:r w:rsidRPr="00C542B7">
        <w:rPr>
          <w:bCs/>
          <w:iCs/>
          <w:szCs w:val="22"/>
        </w:rPr>
        <w:lastRenderedPageBreak/>
        <w:t>RECURSOS NO RELATIVOS A PERSONAL, POR CATEGORÍA DE GASTO</w:t>
      </w:r>
    </w:p>
    <w:p w:rsidR="00B934A7" w:rsidRPr="00C542B7" w:rsidRDefault="00B934A7" w:rsidP="00B934A7">
      <w:pPr>
        <w:rPr>
          <w:szCs w:val="22"/>
          <w:u w:val="single"/>
        </w:rPr>
      </w:pP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400"/>
        <w:gridCol w:w="1134"/>
        <w:gridCol w:w="1134"/>
        <w:gridCol w:w="1532"/>
        <w:gridCol w:w="1610"/>
        <w:gridCol w:w="1630"/>
        <w:gridCol w:w="1710"/>
        <w:gridCol w:w="1598"/>
        <w:gridCol w:w="1039"/>
      </w:tblGrid>
      <w:tr w:rsidR="00B934A7" w:rsidRPr="00C542B7" w:rsidTr="00440340">
        <w:tc>
          <w:tcPr>
            <w:tcW w:w="2400" w:type="dxa"/>
          </w:tcPr>
          <w:p w:rsidR="00B934A7" w:rsidRPr="00440340" w:rsidRDefault="00B934A7" w:rsidP="000D0882">
            <w:pPr>
              <w:rPr>
                <w:sz w:val="20"/>
              </w:rPr>
            </w:pPr>
          </w:p>
        </w:tc>
        <w:tc>
          <w:tcPr>
            <w:tcW w:w="11387" w:type="dxa"/>
            <w:gridSpan w:val="8"/>
          </w:tcPr>
          <w:p w:rsidR="00B934A7" w:rsidRPr="00440340" w:rsidRDefault="00B934A7" w:rsidP="000D0882">
            <w:pPr>
              <w:jc w:val="center"/>
              <w:rPr>
                <w:i/>
                <w:sz w:val="20"/>
              </w:rPr>
            </w:pPr>
            <w:r w:rsidRPr="00440340">
              <w:rPr>
                <w:i/>
                <w:sz w:val="20"/>
              </w:rPr>
              <w:t>(en francos suizos)</w:t>
            </w:r>
          </w:p>
        </w:tc>
      </w:tr>
      <w:tr w:rsidR="00B934A7" w:rsidRPr="00C542B7" w:rsidTr="00440340">
        <w:tc>
          <w:tcPr>
            <w:tcW w:w="2400" w:type="dxa"/>
            <w:vMerge w:val="restart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sz w:val="20"/>
              </w:rPr>
              <w:t>Actividades</w:t>
            </w:r>
          </w:p>
        </w:tc>
        <w:tc>
          <w:tcPr>
            <w:tcW w:w="3800" w:type="dxa"/>
            <w:gridSpan w:val="3"/>
          </w:tcPr>
          <w:p w:rsidR="00B934A7" w:rsidRPr="00440340" w:rsidRDefault="00B934A7" w:rsidP="000D0882">
            <w:pPr>
              <w:jc w:val="center"/>
              <w:rPr>
                <w:b/>
                <w:bCs/>
                <w:sz w:val="20"/>
              </w:rPr>
            </w:pPr>
            <w:r w:rsidRPr="00440340">
              <w:rPr>
                <w:b/>
                <w:bCs/>
                <w:sz w:val="20"/>
              </w:rPr>
              <w:t>Viajes, formación y subvenciones</w:t>
            </w:r>
          </w:p>
        </w:tc>
        <w:tc>
          <w:tcPr>
            <w:tcW w:w="6548" w:type="dxa"/>
            <w:gridSpan w:val="4"/>
          </w:tcPr>
          <w:p w:rsidR="00B934A7" w:rsidRPr="00440340" w:rsidRDefault="00B934A7" w:rsidP="000D0882">
            <w:pPr>
              <w:jc w:val="center"/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Servicios contractuales</w:t>
            </w:r>
          </w:p>
        </w:tc>
        <w:tc>
          <w:tcPr>
            <w:tcW w:w="1039" w:type="dxa"/>
            <w:vMerge w:val="restart"/>
          </w:tcPr>
          <w:p w:rsidR="00B934A7" w:rsidRPr="00440340" w:rsidRDefault="00B934A7" w:rsidP="000D0882">
            <w:pPr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Total</w:t>
            </w:r>
          </w:p>
        </w:tc>
      </w:tr>
      <w:tr w:rsidR="00B934A7" w:rsidRPr="00C542B7" w:rsidTr="00440340">
        <w:tc>
          <w:tcPr>
            <w:tcW w:w="2400" w:type="dxa"/>
            <w:vMerge/>
          </w:tcPr>
          <w:p w:rsidR="00B934A7" w:rsidRPr="00440340" w:rsidRDefault="00B934A7" w:rsidP="000D088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Misiones del personal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Viajes de terceros</w:t>
            </w:r>
          </w:p>
        </w:tc>
        <w:tc>
          <w:tcPr>
            <w:tcW w:w="1532" w:type="dxa"/>
          </w:tcPr>
          <w:p w:rsidR="00B934A7" w:rsidRPr="00440340" w:rsidRDefault="00B934A7" w:rsidP="000D0882">
            <w:pPr>
              <w:rPr>
                <w:b/>
                <w:bCs/>
                <w:sz w:val="20"/>
              </w:rPr>
            </w:pPr>
            <w:r w:rsidRPr="00440340">
              <w:rPr>
                <w:b/>
                <w:bCs/>
                <w:sz w:val="20"/>
                <w:lang w:val="es-419"/>
              </w:rPr>
              <w:t>Subvenciones para formación y viajes</w:t>
            </w:r>
          </w:p>
        </w:tc>
        <w:tc>
          <w:tcPr>
            <w:tcW w:w="1610" w:type="dxa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Conferencias</w:t>
            </w:r>
          </w:p>
        </w:tc>
        <w:tc>
          <w:tcPr>
            <w:tcW w:w="1630" w:type="dxa"/>
          </w:tcPr>
          <w:p w:rsidR="00B934A7" w:rsidRPr="00440340" w:rsidRDefault="00B934A7" w:rsidP="000D0882">
            <w:pPr>
              <w:rPr>
                <w:b/>
                <w:bCs/>
                <w:sz w:val="20"/>
              </w:rPr>
            </w:pPr>
            <w:r w:rsidRPr="00440340">
              <w:rPr>
                <w:b/>
                <w:bCs/>
                <w:sz w:val="20"/>
              </w:rPr>
              <w:t>Publicaciones</w:t>
            </w:r>
          </w:p>
        </w:tc>
        <w:tc>
          <w:tcPr>
            <w:tcW w:w="1710" w:type="dxa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Servicios contractuales individuales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rPr>
                <w:sz w:val="20"/>
              </w:rPr>
            </w:pPr>
            <w:r w:rsidRPr="00440340">
              <w:rPr>
                <w:b/>
                <w:bCs/>
                <w:sz w:val="20"/>
              </w:rPr>
              <w:t>Otros servicios contractuales</w:t>
            </w:r>
          </w:p>
        </w:tc>
        <w:tc>
          <w:tcPr>
            <w:tcW w:w="1039" w:type="dxa"/>
            <w:vMerge/>
          </w:tcPr>
          <w:p w:rsidR="00B934A7" w:rsidRPr="00440340" w:rsidRDefault="00B934A7" w:rsidP="000D0882">
            <w:pPr>
              <w:rPr>
                <w:sz w:val="20"/>
              </w:rPr>
            </w:pP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estudios exploratorios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28.000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28.000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actividades de información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30.000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sz w:val="20"/>
              </w:rPr>
              <w:t>Selección de un producto e identificación o creación de asociación (4)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talleres con miembros de la asociación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30.000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Redacción y adopción de reglamento (4)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28.000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28.000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Diseño del logotipo (4)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4.000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5.000</w:t>
            </w: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9.000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Registro de la marca colectiva (4)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actos de lanzamiento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50.000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Guía práctica y adaptación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8.000</w:t>
            </w: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18.000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actividades de formación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20.000</w:t>
            </w: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16.000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66.000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4 conjuntos de material de sensibilización (folletos y cortometrajes)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4.000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12.000</w:t>
            </w: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26.000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rFonts w:eastAsia="Times New Roman"/>
                <w:sz w:val="20"/>
                <w:lang w:eastAsia="en-US"/>
              </w:rPr>
            </w:pPr>
            <w:r w:rsidRPr="00440340">
              <w:rPr>
                <w:rFonts w:eastAsia="Times New Roman"/>
                <w:sz w:val="20"/>
                <w:lang w:eastAsia="en-US"/>
              </w:rPr>
              <w:t>Evaluación</w:t>
            </w: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710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  <w:tc>
          <w:tcPr>
            <w:tcW w:w="1598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</w:p>
        </w:tc>
        <w:tc>
          <w:tcPr>
            <w:tcW w:w="1039" w:type="dxa"/>
          </w:tcPr>
          <w:p w:rsidR="00B934A7" w:rsidRPr="00440340" w:rsidRDefault="00B934A7" w:rsidP="000D0882">
            <w:pPr>
              <w:jc w:val="right"/>
              <w:rPr>
                <w:sz w:val="20"/>
              </w:rPr>
            </w:pPr>
            <w:r w:rsidRPr="00440340">
              <w:rPr>
                <w:sz w:val="20"/>
              </w:rPr>
              <w:t>10.000</w:t>
            </w:r>
          </w:p>
        </w:tc>
      </w:tr>
      <w:tr w:rsidR="00B934A7" w:rsidRPr="00C542B7" w:rsidTr="00440340">
        <w:tc>
          <w:tcPr>
            <w:tcW w:w="2400" w:type="dxa"/>
            <w:vAlign w:val="center"/>
          </w:tcPr>
          <w:p w:rsidR="00B934A7" w:rsidRPr="00440340" w:rsidRDefault="00B934A7" w:rsidP="000D0882">
            <w:pPr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Total</w:t>
            </w:r>
          </w:p>
        </w:tc>
        <w:tc>
          <w:tcPr>
            <w:tcW w:w="1134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80.000</w:t>
            </w:r>
          </w:p>
        </w:tc>
        <w:tc>
          <w:tcPr>
            <w:tcW w:w="1134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40.000</w:t>
            </w:r>
          </w:p>
        </w:tc>
        <w:tc>
          <w:tcPr>
            <w:tcW w:w="1532" w:type="dxa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40.000</w:t>
            </w:r>
          </w:p>
        </w:tc>
        <w:tc>
          <w:tcPr>
            <w:tcW w:w="1610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</w:p>
        </w:tc>
        <w:tc>
          <w:tcPr>
            <w:tcW w:w="1630" w:type="dxa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18.000</w:t>
            </w:r>
          </w:p>
        </w:tc>
        <w:tc>
          <w:tcPr>
            <w:tcW w:w="1710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130.000</w:t>
            </w:r>
          </w:p>
        </w:tc>
        <w:tc>
          <w:tcPr>
            <w:tcW w:w="1598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17.000</w:t>
            </w:r>
          </w:p>
        </w:tc>
        <w:tc>
          <w:tcPr>
            <w:tcW w:w="1039" w:type="dxa"/>
            <w:vAlign w:val="center"/>
          </w:tcPr>
          <w:p w:rsidR="00B934A7" w:rsidRPr="00440340" w:rsidRDefault="00B934A7" w:rsidP="000D0882">
            <w:pPr>
              <w:jc w:val="right"/>
              <w:rPr>
                <w:b/>
                <w:sz w:val="20"/>
              </w:rPr>
            </w:pPr>
            <w:r w:rsidRPr="00440340">
              <w:rPr>
                <w:b/>
                <w:sz w:val="20"/>
              </w:rPr>
              <w:t>325.000</w:t>
            </w:r>
          </w:p>
        </w:tc>
      </w:tr>
    </w:tbl>
    <w:p w:rsidR="00B934A7" w:rsidRDefault="00B934A7" w:rsidP="00D5481D">
      <w:pPr>
        <w:ind w:left="9781" w:hanging="142"/>
        <w:rPr>
          <w:szCs w:val="22"/>
          <w:u w:val="single"/>
        </w:rPr>
      </w:pPr>
    </w:p>
    <w:p w:rsidR="00D5481D" w:rsidRDefault="00D5481D" w:rsidP="00D5481D">
      <w:pPr>
        <w:ind w:left="9781" w:hanging="142"/>
        <w:rPr>
          <w:szCs w:val="22"/>
          <w:u w:val="single"/>
        </w:rPr>
      </w:pPr>
    </w:p>
    <w:p w:rsidR="00C24930" w:rsidRPr="00C542B7" w:rsidRDefault="00C24930" w:rsidP="00D5481D">
      <w:pPr>
        <w:ind w:left="9781" w:hanging="142"/>
        <w:rPr>
          <w:szCs w:val="22"/>
          <w:u w:val="single"/>
        </w:rPr>
      </w:pPr>
    </w:p>
    <w:p w:rsidR="00CA7070" w:rsidRPr="00D5481D" w:rsidRDefault="00B934A7" w:rsidP="00D5481D">
      <w:pPr>
        <w:pStyle w:val="Endofdocument-Annex"/>
        <w:ind w:left="7371"/>
        <w:jc w:val="center"/>
        <w:rPr>
          <w:lang w:val="es-ES"/>
        </w:rPr>
      </w:pPr>
      <w:r w:rsidRPr="00C542B7">
        <w:rPr>
          <w:lang w:val="es-ES"/>
        </w:rPr>
        <w:t>[Fin del Anexo y del documento]</w:t>
      </w:r>
    </w:p>
    <w:sectPr w:rsidR="00CA7070" w:rsidRPr="00D5481D" w:rsidSect="00B934A7">
      <w:headerReference w:type="default" r:id="rId12"/>
      <w:headerReference w:type="first" r:id="rId13"/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82" w:rsidRDefault="000D0882">
      <w:r>
        <w:separator/>
      </w:r>
    </w:p>
  </w:endnote>
  <w:endnote w:type="continuationSeparator" w:id="0">
    <w:p w:rsidR="000D0882" w:rsidRPr="009D30E6" w:rsidRDefault="000D088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0882" w:rsidRPr="007E663E" w:rsidRDefault="000D088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D0882" w:rsidRPr="007E663E" w:rsidRDefault="000D088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82" w:rsidRDefault="000D0882">
      <w:r>
        <w:separator/>
      </w:r>
    </w:p>
  </w:footnote>
  <w:footnote w:type="continuationSeparator" w:id="0">
    <w:p w:rsidR="000D0882" w:rsidRPr="009D30E6" w:rsidRDefault="000D088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0882" w:rsidRPr="007E663E" w:rsidRDefault="000D088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D0882" w:rsidRPr="007E663E" w:rsidRDefault="000D088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0D0882" w:rsidRPr="00FA0FEA" w:rsidRDefault="000D0882" w:rsidP="00B934A7">
      <w:pPr>
        <w:pStyle w:val="FootnoteText"/>
      </w:pPr>
      <w:r w:rsidRPr="00FA0FEA">
        <w:rPr>
          <w:rStyle w:val="FootnoteReference"/>
        </w:rPr>
        <w:footnoteRef/>
      </w:r>
      <w:r w:rsidRPr="00FA0FEA">
        <w:t xml:space="preserve"> La ejecución comenzará una vez que todos los países beneficiarios de los proyectos hayan sido seleccionados y se hayan nombrado coordinadores en cada uno de ellos.</w:t>
      </w:r>
    </w:p>
  </w:footnote>
  <w:footnote w:id="3">
    <w:p w:rsidR="000D0882" w:rsidRPr="00FA0FEA" w:rsidRDefault="000D0882" w:rsidP="00B934A7">
      <w:pPr>
        <w:pStyle w:val="FootnoteText"/>
        <w:rPr>
          <w:szCs w:val="18"/>
        </w:rPr>
      </w:pPr>
      <w:r w:rsidRPr="00FA0FEA">
        <w:rPr>
          <w:rStyle w:val="FootnoteReference"/>
          <w:szCs w:val="18"/>
        </w:rPr>
        <w:footnoteRef/>
      </w:r>
      <w:r w:rsidRPr="00FA0FEA">
        <w:rPr>
          <w:szCs w:val="18"/>
        </w:rPr>
        <w:t xml:space="preserve"> 50% personal de categoría P2.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82" w:rsidRPr="00F6103C" w:rsidRDefault="000D0882" w:rsidP="000D0882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0D0882" w:rsidRDefault="000D0882" w:rsidP="000D0882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2515590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D0882" w:rsidRDefault="000D0882" w:rsidP="000D0882">
    <w:pPr>
      <w:jc w:val="right"/>
    </w:pPr>
  </w:p>
  <w:p w:rsidR="000D0882" w:rsidRDefault="000D0882" w:rsidP="000D088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82" w:rsidRPr="00F6103C" w:rsidRDefault="000D0882" w:rsidP="000D0882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0D0882" w:rsidRPr="000D0882" w:rsidRDefault="000D0882" w:rsidP="00630D8C">
    <w:pPr>
      <w:pStyle w:val="Header"/>
      <w:tabs>
        <w:tab w:val="clear" w:pos="4536"/>
        <w:tab w:val="clear" w:pos="9072"/>
      </w:tabs>
      <w:ind w:right="-92"/>
      <w:jc w:val="right"/>
      <w:rPr>
        <w:noProof/>
        <w:lang w:val="es-419"/>
      </w:rPr>
    </w:pPr>
    <w:r w:rsidRPr="000D0882">
      <w:rPr>
        <w:lang w:val="es-419"/>
      </w:rPr>
      <w:t xml:space="preserve">Anexo, página </w:t>
    </w:r>
    <w:sdt>
      <w:sdtPr>
        <w:rPr>
          <w:lang w:val="es-419"/>
        </w:rPr>
        <w:id w:val="21079200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D0882">
          <w:rPr>
            <w:lang w:val="es-419"/>
          </w:rPr>
          <w:fldChar w:fldCharType="begin"/>
        </w:r>
        <w:r w:rsidRPr="000D0882">
          <w:rPr>
            <w:lang w:val="es-419"/>
          </w:rPr>
          <w:instrText xml:space="preserve"> PAGE   \* MERGEFORMAT </w:instrText>
        </w:r>
        <w:r w:rsidRPr="000D0882">
          <w:rPr>
            <w:lang w:val="es-419"/>
          </w:rPr>
          <w:fldChar w:fldCharType="separate"/>
        </w:r>
        <w:r w:rsidR="00C24930">
          <w:rPr>
            <w:noProof/>
            <w:lang w:val="es-419"/>
          </w:rPr>
          <w:t>7</w:t>
        </w:r>
        <w:r w:rsidRPr="000D0882">
          <w:rPr>
            <w:noProof/>
            <w:lang w:val="es-419"/>
          </w:rPr>
          <w:fldChar w:fldCharType="end"/>
        </w:r>
      </w:sdtContent>
    </w:sdt>
  </w:p>
  <w:p w:rsidR="000D0882" w:rsidRDefault="000D0882" w:rsidP="00630D8C">
    <w:pPr>
      <w:pStyle w:val="Header"/>
      <w:tabs>
        <w:tab w:val="clear" w:pos="4536"/>
        <w:tab w:val="clear" w:pos="9072"/>
      </w:tabs>
      <w:ind w:right="-92"/>
      <w:jc w:val="right"/>
      <w:rPr>
        <w:noProof/>
      </w:rPr>
    </w:pPr>
  </w:p>
  <w:p w:rsidR="000D0882" w:rsidRDefault="000D0882" w:rsidP="00630D8C">
    <w:pPr>
      <w:pStyle w:val="Header"/>
      <w:tabs>
        <w:tab w:val="clear" w:pos="4536"/>
        <w:tab w:val="clear" w:pos="9072"/>
      </w:tabs>
      <w:ind w:right="-9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82" w:rsidRPr="00F6103C" w:rsidRDefault="000D0882" w:rsidP="000D0882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0D0882" w:rsidRDefault="000D0882" w:rsidP="000D0882">
    <w:pPr>
      <w:pStyle w:val="Header"/>
      <w:tabs>
        <w:tab w:val="clear" w:pos="4536"/>
        <w:tab w:val="clear" w:pos="9072"/>
      </w:tabs>
      <w:ind w:right="-92"/>
      <w:jc w:val="right"/>
    </w:pPr>
    <w:proofErr w:type="spellStart"/>
    <w:r w:rsidRPr="00F6103C">
      <w:rPr>
        <w:lang w:val="en-GB"/>
      </w:rPr>
      <w:t>An</w:t>
    </w:r>
    <w:r>
      <w:rPr>
        <w:lang w:val="en-GB"/>
      </w:rPr>
      <w:t>exo</w:t>
    </w:r>
    <w:proofErr w:type="spellEnd"/>
    <w:r>
      <w:rPr>
        <w:lang w:val="en-GB"/>
      </w:rPr>
      <w:t xml:space="preserve">, </w:t>
    </w:r>
    <w:proofErr w:type="spellStart"/>
    <w:r>
      <w:rPr>
        <w:lang w:val="en-GB"/>
      </w:rPr>
      <w:t>página</w:t>
    </w:r>
    <w:proofErr w:type="spellEnd"/>
    <w:r>
      <w:t xml:space="preserve">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0D0882" w:rsidRDefault="000D0882" w:rsidP="000D0882">
    <w:pPr>
      <w:jc w:val="right"/>
    </w:pPr>
  </w:p>
  <w:p w:rsidR="000D0882" w:rsidRDefault="000D0882" w:rsidP="000D0882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728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882" w:rsidRPr="00F6103C" w:rsidRDefault="000D0882" w:rsidP="000D0882">
        <w:pPr>
          <w:ind w:right="-92"/>
          <w:jc w:val="right"/>
          <w:rPr>
            <w:lang w:val="en-GB"/>
          </w:rPr>
        </w:pPr>
        <w:r w:rsidRPr="00A76F4F">
          <w:rPr>
            <w:lang w:val="en-GB"/>
          </w:rPr>
          <w:t>CDIP/24/9</w:t>
        </w:r>
      </w:p>
      <w:p w:rsidR="000D0882" w:rsidRDefault="000D0882" w:rsidP="000D0882">
        <w:pPr>
          <w:ind w:right="-92"/>
          <w:jc w:val="right"/>
        </w:pPr>
        <w:r>
          <w:t>ANEXO</w:t>
        </w:r>
      </w:p>
      <w:p w:rsidR="000D0882" w:rsidRDefault="000D0882" w:rsidP="000D0882">
        <w:pPr>
          <w:ind w:right="-95"/>
          <w:jc w:val="right"/>
        </w:pPr>
      </w:p>
      <w:p w:rsidR="000D0882" w:rsidRDefault="00C24930" w:rsidP="00630D8C">
        <w:pPr>
          <w:pStyle w:val="Header"/>
          <w:tabs>
            <w:tab w:val="clear" w:pos="4536"/>
            <w:tab w:val="clear" w:pos="9072"/>
          </w:tabs>
          <w:ind w:right="-95"/>
          <w:jc w:val="right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82" w:rsidRDefault="000D0882" w:rsidP="00477D6B">
    <w:pPr>
      <w:jc w:val="right"/>
    </w:pPr>
    <w:bookmarkStart w:id="6" w:name="Code2"/>
    <w:bookmarkEnd w:id="6"/>
    <w:r>
      <w:t>CDIP/24/9</w:t>
    </w:r>
  </w:p>
  <w:p w:rsidR="000D0882" w:rsidRDefault="000D0882" w:rsidP="00477D6B">
    <w:pPr>
      <w:jc w:val="right"/>
    </w:pPr>
    <w:r>
      <w:t xml:space="preserve">Anexo, 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C24930">
      <w:rPr>
        <w:noProof/>
      </w:rPr>
      <w:t>10</w:t>
    </w:r>
    <w:r>
      <w:fldChar w:fldCharType="end"/>
    </w:r>
  </w:p>
  <w:p w:rsidR="000D0882" w:rsidRDefault="000D0882" w:rsidP="00477D6B">
    <w:pPr>
      <w:jc w:val="right"/>
    </w:pPr>
  </w:p>
  <w:p w:rsidR="000D0882" w:rsidRDefault="000D0882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90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0882" w:rsidRPr="00F6103C" w:rsidRDefault="000D0882" w:rsidP="000D0882">
        <w:pPr>
          <w:ind w:right="-92"/>
          <w:jc w:val="right"/>
          <w:rPr>
            <w:lang w:val="en-GB"/>
          </w:rPr>
        </w:pPr>
        <w:r w:rsidRPr="00A76F4F">
          <w:rPr>
            <w:lang w:val="en-GB"/>
          </w:rPr>
          <w:t>CDIP/24/9</w:t>
        </w:r>
      </w:p>
      <w:p w:rsidR="000D0882" w:rsidRDefault="000D0882" w:rsidP="000D0882">
        <w:pPr>
          <w:ind w:right="-92"/>
          <w:jc w:val="right"/>
        </w:pPr>
        <w:r>
          <w:t>Anexo, página 8</w:t>
        </w:r>
      </w:p>
      <w:p w:rsidR="000D0882" w:rsidRDefault="000D0882" w:rsidP="000D0882">
        <w:pPr>
          <w:ind w:right="-95"/>
          <w:jc w:val="right"/>
        </w:pPr>
      </w:p>
      <w:p w:rsidR="000D0882" w:rsidRDefault="00C24930" w:rsidP="00D5481D">
        <w:pPr>
          <w:pStyle w:val="Header"/>
          <w:tabs>
            <w:tab w:val="clear" w:pos="4536"/>
            <w:tab w:val="clear" w:pos="9072"/>
          </w:tabs>
          <w:ind w:right="-95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EF1993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73770"/>
    <w:multiLevelType w:val="hybridMultilevel"/>
    <w:tmpl w:val="9BE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11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42224401"/>
    <w:multiLevelType w:val="hybridMultilevel"/>
    <w:tmpl w:val="6CB27F0A"/>
    <w:lvl w:ilvl="0" w:tplc="88B2BD22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F27973"/>
    <w:multiLevelType w:val="hybridMultilevel"/>
    <w:tmpl w:val="F8C4316C"/>
    <w:lvl w:ilvl="0" w:tplc="392832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4B621D"/>
    <w:multiLevelType w:val="hybridMultilevel"/>
    <w:tmpl w:val="8268656C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477A0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69C2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9"/>
  </w:num>
  <w:num w:numId="5">
    <w:abstractNumId w:val="1"/>
  </w:num>
  <w:num w:numId="6">
    <w:abstractNumId w:val="9"/>
  </w:num>
  <w:num w:numId="7">
    <w:abstractNumId w:val="32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24"/>
  </w:num>
  <w:num w:numId="14">
    <w:abstractNumId w:val="18"/>
  </w:num>
  <w:num w:numId="15">
    <w:abstractNumId w:val="23"/>
  </w:num>
  <w:num w:numId="16">
    <w:abstractNumId w:val="12"/>
  </w:num>
  <w:num w:numId="17">
    <w:abstractNumId w:val="16"/>
  </w:num>
  <w:num w:numId="18">
    <w:abstractNumId w:val="21"/>
  </w:num>
  <w:num w:numId="19">
    <w:abstractNumId w:val="7"/>
  </w:num>
  <w:num w:numId="20">
    <w:abstractNumId w:val="14"/>
  </w:num>
  <w:num w:numId="21">
    <w:abstractNumId w:val="4"/>
  </w:num>
  <w:num w:numId="22">
    <w:abstractNumId w:val="31"/>
  </w:num>
  <w:num w:numId="23">
    <w:abstractNumId w:val="30"/>
  </w:num>
  <w:num w:numId="24">
    <w:abstractNumId w:val="10"/>
  </w:num>
  <w:num w:numId="25">
    <w:abstractNumId w:val="3"/>
  </w:num>
  <w:num w:numId="26">
    <w:abstractNumId w:val="20"/>
  </w:num>
  <w:num w:numId="27">
    <w:abstractNumId w:val="6"/>
  </w:num>
  <w:num w:numId="28">
    <w:abstractNumId w:val="29"/>
  </w:num>
  <w:num w:numId="29">
    <w:abstractNumId w:val="13"/>
  </w:num>
  <w:num w:numId="30">
    <w:abstractNumId w:val="28"/>
  </w:num>
  <w:num w:numId="31">
    <w:abstractNumId w:val="8"/>
  </w:num>
  <w:num w:numId="32">
    <w:abstractNumId w:val="25"/>
  </w:num>
  <w:num w:numId="33">
    <w:abstractNumId w:val="2"/>
  </w:num>
  <w:num w:numId="34">
    <w:abstractNumId w:val="2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A7"/>
    <w:rsid w:val="00010686"/>
    <w:rsid w:val="00052915"/>
    <w:rsid w:val="000D0882"/>
    <w:rsid w:val="000E3BB3"/>
    <w:rsid w:val="000F5E56"/>
    <w:rsid w:val="001362EE"/>
    <w:rsid w:val="00152CEA"/>
    <w:rsid w:val="001832A6"/>
    <w:rsid w:val="00184EBC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40340"/>
    <w:rsid w:val="0045231F"/>
    <w:rsid w:val="004647DA"/>
    <w:rsid w:val="0046793F"/>
    <w:rsid w:val="00477808"/>
    <w:rsid w:val="00477D6B"/>
    <w:rsid w:val="004A6C37"/>
    <w:rsid w:val="004E297D"/>
    <w:rsid w:val="00531B02"/>
    <w:rsid w:val="00531B83"/>
    <w:rsid w:val="005332F0"/>
    <w:rsid w:val="0055013B"/>
    <w:rsid w:val="00571B99"/>
    <w:rsid w:val="00605827"/>
    <w:rsid w:val="00630D8C"/>
    <w:rsid w:val="00675021"/>
    <w:rsid w:val="006A06C6"/>
    <w:rsid w:val="007224C8"/>
    <w:rsid w:val="00794BE2"/>
    <w:rsid w:val="007A5581"/>
    <w:rsid w:val="007B71FE"/>
    <w:rsid w:val="007D781E"/>
    <w:rsid w:val="007E663E"/>
    <w:rsid w:val="00812BAA"/>
    <w:rsid w:val="00815082"/>
    <w:rsid w:val="008525EB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9F4312"/>
    <w:rsid w:val="00A16FC0"/>
    <w:rsid w:val="00A32C9E"/>
    <w:rsid w:val="00AB613D"/>
    <w:rsid w:val="00AE7F20"/>
    <w:rsid w:val="00B534D5"/>
    <w:rsid w:val="00B65A0A"/>
    <w:rsid w:val="00B67CDC"/>
    <w:rsid w:val="00B72D36"/>
    <w:rsid w:val="00B934A7"/>
    <w:rsid w:val="00BC4164"/>
    <w:rsid w:val="00BD2DCC"/>
    <w:rsid w:val="00C24930"/>
    <w:rsid w:val="00C90559"/>
    <w:rsid w:val="00CA2251"/>
    <w:rsid w:val="00CA7070"/>
    <w:rsid w:val="00D5481D"/>
    <w:rsid w:val="00D56C7C"/>
    <w:rsid w:val="00D6739F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36EEF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942604B"/>
  <w15:docId w15:val="{51BEA68F-8A89-48D8-A2B3-87F72DF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B934A7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34A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B934A7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B934A7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934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934A7"/>
    <w:rPr>
      <w:rFonts w:ascii="Arial" w:eastAsia="SimSun" w:hAnsi="Arial" w:cs="Arial"/>
      <w:sz w:val="2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B934A7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934A7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934A7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B934A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34A7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34A7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B934A7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A7"/>
    <w:rPr>
      <w:b/>
      <w:bCs/>
      <w:sz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934A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934A7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934A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3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34A7"/>
    <w:rPr>
      <w:rFonts w:ascii="Courier New" w:hAnsi="Courier New" w:cs="Courier New"/>
      <w:lang w:val="es-PE" w:eastAsia="es-PE"/>
    </w:rPr>
  </w:style>
  <w:style w:type="paragraph" w:styleId="Revision">
    <w:name w:val="Revision"/>
    <w:hidden/>
    <w:uiPriority w:val="99"/>
    <w:semiHidden/>
    <w:rsid w:val="00B934A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2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24 (S).dotm</Template>
  <TotalTime>13</TotalTime>
  <Pages>11</Pages>
  <Words>2905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</vt:lpstr>
    </vt:vector>
  </TitlesOfParts>
  <Company>WIPO</Company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</dc:title>
  <dc:creator>SANDOVAL Barbara</dc:creator>
  <cp:keywords>FOR OFFICIAL USE ONLY</cp:keywords>
  <cp:lastModifiedBy>SANDOVAL Barbara</cp:lastModifiedBy>
  <cp:revision>5</cp:revision>
  <dcterms:created xsi:type="dcterms:W3CDTF">2019-10-16T07:53:00Z</dcterms:created>
  <dcterms:modified xsi:type="dcterms:W3CDTF">2019-10-16T08:29:00Z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68ffd79b-e1cd-4f68-9076-cec39b57bdd2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