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25F9" w:rsidRPr="008566FB" w:rsidTr="004125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566FB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66FB" w:rsidRDefault="002C2E2F" w:rsidP="00AB613D">
            <w:pPr>
              <w:rPr>
                <w:lang w:val="es-419"/>
              </w:rPr>
            </w:pPr>
            <w:r w:rsidRPr="008566FB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66FB" w:rsidRDefault="00E504E5" w:rsidP="00AB613D">
            <w:pPr>
              <w:jc w:val="right"/>
              <w:rPr>
                <w:lang w:val="es-419"/>
              </w:rPr>
            </w:pPr>
            <w:r w:rsidRPr="008566FB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4125F9" w:rsidRPr="008566F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566FB" w:rsidRDefault="00CA7070" w:rsidP="008525E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566FB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8525EB" w:rsidRPr="008566FB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8566FB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E43653" w:rsidRPr="008566FB">
              <w:rPr>
                <w:rFonts w:ascii="Arial Black" w:hAnsi="Arial Black"/>
                <w:caps/>
                <w:sz w:val="15"/>
                <w:lang w:val="es-419"/>
              </w:rPr>
              <w:t>INF/2</w:t>
            </w:r>
          </w:p>
        </w:tc>
      </w:tr>
      <w:tr w:rsidR="004125F9" w:rsidRPr="008566F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566FB" w:rsidRDefault="008B2CC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566FB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E43653" w:rsidRPr="008566F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E43653" w:rsidRPr="008566FB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8566F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4125F9" w:rsidRPr="008566F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566FB" w:rsidRDefault="0067502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566FB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8566FB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E43653" w:rsidRPr="008566F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E43653" w:rsidRPr="008566FB">
              <w:rPr>
                <w:rFonts w:ascii="Arial Black" w:hAnsi="Arial Black"/>
                <w:caps/>
                <w:sz w:val="15"/>
                <w:lang w:val="es-419"/>
              </w:rPr>
              <w:t>1 DE SEPTIEMBRE DE 2019</w:t>
            </w:r>
            <w:r w:rsidR="008B2CC1" w:rsidRPr="008566F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4125F9" w:rsidRPr="008566FB" w:rsidRDefault="004125F9" w:rsidP="004125F9">
      <w:pPr>
        <w:rPr>
          <w:b/>
          <w:sz w:val="28"/>
          <w:szCs w:val="28"/>
          <w:lang w:val="es-419"/>
        </w:rPr>
      </w:pPr>
    </w:p>
    <w:p w:rsidR="004125F9" w:rsidRPr="008566FB" w:rsidRDefault="004125F9" w:rsidP="004125F9">
      <w:pPr>
        <w:rPr>
          <w:b/>
          <w:sz w:val="28"/>
          <w:szCs w:val="28"/>
          <w:lang w:val="es-419"/>
        </w:rPr>
      </w:pPr>
    </w:p>
    <w:p w:rsidR="004125F9" w:rsidRPr="008566FB" w:rsidRDefault="004125F9" w:rsidP="004125F9">
      <w:pPr>
        <w:rPr>
          <w:b/>
          <w:sz w:val="28"/>
          <w:szCs w:val="28"/>
          <w:lang w:val="es-419"/>
        </w:rPr>
      </w:pPr>
    </w:p>
    <w:p w:rsidR="004125F9" w:rsidRPr="008566FB" w:rsidRDefault="004125F9" w:rsidP="004125F9">
      <w:pPr>
        <w:rPr>
          <w:b/>
          <w:sz w:val="28"/>
          <w:szCs w:val="28"/>
          <w:lang w:val="es-419"/>
        </w:rPr>
      </w:pPr>
    </w:p>
    <w:p w:rsidR="004125F9" w:rsidRPr="008566FB" w:rsidRDefault="004125F9" w:rsidP="004125F9">
      <w:pPr>
        <w:rPr>
          <w:b/>
          <w:sz w:val="28"/>
          <w:szCs w:val="28"/>
          <w:lang w:val="es-419"/>
        </w:rPr>
      </w:pPr>
    </w:p>
    <w:p w:rsidR="004125F9" w:rsidRPr="008566FB" w:rsidRDefault="004125F9" w:rsidP="004125F9">
      <w:pPr>
        <w:rPr>
          <w:b/>
          <w:sz w:val="28"/>
          <w:szCs w:val="28"/>
          <w:lang w:val="es-419"/>
        </w:rPr>
      </w:pPr>
      <w:r w:rsidRPr="008566FB">
        <w:rPr>
          <w:b/>
          <w:sz w:val="28"/>
          <w:szCs w:val="28"/>
          <w:lang w:val="es-419"/>
        </w:rPr>
        <w:t>Comité de Desarrollo y Propiedad Intelectual (CDIP)</w:t>
      </w:r>
    </w:p>
    <w:p w:rsidR="004125F9" w:rsidRPr="008566FB" w:rsidRDefault="004125F9" w:rsidP="004125F9">
      <w:pPr>
        <w:rPr>
          <w:lang w:val="es-419"/>
        </w:rPr>
      </w:pPr>
    </w:p>
    <w:p w:rsidR="004125F9" w:rsidRPr="008566FB" w:rsidRDefault="004125F9" w:rsidP="004125F9">
      <w:pPr>
        <w:rPr>
          <w:lang w:val="es-419"/>
        </w:rPr>
      </w:pPr>
    </w:p>
    <w:p w:rsidR="004125F9" w:rsidRPr="008566FB" w:rsidRDefault="004125F9" w:rsidP="004125F9">
      <w:pPr>
        <w:rPr>
          <w:b/>
          <w:lang w:val="es-419"/>
        </w:rPr>
      </w:pPr>
      <w:r w:rsidRPr="008566FB">
        <w:rPr>
          <w:b/>
          <w:lang w:val="es-419"/>
        </w:rPr>
        <w:t>Vigesimocuarta sesión</w:t>
      </w:r>
    </w:p>
    <w:p w:rsidR="004125F9" w:rsidRPr="008566FB" w:rsidRDefault="004125F9" w:rsidP="004125F9">
      <w:pPr>
        <w:rPr>
          <w:b/>
          <w:lang w:val="es-419"/>
        </w:rPr>
      </w:pPr>
      <w:r w:rsidRPr="008566FB">
        <w:rPr>
          <w:b/>
          <w:lang w:val="es-419"/>
        </w:rPr>
        <w:t>Ginebra, 18 a 22 de noviembre de 2019</w:t>
      </w:r>
    </w:p>
    <w:p w:rsidR="004125F9" w:rsidRPr="008566FB" w:rsidRDefault="004125F9" w:rsidP="004125F9">
      <w:pPr>
        <w:rPr>
          <w:lang w:val="es-419"/>
        </w:rPr>
      </w:pPr>
    </w:p>
    <w:p w:rsidR="004125F9" w:rsidRPr="008566FB" w:rsidRDefault="004125F9" w:rsidP="004125F9">
      <w:pPr>
        <w:rPr>
          <w:lang w:val="es-419"/>
        </w:rPr>
      </w:pPr>
    </w:p>
    <w:p w:rsidR="004125F9" w:rsidRPr="008566FB" w:rsidRDefault="004125F9" w:rsidP="004125F9">
      <w:pPr>
        <w:rPr>
          <w:lang w:val="es-419"/>
        </w:rPr>
      </w:pPr>
    </w:p>
    <w:p w:rsidR="004125F9" w:rsidRPr="008566FB" w:rsidRDefault="004125F9" w:rsidP="004125F9">
      <w:pPr>
        <w:rPr>
          <w:caps/>
          <w:sz w:val="24"/>
          <w:lang w:val="es-419"/>
        </w:rPr>
      </w:pPr>
      <w:bookmarkStart w:id="4" w:name="TitleOfDoc"/>
      <w:bookmarkEnd w:id="4"/>
      <w:r w:rsidRPr="008566FB">
        <w:rPr>
          <w:caps/>
          <w:sz w:val="24"/>
          <w:lang w:val="es-419"/>
        </w:rPr>
        <w:t>RESUMEN DEL ESTUDIO SOBRE LA PROPIEDAD INTELECTUAL Y LAS APLICACIONES MÓVILES</w:t>
      </w:r>
    </w:p>
    <w:p w:rsidR="004125F9" w:rsidRPr="008566FB" w:rsidRDefault="004125F9" w:rsidP="008B2CC1">
      <w:pPr>
        <w:rPr>
          <w:lang w:val="es-419"/>
        </w:rPr>
      </w:pPr>
    </w:p>
    <w:p w:rsidR="004125F9" w:rsidRPr="008566FB" w:rsidRDefault="00E43653" w:rsidP="00E436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Cs w:val="22"/>
          <w:lang w:val="es-419"/>
        </w:rPr>
      </w:pPr>
      <w:bookmarkStart w:id="5" w:name="Prepared"/>
      <w:bookmarkEnd w:id="5"/>
      <w:r w:rsidRPr="008566FB">
        <w:rPr>
          <w:i/>
          <w:lang w:val="es-419"/>
        </w:rPr>
        <w:t>preparado por la Secretaría</w:t>
      </w:r>
    </w:p>
    <w:p w:rsidR="004125F9" w:rsidRPr="008566FB" w:rsidRDefault="004125F9" w:rsidP="00E436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  <w:lang w:val="es-419"/>
        </w:rPr>
      </w:pPr>
    </w:p>
    <w:p w:rsidR="004125F9" w:rsidRPr="008566FB" w:rsidRDefault="004125F9" w:rsidP="00E436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  <w:lang w:val="es-419"/>
        </w:rPr>
      </w:pPr>
    </w:p>
    <w:p w:rsidR="004125F9" w:rsidRPr="008566FB" w:rsidRDefault="004125F9" w:rsidP="00E436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  <w:lang w:val="es-419"/>
        </w:rPr>
      </w:pPr>
    </w:p>
    <w:p w:rsidR="004125F9" w:rsidRPr="008566FB" w:rsidRDefault="004125F9" w:rsidP="00E436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  <w:lang w:val="es-419"/>
        </w:rPr>
      </w:pPr>
    </w:p>
    <w:p w:rsidR="004125F9" w:rsidRPr="008566FB" w:rsidRDefault="004125F9" w:rsidP="00ED33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  <w:lang w:val="es-419"/>
        </w:rPr>
      </w:pPr>
    </w:p>
    <w:p w:rsidR="005275C4" w:rsidRPr="00895977" w:rsidRDefault="009D233D" w:rsidP="00895977">
      <w:pPr>
        <w:pStyle w:val="ONUMFS"/>
        <w:rPr>
          <w:lang w:val="es-419"/>
        </w:rPr>
      </w:pPr>
      <w:r w:rsidRPr="00895977">
        <w:rPr>
          <w:lang w:val="es-419"/>
        </w:rPr>
        <w:t xml:space="preserve">En el Anexo del presente documento figura un resumen del estudio sobre la propiedad intelectual y las aplicaciones móviles llevado a cabo en el contexto del proyecto relativo a la intensificación del uso de la PI en el sector del </w:t>
      </w:r>
      <w:r w:rsidRPr="00895977">
        <w:rPr>
          <w:i/>
          <w:lang w:val="es-419"/>
        </w:rPr>
        <w:t>software</w:t>
      </w:r>
      <w:r w:rsidRPr="00895977">
        <w:rPr>
          <w:lang w:val="es-419"/>
        </w:rPr>
        <w:t xml:space="preserve"> en los países africanos, presentad</w:t>
      </w:r>
      <w:r w:rsidR="005275C4" w:rsidRPr="00895977">
        <w:rPr>
          <w:lang w:val="es-419"/>
        </w:rPr>
        <w:t>o</w:t>
      </w:r>
      <w:r w:rsidRPr="00895977">
        <w:rPr>
          <w:lang w:val="es-419"/>
        </w:rPr>
        <w:t xml:space="preserve"> por la República de Kenya (CDIP/22/8).</w:t>
      </w:r>
      <w:r w:rsidR="00E43653" w:rsidRPr="00895977">
        <w:rPr>
          <w:lang w:val="es-419"/>
        </w:rPr>
        <w:t xml:space="preserve"> </w:t>
      </w:r>
      <w:r w:rsidR="00A32864" w:rsidRPr="00895977">
        <w:rPr>
          <w:lang w:val="es-419"/>
        </w:rPr>
        <w:t xml:space="preserve">El estudio ha sido preparado por el Sr. Noam Shemtov, jefe adjunto del </w:t>
      </w:r>
      <w:r w:rsidR="00A32864" w:rsidRPr="00895977">
        <w:rPr>
          <w:i/>
          <w:lang w:val="es-419"/>
        </w:rPr>
        <w:t>Centre for Commercial Law Studies</w:t>
      </w:r>
      <w:r w:rsidR="00A32864" w:rsidRPr="00895977">
        <w:rPr>
          <w:lang w:val="es-419"/>
        </w:rPr>
        <w:t xml:space="preserve"> de la Queen Mary </w:t>
      </w:r>
      <w:proofErr w:type="spellStart"/>
      <w:r w:rsidR="00A32864" w:rsidRPr="00895977">
        <w:rPr>
          <w:lang w:val="es-419"/>
        </w:rPr>
        <w:t>University</w:t>
      </w:r>
      <w:proofErr w:type="spellEnd"/>
      <w:r w:rsidR="00A32864" w:rsidRPr="00895977">
        <w:rPr>
          <w:lang w:val="es-419"/>
        </w:rPr>
        <w:t xml:space="preserve"> </w:t>
      </w:r>
      <w:r w:rsidR="005275C4" w:rsidRPr="00895977">
        <w:rPr>
          <w:lang w:val="es-419"/>
        </w:rPr>
        <w:t>de Londres</w:t>
      </w:r>
      <w:r w:rsidR="00A32864" w:rsidRPr="00895977">
        <w:rPr>
          <w:lang w:val="es-419"/>
        </w:rPr>
        <w:t>.</w:t>
      </w:r>
      <w:r w:rsidR="00E43653" w:rsidRPr="00895977">
        <w:rPr>
          <w:lang w:val="es-419"/>
        </w:rPr>
        <w:t xml:space="preserve"> </w:t>
      </w:r>
      <w:r w:rsidR="005275C4" w:rsidRPr="00895977">
        <w:rPr>
          <w:lang w:val="es-419"/>
        </w:rPr>
        <w:t>Tanto e</w:t>
      </w:r>
      <w:r w:rsidR="00FF7E3E" w:rsidRPr="00895977">
        <w:rPr>
          <w:lang w:val="es-419"/>
        </w:rPr>
        <w:t xml:space="preserve">l estudio completo </w:t>
      </w:r>
      <w:r w:rsidR="005275C4" w:rsidRPr="00895977">
        <w:rPr>
          <w:lang w:val="es-419"/>
        </w:rPr>
        <w:t>como</w:t>
      </w:r>
      <w:r w:rsidR="00FF7E3E" w:rsidRPr="00895977">
        <w:rPr>
          <w:lang w:val="es-419"/>
        </w:rPr>
        <w:t xml:space="preserve"> la revisión </w:t>
      </w:r>
      <w:r w:rsidR="005275C4" w:rsidRPr="00895977">
        <w:rPr>
          <w:lang w:val="es-419"/>
        </w:rPr>
        <w:t>por pares</w:t>
      </w:r>
      <w:r w:rsidR="00FF7E3E" w:rsidRPr="00895977">
        <w:rPr>
          <w:lang w:val="es-419"/>
        </w:rPr>
        <w:t xml:space="preserve"> pueden consultarse en: </w:t>
      </w:r>
      <w:hyperlink r:id="rId8" w:history="1">
        <w:r w:rsidR="004125F9" w:rsidRPr="00895977">
          <w:rPr>
            <w:rStyle w:val="Hyperlink"/>
            <w:rFonts w:eastAsia="Times New Roman"/>
            <w:szCs w:val="22"/>
            <w:lang w:val="es-419" w:eastAsia="en-US"/>
          </w:rPr>
          <w:t>https://www.wipo.int/ip-development/es/agenda/work_undertaken.html</w:t>
        </w:r>
      </w:hyperlink>
      <w:r w:rsidR="00FF7E3E" w:rsidRPr="00895977">
        <w:rPr>
          <w:lang w:val="es-419"/>
        </w:rPr>
        <w:t>.</w:t>
      </w:r>
    </w:p>
    <w:p w:rsidR="004125F9" w:rsidRPr="00A145C8" w:rsidRDefault="00504068" w:rsidP="00BF5EAA">
      <w:pPr>
        <w:pStyle w:val="ONUMFS"/>
        <w:spacing w:after="0"/>
        <w:ind w:left="5529"/>
        <w:rPr>
          <w:i/>
          <w:lang w:val="es-419"/>
        </w:rPr>
      </w:pPr>
      <w:r w:rsidRPr="00A145C8">
        <w:rPr>
          <w:i/>
          <w:lang w:val="es-419"/>
        </w:rPr>
        <w:t>Se invita al CDIP a tomar nota de la información que figura en el Anexo del presente documento.</w:t>
      </w:r>
    </w:p>
    <w:p w:rsidR="004125F9" w:rsidRPr="008566FB" w:rsidRDefault="004125F9" w:rsidP="00E43653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szCs w:val="22"/>
          <w:lang w:val="es-419"/>
        </w:rPr>
      </w:pPr>
    </w:p>
    <w:p w:rsidR="004125F9" w:rsidRDefault="004125F9" w:rsidP="00D10E90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szCs w:val="22"/>
          <w:lang w:val="es-419"/>
        </w:rPr>
      </w:pPr>
    </w:p>
    <w:p w:rsidR="00D10E90" w:rsidRDefault="00D10E90" w:rsidP="00D10E90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szCs w:val="22"/>
          <w:lang w:val="es-419"/>
        </w:rPr>
      </w:pPr>
    </w:p>
    <w:p w:rsidR="00D10E90" w:rsidRPr="008566FB" w:rsidRDefault="00D10E90" w:rsidP="00D10E90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szCs w:val="22"/>
          <w:lang w:val="es-419"/>
        </w:rPr>
      </w:pPr>
    </w:p>
    <w:p w:rsidR="00E43653" w:rsidRPr="008566FB" w:rsidRDefault="00FF7E3E" w:rsidP="00B91BA4">
      <w:pPr>
        <w:pStyle w:val="Endofdocument-Annex"/>
        <w:rPr>
          <w:lang w:val="es-419"/>
        </w:rPr>
        <w:sectPr w:rsidR="00E43653" w:rsidRPr="008566FB" w:rsidSect="003C710A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8566FB">
        <w:rPr>
          <w:lang w:val="es-419"/>
        </w:rPr>
        <w:t>[Sigue el Anexo]</w:t>
      </w:r>
    </w:p>
    <w:p w:rsidR="004125F9" w:rsidRPr="008566FB" w:rsidRDefault="00504068" w:rsidP="00FF7E3E">
      <w:pPr>
        <w:pStyle w:val="Title"/>
        <w:spacing w:line="360" w:lineRule="auto"/>
        <w:jc w:val="left"/>
        <w:rPr>
          <w:rFonts w:ascii="Arial" w:hAnsi="Arial" w:cs="Arial"/>
          <w:b/>
          <w:sz w:val="22"/>
          <w:szCs w:val="22"/>
          <w:u w:val="single"/>
          <w:lang w:val="es-419"/>
        </w:rPr>
      </w:pPr>
      <w:r w:rsidRPr="008566FB">
        <w:rPr>
          <w:rFonts w:ascii="Arial" w:eastAsia="Arial" w:hAnsi="Arial" w:cs="Arial"/>
          <w:b/>
          <w:spacing w:val="0"/>
          <w:kern w:val="0"/>
          <w:sz w:val="28"/>
          <w:szCs w:val="28"/>
          <w:lang w:val="es-419"/>
        </w:rPr>
        <w:lastRenderedPageBreak/>
        <w:t>La propiedad intelectual y las aplicaciones móviles</w:t>
      </w:r>
    </w:p>
    <w:p w:rsidR="00D45032" w:rsidRDefault="00D45032" w:rsidP="00E43653">
      <w:pPr>
        <w:rPr>
          <w:szCs w:val="22"/>
          <w:lang w:val="es-419"/>
        </w:rPr>
      </w:pPr>
    </w:p>
    <w:p w:rsidR="004125F9" w:rsidRPr="008566FB" w:rsidRDefault="00FF0618" w:rsidP="00E43653">
      <w:pPr>
        <w:rPr>
          <w:szCs w:val="22"/>
          <w:lang w:val="es-419"/>
        </w:rPr>
      </w:pPr>
      <w:r>
        <w:rPr>
          <w:szCs w:val="22"/>
          <w:lang w:val="es-419"/>
        </w:rPr>
        <w:t>El estudio</w:t>
      </w:r>
      <w:r w:rsidR="004125F9" w:rsidRPr="008566FB">
        <w:rPr>
          <w:szCs w:val="22"/>
          <w:lang w:val="es-419"/>
        </w:rPr>
        <w:t xml:space="preserve"> se centra en un sector</w:t>
      </w:r>
      <w:r w:rsidR="00504068" w:rsidRPr="008566FB">
        <w:rPr>
          <w:szCs w:val="22"/>
          <w:lang w:val="es-419"/>
        </w:rPr>
        <w:t xml:space="preserve"> de las industrias creativas que ha experimentado un crecimiento exponencial </w:t>
      </w:r>
      <w:r w:rsidR="00A505F6" w:rsidRPr="008566FB">
        <w:rPr>
          <w:szCs w:val="22"/>
          <w:lang w:val="es-419"/>
        </w:rPr>
        <w:t>en los últimos diez años</w:t>
      </w:r>
      <w:r w:rsidR="00504068" w:rsidRPr="008566FB">
        <w:rPr>
          <w:szCs w:val="22"/>
          <w:lang w:val="es-419"/>
        </w:rPr>
        <w:t>: el sector de las aplicaciones móviles.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23160C" w:rsidRPr="008566FB" w:rsidRDefault="00FF0618" w:rsidP="0062573C">
      <w:pPr>
        <w:rPr>
          <w:szCs w:val="22"/>
          <w:lang w:val="es-419"/>
        </w:rPr>
      </w:pPr>
      <w:r>
        <w:rPr>
          <w:szCs w:val="22"/>
          <w:lang w:val="es-419"/>
        </w:rPr>
        <w:t>En él s</w:t>
      </w:r>
      <w:r w:rsidR="0062573C" w:rsidRPr="008566FB">
        <w:rPr>
          <w:szCs w:val="22"/>
          <w:lang w:val="es-419"/>
        </w:rPr>
        <w:t>e examina</w:t>
      </w:r>
      <w:r>
        <w:rPr>
          <w:szCs w:val="22"/>
          <w:lang w:val="es-419"/>
        </w:rPr>
        <w:t>n</w:t>
      </w:r>
      <w:r w:rsidR="0062573C" w:rsidRPr="008566FB">
        <w:rPr>
          <w:szCs w:val="22"/>
          <w:lang w:val="es-419"/>
        </w:rPr>
        <w:t xml:space="preserve"> el ecosistema de propiedad intelectual en el que se desarrolla es</w:t>
      </w:r>
      <w:r>
        <w:rPr>
          <w:szCs w:val="22"/>
          <w:lang w:val="es-419"/>
        </w:rPr>
        <w:t>e sector y</w:t>
      </w:r>
      <w:r w:rsidR="0062573C" w:rsidRPr="008566FB">
        <w:rPr>
          <w:szCs w:val="22"/>
          <w:lang w:val="es-419"/>
        </w:rPr>
        <w:t xml:space="preserve"> algunas consideraciones jurídicas fundamentales no relacionadas con la propiedad intelectual, </w:t>
      </w:r>
      <w:r>
        <w:rPr>
          <w:szCs w:val="22"/>
          <w:lang w:val="es-419"/>
        </w:rPr>
        <w:t xml:space="preserve">y se demuestra </w:t>
      </w:r>
      <w:r w:rsidR="0062573C" w:rsidRPr="008566FB">
        <w:rPr>
          <w:szCs w:val="22"/>
          <w:lang w:val="es-419"/>
        </w:rPr>
        <w:t xml:space="preserve">cómo </w:t>
      </w:r>
      <w:proofErr w:type="gramStart"/>
      <w:r w:rsidR="00A505F6" w:rsidRPr="008566FB">
        <w:rPr>
          <w:szCs w:val="22"/>
          <w:lang w:val="es-419"/>
        </w:rPr>
        <w:t xml:space="preserve">la normativa jurídica </w:t>
      </w:r>
      <w:r>
        <w:rPr>
          <w:szCs w:val="22"/>
          <w:lang w:val="es-419"/>
        </w:rPr>
        <w:t>pueden</w:t>
      </w:r>
      <w:proofErr w:type="gramEnd"/>
      <w:r>
        <w:rPr>
          <w:szCs w:val="22"/>
          <w:lang w:val="es-419"/>
        </w:rPr>
        <w:t xml:space="preserve"> ser útil </w:t>
      </w:r>
      <w:r w:rsidR="00A505F6" w:rsidRPr="008566FB">
        <w:rPr>
          <w:szCs w:val="22"/>
          <w:lang w:val="es-419"/>
        </w:rPr>
        <w:t>a la hora de dirigir</w:t>
      </w:r>
      <w:r w:rsidR="0062573C" w:rsidRPr="008566FB">
        <w:rPr>
          <w:szCs w:val="22"/>
          <w:lang w:val="es-419"/>
        </w:rPr>
        <w:t xml:space="preserve"> una empresa del sector de las aplicaciones móviles.</w:t>
      </w:r>
      <w:r w:rsidR="00E43653" w:rsidRPr="008566FB">
        <w:rPr>
          <w:szCs w:val="22"/>
          <w:lang w:val="es-419"/>
        </w:rPr>
        <w:t xml:space="preserve"> </w:t>
      </w:r>
      <w:r w:rsidR="00CB1860">
        <w:rPr>
          <w:szCs w:val="22"/>
          <w:lang w:val="es-419"/>
        </w:rPr>
        <w:t>El</w:t>
      </w:r>
      <w:r w:rsidR="00C264A8">
        <w:rPr>
          <w:szCs w:val="22"/>
          <w:lang w:val="es-419"/>
        </w:rPr>
        <w:t xml:space="preserve"> estudio</w:t>
      </w:r>
      <w:r w:rsidR="0062573C" w:rsidRPr="008566FB">
        <w:rPr>
          <w:szCs w:val="22"/>
          <w:lang w:val="es-419"/>
        </w:rPr>
        <w:t xml:space="preserve"> concluye con la elaboración de una hoja de ruta </w:t>
      </w:r>
      <w:r w:rsidR="00AA1622" w:rsidRPr="008566FB">
        <w:rPr>
          <w:szCs w:val="22"/>
          <w:lang w:val="es-419"/>
        </w:rPr>
        <w:t>con la que se</w:t>
      </w:r>
      <w:r w:rsidR="0062573C" w:rsidRPr="008566FB">
        <w:rPr>
          <w:szCs w:val="22"/>
          <w:lang w:val="es-419"/>
        </w:rPr>
        <w:t xml:space="preserve"> </w:t>
      </w:r>
      <w:r w:rsidR="00AA1622" w:rsidRPr="008566FB">
        <w:rPr>
          <w:szCs w:val="22"/>
          <w:lang w:val="es-419"/>
        </w:rPr>
        <w:t>pretende</w:t>
      </w:r>
      <w:r w:rsidR="0062573C" w:rsidRPr="008566FB">
        <w:rPr>
          <w:szCs w:val="22"/>
          <w:lang w:val="es-419"/>
        </w:rPr>
        <w:t xml:space="preserve"> identificar los principales desafíos jurídicos a los que se enfrentan las empresas de aplicaciones móviles.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23160C" w:rsidRPr="008566FB" w:rsidRDefault="004125F9" w:rsidP="00B5769B">
      <w:pPr>
        <w:rPr>
          <w:szCs w:val="22"/>
          <w:lang w:val="es-419"/>
        </w:rPr>
      </w:pPr>
      <w:r w:rsidRPr="008566FB">
        <w:rPr>
          <w:szCs w:val="22"/>
          <w:lang w:val="es-419"/>
        </w:rPr>
        <w:t xml:space="preserve">En </w:t>
      </w:r>
      <w:r w:rsidR="00C264A8">
        <w:rPr>
          <w:szCs w:val="22"/>
          <w:lang w:val="es-419"/>
        </w:rPr>
        <w:t>el estudio</w:t>
      </w:r>
      <w:r w:rsidR="0062573C" w:rsidRPr="008566FB">
        <w:rPr>
          <w:szCs w:val="22"/>
          <w:lang w:val="es-419"/>
        </w:rPr>
        <w:t xml:space="preserve"> se abordan las </w:t>
      </w:r>
      <w:r w:rsidRPr="008566FB">
        <w:rPr>
          <w:szCs w:val="22"/>
          <w:lang w:val="es-419"/>
        </w:rPr>
        <w:t xml:space="preserve">cuestiones que figuran </w:t>
      </w:r>
      <w:r w:rsidR="000200C0" w:rsidRPr="008566FB">
        <w:rPr>
          <w:szCs w:val="22"/>
          <w:lang w:val="es-419"/>
        </w:rPr>
        <w:t>a continuación</w:t>
      </w:r>
      <w:r w:rsidRPr="008566FB">
        <w:rPr>
          <w:szCs w:val="22"/>
          <w:lang w:val="es-419"/>
        </w:rPr>
        <w:t xml:space="preserve"> y se proporcionan</w:t>
      </w:r>
      <w:r w:rsidR="0062573C" w:rsidRPr="008566FB">
        <w:rPr>
          <w:szCs w:val="22"/>
          <w:lang w:val="es-419"/>
        </w:rPr>
        <w:t xml:space="preserve"> las </w:t>
      </w:r>
      <w:r w:rsidRPr="008566FB">
        <w:rPr>
          <w:szCs w:val="22"/>
          <w:lang w:val="es-419"/>
        </w:rPr>
        <w:t xml:space="preserve">siguientes </w:t>
      </w:r>
      <w:r w:rsidR="0062573C" w:rsidRPr="008566FB">
        <w:rPr>
          <w:szCs w:val="22"/>
          <w:lang w:val="es-419"/>
        </w:rPr>
        <w:t xml:space="preserve">explicaciones y </w:t>
      </w:r>
      <w:r w:rsidRPr="008566FB">
        <w:rPr>
          <w:szCs w:val="22"/>
          <w:lang w:val="es-419"/>
        </w:rPr>
        <w:t>consejos</w:t>
      </w:r>
      <w:r w:rsidR="0062573C" w:rsidRPr="008566FB">
        <w:rPr>
          <w:szCs w:val="22"/>
          <w:lang w:val="es-419"/>
        </w:rPr>
        <w:t>:</w:t>
      </w:r>
      <w:r w:rsidR="00FF0618">
        <w:rPr>
          <w:szCs w:val="22"/>
          <w:lang w:val="es-419"/>
        </w:rPr>
        <w:t xml:space="preserve"> </w:t>
      </w:r>
      <w:r w:rsidR="000200C0" w:rsidRPr="008566FB">
        <w:rPr>
          <w:szCs w:val="22"/>
          <w:lang w:val="es-419"/>
        </w:rPr>
        <w:t>En la</w:t>
      </w:r>
      <w:r w:rsidR="00FE6078" w:rsidRPr="008566FB">
        <w:rPr>
          <w:szCs w:val="22"/>
          <w:lang w:val="es-419"/>
        </w:rPr>
        <w:t xml:space="preserve"> Parte I </w:t>
      </w:r>
      <w:r w:rsidR="000200C0" w:rsidRPr="008566FB">
        <w:rPr>
          <w:szCs w:val="22"/>
          <w:lang w:val="es-419"/>
        </w:rPr>
        <w:t xml:space="preserve">se </w:t>
      </w:r>
      <w:r w:rsidR="00633DDA" w:rsidRPr="008566FB">
        <w:rPr>
          <w:szCs w:val="22"/>
          <w:lang w:val="es-419"/>
        </w:rPr>
        <w:t xml:space="preserve">comienza trazando una perspectiva </w:t>
      </w:r>
      <w:r w:rsidR="00FE6078" w:rsidRPr="008566FB">
        <w:rPr>
          <w:szCs w:val="22"/>
          <w:lang w:val="es-419"/>
        </w:rPr>
        <w:t>general del sector de las aplicaciones móviles.</w:t>
      </w:r>
      <w:r w:rsidR="00E43653" w:rsidRPr="008566FB">
        <w:rPr>
          <w:szCs w:val="22"/>
          <w:lang w:val="es-419"/>
        </w:rPr>
        <w:t xml:space="preserve"> </w:t>
      </w:r>
      <w:r w:rsidR="000200C0" w:rsidRPr="008566FB">
        <w:rPr>
          <w:szCs w:val="22"/>
          <w:lang w:val="es-419"/>
        </w:rPr>
        <w:t>Se p</w:t>
      </w:r>
      <w:r w:rsidR="00B5769B" w:rsidRPr="008566FB">
        <w:rPr>
          <w:szCs w:val="22"/>
          <w:lang w:val="es-419"/>
        </w:rPr>
        <w:t>rosigue con una breve descripción de los aspectos relevantes de los derechos de propiedad intelectual clave</w:t>
      </w:r>
      <w:r w:rsidR="000200C0" w:rsidRPr="008566FB">
        <w:rPr>
          <w:szCs w:val="22"/>
          <w:lang w:val="es-419"/>
        </w:rPr>
        <w:t>s</w:t>
      </w:r>
      <w:r w:rsidR="00B5769B" w:rsidRPr="008566FB">
        <w:rPr>
          <w:szCs w:val="22"/>
          <w:lang w:val="es-419"/>
        </w:rPr>
        <w:t xml:space="preserve"> para el sector de las aplicaciones móviles: el derecho de autor, las patentes, los modelos de utilidad, el acondicionamiento distintivo y las marcas, los dibujos y modelos industriales y los secretos comerciales.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23160C" w:rsidRPr="008566FB" w:rsidRDefault="003727E3" w:rsidP="004F54E8">
      <w:pPr>
        <w:rPr>
          <w:szCs w:val="22"/>
          <w:lang w:val="es-419"/>
        </w:rPr>
      </w:pPr>
      <w:r w:rsidRPr="008566FB">
        <w:rPr>
          <w:szCs w:val="22"/>
          <w:lang w:val="es-419"/>
        </w:rPr>
        <w:t>En la P</w:t>
      </w:r>
      <w:r w:rsidR="009B2403" w:rsidRPr="008566FB">
        <w:rPr>
          <w:szCs w:val="22"/>
          <w:lang w:val="es-419"/>
        </w:rPr>
        <w:t>arte II se analiza con cierto detalle la posibilidad de proteger el código subyacente y la arquitectura interna que constituyen el núcleo de las aplicaciones móviles, y se abordan cuestiones jurídicas y empresariales fundamentales a ese respecto.</w:t>
      </w:r>
      <w:r w:rsidR="00E43653" w:rsidRPr="008566FB">
        <w:rPr>
          <w:szCs w:val="22"/>
          <w:lang w:val="es-419"/>
        </w:rPr>
        <w:t xml:space="preserve"> </w:t>
      </w:r>
      <w:r w:rsidR="000200C0" w:rsidRPr="008566FB">
        <w:rPr>
          <w:szCs w:val="22"/>
          <w:lang w:val="es-419"/>
        </w:rPr>
        <w:t>A su vez</w:t>
      </w:r>
      <w:r w:rsidRPr="008566FB">
        <w:rPr>
          <w:szCs w:val="22"/>
          <w:lang w:val="es-419"/>
        </w:rPr>
        <w:t xml:space="preserve">, </w:t>
      </w:r>
      <w:r w:rsidR="004F54E8" w:rsidRPr="008566FB">
        <w:rPr>
          <w:szCs w:val="22"/>
          <w:lang w:val="es-419"/>
        </w:rPr>
        <w:t>se examinan en esta parte</w:t>
      </w:r>
      <w:r w:rsidRPr="008566FB">
        <w:rPr>
          <w:szCs w:val="22"/>
          <w:lang w:val="es-419"/>
        </w:rPr>
        <w:t xml:space="preserve"> las diversas modalidades para el desarrollo de </w:t>
      </w:r>
      <w:r w:rsidRPr="008566FB">
        <w:rPr>
          <w:i/>
          <w:szCs w:val="22"/>
          <w:lang w:val="es-419"/>
        </w:rPr>
        <w:t>software</w:t>
      </w:r>
      <w:r w:rsidRPr="008566FB">
        <w:rPr>
          <w:szCs w:val="22"/>
          <w:lang w:val="es-419"/>
        </w:rPr>
        <w:t xml:space="preserve"> y, en particular, los modelos más frecuentes en el desarrollo de aplicaciones móviles.</w:t>
      </w:r>
      <w:r w:rsidR="00E43653" w:rsidRPr="008566FB">
        <w:rPr>
          <w:szCs w:val="22"/>
          <w:lang w:val="es-419"/>
        </w:rPr>
        <w:t xml:space="preserve"> </w:t>
      </w:r>
      <w:r w:rsidRPr="008566FB">
        <w:rPr>
          <w:szCs w:val="22"/>
          <w:lang w:val="es-419"/>
        </w:rPr>
        <w:t>A continuación, se examina el alcance y la naturaleza de la protección de los órganos internos de los programas informáticos en el marco de diferentes regímenes de PI.</w:t>
      </w:r>
      <w:r w:rsidR="00E43653" w:rsidRPr="008566FB">
        <w:rPr>
          <w:szCs w:val="22"/>
          <w:lang w:val="es-419"/>
        </w:rPr>
        <w:t xml:space="preserve"> </w:t>
      </w:r>
      <w:r w:rsidR="004F54E8" w:rsidRPr="008566FB">
        <w:rPr>
          <w:szCs w:val="22"/>
          <w:lang w:val="es-419"/>
        </w:rPr>
        <w:t>Se aborda una de las cuestiones fundamentales en este contexto: la interoperabilidad y su importancia para el desarrollador de aplicaciones móviles.</w:t>
      </w:r>
      <w:r w:rsidR="00E43653" w:rsidRPr="008566FB">
        <w:rPr>
          <w:szCs w:val="22"/>
          <w:lang w:val="es-419"/>
        </w:rPr>
        <w:t xml:space="preserve"> </w:t>
      </w:r>
      <w:r w:rsidR="00AA1622" w:rsidRPr="008566FB">
        <w:rPr>
          <w:szCs w:val="22"/>
          <w:lang w:val="es-419"/>
        </w:rPr>
        <w:t>Esta</w:t>
      </w:r>
      <w:r w:rsidR="004F54E8" w:rsidRPr="008566FB">
        <w:rPr>
          <w:szCs w:val="22"/>
          <w:lang w:val="es-419"/>
        </w:rPr>
        <w:t xml:space="preserve"> parte concluye con la mención de las principales complejidades jurídicas en este contexto, </w:t>
      </w:r>
      <w:r w:rsidR="00E65665" w:rsidRPr="008566FB">
        <w:rPr>
          <w:szCs w:val="22"/>
          <w:lang w:val="es-419"/>
        </w:rPr>
        <w:t>las cuales</w:t>
      </w:r>
      <w:r w:rsidR="004F54E8" w:rsidRPr="008566FB">
        <w:rPr>
          <w:szCs w:val="22"/>
          <w:lang w:val="es-419"/>
        </w:rPr>
        <w:t xml:space="preserve"> se refieren a un entorno técnico cada vez más popular y cuya trayectoria se prevé que siga en aumento</w:t>
      </w:r>
      <w:r w:rsidR="00E65665" w:rsidRPr="008566FB">
        <w:rPr>
          <w:szCs w:val="22"/>
          <w:lang w:val="es-419"/>
        </w:rPr>
        <w:t>: la</w:t>
      </w:r>
      <w:r w:rsidR="004F54E8" w:rsidRPr="008566FB">
        <w:rPr>
          <w:szCs w:val="22"/>
          <w:lang w:val="es-419"/>
        </w:rPr>
        <w:t xml:space="preserve"> computación en la nube.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4125F9" w:rsidRPr="008566FB" w:rsidRDefault="008B2FF4" w:rsidP="007772CE">
      <w:pPr>
        <w:rPr>
          <w:szCs w:val="22"/>
          <w:lang w:val="es-419"/>
        </w:rPr>
      </w:pPr>
      <w:r w:rsidRPr="008566FB">
        <w:rPr>
          <w:szCs w:val="22"/>
          <w:lang w:val="es-419"/>
        </w:rPr>
        <w:t>En la Parte III se examina lo que en esencia podría constituir el elemento más significativo a la hora de aumentar la popularidad y, por lo tanto, el éxito comercial de una aplicación móvil: su interfaz de usu</w:t>
      </w:r>
      <w:r w:rsidR="009F03B8" w:rsidRPr="008566FB">
        <w:rPr>
          <w:szCs w:val="22"/>
          <w:lang w:val="es-419"/>
        </w:rPr>
        <w:t xml:space="preserve">ario. </w:t>
      </w:r>
      <w:r w:rsidR="00FF0618">
        <w:rPr>
          <w:szCs w:val="22"/>
          <w:lang w:val="es-419"/>
        </w:rPr>
        <w:t>Se</w:t>
      </w:r>
      <w:r w:rsidR="007772CE" w:rsidRPr="008566FB">
        <w:rPr>
          <w:szCs w:val="22"/>
          <w:lang w:val="es-419"/>
        </w:rPr>
        <w:t xml:space="preserve"> presenta un análisis preciso y esclarecedor acerca de la importancia de las interfaces de usuario para el éxito general de una aplicación móvil, así como la manera en que</w:t>
      </w:r>
      <w:r w:rsidR="00AA1622" w:rsidRPr="008566FB">
        <w:rPr>
          <w:szCs w:val="22"/>
          <w:lang w:val="es-419"/>
        </w:rPr>
        <w:t xml:space="preserve"> se podrían entrelazar </w:t>
      </w:r>
      <w:r w:rsidR="007772CE" w:rsidRPr="008566FB">
        <w:rPr>
          <w:szCs w:val="22"/>
          <w:lang w:val="es-419"/>
        </w:rPr>
        <w:t xml:space="preserve">los diferentes mecanismos </w:t>
      </w:r>
      <w:r w:rsidR="00CB1860">
        <w:rPr>
          <w:szCs w:val="22"/>
          <w:lang w:val="es-419"/>
        </w:rPr>
        <w:t>de la normativa</w:t>
      </w:r>
      <w:r w:rsidR="00FF0618" w:rsidRPr="008566FB">
        <w:rPr>
          <w:szCs w:val="22"/>
          <w:lang w:val="es-419"/>
        </w:rPr>
        <w:t xml:space="preserve"> </w:t>
      </w:r>
      <w:r w:rsidR="007772CE" w:rsidRPr="008566FB">
        <w:rPr>
          <w:szCs w:val="22"/>
          <w:lang w:val="es-419"/>
        </w:rPr>
        <w:t xml:space="preserve">de propiedad intelectual a fin de </w:t>
      </w:r>
      <w:r w:rsidR="005F1DB8" w:rsidRPr="008566FB">
        <w:rPr>
          <w:szCs w:val="22"/>
          <w:lang w:val="es-419"/>
        </w:rPr>
        <w:t>proteger</w:t>
      </w:r>
      <w:r w:rsidR="007772CE" w:rsidRPr="008566FB">
        <w:rPr>
          <w:szCs w:val="22"/>
          <w:lang w:val="es-419"/>
        </w:rPr>
        <w:t xml:space="preserve"> las diferentes capas de las interfaces de usuario de las aplicaciones móviles.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23160C" w:rsidRPr="008566FB" w:rsidRDefault="009F03B8" w:rsidP="00963EF9">
      <w:pPr>
        <w:rPr>
          <w:szCs w:val="22"/>
          <w:lang w:val="es-419"/>
        </w:rPr>
      </w:pPr>
      <w:r w:rsidRPr="008566FB">
        <w:rPr>
          <w:szCs w:val="22"/>
          <w:lang w:val="es-419"/>
        </w:rPr>
        <w:t>En la Parte IV se abordan las funciones de las aplicaciones móviles</w:t>
      </w:r>
      <w:r w:rsidR="00FF0618">
        <w:rPr>
          <w:szCs w:val="22"/>
          <w:lang w:val="es-419"/>
        </w:rPr>
        <w:t>,</w:t>
      </w:r>
      <w:r w:rsidR="00302C3D" w:rsidRPr="008566FB">
        <w:rPr>
          <w:szCs w:val="22"/>
          <w:lang w:val="es-419"/>
        </w:rPr>
        <w:t xml:space="preserve"> </w:t>
      </w:r>
      <w:r w:rsidRPr="008566FB">
        <w:rPr>
          <w:szCs w:val="22"/>
          <w:lang w:val="es-419"/>
        </w:rPr>
        <w:t>uno de los aspectos más complejos de los productos o servicios basados en programas informáticos</w:t>
      </w:r>
      <w:r w:rsidR="00FF0618">
        <w:rPr>
          <w:szCs w:val="22"/>
          <w:lang w:val="es-419"/>
        </w:rPr>
        <w:t xml:space="preserve"> en lo relativo a los derechos de propiedad intelectual</w:t>
      </w:r>
      <w:r w:rsidRPr="008566FB">
        <w:rPr>
          <w:szCs w:val="22"/>
          <w:lang w:val="es-419"/>
        </w:rPr>
        <w:t>.</w:t>
      </w:r>
      <w:r w:rsidR="00302C3D" w:rsidRPr="008566FB">
        <w:rPr>
          <w:szCs w:val="22"/>
          <w:lang w:val="es-419"/>
        </w:rPr>
        <w:t xml:space="preserve"> </w:t>
      </w:r>
      <w:r w:rsidR="0089684A">
        <w:rPr>
          <w:szCs w:val="22"/>
          <w:lang w:val="es-419"/>
        </w:rPr>
        <w:t>En última instancia, muy probablemente sea</w:t>
      </w:r>
      <w:r w:rsidR="00664063" w:rsidRPr="008566FB">
        <w:rPr>
          <w:szCs w:val="22"/>
          <w:lang w:val="es-419"/>
        </w:rPr>
        <w:t xml:space="preserve"> una función única e innovadora el factor diferenciador que </w:t>
      </w:r>
      <w:r w:rsidR="00AA1622" w:rsidRPr="008566FB">
        <w:rPr>
          <w:szCs w:val="22"/>
          <w:lang w:val="es-419"/>
        </w:rPr>
        <w:t>haga desmarcar a</w:t>
      </w:r>
      <w:r w:rsidR="00664063" w:rsidRPr="008566FB">
        <w:rPr>
          <w:szCs w:val="22"/>
          <w:lang w:val="es-419"/>
        </w:rPr>
        <w:t xml:space="preserve"> una determinada aplicación móvil </w:t>
      </w:r>
      <w:r w:rsidR="0089684A">
        <w:rPr>
          <w:szCs w:val="22"/>
          <w:lang w:val="es-419"/>
        </w:rPr>
        <w:t>de las demás</w:t>
      </w:r>
      <w:r w:rsidR="00664063" w:rsidRPr="008566FB">
        <w:rPr>
          <w:szCs w:val="22"/>
          <w:lang w:val="es-419"/>
        </w:rPr>
        <w:t xml:space="preserve"> y la </w:t>
      </w:r>
      <w:r w:rsidR="00AA1622" w:rsidRPr="008566FB">
        <w:rPr>
          <w:szCs w:val="22"/>
          <w:lang w:val="es-419"/>
        </w:rPr>
        <w:t>vuelva</w:t>
      </w:r>
      <w:r w:rsidR="00664063" w:rsidRPr="008566FB">
        <w:rPr>
          <w:szCs w:val="22"/>
          <w:lang w:val="es-419"/>
        </w:rPr>
        <w:t xml:space="preserve"> popular, si no líder d</w:t>
      </w:r>
      <w:r w:rsidR="007D6AF2" w:rsidRPr="008566FB">
        <w:rPr>
          <w:szCs w:val="22"/>
          <w:lang w:val="es-419"/>
        </w:rPr>
        <w:t xml:space="preserve">e mercado. </w:t>
      </w:r>
      <w:r w:rsidR="00302C3D" w:rsidRPr="008566FB">
        <w:rPr>
          <w:szCs w:val="22"/>
          <w:lang w:val="es-419"/>
        </w:rPr>
        <w:t>No obstante</w:t>
      </w:r>
      <w:r w:rsidR="007D6AF2" w:rsidRPr="008566FB">
        <w:rPr>
          <w:szCs w:val="22"/>
          <w:lang w:val="es-419"/>
        </w:rPr>
        <w:t xml:space="preserve">, </w:t>
      </w:r>
      <w:r w:rsidR="0089684A">
        <w:rPr>
          <w:szCs w:val="22"/>
          <w:lang w:val="es-419"/>
        </w:rPr>
        <w:t xml:space="preserve">lograr que </w:t>
      </w:r>
      <w:r w:rsidR="007D6AF2" w:rsidRPr="008566FB">
        <w:rPr>
          <w:szCs w:val="22"/>
          <w:lang w:val="es-419"/>
        </w:rPr>
        <w:t xml:space="preserve">dicha </w:t>
      </w:r>
      <w:r w:rsidR="00302C3D" w:rsidRPr="008566FB">
        <w:rPr>
          <w:szCs w:val="22"/>
          <w:lang w:val="es-419"/>
        </w:rPr>
        <w:t>función</w:t>
      </w:r>
      <w:r w:rsidR="007D6AF2" w:rsidRPr="008566FB">
        <w:rPr>
          <w:szCs w:val="22"/>
          <w:lang w:val="es-419"/>
        </w:rPr>
        <w:t xml:space="preserve"> </w:t>
      </w:r>
      <w:r w:rsidR="0089684A">
        <w:rPr>
          <w:szCs w:val="22"/>
          <w:lang w:val="es-419"/>
        </w:rPr>
        <w:t xml:space="preserve">quede protegida por la </w:t>
      </w:r>
      <w:r w:rsidR="00CB1860">
        <w:rPr>
          <w:szCs w:val="22"/>
          <w:lang w:val="es-419"/>
        </w:rPr>
        <w:t>normativa</w:t>
      </w:r>
      <w:r w:rsidR="00302C3D" w:rsidRPr="008566FB">
        <w:rPr>
          <w:szCs w:val="22"/>
          <w:lang w:val="es-419"/>
        </w:rPr>
        <w:t xml:space="preserve"> de propiedad intelectual</w:t>
      </w:r>
      <w:r w:rsidR="0089684A">
        <w:rPr>
          <w:szCs w:val="22"/>
          <w:lang w:val="es-419"/>
        </w:rPr>
        <w:t xml:space="preserve"> es una tarea muy ardua</w:t>
      </w:r>
      <w:r w:rsidR="007D6AF2" w:rsidRPr="008566FB">
        <w:rPr>
          <w:szCs w:val="22"/>
          <w:lang w:val="es-419"/>
        </w:rPr>
        <w:t xml:space="preserve">, y el alcance de </w:t>
      </w:r>
      <w:r w:rsidR="0089684A">
        <w:rPr>
          <w:szCs w:val="22"/>
          <w:lang w:val="es-419"/>
        </w:rPr>
        <w:t>es</w:t>
      </w:r>
      <w:r w:rsidR="007D6AF2" w:rsidRPr="008566FB">
        <w:rPr>
          <w:szCs w:val="22"/>
          <w:lang w:val="es-419"/>
        </w:rPr>
        <w:t>a protección suele distar mucho de s</w:t>
      </w:r>
      <w:r w:rsidR="00963EF9" w:rsidRPr="008566FB">
        <w:rPr>
          <w:szCs w:val="22"/>
          <w:lang w:val="es-419"/>
        </w:rPr>
        <w:t xml:space="preserve">er preciso. En esta parte se analizan </w:t>
      </w:r>
      <w:r w:rsidR="0089684A">
        <w:rPr>
          <w:szCs w:val="22"/>
          <w:lang w:val="es-419"/>
        </w:rPr>
        <w:t>es</w:t>
      </w:r>
      <w:r w:rsidR="00963EF9" w:rsidRPr="008566FB">
        <w:rPr>
          <w:szCs w:val="22"/>
          <w:lang w:val="es-419"/>
        </w:rPr>
        <w:t xml:space="preserve">as dificultades y se </w:t>
      </w:r>
      <w:r w:rsidR="00AA1622" w:rsidRPr="008566FB">
        <w:rPr>
          <w:szCs w:val="22"/>
          <w:lang w:val="es-419"/>
        </w:rPr>
        <w:t xml:space="preserve">propone una serie de </w:t>
      </w:r>
      <w:r w:rsidR="00963EF9" w:rsidRPr="008566FB">
        <w:rPr>
          <w:szCs w:val="22"/>
          <w:lang w:val="es-419"/>
        </w:rPr>
        <w:t xml:space="preserve">soluciones alternativas cuando se dispone de ellas, al tiempo que se </w:t>
      </w:r>
      <w:r w:rsidR="005F5AA9" w:rsidRPr="008566FB">
        <w:rPr>
          <w:szCs w:val="22"/>
          <w:lang w:val="es-419"/>
        </w:rPr>
        <w:t>brinda</w:t>
      </w:r>
      <w:r w:rsidR="00963EF9" w:rsidRPr="008566FB">
        <w:rPr>
          <w:szCs w:val="22"/>
          <w:lang w:val="es-419"/>
        </w:rPr>
        <w:t xml:space="preserve"> un valioso asesoramiento </w:t>
      </w:r>
      <w:r w:rsidR="00D077FC" w:rsidRPr="008566FB">
        <w:rPr>
          <w:szCs w:val="22"/>
          <w:lang w:val="es-419"/>
        </w:rPr>
        <w:t>a este respecto</w:t>
      </w:r>
      <w:r w:rsidR="00963EF9" w:rsidRPr="008566FB">
        <w:rPr>
          <w:szCs w:val="22"/>
          <w:lang w:val="es-419"/>
        </w:rPr>
        <w:t xml:space="preserve"> a </w:t>
      </w:r>
      <w:r w:rsidR="00D077FC" w:rsidRPr="008566FB">
        <w:rPr>
          <w:szCs w:val="22"/>
          <w:lang w:val="es-419"/>
        </w:rPr>
        <w:t xml:space="preserve">las </w:t>
      </w:r>
      <w:r w:rsidR="00963EF9" w:rsidRPr="008566FB">
        <w:rPr>
          <w:szCs w:val="22"/>
          <w:lang w:val="es-419"/>
        </w:rPr>
        <w:t>empresas del sector de las aplicaciones móviles</w:t>
      </w:r>
      <w:r w:rsidR="00E43653" w:rsidRPr="008566FB">
        <w:rPr>
          <w:szCs w:val="22"/>
          <w:lang w:val="es-419"/>
        </w:rPr>
        <w:t>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4125F9" w:rsidRPr="008566FB" w:rsidRDefault="00D077FC" w:rsidP="000D1EFD">
      <w:pPr>
        <w:autoSpaceDE w:val="0"/>
        <w:autoSpaceDN w:val="0"/>
        <w:adjustRightInd w:val="0"/>
        <w:rPr>
          <w:rFonts w:ascii="Arial Unicode MS" w:eastAsia="Times New Roman" w:hAnsi="Arial Unicode MS" w:cs="Arial Unicode MS"/>
          <w:szCs w:val="22"/>
          <w:lang w:val="es-419" w:eastAsia="fr-CH"/>
        </w:rPr>
      </w:pPr>
      <w:r w:rsidRPr="008566FB">
        <w:rPr>
          <w:szCs w:val="22"/>
          <w:lang w:val="es-419"/>
        </w:rPr>
        <w:t>La Parte V es la única sección de</w:t>
      </w:r>
      <w:r w:rsidR="0089684A">
        <w:rPr>
          <w:szCs w:val="22"/>
          <w:lang w:val="es-419"/>
        </w:rPr>
        <w:t>l estudio</w:t>
      </w:r>
      <w:r w:rsidRPr="008566FB">
        <w:rPr>
          <w:szCs w:val="22"/>
          <w:lang w:val="es-419"/>
        </w:rPr>
        <w:t xml:space="preserve"> que no </w:t>
      </w:r>
      <w:r w:rsidR="00302C3D" w:rsidRPr="008566FB">
        <w:rPr>
          <w:szCs w:val="22"/>
          <w:lang w:val="es-419"/>
        </w:rPr>
        <w:t>está centrada</w:t>
      </w:r>
      <w:r w:rsidRPr="008566FB">
        <w:rPr>
          <w:szCs w:val="22"/>
          <w:lang w:val="es-419"/>
        </w:rPr>
        <w:t xml:space="preserve"> en la propiedad intelectual.</w:t>
      </w:r>
      <w:r w:rsidR="00E43653" w:rsidRPr="008566FB">
        <w:rPr>
          <w:szCs w:val="22"/>
          <w:lang w:val="es-419"/>
        </w:rPr>
        <w:t xml:space="preserve"> </w:t>
      </w:r>
      <w:r w:rsidRPr="008566FB">
        <w:rPr>
          <w:szCs w:val="22"/>
          <w:lang w:val="es-419"/>
        </w:rPr>
        <w:t xml:space="preserve">Aunque la propiedad intelectual puede ser la principal </w:t>
      </w:r>
      <w:r w:rsidR="00AA1622" w:rsidRPr="008566FB">
        <w:rPr>
          <w:szCs w:val="22"/>
          <w:lang w:val="es-419"/>
        </w:rPr>
        <w:t>cuestión</w:t>
      </w:r>
      <w:r w:rsidRPr="008566FB">
        <w:rPr>
          <w:szCs w:val="22"/>
          <w:lang w:val="es-419"/>
        </w:rPr>
        <w:t xml:space="preserve"> jurídica a la hora de </w:t>
      </w:r>
      <w:r w:rsidR="00AA1622" w:rsidRPr="008566FB">
        <w:rPr>
          <w:szCs w:val="22"/>
          <w:lang w:val="es-419"/>
        </w:rPr>
        <w:t>abordar</w:t>
      </w:r>
      <w:r w:rsidRPr="008566FB">
        <w:rPr>
          <w:szCs w:val="22"/>
          <w:lang w:val="es-419"/>
        </w:rPr>
        <w:t xml:space="preserve"> las aplicaciones móviles, existen muchos otros aspectos jurídicos que </w:t>
      </w:r>
      <w:r w:rsidR="00FD5D17" w:rsidRPr="008566FB">
        <w:rPr>
          <w:szCs w:val="22"/>
          <w:lang w:val="es-419"/>
        </w:rPr>
        <w:t>han de ser valorados</w:t>
      </w:r>
      <w:r w:rsidR="00302C3D" w:rsidRPr="008566FB">
        <w:rPr>
          <w:szCs w:val="22"/>
          <w:lang w:val="es-419"/>
        </w:rPr>
        <w:t xml:space="preserve"> para el desarrollo de</w:t>
      </w:r>
      <w:r w:rsidRPr="008566FB">
        <w:rPr>
          <w:szCs w:val="22"/>
          <w:lang w:val="es-419"/>
        </w:rPr>
        <w:t xml:space="preserve"> aplicaciones móviles.</w:t>
      </w:r>
      <w:r w:rsidR="00E43653" w:rsidRPr="008566FB">
        <w:rPr>
          <w:szCs w:val="22"/>
          <w:lang w:val="es-419"/>
        </w:rPr>
        <w:t xml:space="preserve"> </w:t>
      </w:r>
      <w:r w:rsidR="00FD5D17" w:rsidRPr="008566FB">
        <w:rPr>
          <w:szCs w:val="22"/>
          <w:lang w:val="es-419"/>
        </w:rPr>
        <w:t>Dichos aspectos jurídicos son tratados en esta parte</w:t>
      </w:r>
      <w:r w:rsidRPr="008566FB">
        <w:rPr>
          <w:szCs w:val="22"/>
          <w:lang w:val="es-419"/>
        </w:rPr>
        <w:t xml:space="preserve">. En </w:t>
      </w:r>
      <w:r w:rsidRPr="008566FB">
        <w:rPr>
          <w:szCs w:val="22"/>
          <w:lang w:val="es-419"/>
        </w:rPr>
        <w:lastRenderedPageBreak/>
        <w:t xml:space="preserve">relación con el entorno empresarial y jurídico de las aplicaciones móviles, se examinan cuestiones pertinentes como los acuerdos de licencia contraídos con el usuario final, los aspectos relativos a la protección de datos, </w:t>
      </w:r>
      <w:r w:rsidR="005F5AA9" w:rsidRPr="008566FB">
        <w:rPr>
          <w:szCs w:val="22"/>
          <w:lang w:val="es-419"/>
        </w:rPr>
        <w:t xml:space="preserve">la privacidad, la protección del consumidor y las normas sobre publicidad. Además, en </w:t>
      </w:r>
      <w:r w:rsidR="0089684A">
        <w:rPr>
          <w:szCs w:val="22"/>
          <w:lang w:val="es-419"/>
        </w:rPr>
        <w:t>el estudio</w:t>
      </w:r>
      <w:r w:rsidR="005F5AA9" w:rsidRPr="008566FB">
        <w:rPr>
          <w:szCs w:val="22"/>
          <w:lang w:val="es-419"/>
        </w:rPr>
        <w:t xml:space="preserve"> se examinan brevemente los acuerdos contractuales en el contexto de los acuerdos de los desarrolladores de aplicac</w:t>
      </w:r>
      <w:r w:rsidR="000D1EFD" w:rsidRPr="008566FB">
        <w:rPr>
          <w:szCs w:val="22"/>
          <w:lang w:val="es-419"/>
        </w:rPr>
        <w:t xml:space="preserve">iones, mediante el examen de algunas cláusulas habituales a ese respecto. </w:t>
      </w:r>
      <w:r w:rsidR="000D1EFD" w:rsidRPr="008566FB">
        <w:rPr>
          <w:rFonts w:ascii="Arial Unicode MS" w:eastAsia="Times New Roman" w:hAnsi="Arial Unicode MS" w:cs="Arial Unicode MS"/>
          <w:szCs w:val="22"/>
          <w:lang w:val="es-419" w:eastAsia="fr-CH"/>
        </w:rPr>
        <w:t>Ese examen se lleva a cabo al tiempo que se proporciona un valioso asesoramiento a los desarrolladores de aplicaciones en relación con dichos acuerdos de desarrollo.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23160C" w:rsidRPr="008566FB" w:rsidRDefault="00ED33FE" w:rsidP="00ED33FE">
      <w:pPr>
        <w:rPr>
          <w:szCs w:val="22"/>
          <w:lang w:val="es-419"/>
        </w:rPr>
      </w:pPr>
      <w:r w:rsidRPr="008566FB">
        <w:rPr>
          <w:szCs w:val="22"/>
          <w:lang w:val="es-419"/>
        </w:rPr>
        <w:t xml:space="preserve">Por último, en la Parte VI se describen los desafíos mundiales </w:t>
      </w:r>
      <w:r w:rsidR="0089684A">
        <w:rPr>
          <w:szCs w:val="22"/>
          <w:lang w:val="es-419"/>
        </w:rPr>
        <w:t>que se plantean a</w:t>
      </w:r>
      <w:r w:rsidRPr="008566FB">
        <w:rPr>
          <w:szCs w:val="22"/>
          <w:lang w:val="es-419"/>
        </w:rPr>
        <w:t xml:space="preserve">l sector de las aplicaciones móviles, y se </w:t>
      </w:r>
      <w:r w:rsidR="0089684A">
        <w:rPr>
          <w:szCs w:val="22"/>
          <w:lang w:val="es-419"/>
        </w:rPr>
        <w:t>ofrece</w:t>
      </w:r>
      <w:r w:rsidRPr="008566FB">
        <w:rPr>
          <w:szCs w:val="22"/>
          <w:lang w:val="es-419"/>
        </w:rPr>
        <w:t xml:space="preserve">n </w:t>
      </w:r>
      <w:r w:rsidR="0089684A">
        <w:rPr>
          <w:szCs w:val="22"/>
          <w:lang w:val="es-419"/>
        </w:rPr>
        <w:t>opiniones</w:t>
      </w:r>
      <w:r w:rsidRPr="008566FB">
        <w:rPr>
          <w:szCs w:val="22"/>
          <w:lang w:val="es-419"/>
        </w:rPr>
        <w:t xml:space="preserve"> fundamentadas sobre la forma en que pueden abordarse </w:t>
      </w:r>
      <w:r w:rsidR="0089684A">
        <w:rPr>
          <w:szCs w:val="22"/>
          <w:lang w:val="es-419"/>
        </w:rPr>
        <w:t>es</w:t>
      </w:r>
      <w:r w:rsidRPr="008566FB">
        <w:rPr>
          <w:szCs w:val="22"/>
          <w:lang w:val="es-419"/>
        </w:rPr>
        <w:t xml:space="preserve">os desafíos </w:t>
      </w:r>
      <w:r w:rsidR="00C264A8">
        <w:rPr>
          <w:szCs w:val="22"/>
          <w:lang w:val="es-419"/>
        </w:rPr>
        <w:t>habida cuenta de la normativa vigente</w:t>
      </w:r>
      <w:r w:rsidRPr="008566FB">
        <w:rPr>
          <w:szCs w:val="22"/>
          <w:lang w:val="es-419"/>
        </w:rPr>
        <w:t>.</w:t>
      </w:r>
    </w:p>
    <w:p w:rsidR="004125F9" w:rsidRPr="008566FB" w:rsidRDefault="004125F9" w:rsidP="00E43653">
      <w:pPr>
        <w:rPr>
          <w:szCs w:val="22"/>
          <w:lang w:val="es-419"/>
        </w:rPr>
      </w:pPr>
    </w:p>
    <w:p w:rsidR="0023160C" w:rsidRPr="008566FB" w:rsidRDefault="00ED33FE" w:rsidP="00ED33FE">
      <w:pPr>
        <w:rPr>
          <w:szCs w:val="22"/>
          <w:lang w:val="es-419"/>
        </w:rPr>
      </w:pPr>
      <w:r w:rsidRPr="008566FB">
        <w:rPr>
          <w:szCs w:val="22"/>
          <w:lang w:val="es-419"/>
        </w:rPr>
        <w:t xml:space="preserve">En general, </w:t>
      </w:r>
      <w:r w:rsidR="0089684A">
        <w:rPr>
          <w:szCs w:val="22"/>
          <w:lang w:val="es-419"/>
        </w:rPr>
        <w:t>el estudio</w:t>
      </w:r>
      <w:r w:rsidRPr="008566FB">
        <w:rPr>
          <w:szCs w:val="22"/>
          <w:lang w:val="es-419"/>
        </w:rPr>
        <w:t xml:space="preserve"> constituye una valiosa herramienta que puede ayudar a las empresas del sector de las aplicaciones móviles, </w:t>
      </w:r>
      <w:r w:rsidR="00FD5D17" w:rsidRPr="008566FB">
        <w:rPr>
          <w:szCs w:val="22"/>
          <w:lang w:val="es-419"/>
        </w:rPr>
        <w:t>concretamente</w:t>
      </w:r>
      <w:r w:rsidRPr="008566FB">
        <w:rPr>
          <w:szCs w:val="22"/>
          <w:lang w:val="es-419"/>
        </w:rPr>
        <w:t xml:space="preserve"> </w:t>
      </w:r>
      <w:r w:rsidR="005F1DB8" w:rsidRPr="008566FB">
        <w:rPr>
          <w:szCs w:val="22"/>
          <w:lang w:val="es-419"/>
        </w:rPr>
        <w:t xml:space="preserve">a </w:t>
      </w:r>
      <w:r w:rsidRPr="008566FB">
        <w:rPr>
          <w:szCs w:val="22"/>
          <w:lang w:val="es-419"/>
        </w:rPr>
        <w:t xml:space="preserve">las microempresas o </w:t>
      </w:r>
      <w:r w:rsidR="005F1DB8" w:rsidRPr="008566FB">
        <w:rPr>
          <w:szCs w:val="22"/>
          <w:lang w:val="es-419"/>
        </w:rPr>
        <w:t xml:space="preserve">a </w:t>
      </w:r>
      <w:r w:rsidRPr="008566FB">
        <w:rPr>
          <w:szCs w:val="22"/>
          <w:lang w:val="es-419"/>
        </w:rPr>
        <w:t xml:space="preserve">las pequeñas y medianas empresas, a desenvolverse en el complejo entorno jurídico de los derechos de propiedad intelectual, así como en otros aspectos jurídicos, a fin de continuar y crecer en </w:t>
      </w:r>
      <w:r w:rsidR="0089684A">
        <w:rPr>
          <w:szCs w:val="22"/>
          <w:lang w:val="es-419"/>
        </w:rPr>
        <w:t>un</w:t>
      </w:r>
      <w:r w:rsidRPr="008566FB">
        <w:rPr>
          <w:szCs w:val="22"/>
          <w:lang w:val="es-419"/>
        </w:rPr>
        <w:t xml:space="preserve"> mercado altamente competitivo.</w:t>
      </w:r>
    </w:p>
    <w:p w:rsidR="004125F9" w:rsidRPr="008566FB" w:rsidRDefault="004125F9" w:rsidP="000917A2">
      <w:pPr>
        <w:rPr>
          <w:lang w:val="es-419"/>
        </w:rPr>
      </w:pPr>
    </w:p>
    <w:p w:rsidR="004125F9" w:rsidRPr="008566FB" w:rsidRDefault="004125F9" w:rsidP="000917A2">
      <w:pPr>
        <w:rPr>
          <w:lang w:val="es-419"/>
        </w:rPr>
      </w:pPr>
    </w:p>
    <w:p w:rsidR="004125F9" w:rsidRDefault="004125F9" w:rsidP="000917A2">
      <w:pPr>
        <w:rPr>
          <w:lang w:val="es-419"/>
        </w:rPr>
      </w:pPr>
    </w:p>
    <w:p w:rsidR="00D10E90" w:rsidRPr="008566FB" w:rsidRDefault="00D10E90" w:rsidP="000917A2">
      <w:pPr>
        <w:rPr>
          <w:lang w:val="es-419"/>
        </w:rPr>
      </w:pPr>
    </w:p>
    <w:p w:rsidR="00D077FC" w:rsidRPr="008566FB" w:rsidRDefault="00ED33FE" w:rsidP="000917A2">
      <w:pPr>
        <w:pStyle w:val="Endofdocument-Annex"/>
        <w:rPr>
          <w:lang w:val="es-419"/>
        </w:rPr>
      </w:pPr>
      <w:r w:rsidRPr="008566FB">
        <w:rPr>
          <w:lang w:val="es-419"/>
        </w:rPr>
        <w:t>[Fin del Anexo y del documento]</w:t>
      </w:r>
    </w:p>
    <w:sectPr w:rsidR="00D077FC" w:rsidRPr="008566FB" w:rsidSect="000917A2">
      <w:headerReference w:type="default" r:id="rId13"/>
      <w:headerReference w:type="first" r:id="rId14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53" w:rsidRDefault="00E43653">
      <w:r>
        <w:separator/>
      </w:r>
    </w:p>
  </w:endnote>
  <w:endnote w:type="continuationSeparator" w:id="0">
    <w:p w:rsidR="00E43653" w:rsidRPr="009D30E6" w:rsidRDefault="00E4365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43653" w:rsidRPr="007E663E" w:rsidRDefault="00E4365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43653" w:rsidRPr="007E663E" w:rsidRDefault="00E4365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53" w:rsidRDefault="00E43653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53" w:rsidRDefault="00E4365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53" w:rsidRDefault="00E43653">
      <w:r>
        <w:separator/>
      </w:r>
    </w:p>
  </w:footnote>
  <w:footnote w:type="continuationSeparator" w:id="0">
    <w:p w:rsidR="00E43653" w:rsidRPr="009D30E6" w:rsidRDefault="00E4365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43653" w:rsidRPr="007E663E" w:rsidRDefault="00E4365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43653" w:rsidRPr="007E663E" w:rsidRDefault="00E4365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53" w:rsidRPr="00262966" w:rsidRDefault="00E43653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E43653" w:rsidRDefault="004125F9" w:rsidP="003C710A">
    <w:pPr>
      <w:tabs>
        <w:tab w:val="center" w:pos="4536"/>
        <w:tab w:val="right" w:pos="9072"/>
      </w:tabs>
      <w:jc w:val="right"/>
    </w:pPr>
    <w:r>
      <w:t>Anexo</w:t>
    </w:r>
    <w:r w:rsidR="00E43653" w:rsidRPr="00262966">
      <w:t xml:space="preserve">, </w:t>
    </w:r>
    <w:r>
      <w:t>página</w:t>
    </w:r>
    <w:r w:rsidR="00E43653" w:rsidRPr="00262966">
      <w:t xml:space="preserve"> </w:t>
    </w:r>
    <w:r w:rsidR="00E43653" w:rsidRPr="00262966">
      <w:fldChar w:fldCharType="begin"/>
    </w:r>
    <w:r w:rsidR="00E43653" w:rsidRPr="00262966">
      <w:instrText xml:space="preserve"> PAGE   \* MERGEFORMAT </w:instrText>
    </w:r>
    <w:r w:rsidR="00E43653" w:rsidRPr="00262966">
      <w:fldChar w:fldCharType="separate"/>
    </w:r>
    <w:r w:rsidR="00E43653">
      <w:rPr>
        <w:noProof/>
      </w:rPr>
      <w:t>3</w:t>
    </w:r>
    <w:r w:rsidR="00E43653"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53" w:rsidRPr="00262966" w:rsidRDefault="00E43653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E43653" w:rsidRDefault="004125F9" w:rsidP="008C3E9C">
    <w:pPr>
      <w:tabs>
        <w:tab w:val="center" w:pos="4536"/>
        <w:tab w:val="right" w:pos="9072"/>
      </w:tabs>
      <w:jc w:val="right"/>
    </w:pPr>
    <w:r>
      <w:t>Anexo</w:t>
    </w:r>
    <w:r w:rsidR="00E43653" w:rsidRPr="00262966">
      <w:t xml:space="preserve">, </w:t>
    </w:r>
    <w:r>
      <w:t>página</w:t>
    </w:r>
    <w:r w:rsidR="00E43653" w:rsidRPr="00262966">
      <w:t xml:space="preserve"> </w:t>
    </w:r>
    <w:r w:rsidR="00E43653" w:rsidRPr="00262966">
      <w:fldChar w:fldCharType="begin"/>
    </w:r>
    <w:r w:rsidR="00E43653" w:rsidRPr="00262966">
      <w:instrText xml:space="preserve"> PAGE   \* MERGEFORMAT </w:instrText>
    </w:r>
    <w:r w:rsidR="00E43653" w:rsidRPr="00262966">
      <w:fldChar w:fldCharType="separate"/>
    </w:r>
    <w:r>
      <w:rPr>
        <w:noProof/>
      </w:rPr>
      <w:t>2</w:t>
    </w:r>
    <w:r w:rsidR="00E43653"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E43653" w:rsidP="00477D6B">
    <w:pPr>
      <w:jc w:val="right"/>
    </w:pPr>
    <w:bookmarkStart w:id="6" w:name="Code2"/>
    <w:bookmarkEnd w:id="6"/>
    <w:r>
      <w:t>CDIP/24/INF/2</w:t>
    </w:r>
  </w:p>
  <w:p w:rsidR="00AE7F20" w:rsidRDefault="000917A2" w:rsidP="00477D6B">
    <w:pPr>
      <w:jc w:val="right"/>
    </w:pPr>
    <w:r>
      <w:t xml:space="preserve">Anexo, </w:t>
    </w:r>
    <w:r w:rsidR="00AE7F20">
      <w:t xml:space="preserve">página </w:t>
    </w:r>
    <w:r w:rsidR="00CA7070">
      <w:fldChar w:fldCharType="begin"/>
    </w:r>
    <w:r w:rsidR="00CA7070">
      <w:instrText xml:space="preserve"> PAGE  \* Arabic  \* MERGEFORMAT </w:instrText>
    </w:r>
    <w:r w:rsidR="00CA7070">
      <w:fldChar w:fldCharType="separate"/>
    </w:r>
    <w:r w:rsidR="00832499">
      <w:rPr>
        <w:noProof/>
      </w:rPr>
      <w:t>2</w:t>
    </w:r>
    <w:r w:rsidR="00CA7070"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2" w:rsidRDefault="000917A2" w:rsidP="000917A2">
    <w:pPr>
      <w:pStyle w:val="Header"/>
      <w:jc w:val="right"/>
    </w:pPr>
    <w:r>
      <w:t>CDIP/24/INF/2</w:t>
    </w:r>
  </w:p>
  <w:p w:rsidR="000917A2" w:rsidRDefault="000917A2" w:rsidP="000917A2">
    <w:pPr>
      <w:pStyle w:val="Header"/>
      <w:jc w:val="right"/>
    </w:pPr>
    <w:r>
      <w:t>ANEXO</w:t>
    </w:r>
  </w:p>
  <w:p w:rsidR="000917A2" w:rsidRDefault="000917A2" w:rsidP="000917A2">
    <w:pPr>
      <w:pStyle w:val="Header"/>
      <w:jc w:val="right"/>
    </w:pPr>
  </w:p>
  <w:p w:rsidR="000917A2" w:rsidRDefault="000917A2" w:rsidP="000917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D0F63"/>
    <w:multiLevelType w:val="hybridMultilevel"/>
    <w:tmpl w:val="1C228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F40BDE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A1961"/>
    <w:multiLevelType w:val="hybridMultilevel"/>
    <w:tmpl w:val="C7629C98"/>
    <w:lvl w:ilvl="0" w:tplc="E138D10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Development\Dev_Agenda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E43653"/>
    <w:rsid w:val="00010686"/>
    <w:rsid w:val="000200C0"/>
    <w:rsid w:val="000522B9"/>
    <w:rsid w:val="00052915"/>
    <w:rsid w:val="000764E9"/>
    <w:rsid w:val="000917A2"/>
    <w:rsid w:val="000D1EFD"/>
    <w:rsid w:val="000E3BB3"/>
    <w:rsid w:val="000F5E56"/>
    <w:rsid w:val="001362EE"/>
    <w:rsid w:val="00152CEA"/>
    <w:rsid w:val="001832A6"/>
    <w:rsid w:val="0023160C"/>
    <w:rsid w:val="002634C4"/>
    <w:rsid w:val="002C2E2F"/>
    <w:rsid w:val="002E0F47"/>
    <w:rsid w:val="002F4E68"/>
    <w:rsid w:val="00302C3D"/>
    <w:rsid w:val="00310826"/>
    <w:rsid w:val="00354647"/>
    <w:rsid w:val="003727E3"/>
    <w:rsid w:val="00377273"/>
    <w:rsid w:val="003845C1"/>
    <w:rsid w:val="00387287"/>
    <w:rsid w:val="003E48F1"/>
    <w:rsid w:val="003F347A"/>
    <w:rsid w:val="004125F9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4F54E8"/>
    <w:rsid w:val="00504068"/>
    <w:rsid w:val="005275C4"/>
    <w:rsid w:val="00531B02"/>
    <w:rsid w:val="005332F0"/>
    <w:rsid w:val="0055013B"/>
    <w:rsid w:val="00571B99"/>
    <w:rsid w:val="005F1DB8"/>
    <w:rsid w:val="005F5AA9"/>
    <w:rsid w:val="00602AB6"/>
    <w:rsid w:val="00605827"/>
    <w:rsid w:val="0062573C"/>
    <w:rsid w:val="00633DDA"/>
    <w:rsid w:val="00664063"/>
    <w:rsid w:val="00675021"/>
    <w:rsid w:val="006927AE"/>
    <w:rsid w:val="006A06C6"/>
    <w:rsid w:val="006A7040"/>
    <w:rsid w:val="007224C8"/>
    <w:rsid w:val="007772CE"/>
    <w:rsid w:val="00794BE2"/>
    <w:rsid w:val="007A5581"/>
    <w:rsid w:val="007B71FE"/>
    <w:rsid w:val="007D6AF2"/>
    <w:rsid w:val="007D781E"/>
    <w:rsid w:val="007E663E"/>
    <w:rsid w:val="00815082"/>
    <w:rsid w:val="00831616"/>
    <w:rsid w:val="00832499"/>
    <w:rsid w:val="008525EB"/>
    <w:rsid w:val="008566FB"/>
    <w:rsid w:val="008804D3"/>
    <w:rsid w:val="0088395E"/>
    <w:rsid w:val="00895977"/>
    <w:rsid w:val="0089684A"/>
    <w:rsid w:val="008B2CC1"/>
    <w:rsid w:val="008B2FF4"/>
    <w:rsid w:val="008E6BD6"/>
    <w:rsid w:val="0090731E"/>
    <w:rsid w:val="00963EF9"/>
    <w:rsid w:val="00966A22"/>
    <w:rsid w:val="00972F03"/>
    <w:rsid w:val="009A0C8B"/>
    <w:rsid w:val="009A20CD"/>
    <w:rsid w:val="009B2403"/>
    <w:rsid w:val="009B6241"/>
    <w:rsid w:val="009D233D"/>
    <w:rsid w:val="009F03B8"/>
    <w:rsid w:val="00A145C8"/>
    <w:rsid w:val="00A16FC0"/>
    <w:rsid w:val="00A32864"/>
    <w:rsid w:val="00A32C9E"/>
    <w:rsid w:val="00A505F6"/>
    <w:rsid w:val="00AA1622"/>
    <w:rsid w:val="00AB613D"/>
    <w:rsid w:val="00AE7F20"/>
    <w:rsid w:val="00B534D5"/>
    <w:rsid w:val="00B5769B"/>
    <w:rsid w:val="00B65A0A"/>
    <w:rsid w:val="00B67CDC"/>
    <w:rsid w:val="00B72D36"/>
    <w:rsid w:val="00B91BA4"/>
    <w:rsid w:val="00BC4164"/>
    <w:rsid w:val="00BD2DCC"/>
    <w:rsid w:val="00BF5EAA"/>
    <w:rsid w:val="00C264A8"/>
    <w:rsid w:val="00C90559"/>
    <w:rsid w:val="00CA2251"/>
    <w:rsid w:val="00CA7070"/>
    <w:rsid w:val="00CB1860"/>
    <w:rsid w:val="00D077FC"/>
    <w:rsid w:val="00D10E90"/>
    <w:rsid w:val="00D45032"/>
    <w:rsid w:val="00D56C7C"/>
    <w:rsid w:val="00D71B4D"/>
    <w:rsid w:val="00D90289"/>
    <w:rsid w:val="00D93D55"/>
    <w:rsid w:val="00DC4C60"/>
    <w:rsid w:val="00E0079A"/>
    <w:rsid w:val="00E43653"/>
    <w:rsid w:val="00E444DA"/>
    <w:rsid w:val="00E45C84"/>
    <w:rsid w:val="00E504E5"/>
    <w:rsid w:val="00E65665"/>
    <w:rsid w:val="00EB7A3E"/>
    <w:rsid w:val="00EC1AA7"/>
    <w:rsid w:val="00EC401A"/>
    <w:rsid w:val="00ED33FE"/>
    <w:rsid w:val="00EF530A"/>
    <w:rsid w:val="00EF6622"/>
    <w:rsid w:val="00EF78A9"/>
    <w:rsid w:val="00F36EEF"/>
    <w:rsid w:val="00F55408"/>
    <w:rsid w:val="00F66152"/>
    <w:rsid w:val="00F80845"/>
    <w:rsid w:val="00F84474"/>
    <w:rsid w:val="00FA0F0D"/>
    <w:rsid w:val="00FD59D1"/>
    <w:rsid w:val="00FD5D17"/>
    <w:rsid w:val="00FE6078"/>
    <w:rsid w:val="00FF0618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E800D2-D2A7-449E-91CC-D482E7F7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E43653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4365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Hyperlink">
    <w:name w:val="Hyperlink"/>
    <w:basedOn w:val="DefaultParagraphFont"/>
    <w:unhideWhenUsed/>
    <w:rsid w:val="00E43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125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ip-development/es/agenda/work_undertaken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24 (S)</Template>
  <TotalTime>1</TotalTime>
  <Pages>3</Pages>
  <Words>1017</Words>
  <Characters>5423</Characters>
  <Application>Microsoft Office Word</Application>
  <DocSecurity>0</DocSecurity>
  <Lines>121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</vt:lpstr>
    </vt:vector>
  </TitlesOfParts>
  <Company>WIPO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CDIP_24_INF_2</dc:title>
  <dc:creator>REGUEIRA MIRA Claudia</dc:creator>
  <cp:keywords>FOR OFFICIAL USE ONLY</cp:keywords>
  <cp:lastModifiedBy>ESTEVES DOS SANTOS Anabela</cp:lastModifiedBy>
  <cp:revision>2</cp:revision>
  <cp:lastPrinted>2019-08-26T07:38:00Z</cp:lastPrinted>
  <dcterms:created xsi:type="dcterms:W3CDTF">2019-08-28T09:40:00Z</dcterms:created>
  <dcterms:modified xsi:type="dcterms:W3CDTF">2019-08-28T09:40:00Z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68ffd79b-e1cd-4f68-9076-cec39b57bdd2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