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9B3" w:rsidRPr="00FB21D6" w:rsidRDefault="008169B3" w:rsidP="008169B3">
      <w:pPr>
        <w:widowControl w:val="0"/>
        <w:jc w:val="right"/>
        <w:rPr>
          <w:b/>
          <w:sz w:val="2"/>
          <w:szCs w:val="40"/>
          <w:lang w:val="es-419"/>
        </w:rPr>
      </w:pPr>
      <w:r w:rsidRPr="00FB21D6">
        <w:rPr>
          <w:b/>
          <w:sz w:val="40"/>
          <w:szCs w:val="40"/>
          <w:lang w:val="es-419"/>
        </w:rPr>
        <w:t>S</w:t>
      </w:r>
    </w:p>
    <w:p w:rsidR="008169B3" w:rsidRPr="00FB21D6" w:rsidRDefault="004D5D84" w:rsidP="008169B3">
      <w:pPr>
        <w:spacing w:line="360" w:lineRule="auto"/>
        <w:ind w:left="4592"/>
        <w:rPr>
          <w:rFonts w:ascii="Arial Black" w:hAnsi="Arial Black"/>
          <w:caps/>
          <w:sz w:val="15"/>
          <w:lang w:val="es-419"/>
        </w:rPr>
      </w:pPr>
      <w:r w:rsidRPr="00FB21D6">
        <w:rPr>
          <w:noProof/>
          <w:lang w:eastAsia="en-US"/>
        </w:rPr>
        <w:drawing>
          <wp:inline distT="0" distB="0" distL="0" distR="0" wp14:anchorId="7E7DF87A" wp14:editId="41B2500A">
            <wp:extent cx="1857375" cy="1323975"/>
            <wp:effectExtent l="0" t="0" r="9525" b="9525"/>
            <wp:docPr id="1" name="Picture 1" descr="Las líneas curvas ascendentes del logotipo de la Organización Mundial de la Propiedad Intelectual evocan el progreso humano impulsado por la innovación y la creatividad." title="Logotipo de la OMPI, Organización Mundial de la Propiedad Intele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8169B3" w:rsidRPr="00FB21D6" w:rsidRDefault="00EC4411" w:rsidP="008169B3">
      <w:pPr>
        <w:pBdr>
          <w:top w:val="single" w:sz="4" w:space="10" w:color="auto"/>
        </w:pBdr>
        <w:spacing w:before="120"/>
        <w:jc w:val="right"/>
        <w:rPr>
          <w:rFonts w:ascii="Arial Black" w:hAnsi="Arial Black"/>
          <w:b/>
          <w:caps/>
          <w:sz w:val="15"/>
          <w:lang w:val="es-419"/>
        </w:rPr>
      </w:pPr>
      <w:proofErr w:type="spellStart"/>
      <w:r w:rsidRPr="00FB21D6">
        <w:rPr>
          <w:rFonts w:ascii="Arial Black" w:hAnsi="Arial Black"/>
          <w:b/>
          <w:caps/>
          <w:sz w:val="15"/>
          <w:lang w:val="es-419"/>
        </w:rPr>
        <w:t>C</w:t>
      </w:r>
      <w:r w:rsidR="008169B3" w:rsidRPr="00FB21D6">
        <w:rPr>
          <w:rFonts w:ascii="Arial Black" w:hAnsi="Arial Black"/>
          <w:b/>
          <w:caps/>
          <w:sz w:val="15"/>
          <w:lang w:val="es-419"/>
        </w:rPr>
        <w:t>D</w:t>
      </w:r>
      <w:r w:rsidR="00335128" w:rsidRPr="00FB21D6">
        <w:rPr>
          <w:rFonts w:ascii="Arial Black" w:hAnsi="Arial Black"/>
          <w:b/>
          <w:caps/>
          <w:sz w:val="15"/>
          <w:lang w:val="es-419"/>
        </w:rPr>
        <w:t>I</w:t>
      </w:r>
      <w:r w:rsidR="008169B3" w:rsidRPr="00FB21D6">
        <w:rPr>
          <w:rFonts w:ascii="Arial Black" w:hAnsi="Arial Black"/>
          <w:b/>
          <w:caps/>
          <w:sz w:val="15"/>
          <w:lang w:val="es-419"/>
        </w:rPr>
        <w:t>P</w:t>
      </w:r>
      <w:proofErr w:type="spellEnd"/>
      <w:r w:rsidR="008169B3" w:rsidRPr="00FB21D6">
        <w:rPr>
          <w:rFonts w:ascii="Arial Black" w:hAnsi="Arial Black"/>
          <w:b/>
          <w:caps/>
          <w:sz w:val="15"/>
          <w:lang w:val="es-419"/>
        </w:rPr>
        <w:t>/25/</w:t>
      </w:r>
      <w:bookmarkStart w:id="0" w:name="Code"/>
      <w:bookmarkEnd w:id="0"/>
      <w:r w:rsidR="00725D54" w:rsidRPr="00FB21D6">
        <w:rPr>
          <w:rFonts w:ascii="Arial Black" w:hAnsi="Arial Black"/>
          <w:b/>
          <w:caps/>
          <w:sz w:val="15"/>
          <w:lang w:val="es-419"/>
        </w:rPr>
        <w:t>3</w:t>
      </w:r>
    </w:p>
    <w:p w:rsidR="008169B3" w:rsidRPr="00FB21D6" w:rsidRDefault="008169B3" w:rsidP="008169B3">
      <w:pPr>
        <w:jc w:val="right"/>
        <w:rPr>
          <w:rFonts w:ascii="Arial Black" w:hAnsi="Arial Black"/>
          <w:b/>
          <w:caps/>
          <w:sz w:val="15"/>
          <w:lang w:val="es-419"/>
        </w:rPr>
      </w:pPr>
      <w:r w:rsidRPr="00FB21D6">
        <w:rPr>
          <w:rFonts w:ascii="Arial Black" w:hAnsi="Arial Black"/>
          <w:b/>
          <w:caps/>
          <w:sz w:val="15"/>
          <w:lang w:val="es-419"/>
        </w:rPr>
        <w:t>ORIGINAL:</w:t>
      </w:r>
      <w:bookmarkStart w:id="1" w:name="Original"/>
      <w:bookmarkEnd w:id="1"/>
      <w:r w:rsidR="00493C88">
        <w:rPr>
          <w:rFonts w:ascii="Arial Black" w:hAnsi="Arial Black"/>
          <w:b/>
          <w:caps/>
          <w:sz w:val="15"/>
          <w:lang w:val="es-419"/>
        </w:rPr>
        <w:t xml:space="preserve"> </w:t>
      </w:r>
      <w:r w:rsidR="00725D54" w:rsidRPr="00FB21D6">
        <w:rPr>
          <w:rFonts w:ascii="Arial Black" w:hAnsi="Arial Black"/>
          <w:b/>
          <w:caps/>
          <w:sz w:val="15"/>
          <w:lang w:val="es-419"/>
        </w:rPr>
        <w:t>INGLÉS</w:t>
      </w:r>
    </w:p>
    <w:p w:rsidR="008169B3" w:rsidRPr="00FB21D6" w:rsidRDefault="008169B3" w:rsidP="008169B3">
      <w:pPr>
        <w:spacing w:line="1680" w:lineRule="auto"/>
        <w:jc w:val="right"/>
        <w:rPr>
          <w:rFonts w:ascii="Arial Black" w:hAnsi="Arial Black"/>
          <w:b/>
          <w:caps/>
          <w:sz w:val="15"/>
          <w:lang w:val="es-419"/>
        </w:rPr>
      </w:pPr>
      <w:r w:rsidRPr="00FB21D6">
        <w:rPr>
          <w:rFonts w:ascii="Arial Black" w:hAnsi="Arial Black"/>
          <w:b/>
          <w:caps/>
          <w:sz w:val="15"/>
          <w:lang w:val="es-419"/>
        </w:rPr>
        <w:t>FECHA:</w:t>
      </w:r>
      <w:bookmarkStart w:id="2" w:name="Date"/>
      <w:bookmarkEnd w:id="2"/>
      <w:r w:rsidR="00493C88">
        <w:rPr>
          <w:rFonts w:ascii="Arial Black" w:hAnsi="Arial Black"/>
          <w:b/>
          <w:caps/>
          <w:sz w:val="15"/>
          <w:lang w:val="es-419"/>
        </w:rPr>
        <w:t xml:space="preserve"> </w:t>
      </w:r>
      <w:r w:rsidR="00725D54" w:rsidRPr="00FB21D6">
        <w:rPr>
          <w:rFonts w:ascii="Arial Black" w:hAnsi="Arial Black"/>
          <w:b/>
          <w:caps/>
          <w:sz w:val="15"/>
          <w:lang w:val="es-419"/>
        </w:rPr>
        <w:t>5 DE MARZO DE 2020</w:t>
      </w:r>
    </w:p>
    <w:p w:rsidR="006C2497" w:rsidRPr="00FB21D6" w:rsidRDefault="008169B3" w:rsidP="006C2497">
      <w:pPr>
        <w:spacing w:before="1000" w:after="600"/>
        <w:outlineLvl w:val="0"/>
        <w:rPr>
          <w:b/>
          <w:sz w:val="28"/>
          <w:szCs w:val="28"/>
          <w:lang w:val="es-419"/>
        </w:rPr>
      </w:pPr>
      <w:r w:rsidRPr="00FB21D6">
        <w:rPr>
          <w:b/>
          <w:sz w:val="28"/>
          <w:szCs w:val="28"/>
          <w:lang w:val="es-419"/>
        </w:rPr>
        <w:t>Comité de Desarrollo y Propiedad Intelectual (</w:t>
      </w:r>
      <w:proofErr w:type="spellStart"/>
      <w:r w:rsidRPr="00FB21D6">
        <w:rPr>
          <w:b/>
          <w:sz w:val="28"/>
          <w:szCs w:val="28"/>
          <w:lang w:val="es-419"/>
        </w:rPr>
        <w:t>CDIP</w:t>
      </w:r>
      <w:proofErr w:type="spellEnd"/>
      <w:r w:rsidRPr="00FB21D6">
        <w:rPr>
          <w:b/>
          <w:sz w:val="28"/>
          <w:szCs w:val="28"/>
          <w:lang w:val="es-419"/>
        </w:rPr>
        <w:t>)</w:t>
      </w:r>
    </w:p>
    <w:p w:rsidR="008169B3" w:rsidRPr="00FB21D6" w:rsidRDefault="00335128" w:rsidP="008169B3">
      <w:pPr>
        <w:rPr>
          <w:b/>
          <w:color w:val="000000" w:themeColor="text1"/>
          <w:sz w:val="24"/>
          <w:szCs w:val="24"/>
          <w:lang w:val="es-419"/>
        </w:rPr>
      </w:pPr>
      <w:r w:rsidRPr="00FB21D6">
        <w:rPr>
          <w:b/>
          <w:color w:val="000000" w:themeColor="text1"/>
          <w:sz w:val="24"/>
          <w:szCs w:val="24"/>
          <w:lang w:val="es-419"/>
        </w:rPr>
        <w:t xml:space="preserve">Vigesimoquinta </w:t>
      </w:r>
      <w:r w:rsidR="008169B3" w:rsidRPr="00FB21D6">
        <w:rPr>
          <w:b/>
          <w:color w:val="000000" w:themeColor="text1"/>
          <w:sz w:val="24"/>
          <w:szCs w:val="24"/>
          <w:lang w:val="es-419"/>
        </w:rPr>
        <w:t>sesión</w:t>
      </w:r>
    </w:p>
    <w:p w:rsidR="006C2497" w:rsidRPr="00FB21D6" w:rsidRDefault="008169B3" w:rsidP="008169B3">
      <w:pPr>
        <w:spacing w:after="720"/>
        <w:outlineLvl w:val="0"/>
        <w:rPr>
          <w:b/>
          <w:sz w:val="24"/>
          <w:szCs w:val="24"/>
          <w:lang w:val="es-419"/>
        </w:rPr>
      </w:pPr>
      <w:r w:rsidRPr="00FB21D6">
        <w:rPr>
          <w:b/>
          <w:sz w:val="24"/>
          <w:szCs w:val="24"/>
          <w:lang w:val="es-419"/>
        </w:rPr>
        <w:t>Ginebra, 18 a 22 de mayo de 2020</w:t>
      </w:r>
    </w:p>
    <w:p w:rsidR="005E3CBD" w:rsidRPr="00FB21D6" w:rsidRDefault="00725D54" w:rsidP="006C2497">
      <w:pPr>
        <w:spacing w:after="360"/>
        <w:outlineLvl w:val="0"/>
        <w:rPr>
          <w:caps/>
          <w:sz w:val="24"/>
          <w:lang w:val="es-419"/>
        </w:rPr>
      </w:pPr>
      <w:bookmarkStart w:id="3" w:name="TitleOfDoc"/>
      <w:bookmarkEnd w:id="3"/>
      <w:r w:rsidRPr="00FB21D6">
        <w:rPr>
          <w:sz w:val="24"/>
          <w:szCs w:val="24"/>
          <w:lang w:val="es-419"/>
        </w:rPr>
        <w:t>INFORME RELATIVO A LOS SEMINARIOS WEB SOBRE ASISTENCIA TÉCNICA</w:t>
      </w:r>
      <w:r w:rsidR="005E3CBD">
        <w:rPr>
          <w:rStyle w:val="FootnoteReference"/>
          <w:sz w:val="24"/>
          <w:szCs w:val="24"/>
          <w:lang w:val="es-419"/>
        </w:rPr>
        <w:footnoteReference w:id="2"/>
      </w:r>
    </w:p>
    <w:p w:rsidR="006C2497" w:rsidRPr="00FB21D6" w:rsidRDefault="008169B3" w:rsidP="006C2497">
      <w:pPr>
        <w:spacing w:after="960"/>
        <w:rPr>
          <w:i/>
          <w:lang w:val="es-419"/>
        </w:rPr>
      </w:pPr>
      <w:r w:rsidRPr="00FB21D6">
        <w:rPr>
          <w:i/>
          <w:lang w:val="es-419"/>
        </w:rPr>
        <w:t xml:space="preserve">preparado por </w:t>
      </w:r>
      <w:bookmarkStart w:id="4" w:name="Prepared"/>
      <w:bookmarkEnd w:id="4"/>
      <w:r w:rsidR="00725D54" w:rsidRPr="00FB21D6">
        <w:rPr>
          <w:i/>
          <w:lang w:val="es-419"/>
        </w:rPr>
        <w:t>la Secretaría</w:t>
      </w:r>
    </w:p>
    <w:p w:rsidR="00725D54" w:rsidRPr="00FB21D6" w:rsidRDefault="00725D54" w:rsidP="000B7175">
      <w:pPr>
        <w:pStyle w:val="ListParagraph"/>
        <w:numPr>
          <w:ilvl w:val="0"/>
          <w:numId w:val="7"/>
        </w:numPr>
        <w:tabs>
          <w:tab w:val="left" w:pos="567"/>
        </w:tabs>
        <w:spacing w:after="240"/>
        <w:ind w:left="0" w:firstLine="0"/>
        <w:contextualSpacing w:val="0"/>
        <w:rPr>
          <w:bCs/>
          <w:lang w:val="es-419"/>
        </w:rPr>
      </w:pPr>
      <w:r w:rsidRPr="00FB21D6">
        <w:rPr>
          <w:bCs/>
          <w:lang w:val="es-419"/>
        </w:rPr>
        <w:t>En su vigesimotercera sesión, celebrada del 20 al 24 de mayo de 2019, el Comité de Desarrollo y Propiedad Intelectual (</w:t>
      </w:r>
      <w:proofErr w:type="spellStart"/>
      <w:r w:rsidRPr="00FB21D6">
        <w:rPr>
          <w:bCs/>
          <w:lang w:val="es-419"/>
        </w:rPr>
        <w:t>CDIP</w:t>
      </w:r>
      <w:proofErr w:type="spellEnd"/>
      <w:r w:rsidRPr="00FB21D6">
        <w:rPr>
          <w:bCs/>
          <w:lang w:val="es-419"/>
        </w:rPr>
        <w:t xml:space="preserve">), al examinar el prototipo de foro de Internet sobre asistencia técnica (documento </w:t>
      </w:r>
      <w:hyperlink r:id="rId9" w:history="1">
        <w:proofErr w:type="spellStart"/>
        <w:r w:rsidRPr="00FB21D6">
          <w:rPr>
            <w:rStyle w:val="Hyperlink"/>
            <w:lang w:val="es-419"/>
          </w:rPr>
          <w:t>CDIP</w:t>
        </w:r>
        <w:proofErr w:type="spellEnd"/>
        <w:r w:rsidRPr="00FB21D6">
          <w:rPr>
            <w:rStyle w:val="Hyperlink"/>
            <w:lang w:val="es-419"/>
          </w:rPr>
          <w:t>/23/9</w:t>
        </w:r>
      </w:hyperlink>
      <w:r w:rsidRPr="00FB21D6">
        <w:rPr>
          <w:bCs/>
          <w:lang w:val="es-419"/>
        </w:rPr>
        <w:t>), tomó la siguiente dec</w:t>
      </w:r>
      <w:r w:rsidR="000B7175" w:rsidRPr="00FB21D6">
        <w:rPr>
          <w:bCs/>
          <w:lang w:val="es-419"/>
        </w:rPr>
        <w:t>isión, que figura en el párrafo </w:t>
      </w:r>
      <w:r w:rsidRPr="00FB21D6">
        <w:rPr>
          <w:bCs/>
          <w:lang w:val="es-419"/>
        </w:rPr>
        <w:t xml:space="preserve">8.1 del </w:t>
      </w:r>
      <w:hyperlink r:id="rId10" w:history="1">
        <w:r w:rsidRPr="00FB21D6">
          <w:rPr>
            <w:rStyle w:val="Hyperlink"/>
            <w:lang w:val="es-419"/>
          </w:rPr>
          <w:t>resumen de la presidencia</w:t>
        </w:r>
      </w:hyperlink>
      <w:r w:rsidRPr="00FB21D6">
        <w:rPr>
          <w:bCs/>
          <w:lang w:val="es-419"/>
        </w:rPr>
        <w:t>:</w:t>
      </w:r>
    </w:p>
    <w:p w:rsidR="00725D54" w:rsidRPr="00FB21D6" w:rsidRDefault="00725D54" w:rsidP="00725D54">
      <w:pPr>
        <w:pStyle w:val="ListParagraph"/>
        <w:spacing w:after="240"/>
        <w:ind w:left="0" w:right="72" w:firstLine="562"/>
        <w:contextualSpacing w:val="0"/>
        <w:rPr>
          <w:bCs/>
          <w:lang w:val="es-419"/>
        </w:rPr>
      </w:pPr>
      <w:r w:rsidRPr="00FB21D6">
        <w:rPr>
          <w:bCs/>
          <w:i/>
          <w:lang w:val="es-419"/>
        </w:rPr>
        <w:t>“(…) pidió a la Secretaría que aplique la plataforma de seminarios web que figura en la opción B, por un período inicial de seis meses, y presente un informe de evaluación sobre el seminario en la 25.ª sesión del Comité, para su examen ulterior”.</w:t>
      </w:r>
    </w:p>
    <w:p w:rsidR="00725D54" w:rsidRPr="00FB21D6" w:rsidRDefault="00725D54" w:rsidP="000B7175">
      <w:pPr>
        <w:pStyle w:val="ListParagraph"/>
        <w:numPr>
          <w:ilvl w:val="0"/>
          <w:numId w:val="7"/>
        </w:numPr>
        <w:tabs>
          <w:tab w:val="left" w:pos="567"/>
        </w:tabs>
        <w:spacing w:after="240" w:line="240" w:lineRule="atLeast"/>
        <w:ind w:left="0" w:firstLine="0"/>
        <w:contextualSpacing w:val="0"/>
        <w:rPr>
          <w:lang w:val="es-419"/>
        </w:rPr>
      </w:pPr>
      <w:r w:rsidRPr="00FB21D6">
        <w:rPr>
          <w:lang w:val="es-419"/>
        </w:rPr>
        <w:t xml:space="preserve">Con arreglo a esa petición, la Secretaría de la </w:t>
      </w:r>
      <w:proofErr w:type="spellStart"/>
      <w:r w:rsidRPr="00FB21D6">
        <w:rPr>
          <w:lang w:val="es-419"/>
        </w:rPr>
        <w:t>OMPI</w:t>
      </w:r>
      <w:proofErr w:type="spellEnd"/>
      <w:r w:rsidRPr="00FB21D6">
        <w:rPr>
          <w:lang w:val="es-419"/>
        </w:rPr>
        <w:t xml:space="preserve"> puso en marcha una serie de seminarios web sobre temas relacionados con la asistencia técnica. De conformidad con la opción B del documento </w:t>
      </w:r>
      <w:hyperlink r:id="rId11" w:history="1">
        <w:proofErr w:type="spellStart"/>
        <w:r w:rsidRPr="00FB21D6">
          <w:rPr>
            <w:rStyle w:val="Hyperlink"/>
            <w:lang w:val="es-419"/>
          </w:rPr>
          <w:t>CDIP</w:t>
        </w:r>
        <w:proofErr w:type="spellEnd"/>
        <w:r w:rsidRPr="00FB21D6">
          <w:rPr>
            <w:rStyle w:val="Hyperlink"/>
            <w:lang w:val="es-419"/>
          </w:rPr>
          <w:t>/23/9</w:t>
        </w:r>
      </w:hyperlink>
      <w:r w:rsidRPr="00FB21D6">
        <w:rPr>
          <w:lang w:val="es-419"/>
        </w:rPr>
        <w:t>, después del período inicial, el Comité “</w:t>
      </w:r>
      <w:r w:rsidRPr="00FB21D6">
        <w:rPr>
          <w:i/>
          <w:lang w:val="es-419"/>
        </w:rPr>
        <w:t xml:space="preserve">examinará su </w:t>
      </w:r>
      <w:r w:rsidRPr="00FB21D6">
        <w:rPr>
          <w:i/>
          <w:lang w:val="es-419"/>
        </w:rPr>
        <w:lastRenderedPageBreak/>
        <w:t>utilidad, con miras a determinar si la plataforma debe seguir existiendo en la manera conocida o si ha de modificarse o clausurarse</w:t>
      </w:r>
      <w:r w:rsidRPr="00FB21D6">
        <w:rPr>
          <w:lang w:val="es-419"/>
        </w:rPr>
        <w:t>”.</w:t>
      </w:r>
    </w:p>
    <w:p w:rsidR="00725D54" w:rsidRPr="00FB21D6" w:rsidRDefault="00725D54" w:rsidP="000B7175">
      <w:pPr>
        <w:pStyle w:val="ListParagraph"/>
        <w:numPr>
          <w:ilvl w:val="0"/>
          <w:numId w:val="7"/>
        </w:numPr>
        <w:tabs>
          <w:tab w:val="left" w:pos="567"/>
        </w:tabs>
        <w:spacing w:after="240" w:line="240" w:lineRule="atLeast"/>
        <w:ind w:left="0" w:firstLine="0"/>
        <w:contextualSpacing w:val="0"/>
        <w:rPr>
          <w:lang w:val="es-419"/>
        </w:rPr>
      </w:pPr>
      <w:r w:rsidRPr="00FB21D6">
        <w:rPr>
          <w:lang w:val="es-419"/>
        </w:rPr>
        <w:t xml:space="preserve">El presente documento contiene un informe sobre la serie de seminarios web que, junto con el informe de evaluación que figura en el documento </w:t>
      </w:r>
      <w:hyperlink r:id="rId12" w:history="1">
        <w:proofErr w:type="spellStart"/>
        <w:r w:rsidR="008A08BE" w:rsidRPr="008A08BE">
          <w:rPr>
            <w:rStyle w:val="Hyperlink"/>
            <w:lang w:val="es-419"/>
          </w:rPr>
          <w:t>CDIP</w:t>
        </w:r>
        <w:proofErr w:type="spellEnd"/>
        <w:r w:rsidR="008A08BE" w:rsidRPr="008A08BE">
          <w:rPr>
            <w:rStyle w:val="Hyperlink"/>
            <w:lang w:val="es-419"/>
          </w:rPr>
          <w:t>/25/4</w:t>
        </w:r>
      </w:hyperlink>
      <w:r w:rsidR="008A08BE">
        <w:rPr>
          <w:lang w:val="es-419"/>
        </w:rPr>
        <w:t>,</w:t>
      </w:r>
      <w:bookmarkStart w:id="5" w:name="_GoBack"/>
      <w:bookmarkEnd w:id="5"/>
      <w:r w:rsidR="008A08BE">
        <w:rPr>
          <w:lang w:val="es-419"/>
        </w:rPr>
        <w:t xml:space="preserve"> </w:t>
      </w:r>
      <w:r w:rsidRPr="00FB21D6">
        <w:rPr>
          <w:lang w:val="es-419"/>
        </w:rPr>
        <w:t>tiene por objeto facilitar el examen de la cuestión por el Comité. Los informes de conclusión de los ocho seminarios, preparados por los ponentes de los seminarios web en colaboración con la División de Coordinación de la Agenda para el Desarrollo (</w:t>
      </w:r>
      <w:proofErr w:type="spellStart"/>
      <w:r w:rsidRPr="00FB21D6">
        <w:rPr>
          <w:lang w:val="es-419"/>
        </w:rPr>
        <w:t>DACD</w:t>
      </w:r>
      <w:proofErr w:type="spellEnd"/>
      <w:r w:rsidRPr="00FB21D6">
        <w:rPr>
          <w:lang w:val="es-419"/>
        </w:rPr>
        <w:t xml:space="preserve">) de la </w:t>
      </w:r>
      <w:proofErr w:type="spellStart"/>
      <w:r w:rsidRPr="00FB21D6">
        <w:rPr>
          <w:lang w:val="es-419"/>
        </w:rPr>
        <w:t>OMPI</w:t>
      </w:r>
      <w:proofErr w:type="spellEnd"/>
      <w:r w:rsidRPr="00FB21D6">
        <w:rPr>
          <w:lang w:val="es-419"/>
        </w:rPr>
        <w:t>, figuran en el Anexo del presente documento.</w:t>
      </w:r>
    </w:p>
    <w:p w:rsidR="00725D54" w:rsidRPr="00FB21D6" w:rsidRDefault="00725D54" w:rsidP="000B7175">
      <w:pPr>
        <w:pStyle w:val="Heading2"/>
        <w:numPr>
          <w:ilvl w:val="0"/>
          <w:numId w:val="8"/>
        </w:numPr>
        <w:spacing w:before="0" w:after="240"/>
        <w:ind w:left="567" w:hanging="567"/>
        <w:rPr>
          <w:lang w:val="es-419"/>
        </w:rPr>
      </w:pPr>
      <w:r w:rsidRPr="00FB21D6">
        <w:rPr>
          <w:lang w:val="es-419"/>
        </w:rPr>
        <w:t>Administración de la plataforma de seminarios web</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 xml:space="preserve">Los seminarios web fueron administrados por la </w:t>
      </w:r>
      <w:proofErr w:type="spellStart"/>
      <w:r w:rsidRPr="00FB21D6">
        <w:rPr>
          <w:lang w:val="es-419"/>
        </w:rPr>
        <w:t>DACD</w:t>
      </w:r>
      <w:proofErr w:type="spellEnd"/>
      <w:r w:rsidRPr="00FB21D6">
        <w:rPr>
          <w:lang w:val="es-419"/>
        </w:rPr>
        <w:t xml:space="preserve"> en estrecha colaboración con las divisiones y sectores pertinentes de la </w:t>
      </w:r>
      <w:proofErr w:type="spellStart"/>
      <w:r w:rsidRPr="00FB21D6">
        <w:rPr>
          <w:lang w:val="es-419"/>
        </w:rPr>
        <w:t>OMPI</w:t>
      </w:r>
      <w:proofErr w:type="spellEnd"/>
      <w:r w:rsidRPr="00FB21D6">
        <w:rPr>
          <w:lang w:val="es-419"/>
        </w:rPr>
        <w:t xml:space="preserve">, a saber, las oficinas regionales en la sede, el Departamento para los Países en Transición y Países Desarrollados, las oficinas de la </w:t>
      </w:r>
      <w:proofErr w:type="spellStart"/>
      <w:r w:rsidRPr="00FB21D6">
        <w:rPr>
          <w:lang w:val="es-419"/>
        </w:rPr>
        <w:t>OMPI</w:t>
      </w:r>
      <w:proofErr w:type="spellEnd"/>
      <w:r w:rsidRPr="00FB21D6">
        <w:rPr>
          <w:lang w:val="es-419"/>
        </w:rPr>
        <w:t xml:space="preserve"> en el exterior, la División de Publicaciones, el Departamento de Tecnologías de la Información y las Comunicaciones y la División de Noticias y Medios de Información.</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 xml:space="preserve">En julio de 2019, la Secretaría creó una </w:t>
      </w:r>
      <w:hyperlink r:id="rId13" w:history="1">
        <w:r w:rsidRPr="00FB21D6">
          <w:rPr>
            <w:rStyle w:val="Hyperlink"/>
            <w:lang w:val="es-419"/>
          </w:rPr>
          <w:t>página web dedicada a los seminarios web</w:t>
        </w:r>
      </w:hyperlink>
      <w:r w:rsidRPr="00FB21D6">
        <w:rPr>
          <w:lang w:val="es-419"/>
        </w:rPr>
        <w:t xml:space="preserve">, vinculada a la </w:t>
      </w:r>
      <w:hyperlink r:id="rId14" w:history="1">
        <w:r w:rsidRPr="00FB21D6">
          <w:rPr>
            <w:rStyle w:val="Hyperlink"/>
            <w:lang w:val="es-419"/>
          </w:rPr>
          <w:t>página web principal de la Agenda para el Desarrollo</w:t>
        </w:r>
      </w:hyperlink>
      <w:r w:rsidRPr="00FB21D6">
        <w:rPr>
          <w:lang w:val="es-419"/>
        </w:rPr>
        <w:t>. En ella se publicó información sobre los seminarios web programados, sobre cómo inscribirse y participar, así como los requisitos técnicos para conectarse (por Internet o por vía telefónica).</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 xml:space="preserve">Los seminarios web se llevaron a cabo en directo, mediante el programa </w:t>
      </w:r>
      <w:proofErr w:type="spellStart"/>
      <w:r w:rsidRPr="00FB21D6">
        <w:rPr>
          <w:lang w:val="es-419"/>
        </w:rPr>
        <w:t>GoToWebinar</w:t>
      </w:r>
      <w:proofErr w:type="spellEnd"/>
      <w:r w:rsidRPr="00FB21D6">
        <w:rPr>
          <w:lang w:val="es-419"/>
        </w:rPr>
        <w:t xml:space="preserve">. Las grabaciones de video y las presentaciones en PowerPoint de todos los seminarios están disponibles en la </w:t>
      </w:r>
      <w:hyperlink r:id="rId15" w:history="1">
        <w:r w:rsidRPr="00FB21D6">
          <w:rPr>
            <w:rStyle w:val="Hyperlink"/>
            <w:lang w:val="es-419"/>
          </w:rPr>
          <w:t>página de los seminarios web</w:t>
        </w:r>
      </w:hyperlink>
      <w:r w:rsidRPr="00FB21D6">
        <w:rPr>
          <w:lang w:val="es-419"/>
        </w:rPr>
        <w:t>.</w:t>
      </w:r>
    </w:p>
    <w:p w:rsidR="00725D54" w:rsidRPr="00FB21D6" w:rsidRDefault="00725D54" w:rsidP="000B7175">
      <w:pPr>
        <w:pStyle w:val="Heading2"/>
        <w:numPr>
          <w:ilvl w:val="0"/>
          <w:numId w:val="8"/>
        </w:numPr>
        <w:spacing w:before="0" w:after="240"/>
        <w:ind w:left="567" w:hanging="567"/>
        <w:rPr>
          <w:lang w:val="es-419"/>
        </w:rPr>
      </w:pPr>
      <w:r w:rsidRPr="00FB21D6">
        <w:rPr>
          <w:lang w:val="es-419"/>
        </w:rPr>
        <w:t>Selección de temas y especialistas</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A fin de satisfacer el interés de los Estados miembros por abarcar todos los idiomas y regiones geográficas, la Secretaría celebró los ocho seminarios web que se enumeran a continuación: uno en cada uno de los seis idiomas oficiales de las Naciones Unidas, además de otros dos en inglés para cubrir los países anglófonos de África y el Caribe.</w:t>
      </w:r>
    </w:p>
    <w:tbl>
      <w:tblPr>
        <w:tblStyle w:val="TableGrid"/>
        <w:tblW w:w="0" w:type="auto"/>
        <w:tblLook w:val="04A0" w:firstRow="1" w:lastRow="0" w:firstColumn="1" w:lastColumn="0" w:noHBand="0" w:noVBand="1"/>
        <w:tblCaption w:val="Selection of Topics and Experts"/>
        <w:tblDescription w:val="The Secretariat held eight webinars, one in each of the six official UN languages, plus two additional ones in English to cover Anglophone African and Caribbean countries"/>
      </w:tblPr>
      <w:tblGrid>
        <w:gridCol w:w="570"/>
        <w:gridCol w:w="5662"/>
        <w:gridCol w:w="1777"/>
        <w:gridCol w:w="1336"/>
      </w:tblGrid>
      <w:tr w:rsidR="00725D54" w:rsidRPr="00FB21D6" w:rsidTr="00801EE6">
        <w:trPr>
          <w:trHeight w:val="288"/>
          <w:tblHeader/>
        </w:trPr>
        <w:tc>
          <w:tcPr>
            <w:tcW w:w="571" w:type="dxa"/>
            <w:shd w:val="pct12" w:color="auto" w:fill="auto"/>
            <w:vAlign w:val="center"/>
          </w:tcPr>
          <w:p w:rsidR="00725D54" w:rsidRPr="00FB21D6" w:rsidRDefault="00725D54" w:rsidP="00801EE6">
            <w:pPr>
              <w:pStyle w:val="ListParagraph"/>
              <w:tabs>
                <w:tab w:val="left" w:pos="360"/>
              </w:tabs>
              <w:ind w:left="0"/>
              <w:jc w:val="center"/>
              <w:rPr>
                <w:b/>
                <w:lang w:val="es-419"/>
              </w:rPr>
            </w:pPr>
            <w:r w:rsidRPr="00FB21D6">
              <w:rPr>
                <w:b/>
                <w:lang w:val="es-419"/>
              </w:rPr>
              <w:t>N.º</w:t>
            </w:r>
          </w:p>
        </w:tc>
        <w:tc>
          <w:tcPr>
            <w:tcW w:w="5664" w:type="dxa"/>
            <w:shd w:val="pct12" w:color="auto" w:fill="auto"/>
            <w:vAlign w:val="center"/>
          </w:tcPr>
          <w:p w:rsidR="00725D54" w:rsidRPr="00FB21D6" w:rsidRDefault="00725D54" w:rsidP="00801EE6">
            <w:pPr>
              <w:pStyle w:val="ListParagraph"/>
              <w:tabs>
                <w:tab w:val="left" w:pos="360"/>
              </w:tabs>
              <w:ind w:left="0"/>
              <w:jc w:val="center"/>
              <w:rPr>
                <w:b/>
                <w:lang w:val="es-419"/>
              </w:rPr>
            </w:pPr>
            <w:r w:rsidRPr="00FB21D6">
              <w:rPr>
                <w:b/>
                <w:lang w:val="es-419"/>
              </w:rPr>
              <w:t>Título</w:t>
            </w:r>
          </w:p>
        </w:tc>
        <w:tc>
          <w:tcPr>
            <w:tcW w:w="1777" w:type="dxa"/>
            <w:shd w:val="pct12" w:color="auto" w:fill="auto"/>
            <w:vAlign w:val="center"/>
          </w:tcPr>
          <w:p w:rsidR="00725D54" w:rsidRPr="00FB21D6" w:rsidRDefault="00725D54" w:rsidP="00801EE6">
            <w:pPr>
              <w:pStyle w:val="ListParagraph"/>
              <w:tabs>
                <w:tab w:val="left" w:pos="360"/>
              </w:tabs>
              <w:ind w:left="0"/>
              <w:jc w:val="center"/>
              <w:rPr>
                <w:b/>
                <w:lang w:val="es-419"/>
              </w:rPr>
            </w:pPr>
            <w:r w:rsidRPr="00FB21D6">
              <w:rPr>
                <w:b/>
                <w:lang w:val="es-419"/>
              </w:rPr>
              <w:t>Fecha</w:t>
            </w:r>
          </w:p>
        </w:tc>
        <w:tc>
          <w:tcPr>
            <w:tcW w:w="1336" w:type="dxa"/>
            <w:shd w:val="pct12" w:color="auto" w:fill="auto"/>
            <w:vAlign w:val="center"/>
          </w:tcPr>
          <w:p w:rsidR="00725D54" w:rsidRPr="00FB21D6" w:rsidRDefault="00725D54" w:rsidP="00801EE6">
            <w:pPr>
              <w:pStyle w:val="ListParagraph"/>
              <w:tabs>
                <w:tab w:val="left" w:pos="360"/>
              </w:tabs>
              <w:ind w:left="0"/>
              <w:jc w:val="center"/>
              <w:rPr>
                <w:b/>
                <w:lang w:val="es-419"/>
              </w:rPr>
            </w:pPr>
            <w:r w:rsidRPr="00FB21D6">
              <w:rPr>
                <w:b/>
                <w:lang w:val="es-419"/>
              </w:rPr>
              <w:t>Idioma</w:t>
            </w:r>
          </w:p>
        </w:tc>
      </w:tr>
      <w:tr w:rsidR="00725D54" w:rsidRPr="00FB21D6" w:rsidTr="00801EE6">
        <w:trPr>
          <w:trHeight w:val="288"/>
        </w:trPr>
        <w:tc>
          <w:tcPr>
            <w:tcW w:w="571" w:type="dxa"/>
          </w:tcPr>
          <w:p w:rsidR="00725D54" w:rsidRPr="00FB21D6" w:rsidRDefault="00725D54" w:rsidP="00801EE6">
            <w:pPr>
              <w:pStyle w:val="ListParagraph"/>
              <w:tabs>
                <w:tab w:val="left" w:pos="360"/>
              </w:tabs>
              <w:ind w:left="0"/>
              <w:rPr>
                <w:lang w:val="es-419"/>
              </w:rPr>
            </w:pPr>
            <w:r w:rsidRPr="00FB21D6">
              <w:rPr>
                <w:lang w:val="es-419"/>
              </w:rPr>
              <w:t>I</w:t>
            </w:r>
          </w:p>
        </w:tc>
        <w:tc>
          <w:tcPr>
            <w:tcW w:w="5664" w:type="dxa"/>
          </w:tcPr>
          <w:p w:rsidR="00725D54" w:rsidRPr="00FB21D6" w:rsidRDefault="00725D54" w:rsidP="00801EE6">
            <w:pPr>
              <w:spacing w:after="120"/>
              <w:jc w:val="both"/>
              <w:rPr>
                <w:lang w:val="es-419"/>
              </w:rPr>
            </w:pPr>
            <w:r w:rsidRPr="00FB21D6">
              <w:rPr>
                <w:lang w:val="es-419"/>
              </w:rPr>
              <w:t>Cómo aprovechar las nuevas herramientas y metodologías para prestar una asistencia técnica eficaz en la región árabe</w:t>
            </w:r>
          </w:p>
        </w:tc>
        <w:tc>
          <w:tcPr>
            <w:tcW w:w="1777" w:type="dxa"/>
          </w:tcPr>
          <w:p w:rsidR="00725D54" w:rsidRPr="00FB21D6" w:rsidRDefault="00725D54" w:rsidP="00801EE6">
            <w:pPr>
              <w:pStyle w:val="ListParagraph"/>
              <w:tabs>
                <w:tab w:val="left" w:pos="360"/>
              </w:tabs>
              <w:ind w:left="0"/>
              <w:rPr>
                <w:lang w:val="es-419"/>
              </w:rPr>
            </w:pPr>
            <w:r w:rsidRPr="00FB21D6">
              <w:rPr>
                <w:lang w:val="es-419"/>
              </w:rPr>
              <w:t>18 de septiembre de 2019</w:t>
            </w:r>
          </w:p>
        </w:tc>
        <w:tc>
          <w:tcPr>
            <w:tcW w:w="1336" w:type="dxa"/>
          </w:tcPr>
          <w:p w:rsidR="00725D54" w:rsidRPr="00FB21D6" w:rsidRDefault="00725D54" w:rsidP="00801EE6">
            <w:pPr>
              <w:pStyle w:val="ListParagraph"/>
              <w:tabs>
                <w:tab w:val="left" w:pos="360"/>
              </w:tabs>
              <w:ind w:left="0"/>
              <w:rPr>
                <w:lang w:val="es-419"/>
              </w:rPr>
            </w:pPr>
            <w:r w:rsidRPr="00FB21D6">
              <w:rPr>
                <w:lang w:val="es-419"/>
              </w:rPr>
              <w:t>Árabe</w:t>
            </w:r>
          </w:p>
        </w:tc>
      </w:tr>
      <w:tr w:rsidR="00725D54" w:rsidRPr="00FB21D6" w:rsidTr="00801EE6">
        <w:trPr>
          <w:trHeight w:val="288"/>
        </w:trPr>
        <w:tc>
          <w:tcPr>
            <w:tcW w:w="571" w:type="dxa"/>
          </w:tcPr>
          <w:p w:rsidR="00725D54" w:rsidRPr="00FB21D6" w:rsidRDefault="00725D54" w:rsidP="00801EE6">
            <w:pPr>
              <w:pStyle w:val="ListParagraph"/>
              <w:tabs>
                <w:tab w:val="left" w:pos="360"/>
              </w:tabs>
              <w:ind w:left="0"/>
              <w:rPr>
                <w:lang w:val="es-419"/>
              </w:rPr>
            </w:pPr>
            <w:r w:rsidRPr="00FB21D6">
              <w:rPr>
                <w:lang w:val="es-419"/>
              </w:rPr>
              <w:t>II</w:t>
            </w:r>
          </w:p>
        </w:tc>
        <w:tc>
          <w:tcPr>
            <w:tcW w:w="5664" w:type="dxa"/>
          </w:tcPr>
          <w:p w:rsidR="00725D54" w:rsidRPr="00FB21D6" w:rsidRDefault="00725D54" w:rsidP="00801EE6">
            <w:pPr>
              <w:pStyle w:val="ListParagraph"/>
              <w:spacing w:after="120"/>
              <w:ind w:left="0"/>
              <w:contextualSpacing w:val="0"/>
              <w:rPr>
                <w:lang w:val="es-419"/>
              </w:rPr>
            </w:pPr>
            <w:r w:rsidRPr="00FB21D6">
              <w:rPr>
                <w:lang w:val="es-419"/>
              </w:rPr>
              <w:t>Asistencia técnica: oportunidades de desarrollo profesional</w:t>
            </w:r>
            <w:r w:rsidRPr="00FB21D6">
              <w:rPr>
                <w:lang w:val="es-419"/>
              </w:rPr>
              <w:tab/>
            </w:r>
          </w:p>
        </w:tc>
        <w:tc>
          <w:tcPr>
            <w:tcW w:w="1777" w:type="dxa"/>
          </w:tcPr>
          <w:p w:rsidR="00725D54" w:rsidRPr="00FB21D6" w:rsidRDefault="00725D54" w:rsidP="00801EE6">
            <w:pPr>
              <w:pStyle w:val="ListParagraph"/>
              <w:tabs>
                <w:tab w:val="left" w:pos="360"/>
              </w:tabs>
              <w:ind w:left="0"/>
              <w:rPr>
                <w:lang w:val="es-419"/>
              </w:rPr>
            </w:pPr>
            <w:r w:rsidRPr="00FB21D6">
              <w:rPr>
                <w:lang w:val="es-419"/>
              </w:rPr>
              <w:t>25 de octubre de 2019</w:t>
            </w:r>
          </w:p>
        </w:tc>
        <w:tc>
          <w:tcPr>
            <w:tcW w:w="1336" w:type="dxa"/>
          </w:tcPr>
          <w:p w:rsidR="00725D54" w:rsidRPr="00FB21D6" w:rsidRDefault="00725D54" w:rsidP="00801EE6">
            <w:pPr>
              <w:pStyle w:val="ListParagraph"/>
              <w:tabs>
                <w:tab w:val="left" w:pos="360"/>
              </w:tabs>
              <w:ind w:left="0"/>
              <w:rPr>
                <w:lang w:val="es-419"/>
              </w:rPr>
            </w:pPr>
            <w:r w:rsidRPr="00FB21D6">
              <w:rPr>
                <w:lang w:val="es-419"/>
              </w:rPr>
              <w:t>Ruso</w:t>
            </w:r>
          </w:p>
        </w:tc>
      </w:tr>
      <w:tr w:rsidR="00725D54" w:rsidRPr="00FB21D6" w:rsidTr="00801EE6">
        <w:trPr>
          <w:trHeight w:val="288"/>
        </w:trPr>
        <w:tc>
          <w:tcPr>
            <w:tcW w:w="571" w:type="dxa"/>
          </w:tcPr>
          <w:p w:rsidR="00725D54" w:rsidRPr="00FB21D6" w:rsidRDefault="00725D54" w:rsidP="00801EE6">
            <w:pPr>
              <w:pStyle w:val="ListParagraph"/>
              <w:tabs>
                <w:tab w:val="left" w:pos="360"/>
              </w:tabs>
              <w:ind w:left="0"/>
              <w:rPr>
                <w:lang w:val="es-419"/>
              </w:rPr>
            </w:pPr>
            <w:r w:rsidRPr="00FB21D6">
              <w:rPr>
                <w:lang w:val="es-419"/>
              </w:rPr>
              <w:t>III</w:t>
            </w:r>
          </w:p>
        </w:tc>
        <w:tc>
          <w:tcPr>
            <w:tcW w:w="5664" w:type="dxa"/>
          </w:tcPr>
          <w:p w:rsidR="00725D54" w:rsidRPr="00FB21D6" w:rsidRDefault="00725D54" w:rsidP="00801EE6">
            <w:pPr>
              <w:pStyle w:val="ListParagraph"/>
              <w:spacing w:after="120"/>
              <w:ind w:left="0"/>
              <w:contextualSpacing w:val="0"/>
              <w:rPr>
                <w:lang w:val="es-419"/>
              </w:rPr>
            </w:pPr>
            <w:r w:rsidRPr="00FB21D6">
              <w:rPr>
                <w:lang w:val="es-419"/>
              </w:rPr>
              <w:t xml:space="preserve">Propiedad intelectual, exportaciones e inversión extranjera: ¿cómo puede facilitar las sinergias la asistencia técnica de la </w:t>
            </w:r>
            <w:proofErr w:type="spellStart"/>
            <w:r w:rsidRPr="00FB21D6">
              <w:rPr>
                <w:lang w:val="es-419"/>
              </w:rPr>
              <w:t>OMPI</w:t>
            </w:r>
            <w:proofErr w:type="spellEnd"/>
            <w:r w:rsidRPr="00FB21D6">
              <w:rPr>
                <w:lang w:val="es-419"/>
              </w:rPr>
              <w:t>?</w:t>
            </w:r>
          </w:p>
        </w:tc>
        <w:tc>
          <w:tcPr>
            <w:tcW w:w="1777" w:type="dxa"/>
          </w:tcPr>
          <w:p w:rsidR="00725D54" w:rsidRPr="00FB21D6" w:rsidRDefault="00725D54" w:rsidP="00801EE6">
            <w:pPr>
              <w:pStyle w:val="ListParagraph"/>
              <w:tabs>
                <w:tab w:val="left" w:pos="360"/>
              </w:tabs>
              <w:ind w:left="0"/>
              <w:rPr>
                <w:lang w:val="es-419"/>
              </w:rPr>
            </w:pPr>
            <w:r w:rsidRPr="00FB21D6">
              <w:rPr>
                <w:lang w:val="es-419"/>
              </w:rPr>
              <w:t>14 de noviembre de 2019</w:t>
            </w:r>
          </w:p>
        </w:tc>
        <w:tc>
          <w:tcPr>
            <w:tcW w:w="1336" w:type="dxa"/>
          </w:tcPr>
          <w:p w:rsidR="00725D54" w:rsidRPr="00FB21D6" w:rsidRDefault="00725D54" w:rsidP="00801EE6">
            <w:pPr>
              <w:pStyle w:val="ListParagraph"/>
              <w:tabs>
                <w:tab w:val="left" w:pos="360"/>
              </w:tabs>
              <w:ind w:left="0"/>
              <w:rPr>
                <w:lang w:val="es-419"/>
              </w:rPr>
            </w:pPr>
            <w:r w:rsidRPr="00FB21D6">
              <w:rPr>
                <w:lang w:val="es-419"/>
              </w:rPr>
              <w:t>Español</w:t>
            </w:r>
          </w:p>
        </w:tc>
      </w:tr>
      <w:tr w:rsidR="00725D54" w:rsidRPr="00FB21D6" w:rsidTr="00801EE6">
        <w:trPr>
          <w:trHeight w:val="288"/>
        </w:trPr>
        <w:tc>
          <w:tcPr>
            <w:tcW w:w="571" w:type="dxa"/>
          </w:tcPr>
          <w:p w:rsidR="00725D54" w:rsidRPr="00FB21D6" w:rsidRDefault="00725D54" w:rsidP="00801EE6">
            <w:pPr>
              <w:pStyle w:val="ListParagraph"/>
              <w:tabs>
                <w:tab w:val="left" w:pos="360"/>
              </w:tabs>
              <w:ind w:left="0"/>
              <w:rPr>
                <w:lang w:val="es-419"/>
              </w:rPr>
            </w:pPr>
            <w:r w:rsidRPr="00FB21D6">
              <w:rPr>
                <w:lang w:val="es-419"/>
              </w:rPr>
              <w:t>IV</w:t>
            </w:r>
          </w:p>
        </w:tc>
        <w:tc>
          <w:tcPr>
            <w:tcW w:w="5664" w:type="dxa"/>
          </w:tcPr>
          <w:p w:rsidR="00725D54" w:rsidRPr="00FB21D6" w:rsidRDefault="00725D54" w:rsidP="00801EE6">
            <w:pPr>
              <w:pStyle w:val="ListParagraph"/>
              <w:tabs>
                <w:tab w:val="left" w:pos="360"/>
              </w:tabs>
              <w:spacing w:after="120"/>
              <w:ind w:left="0"/>
              <w:contextualSpacing w:val="0"/>
              <w:rPr>
                <w:lang w:val="es-419"/>
              </w:rPr>
            </w:pPr>
            <w:r w:rsidRPr="00FB21D6">
              <w:rPr>
                <w:lang w:val="es-419"/>
              </w:rPr>
              <w:t xml:space="preserve">Propiedad intelectual, exportaciones e inversión extranjera: ¿cómo puede facilitar las sinergias la asistencia técnica de la </w:t>
            </w:r>
            <w:proofErr w:type="spellStart"/>
            <w:r w:rsidRPr="00FB21D6">
              <w:rPr>
                <w:lang w:val="es-419"/>
              </w:rPr>
              <w:t>OMPI</w:t>
            </w:r>
            <w:proofErr w:type="spellEnd"/>
            <w:r w:rsidRPr="00FB21D6">
              <w:rPr>
                <w:lang w:val="es-419"/>
              </w:rPr>
              <w:t>?</w:t>
            </w:r>
          </w:p>
        </w:tc>
        <w:tc>
          <w:tcPr>
            <w:tcW w:w="1777" w:type="dxa"/>
          </w:tcPr>
          <w:p w:rsidR="00725D54" w:rsidRPr="00FB21D6" w:rsidRDefault="00725D54" w:rsidP="00801EE6">
            <w:pPr>
              <w:pStyle w:val="ListParagraph"/>
              <w:tabs>
                <w:tab w:val="left" w:pos="360"/>
              </w:tabs>
              <w:ind w:left="0"/>
              <w:rPr>
                <w:lang w:val="es-419"/>
              </w:rPr>
            </w:pPr>
            <w:r w:rsidRPr="00FB21D6">
              <w:rPr>
                <w:lang w:val="es-419"/>
              </w:rPr>
              <w:t>28 de noviembre de 2019</w:t>
            </w:r>
          </w:p>
        </w:tc>
        <w:tc>
          <w:tcPr>
            <w:tcW w:w="1336" w:type="dxa"/>
          </w:tcPr>
          <w:p w:rsidR="00725D54" w:rsidRPr="00FB21D6" w:rsidRDefault="00725D54" w:rsidP="00801EE6">
            <w:pPr>
              <w:pStyle w:val="ListParagraph"/>
              <w:tabs>
                <w:tab w:val="left" w:pos="360"/>
              </w:tabs>
              <w:ind w:left="0"/>
              <w:rPr>
                <w:lang w:val="es-419"/>
              </w:rPr>
            </w:pPr>
            <w:r w:rsidRPr="00FB21D6">
              <w:rPr>
                <w:lang w:val="es-419"/>
              </w:rPr>
              <w:t>Inglés</w:t>
            </w:r>
          </w:p>
        </w:tc>
      </w:tr>
      <w:tr w:rsidR="00725D54" w:rsidRPr="00FB21D6" w:rsidTr="00801EE6">
        <w:trPr>
          <w:trHeight w:val="288"/>
        </w:trPr>
        <w:tc>
          <w:tcPr>
            <w:tcW w:w="571" w:type="dxa"/>
          </w:tcPr>
          <w:p w:rsidR="00725D54" w:rsidRPr="00FB21D6" w:rsidRDefault="00725D54" w:rsidP="00801EE6">
            <w:pPr>
              <w:pStyle w:val="ListParagraph"/>
              <w:tabs>
                <w:tab w:val="left" w:pos="360"/>
              </w:tabs>
              <w:ind w:left="0"/>
              <w:rPr>
                <w:lang w:val="es-419"/>
              </w:rPr>
            </w:pPr>
            <w:r w:rsidRPr="00FB21D6">
              <w:rPr>
                <w:lang w:val="es-419"/>
              </w:rPr>
              <w:t>V</w:t>
            </w:r>
          </w:p>
        </w:tc>
        <w:tc>
          <w:tcPr>
            <w:tcW w:w="5664" w:type="dxa"/>
          </w:tcPr>
          <w:p w:rsidR="00725D54" w:rsidRPr="00FB21D6" w:rsidRDefault="00725D54" w:rsidP="00801EE6">
            <w:pPr>
              <w:pStyle w:val="ListParagraph"/>
              <w:tabs>
                <w:tab w:val="left" w:pos="360"/>
              </w:tabs>
              <w:spacing w:after="120"/>
              <w:ind w:left="0"/>
              <w:contextualSpacing w:val="0"/>
              <w:rPr>
                <w:lang w:val="es-419"/>
              </w:rPr>
            </w:pPr>
            <w:r w:rsidRPr="00FB21D6">
              <w:rPr>
                <w:lang w:val="es-419"/>
              </w:rPr>
              <w:t>La función de la asistencia técnica en materia de PI e innovación para fomentar la competitividad empresarial en África</w:t>
            </w:r>
          </w:p>
        </w:tc>
        <w:tc>
          <w:tcPr>
            <w:tcW w:w="1777" w:type="dxa"/>
          </w:tcPr>
          <w:p w:rsidR="00725D54" w:rsidRPr="00FB21D6" w:rsidRDefault="00725D54" w:rsidP="00801EE6">
            <w:pPr>
              <w:pStyle w:val="ListParagraph"/>
              <w:tabs>
                <w:tab w:val="left" w:pos="360"/>
              </w:tabs>
              <w:ind w:left="0"/>
              <w:rPr>
                <w:lang w:val="es-419"/>
              </w:rPr>
            </w:pPr>
            <w:r w:rsidRPr="00FB21D6">
              <w:rPr>
                <w:lang w:val="es-419"/>
              </w:rPr>
              <w:t>10 de diciembre de 2019</w:t>
            </w:r>
          </w:p>
        </w:tc>
        <w:tc>
          <w:tcPr>
            <w:tcW w:w="1336" w:type="dxa"/>
          </w:tcPr>
          <w:p w:rsidR="00725D54" w:rsidRPr="00FB21D6" w:rsidRDefault="00725D54" w:rsidP="00801EE6">
            <w:pPr>
              <w:pStyle w:val="ListParagraph"/>
              <w:tabs>
                <w:tab w:val="left" w:pos="360"/>
              </w:tabs>
              <w:ind w:left="0"/>
              <w:rPr>
                <w:lang w:val="es-419"/>
              </w:rPr>
            </w:pPr>
            <w:r w:rsidRPr="00FB21D6">
              <w:rPr>
                <w:lang w:val="es-419"/>
              </w:rPr>
              <w:t>Inglés</w:t>
            </w:r>
          </w:p>
        </w:tc>
      </w:tr>
      <w:tr w:rsidR="00725D54" w:rsidRPr="00FB21D6" w:rsidTr="00801EE6">
        <w:trPr>
          <w:trHeight w:val="288"/>
        </w:trPr>
        <w:tc>
          <w:tcPr>
            <w:tcW w:w="571" w:type="dxa"/>
          </w:tcPr>
          <w:p w:rsidR="00725D54" w:rsidRPr="00FB21D6" w:rsidRDefault="00725D54" w:rsidP="00801EE6">
            <w:pPr>
              <w:pStyle w:val="ListParagraph"/>
              <w:tabs>
                <w:tab w:val="left" w:pos="360"/>
              </w:tabs>
              <w:ind w:left="0"/>
              <w:rPr>
                <w:lang w:val="es-419"/>
              </w:rPr>
            </w:pPr>
            <w:r w:rsidRPr="00FB21D6">
              <w:rPr>
                <w:lang w:val="es-419"/>
              </w:rPr>
              <w:t>VI</w:t>
            </w:r>
          </w:p>
        </w:tc>
        <w:tc>
          <w:tcPr>
            <w:tcW w:w="5664" w:type="dxa"/>
          </w:tcPr>
          <w:p w:rsidR="00725D54" w:rsidRPr="00FB21D6" w:rsidRDefault="00725D54" w:rsidP="00801EE6">
            <w:pPr>
              <w:pStyle w:val="ListParagraph"/>
              <w:tabs>
                <w:tab w:val="left" w:pos="360"/>
              </w:tabs>
              <w:spacing w:after="120"/>
              <w:ind w:left="0"/>
              <w:contextualSpacing w:val="0"/>
              <w:rPr>
                <w:lang w:val="es-419"/>
              </w:rPr>
            </w:pPr>
            <w:r w:rsidRPr="00FB21D6">
              <w:rPr>
                <w:lang w:val="es-419"/>
              </w:rPr>
              <w:t xml:space="preserve">Aplicación estratégica de la asistencia técnica que presta la </w:t>
            </w:r>
            <w:proofErr w:type="spellStart"/>
            <w:r w:rsidRPr="00FB21D6">
              <w:rPr>
                <w:lang w:val="es-419"/>
              </w:rPr>
              <w:t>OMPI</w:t>
            </w:r>
            <w:proofErr w:type="spellEnd"/>
            <w:r w:rsidRPr="00FB21D6">
              <w:rPr>
                <w:lang w:val="es-419"/>
              </w:rPr>
              <w:t xml:space="preserve"> para acelerar el desarrollo impulsado por la innovación</w:t>
            </w:r>
          </w:p>
        </w:tc>
        <w:tc>
          <w:tcPr>
            <w:tcW w:w="1777" w:type="dxa"/>
          </w:tcPr>
          <w:p w:rsidR="00725D54" w:rsidRPr="00FB21D6" w:rsidRDefault="00725D54" w:rsidP="00801EE6">
            <w:pPr>
              <w:pStyle w:val="ListParagraph"/>
              <w:tabs>
                <w:tab w:val="left" w:pos="360"/>
              </w:tabs>
              <w:ind w:left="0"/>
              <w:rPr>
                <w:lang w:val="es-419"/>
              </w:rPr>
            </w:pPr>
            <w:r w:rsidRPr="00FB21D6">
              <w:rPr>
                <w:lang w:val="es-419"/>
              </w:rPr>
              <w:t>11 de diciembre de 2019</w:t>
            </w:r>
          </w:p>
        </w:tc>
        <w:tc>
          <w:tcPr>
            <w:tcW w:w="1336" w:type="dxa"/>
          </w:tcPr>
          <w:p w:rsidR="00725D54" w:rsidRPr="00FB21D6" w:rsidRDefault="00725D54" w:rsidP="00801EE6">
            <w:pPr>
              <w:pStyle w:val="ListParagraph"/>
              <w:tabs>
                <w:tab w:val="left" w:pos="360"/>
              </w:tabs>
              <w:ind w:left="0"/>
              <w:rPr>
                <w:lang w:val="es-419"/>
              </w:rPr>
            </w:pPr>
            <w:r w:rsidRPr="00FB21D6">
              <w:rPr>
                <w:lang w:val="es-419"/>
              </w:rPr>
              <w:t>Inglés</w:t>
            </w:r>
          </w:p>
        </w:tc>
      </w:tr>
      <w:tr w:rsidR="00725D54" w:rsidRPr="00FB21D6" w:rsidTr="00801EE6">
        <w:trPr>
          <w:trHeight w:val="288"/>
        </w:trPr>
        <w:tc>
          <w:tcPr>
            <w:tcW w:w="571" w:type="dxa"/>
          </w:tcPr>
          <w:p w:rsidR="00725D54" w:rsidRPr="00FB21D6" w:rsidRDefault="00725D54" w:rsidP="00801EE6">
            <w:pPr>
              <w:pStyle w:val="ListParagraph"/>
              <w:tabs>
                <w:tab w:val="left" w:pos="360"/>
              </w:tabs>
              <w:ind w:left="0"/>
              <w:rPr>
                <w:lang w:val="es-419"/>
              </w:rPr>
            </w:pPr>
            <w:r w:rsidRPr="00FB21D6">
              <w:rPr>
                <w:lang w:val="es-419"/>
              </w:rPr>
              <w:lastRenderedPageBreak/>
              <w:t>VII</w:t>
            </w:r>
          </w:p>
        </w:tc>
        <w:tc>
          <w:tcPr>
            <w:tcW w:w="5664" w:type="dxa"/>
          </w:tcPr>
          <w:p w:rsidR="00725D54" w:rsidRPr="00FB21D6" w:rsidRDefault="00725D54" w:rsidP="00801EE6">
            <w:pPr>
              <w:pStyle w:val="ListParagraph"/>
              <w:tabs>
                <w:tab w:val="left" w:pos="360"/>
              </w:tabs>
              <w:spacing w:after="120"/>
              <w:ind w:left="0"/>
              <w:contextualSpacing w:val="0"/>
              <w:rPr>
                <w:lang w:val="es-419"/>
              </w:rPr>
            </w:pPr>
            <w:r w:rsidRPr="00FB21D6">
              <w:rPr>
                <w:lang w:val="es-419"/>
              </w:rPr>
              <w:t>La función de la asistencia técnica en materia de PI e innovación para fomentar la competitividad empresarial en África</w:t>
            </w:r>
          </w:p>
        </w:tc>
        <w:tc>
          <w:tcPr>
            <w:tcW w:w="1777" w:type="dxa"/>
          </w:tcPr>
          <w:p w:rsidR="00725D54" w:rsidRPr="00FB21D6" w:rsidRDefault="00725D54" w:rsidP="00801EE6">
            <w:pPr>
              <w:pStyle w:val="ListParagraph"/>
              <w:tabs>
                <w:tab w:val="left" w:pos="360"/>
              </w:tabs>
              <w:ind w:left="0"/>
              <w:rPr>
                <w:lang w:val="es-419"/>
              </w:rPr>
            </w:pPr>
            <w:r w:rsidRPr="00FB21D6">
              <w:rPr>
                <w:lang w:val="es-419"/>
              </w:rPr>
              <w:t>16 de diciembre de 2019</w:t>
            </w:r>
          </w:p>
        </w:tc>
        <w:tc>
          <w:tcPr>
            <w:tcW w:w="1336" w:type="dxa"/>
          </w:tcPr>
          <w:p w:rsidR="00725D54" w:rsidRPr="00FB21D6" w:rsidRDefault="00725D54" w:rsidP="00801EE6">
            <w:pPr>
              <w:pStyle w:val="ListParagraph"/>
              <w:tabs>
                <w:tab w:val="left" w:pos="360"/>
              </w:tabs>
              <w:ind w:left="0"/>
              <w:rPr>
                <w:lang w:val="es-419"/>
              </w:rPr>
            </w:pPr>
            <w:r w:rsidRPr="00FB21D6">
              <w:rPr>
                <w:lang w:val="es-419"/>
              </w:rPr>
              <w:t>Francés</w:t>
            </w:r>
          </w:p>
        </w:tc>
      </w:tr>
      <w:tr w:rsidR="00725D54" w:rsidRPr="00FB21D6" w:rsidTr="00801EE6">
        <w:trPr>
          <w:trHeight w:val="288"/>
        </w:trPr>
        <w:tc>
          <w:tcPr>
            <w:tcW w:w="571" w:type="dxa"/>
          </w:tcPr>
          <w:p w:rsidR="00725D54" w:rsidRPr="00FB21D6" w:rsidRDefault="00725D54" w:rsidP="00801EE6">
            <w:pPr>
              <w:pStyle w:val="ListParagraph"/>
              <w:tabs>
                <w:tab w:val="left" w:pos="360"/>
              </w:tabs>
              <w:ind w:left="0"/>
              <w:rPr>
                <w:lang w:val="es-419"/>
              </w:rPr>
            </w:pPr>
            <w:r w:rsidRPr="00FB21D6">
              <w:rPr>
                <w:lang w:val="es-419"/>
              </w:rPr>
              <w:t>VIII</w:t>
            </w:r>
          </w:p>
        </w:tc>
        <w:tc>
          <w:tcPr>
            <w:tcW w:w="5664" w:type="dxa"/>
          </w:tcPr>
          <w:p w:rsidR="00725D54" w:rsidRPr="00FB21D6" w:rsidRDefault="00725D54" w:rsidP="00801EE6">
            <w:pPr>
              <w:pStyle w:val="ListParagraph"/>
              <w:tabs>
                <w:tab w:val="left" w:pos="360"/>
              </w:tabs>
              <w:spacing w:after="120"/>
              <w:ind w:left="0"/>
              <w:contextualSpacing w:val="0"/>
              <w:rPr>
                <w:lang w:val="es-419"/>
              </w:rPr>
            </w:pPr>
            <w:r w:rsidRPr="00FB21D6">
              <w:rPr>
                <w:lang w:val="es-419"/>
              </w:rPr>
              <w:t>¿Qué función desempeña la asistencia técnica en la formulación y aplicación de una estrategia eficaz de PI?</w:t>
            </w:r>
          </w:p>
        </w:tc>
        <w:tc>
          <w:tcPr>
            <w:tcW w:w="1777" w:type="dxa"/>
          </w:tcPr>
          <w:p w:rsidR="00725D54" w:rsidRPr="00FB21D6" w:rsidRDefault="00725D54" w:rsidP="00801EE6">
            <w:pPr>
              <w:pStyle w:val="ListParagraph"/>
              <w:tabs>
                <w:tab w:val="left" w:pos="360"/>
              </w:tabs>
              <w:ind w:left="0"/>
              <w:rPr>
                <w:lang w:val="es-419"/>
              </w:rPr>
            </w:pPr>
            <w:r w:rsidRPr="00FB21D6">
              <w:rPr>
                <w:lang w:val="es-419"/>
              </w:rPr>
              <w:t>17 de diciembre de 2019</w:t>
            </w:r>
          </w:p>
        </w:tc>
        <w:tc>
          <w:tcPr>
            <w:tcW w:w="1336" w:type="dxa"/>
          </w:tcPr>
          <w:p w:rsidR="00725D54" w:rsidRPr="00FB21D6" w:rsidRDefault="00725D54" w:rsidP="00801EE6">
            <w:pPr>
              <w:pStyle w:val="ListParagraph"/>
              <w:tabs>
                <w:tab w:val="left" w:pos="360"/>
              </w:tabs>
              <w:ind w:left="0"/>
              <w:rPr>
                <w:lang w:val="es-419"/>
              </w:rPr>
            </w:pPr>
            <w:r w:rsidRPr="00FB21D6">
              <w:rPr>
                <w:lang w:val="es-419"/>
              </w:rPr>
              <w:t>Chino</w:t>
            </w:r>
          </w:p>
        </w:tc>
      </w:tr>
    </w:tbl>
    <w:p w:rsidR="00725D54" w:rsidRPr="00FB21D6" w:rsidRDefault="00725D54" w:rsidP="00725D54">
      <w:pPr>
        <w:pStyle w:val="ListParagraph"/>
        <w:tabs>
          <w:tab w:val="left" w:pos="360"/>
        </w:tabs>
        <w:spacing w:after="240"/>
        <w:ind w:left="0"/>
        <w:contextualSpacing w:val="0"/>
        <w:rPr>
          <w:lang w:val="es-419"/>
        </w:rPr>
      </w:pP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 xml:space="preserve">La selección de los temas y los ponentes se llevó a cabo tras consultarlo con los Estados miembros, así como con las oficinas regionales pertinentes de la </w:t>
      </w:r>
      <w:proofErr w:type="spellStart"/>
      <w:r w:rsidRPr="00FB21D6">
        <w:rPr>
          <w:lang w:val="es-419"/>
        </w:rPr>
        <w:t>OMPI</w:t>
      </w:r>
      <w:proofErr w:type="spellEnd"/>
      <w:r w:rsidRPr="00FB21D6">
        <w:rPr>
          <w:lang w:val="es-419"/>
        </w:rPr>
        <w:t xml:space="preserve">, el Departamento para los Países en Transición y Países Desarrollados y/o las oficinas de la </w:t>
      </w:r>
      <w:proofErr w:type="spellStart"/>
      <w:r w:rsidRPr="00FB21D6">
        <w:rPr>
          <w:lang w:val="es-419"/>
        </w:rPr>
        <w:t>OMPI</w:t>
      </w:r>
      <w:proofErr w:type="spellEnd"/>
      <w:r w:rsidRPr="00FB21D6">
        <w:rPr>
          <w:lang w:val="es-419"/>
        </w:rPr>
        <w:t xml:space="preserve"> en el exterior. En la selección de los temas, se prestó especial atención a las necesidades e intereses específicos de las diferentes regiones, teniendo en cuenta que el objetivo de los seminarios web en la fase piloto, según lo decidido por el Comité, era abordar los temas relacionados con la asistencia técnica.</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 xml:space="preserve">De conformidad con el documento </w:t>
      </w:r>
      <w:hyperlink r:id="rId16" w:history="1">
        <w:proofErr w:type="spellStart"/>
        <w:r w:rsidRPr="00FB21D6">
          <w:rPr>
            <w:rStyle w:val="Hyperlink"/>
            <w:lang w:val="es-419"/>
          </w:rPr>
          <w:t>CDIP</w:t>
        </w:r>
        <w:proofErr w:type="spellEnd"/>
        <w:r w:rsidRPr="00FB21D6">
          <w:rPr>
            <w:rStyle w:val="Hyperlink"/>
            <w:lang w:val="es-419"/>
          </w:rPr>
          <w:t>/23/9</w:t>
        </w:r>
      </w:hyperlink>
      <w:r w:rsidRPr="00FB21D6">
        <w:rPr>
          <w:lang w:val="es-419"/>
        </w:rPr>
        <w:t xml:space="preserve">, la Secretaría invitó a los Estados miembros a proponer especialistas y temas para los seminarios. No obstante, la mayoría de las propuestas que inicialmente recibió la Secretaría no se inscribía en el ámbito de la asistencia técnica. Tras las consultas celebradas con los Estados miembros en cuestión, se acordó buscar temas alternativos para la fase piloto. </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La selección y contratación de los ponentes se basó en la experiencia en el ámbito en cuestión y en los conocimientos sobre el tema del seminario, el idioma y la región.</w:t>
      </w:r>
    </w:p>
    <w:p w:rsidR="00725D54" w:rsidRPr="00FB21D6" w:rsidRDefault="00725D54" w:rsidP="000B7175">
      <w:pPr>
        <w:pStyle w:val="Heading2"/>
        <w:numPr>
          <w:ilvl w:val="0"/>
          <w:numId w:val="8"/>
        </w:numPr>
        <w:spacing w:before="0" w:after="240"/>
        <w:ind w:left="567" w:hanging="567"/>
        <w:rPr>
          <w:lang w:val="es-419"/>
        </w:rPr>
      </w:pPr>
      <w:r w:rsidRPr="00FB21D6">
        <w:rPr>
          <w:lang w:val="es-419"/>
        </w:rPr>
        <w:t>estructura y principales características de los seminarios web</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Los ocho seminarios web siguieron la misma estructura básica, con ligeras variaciones:</w:t>
      </w:r>
    </w:p>
    <w:p w:rsidR="00725D54" w:rsidRPr="00FB21D6" w:rsidRDefault="00725D54" w:rsidP="00801EE6">
      <w:pPr>
        <w:pStyle w:val="ListParagraph"/>
        <w:numPr>
          <w:ilvl w:val="0"/>
          <w:numId w:val="10"/>
        </w:numPr>
        <w:spacing w:after="240"/>
        <w:ind w:left="1134" w:hanging="567"/>
        <w:contextualSpacing w:val="0"/>
        <w:rPr>
          <w:lang w:val="es-419"/>
        </w:rPr>
      </w:pPr>
      <w:r w:rsidRPr="00FB21D6">
        <w:rPr>
          <w:lang w:val="es-419"/>
        </w:rPr>
        <w:t xml:space="preserve">La apertura fue a cargo de un representante de la </w:t>
      </w:r>
      <w:proofErr w:type="spellStart"/>
      <w:r w:rsidRPr="00FB21D6">
        <w:rPr>
          <w:lang w:val="es-419"/>
        </w:rPr>
        <w:t>DACD</w:t>
      </w:r>
      <w:proofErr w:type="spellEnd"/>
      <w:r w:rsidRPr="00FB21D6">
        <w:rPr>
          <w:lang w:val="es-419"/>
        </w:rPr>
        <w:t>.</w:t>
      </w:r>
    </w:p>
    <w:p w:rsidR="00725D54" w:rsidRPr="00FB21D6" w:rsidRDefault="00725D54" w:rsidP="00801EE6">
      <w:pPr>
        <w:pStyle w:val="ListParagraph"/>
        <w:numPr>
          <w:ilvl w:val="0"/>
          <w:numId w:val="10"/>
        </w:numPr>
        <w:spacing w:after="240"/>
        <w:ind w:left="1134" w:hanging="567"/>
        <w:contextualSpacing w:val="0"/>
        <w:rPr>
          <w:lang w:val="es-419"/>
        </w:rPr>
      </w:pPr>
      <w:r w:rsidRPr="00FB21D6">
        <w:rPr>
          <w:lang w:val="es-419"/>
        </w:rPr>
        <w:t xml:space="preserve">Un representante de la oficina regional pertinente, del Departamento para los Países en Transición y Países Desarrollados o de la oficina de la </w:t>
      </w:r>
      <w:proofErr w:type="spellStart"/>
      <w:r w:rsidRPr="00FB21D6">
        <w:rPr>
          <w:lang w:val="es-419"/>
        </w:rPr>
        <w:t>OMPI</w:t>
      </w:r>
      <w:proofErr w:type="spellEnd"/>
      <w:r w:rsidRPr="00FB21D6">
        <w:rPr>
          <w:lang w:val="es-419"/>
        </w:rPr>
        <w:t xml:space="preserve"> en el exterior correspondiente formuló las observaciones introductorias.</w:t>
      </w:r>
    </w:p>
    <w:p w:rsidR="00725D54" w:rsidRPr="00FB21D6" w:rsidRDefault="00725D54" w:rsidP="00801EE6">
      <w:pPr>
        <w:pStyle w:val="ListParagraph"/>
        <w:numPr>
          <w:ilvl w:val="0"/>
          <w:numId w:val="10"/>
        </w:numPr>
        <w:spacing w:after="240"/>
        <w:ind w:left="1134" w:hanging="567"/>
        <w:contextualSpacing w:val="0"/>
        <w:rPr>
          <w:lang w:val="es-419"/>
        </w:rPr>
      </w:pPr>
      <w:r w:rsidRPr="00FB21D6">
        <w:rPr>
          <w:lang w:val="es-419"/>
        </w:rPr>
        <w:t>La ponencia fue presentada por el especialista contratado para impartir el seminario. En sus pantallas, los participantes podían ver tanto al ponente a través de la cámara web como la presentación en PowerPoint.</w:t>
      </w:r>
    </w:p>
    <w:p w:rsidR="00725D54" w:rsidRPr="00FB21D6" w:rsidRDefault="00725D54" w:rsidP="00801EE6">
      <w:pPr>
        <w:pStyle w:val="ListParagraph"/>
        <w:numPr>
          <w:ilvl w:val="0"/>
          <w:numId w:val="10"/>
        </w:numPr>
        <w:spacing w:after="240"/>
        <w:ind w:left="1134" w:hanging="567"/>
        <w:contextualSpacing w:val="0"/>
        <w:rPr>
          <w:lang w:val="es-419"/>
        </w:rPr>
      </w:pPr>
      <w:r w:rsidRPr="00FB21D6">
        <w:rPr>
          <w:szCs w:val="22"/>
          <w:lang w:val="es-419"/>
        </w:rPr>
        <w:t xml:space="preserve">Los representantes de la </w:t>
      </w:r>
      <w:proofErr w:type="spellStart"/>
      <w:r w:rsidRPr="00FB21D6">
        <w:rPr>
          <w:szCs w:val="22"/>
          <w:lang w:val="es-419"/>
        </w:rPr>
        <w:t>OMPI</w:t>
      </w:r>
      <w:proofErr w:type="spellEnd"/>
      <w:r w:rsidRPr="00FB21D6">
        <w:rPr>
          <w:szCs w:val="22"/>
          <w:lang w:val="es-419"/>
        </w:rPr>
        <w:t xml:space="preserve"> moderaron el turno de preguntas y respuestas. Los participantes formularon preguntas por escrito, mediante un chat, que fueron respondidas verbalmente.</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 xml:space="preserve">Habida cuenta de que los seminarios web se celebraron en directo, la </w:t>
      </w:r>
      <w:proofErr w:type="spellStart"/>
      <w:r w:rsidRPr="00FB21D6">
        <w:rPr>
          <w:lang w:val="es-419"/>
        </w:rPr>
        <w:t>DACD</w:t>
      </w:r>
      <w:proofErr w:type="spellEnd"/>
      <w:r w:rsidRPr="00FB21D6">
        <w:rPr>
          <w:lang w:val="es-419"/>
        </w:rPr>
        <w:t xml:space="preserve"> organizó sesiones y pruebas técnicas con los ponentes y todas las partes implicadas antes de la celebración de los seminarios. Con ello se pretendía minimizar los problemas técnicos en la sesión en directo para que la presentación se llevara a cabo de manera organizada.</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 xml:space="preserve">Los seminarios web fueron interactivos, en particular durante el turno de preguntas y respuestas. Los participantes formularon un número considerable de preguntas sobre distintos aspectos del tema en cuestión, que reflejaron la diversidad del público. Algunas de ellas estaban dirigidas a los ponentes y otras a los representantes de la </w:t>
      </w:r>
      <w:proofErr w:type="spellStart"/>
      <w:r w:rsidRPr="00FB21D6">
        <w:rPr>
          <w:lang w:val="es-419"/>
        </w:rPr>
        <w:t>OMPI</w:t>
      </w:r>
      <w:proofErr w:type="spellEnd"/>
      <w:r w:rsidRPr="00FB21D6">
        <w:rPr>
          <w:lang w:val="es-419"/>
        </w:rPr>
        <w:t xml:space="preserve">. Las preguntas que no </w:t>
      </w:r>
      <w:r w:rsidRPr="00FB21D6">
        <w:rPr>
          <w:lang w:val="es-419"/>
        </w:rPr>
        <w:lastRenderedPageBreak/>
        <w:t>pudieron ser respondidas durante los seminarios web por falta de tiempo fueron contestadas posteriormente por correo electrónico.</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El número de inscripciones y asistentes y el porcentaje de respuestas a las encuestas de satisfacción distribuidas tras la celebración de los seminarios variaron de un evento a otro, como se indica a continuación:</w:t>
      </w:r>
    </w:p>
    <w:tbl>
      <w:tblPr>
        <w:tblStyle w:val="TableGrid"/>
        <w:tblW w:w="9345" w:type="dxa"/>
        <w:tblLook w:val="04A0" w:firstRow="1" w:lastRow="0" w:firstColumn="1" w:lastColumn="0" w:noHBand="0" w:noVBand="1"/>
        <w:tblCaption w:val="Registration, Attendance and Response Rate"/>
        <w:tblDescription w:val="This table contains the feedback received from participants on the language, registration, attendance and response rate survey"/>
      </w:tblPr>
      <w:tblGrid>
        <w:gridCol w:w="752"/>
        <w:gridCol w:w="2123"/>
        <w:gridCol w:w="2160"/>
        <w:gridCol w:w="2070"/>
        <w:gridCol w:w="2240"/>
      </w:tblGrid>
      <w:tr w:rsidR="00725D54" w:rsidRPr="008A08BE" w:rsidTr="00801EE6">
        <w:trPr>
          <w:tblHeader/>
        </w:trPr>
        <w:tc>
          <w:tcPr>
            <w:tcW w:w="752" w:type="dxa"/>
            <w:tcBorders>
              <w:bottom w:val="single" w:sz="4" w:space="0" w:color="auto"/>
            </w:tcBorders>
            <w:shd w:val="pct15" w:color="auto" w:fill="auto"/>
            <w:vAlign w:val="center"/>
          </w:tcPr>
          <w:p w:rsidR="00725D54" w:rsidRPr="00FB21D6" w:rsidRDefault="00725D54" w:rsidP="00801EE6">
            <w:pPr>
              <w:pStyle w:val="ListParagraph"/>
              <w:tabs>
                <w:tab w:val="left" w:pos="360"/>
              </w:tabs>
              <w:ind w:left="0"/>
              <w:jc w:val="center"/>
              <w:rPr>
                <w:b/>
                <w:lang w:val="es-419"/>
              </w:rPr>
            </w:pPr>
            <w:r w:rsidRPr="00FB21D6">
              <w:rPr>
                <w:b/>
                <w:lang w:val="es-419"/>
              </w:rPr>
              <w:t>N.º</w:t>
            </w:r>
          </w:p>
        </w:tc>
        <w:tc>
          <w:tcPr>
            <w:tcW w:w="2123" w:type="dxa"/>
            <w:shd w:val="pct15" w:color="auto" w:fill="auto"/>
            <w:vAlign w:val="center"/>
          </w:tcPr>
          <w:p w:rsidR="00725D54" w:rsidRPr="00FB21D6" w:rsidRDefault="00725D54" w:rsidP="00801EE6">
            <w:pPr>
              <w:pStyle w:val="ListParagraph"/>
              <w:tabs>
                <w:tab w:val="left" w:pos="360"/>
              </w:tabs>
              <w:ind w:left="0"/>
              <w:jc w:val="center"/>
              <w:rPr>
                <w:b/>
                <w:lang w:val="es-419"/>
              </w:rPr>
            </w:pPr>
            <w:r w:rsidRPr="00FB21D6">
              <w:rPr>
                <w:b/>
                <w:lang w:val="es-419"/>
              </w:rPr>
              <w:t>Idioma</w:t>
            </w:r>
          </w:p>
        </w:tc>
        <w:tc>
          <w:tcPr>
            <w:tcW w:w="2160" w:type="dxa"/>
            <w:shd w:val="pct15" w:color="auto" w:fill="auto"/>
            <w:vAlign w:val="center"/>
          </w:tcPr>
          <w:p w:rsidR="00725D54" w:rsidRPr="00FB21D6" w:rsidRDefault="00725D54" w:rsidP="00801EE6">
            <w:pPr>
              <w:pStyle w:val="ListParagraph"/>
              <w:tabs>
                <w:tab w:val="left" w:pos="360"/>
              </w:tabs>
              <w:ind w:left="0"/>
              <w:jc w:val="center"/>
              <w:rPr>
                <w:b/>
                <w:lang w:val="es-419"/>
              </w:rPr>
            </w:pPr>
            <w:r w:rsidRPr="00FB21D6">
              <w:rPr>
                <w:b/>
                <w:lang w:val="es-419"/>
              </w:rPr>
              <w:t>Inscripciones</w:t>
            </w:r>
          </w:p>
        </w:tc>
        <w:tc>
          <w:tcPr>
            <w:tcW w:w="2070" w:type="dxa"/>
            <w:shd w:val="pct15" w:color="auto" w:fill="auto"/>
            <w:vAlign w:val="center"/>
          </w:tcPr>
          <w:p w:rsidR="00725D54" w:rsidRPr="00FB21D6" w:rsidRDefault="00725D54" w:rsidP="00801EE6">
            <w:pPr>
              <w:pStyle w:val="ListParagraph"/>
              <w:tabs>
                <w:tab w:val="left" w:pos="360"/>
              </w:tabs>
              <w:ind w:left="0"/>
              <w:jc w:val="center"/>
              <w:rPr>
                <w:b/>
                <w:lang w:val="es-419"/>
              </w:rPr>
            </w:pPr>
            <w:r w:rsidRPr="00FB21D6">
              <w:rPr>
                <w:b/>
                <w:lang w:val="es-419"/>
              </w:rPr>
              <w:t>Asistentes</w:t>
            </w:r>
          </w:p>
        </w:tc>
        <w:tc>
          <w:tcPr>
            <w:tcW w:w="2240" w:type="dxa"/>
            <w:shd w:val="pct15" w:color="auto" w:fill="auto"/>
            <w:vAlign w:val="center"/>
          </w:tcPr>
          <w:p w:rsidR="00725D54" w:rsidRPr="00FB21D6" w:rsidRDefault="00725D54" w:rsidP="00801EE6">
            <w:pPr>
              <w:pStyle w:val="ListParagraph"/>
              <w:tabs>
                <w:tab w:val="left" w:pos="360"/>
              </w:tabs>
              <w:ind w:left="0"/>
              <w:jc w:val="center"/>
              <w:rPr>
                <w:b/>
                <w:lang w:val="es-419"/>
              </w:rPr>
            </w:pPr>
            <w:r w:rsidRPr="00FB21D6">
              <w:rPr>
                <w:b/>
                <w:lang w:val="es-419"/>
              </w:rPr>
              <w:t>Porcentaje de respuestas a la encuesta</w:t>
            </w:r>
          </w:p>
        </w:tc>
      </w:tr>
      <w:tr w:rsidR="00725D54" w:rsidRPr="00FB21D6" w:rsidTr="00801EE6">
        <w:tc>
          <w:tcPr>
            <w:tcW w:w="752" w:type="dxa"/>
            <w:shd w:val="clear" w:color="auto" w:fill="auto"/>
          </w:tcPr>
          <w:p w:rsidR="00725D54" w:rsidRPr="00FB21D6" w:rsidRDefault="00725D54" w:rsidP="00801EE6">
            <w:pPr>
              <w:pStyle w:val="ListParagraph"/>
              <w:tabs>
                <w:tab w:val="left" w:pos="360"/>
              </w:tabs>
              <w:ind w:left="0"/>
              <w:jc w:val="center"/>
              <w:rPr>
                <w:lang w:val="es-419"/>
              </w:rPr>
            </w:pPr>
            <w:r w:rsidRPr="00FB21D6">
              <w:rPr>
                <w:lang w:val="es-419"/>
              </w:rPr>
              <w:t>I</w:t>
            </w:r>
          </w:p>
        </w:tc>
        <w:tc>
          <w:tcPr>
            <w:tcW w:w="2123" w:type="dxa"/>
          </w:tcPr>
          <w:p w:rsidR="00725D54" w:rsidRPr="00FB21D6" w:rsidRDefault="00725D54" w:rsidP="00801EE6">
            <w:pPr>
              <w:pStyle w:val="ListParagraph"/>
              <w:tabs>
                <w:tab w:val="left" w:pos="360"/>
              </w:tabs>
              <w:ind w:left="0"/>
              <w:jc w:val="center"/>
              <w:rPr>
                <w:lang w:val="es-419"/>
              </w:rPr>
            </w:pPr>
            <w:r w:rsidRPr="00FB21D6">
              <w:rPr>
                <w:lang w:val="es-419"/>
              </w:rPr>
              <w:t>Árabe</w:t>
            </w:r>
          </w:p>
        </w:tc>
        <w:tc>
          <w:tcPr>
            <w:tcW w:w="2160" w:type="dxa"/>
          </w:tcPr>
          <w:p w:rsidR="00725D54" w:rsidRPr="00FB21D6" w:rsidRDefault="00725D54" w:rsidP="00801EE6">
            <w:pPr>
              <w:pStyle w:val="ListParagraph"/>
              <w:tabs>
                <w:tab w:val="left" w:pos="360"/>
              </w:tabs>
              <w:ind w:left="0"/>
              <w:jc w:val="center"/>
              <w:rPr>
                <w:lang w:val="es-419"/>
              </w:rPr>
            </w:pPr>
            <w:r w:rsidRPr="00FB21D6">
              <w:rPr>
                <w:lang w:val="es-419"/>
              </w:rPr>
              <w:t>161</w:t>
            </w:r>
          </w:p>
        </w:tc>
        <w:tc>
          <w:tcPr>
            <w:tcW w:w="2070" w:type="dxa"/>
          </w:tcPr>
          <w:p w:rsidR="00725D54" w:rsidRPr="00FB21D6" w:rsidRDefault="00725D54" w:rsidP="00801EE6">
            <w:pPr>
              <w:pStyle w:val="ListParagraph"/>
              <w:tabs>
                <w:tab w:val="left" w:pos="360"/>
              </w:tabs>
              <w:ind w:left="0"/>
              <w:jc w:val="center"/>
              <w:rPr>
                <w:lang w:val="es-419"/>
              </w:rPr>
            </w:pPr>
            <w:r w:rsidRPr="00FB21D6">
              <w:rPr>
                <w:lang w:val="es-419"/>
              </w:rPr>
              <w:t>77</w:t>
            </w:r>
          </w:p>
        </w:tc>
        <w:tc>
          <w:tcPr>
            <w:tcW w:w="2240" w:type="dxa"/>
          </w:tcPr>
          <w:p w:rsidR="00725D54" w:rsidRPr="00FB21D6" w:rsidRDefault="00725D54" w:rsidP="00801EE6">
            <w:pPr>
              <w:pStyle w:val="ListParagraph"/>
              <w:tabs>
                <w:tab w:val="left" w:pos="360"/>
              </w:tabs>
              <w:ind w:left="0"/>
              <w:jc w:val="center"/>
              <w:rPr>
                <w:lang w:val="es-419"/>
              </w:rPr>
            </w:pPr>
            <w:r w:rsidRPr="00FB21D6">
              <w:rPr>
                <w:lang w:val="es-419"/>
              </w:rPr>
              <w:t>56%</w:t>
            </w:r>
          </w:p>
        </w:tc>
      </w:tr>
      <w:tr w:rsidR="00725D54" w:rsidRPr="00FB21D6" w:rsidTr="00801EE6">
        <w:tc>
          <w:tcPr>
            <w:tcW w:w="752" w:type="dxa"/>
            <w:shd w:val="clear" w:color="auto" w:fill="auto"/>
          </w:tcPr>
          <w:p w:rsidR="00725D54" w:rsidRPr="00FB21D6" w:rsidRDefault="00725D54" w:rsidP="00801EE6">
            <w:pPr>
              <w:pStyle w:val="ListParagraph"/>
              <w:tabs>
                <w:tab w:val="left" w:pos="360"/>
              </w:tabs>
              <w:ind w:left="0"/>
              <w:jc w:val="center"/>
              <w:rPr>
                <w:lang w:val="es-419"/>
              </w:rPr>
            </w:pPr>
            <w:r w:rsidRPr="00FB21D6">
              <w:rPr>
                <w:lang w:val="es-419"/>
              </w:rPr>
              <w:t>II</w:t>
            </w:r>
          </w:p>
        </w:tc>
        <w:tc>
          <w:tcPr>
            <w:tcW w:w="2123" w:type="dxa"/>
          </w:tcPr>
          <w:p w:rsidR="00725D54" w:rsidRPr="00FB21D6" w:rsidRDefault="00725D54" w:rsidP="00801EE6">
            <w:pPr>
              <w:pStyle w:val="ListParagraph"/>
              <w:tabs>
                <w:tab w:val="left" w:pos="360"/>
              </w:tabs>
              <w:ind w:left="0"/>
              <w:jc w:val="center"/>
              <w:rPr>
                <w:lang w:val="es-419"/>
              </w:rPr>
            </w:pPr>
            <w:r w:rsidRPr="00FB21D6">
              <w:rPr>
                <w:lang w:val="es-419"/>
              </w:rPr>
              <w:t>Ruso</w:t>
            </w:r>
          </w:p>
        </w:tc>
        <w:tc>
          <w:tcPr>
            <w:tcW w:w="2160" w:type="dxa"/>
          </w:tcPr>
          <w:p w:rsidR="00725D54" w:rsidRPr="00FB21D6" w:rsidRDefault="00725D54" w:rsidP="00801EE6">
            <w:pPr>
              <w:pStyle w:val="ListParagraph"/>
              <w:tabs>
                <w:tab w:val="left" w:pos="360"/>
              </w:tabs>
              <w:ind w:left="0"/>
              <w:jc w:val="center"/>
              <w:rPr>
                <w:lang w:val="es-419"/>
              </w:rPr>
            </w:pPr>
            <w:r w:rsidRPr="00FB21D6">
              <w:rPr>
                <w:lang w:val="es-419"/>
              </w:rPr>
              <w:t>159</w:t>
            </w:r>
          </w:p>
        </w:tc>
        <w:tc>
          <w:tcPr>
            <w:tcW w:w="2070" w:type="dxa"/>
          </w:tcPr>
          <w:p w:rsidR="00725D54" w:rsidRPr="00FB21D6" w:rsidRDefault="00725D54" w:rsidP="00801EE6">
            <w:pPr>
              <w:pStyle w:val="ListParagraph"/>
              <w:tabs>
                <w:tab w:val="left" w:pos="360"/>
              </w:tabs>
              <w:ind w:left="0"/>
              <w:jc w:val="center"/>
              <w:rPr>
                <w:lang w:val="es-419"/>
              </w:rPr>
            </w:pPr>
            <w:r w:rsidRPr="00FB21D6">
              <w:rPr>
                <w:lang w:val="es-419"/>
              </w:rPr>
              <w:t>56</w:t>
            </w:r>
          </w:p>
        </w:tc>
        <w:tc>
          <w:tcPr>
            <w:tcW w:w="2240" w:type="dxa"/>
          </w:tcPr>
          <w:p w:rsidR="00725D54" w:rsidRPr="00FB21D6" w:rsidRDefault="00725D54" w:rsidP="00801EE6">
            <w:pPr>
              <w:pStyle w:val="ListParagraph"/>
              <w:tabs>
                <w:tab w:val="left" w:pos="360"/>
              </w:tabs>
              <w:ind w:left="0"/>
              <w:jc w:val="center"/>
              <w:rPr>
                <w:lang w:val="es-419"/>
              </w:rPr>
            </w:pPr>
            <w:r w:rsidRPr="00FB21D6">
              <w:rPr>
                <w:lang w:val="es-419"/>
              </w:rPr>
              <w:t>30%</w:t>
            </w:r>
          </w:p>
        </w:tc>
      </w:tr>
      <w:tr w:rsidR="00725D54" w:rsidRPr="00FB21D6" w:rsidTr="00801EE6">
        <w:tc>
          <w:tcPr>
            <w:tcW w:w="752" w:type="dxa"/>
            <w:shd w:val="clear" w:color="auto" w:fill="auto"/>
          </w:tcPr>
          <w:p w:rsidR="00725D54" w:rsidRPr="00FB21D6" w:rsidRDefault="00725D54" w:rsidP="00801EE6">
            <w:pPr>
              <w:pStyle w:val="ListParagraph"/>
              <w:tabs>
                <w:tab w:val="left" w:pos="360"/>
              </w:tabs>
              <w:ind w:left="0"/>
              <w:jc w:val="center"/>
              <w:rPr>
                <w:lang w:val="es-419"/>
              </w:rPr>
            </w:pPr>
            <w:r w:rsidRPr="00FB21D6">
              <w:rPr>
                <w:lang w:val="es-419"/>
              </w:rPr>
              <w:t>III</w:t>
            </w:r>
          </w:p>
        </w:tc>
        <w:tc>
          <w:tcPr>
            <w:tcW w:w="2123" w:type="dxa"/>
          </w:tcPr>
          <w:p w:rsidR="00725D54" w:rsidRPr="00FB21D6" w:rsidRDefault="00725D54" w:rsidP="00801EE6">
            <w:pPr>
              <w:pStyle w:val="ListParagraph"/>
              <w:tabs>
                <w:tab w:val="left" w:pos="360"/>
              </w:tabs>
              <w:ind w:left="0"/>
              <w:jc w:val="center"/>
              <w:rPr>
                <w:lang w:val="es-419"/>
              </w:rPr>
            </w:pPr>
            <w:r w:rsidRPr="00FB21D6">
              <w:rPr>
                <w:lang w:val="es-419"/>
              </w:rPr>
              <w:t xml:space="preserve">Español </w:t>
            </w:r>
          </w:p>
        </w:tc>
        <w:tc>
          <w:tcPr>
            <w:tcW w:w="2160" w:type="dxa"/>
          </w:tcPr>
          <w:p w:rsidR="00725D54" w:rsidRPr="00FB21D6" w:rsidRDefault="00725D54" w:rsidP="00801EE6">
            <w:pPr>
              <w:pStyle w:val="ListParagraph"/>
              <w:tabs>
                <w:tab w:val="left" w:pos="360"/>
              </w:tabs>
              <w:ind w:left="0"/>
              <w:jc w:val="center"/>
              <w:rPr>
                <w:lang w:val="es-419"/>
              </w:rPr>
            </w:pPr>
            <w:r w:rsidRPr="00FB21D6">
              <w:rPr>
                <w:lang w:val="es-419"/>
              </w:rPr>
              <w:t>273</w:t>
            </w:r>
          </w:p>
        </w:tc>
        <w:tc>
          <w:tcPr>
            <w:tcW w:w="2070" w:type="dxa"/>
          </w:tcPr>
          <w:p w:rsidR="00725D54" w:rsidRPr="00FB21D6" w:rsidRDefault="00725D54" w:rsidP="00801EE6">
            <w:pPr>
              <w:pStyle w:val="ListParagraph"/>
              <w:tabs>
                <w:tab w:val="left" w:pos="360"/>
              </w:tabs>
              <w:ind w:left="0"/>
              <w:jc w:val="center"/>
              <w:rPr>
                <w:lang w:val="es-419"/>
              </w:rPr>
            </w:pPr>
            <w:r w:rsidRPr="00FB21D6">
              <w:rPr>
                <w:lang w:val="es-419"/>
              </w:rPr>
              <w:t>92</w:t>
            </w:r>
          </w:p>
        </w:tc>
        <w:tc>
          <w:tcPr>
            <w:tcW w:w="2240" w:type="dxa"/>
          </w:tcPr>
          <w:p w:rsidR="00725D54" w:rsidRPr="00FB21D6" w:rsidRDefault="00725D54" w:rsidP="00801EE6">
            <w:pPr>
              <w:pStyle w:val="ListParagraph"/>
              <w:tabs>
                <w:tab w:val="left" w:pos="360"/>
              </w:tabs>
              <w:ind w:left="0"/>
              <w:jc w:val="center"/>
              <w:rPr>
                <w:lang w:val="es-419"/>
              </w:rPr>
            </w:pPr>
            <w:r w:rsidRPr="00FB21D6">
              <w:rPr>
                <w:lang w:val="es-419"/>
              </w:rPr>
              <w:t>52%</w:t>
            </w:r>
          </w:p>
        </w:tc>
      </w:tr>
      <w:tr w:rsidR="00725D54" w:rsidRPr="00FB21D6" w:rsidTr="00801EE6">
        <w:tc>
          <w:tcPr>
            <w:tcW w:w="752" w:type="dxa"/>
            <w:shd w:val="clear" w:color="auto" w:fill="auto"/>
          </w:tcPr>
          <w:p w:rsidR="00725D54" w:rsidRPr="00FB21D6" w:rsidRDefault="00725D54" w:rsidP="00801EE6">
            <w:pPr>
              <w:pStyle w:val="ListParagraph"/>
              <w:tabs>
                <w:tab w:val="left" w:pos="360"/>
              </w:tabs>
              <w:ind w:left="0"/>
              <w:jc w:val="center"/>
              <w:rPr>
                <w:lang w:val="es-419"/>
              </w:rPr>
            </w:pPr>
            <w:r w:rsidRPr="00FB21D6">
              <w:rPr>
                <w:lang w:val="es-419"/>
              </w:rPr>
              <w:t>IV</w:t>
            </w:r>
          </w:p>
        </w:tc>
        <w:tc>
          <w:tcPr>
            <w:tcW w:w="2123" w:type="dxa"/>
          </w:tcPr>
          <w:p w:rsidR="00725D54" w:rsidRPr="00FB21D6" w:rsidRDefault="00725D54" w:rsidP="00801EE6">
            <w:pPr>
              <w:pStyle w:val="ListParagraph"/>
              <w:tabs>
                <w:tab w:val="left" w:pos="360"/>
              </w:tabs>
              <w:ind w:left="0"/>
              <w:jc w:val="center"/>
              <w:rPr>
                <w:lang w:val="es-419"/>
              </w:rPr>
            </w:pPr>
            <w:r w:rsidRPr="00FB21D6">
              <w:rPr>
                <w:lang w:val="es-419"/>
              </w:rPr>
              <w:t>Inglés (Caribe)</w:t>
            </w:r>
          </w:p>
        </w:tc>
        <w:tc>
          <w:tcPr>
            <w:tcW w:w="2160" w:type="dxa"/>
          </w:tcPr>
          <w:p w:rsidR="00725D54" w:rsidRPr="00FB21D6" w:rsidRDefault="00725D54" w:rsidP="00801EE6">
            <w:pPr>
              <w:pStyle w:val="ListParagraph"/>
              <w:tabs>
                <w:tab w:val="left" w:pos="360"/>
              </w:tabs>
              <w:ind w:left="0"/>
              <w:jc w:val="center"/>
              <w:rPr>
                <w:lang w:val="es-419"/>
              </w:rPr>
            </w:pPr>
            <w:r w:rsidRPr="00FB21D6">
              <w:rPr>
                <w:lang w:val="es-419"/>
              </w:rPr>
              <w:t>209</w:t>
            </w:r>
          </w:p>
        </w:tc>
        <w:tc>
          <w:tcPr>
            <w:tcW w:w="2070" w:type="dxa"/>
          </w:tcPr>
          <w:p w:rsidR="00725D54" w:rsidRPr="00FB21D6" w:rsidRDefault="00725D54" w:rsidP="00801EE6">
            <w:pPr>
              <w:pStyle w:val="ListParagraph"/>
              <w:tabs>
                <w:tab w:val="left" w:pos="360"/>
              </w:tabs>
              <w:ind w:left="0"/>
              <w:jc w:val="center"/>
              <w:rPr>
                <w:lang w:val="es-419"/>
              </w:rPr>
            </w:pPr>
            <w:r w:rsidRPr="00FB21D6">
              <w:rPr>
                <w:lang w:val="es-419"/>
              </w:rPr>
              <w:t>58</w:t>
            </w:r>
          </w:p>
        </w:tc>
        <w:tc>
          <w:tcPr>
            <w:tcW w:w="2240" w:type="dxa"/>
          </w:tcPr>
          <w:p w:rsidR="00725D54" w:rsidRPr="00FB21D6" w:rsidRDefault="00725D54" w:rsidP="00801EE6">
            <w:pPr>
              <w:pStyle w:val="ListParagraph"/>
              <w:tabs>
                <w:tab w:val="left" w:pos="360"/>
              </w:tabs>
              <w:ind w:left="0"/>
              <w:jc w:val="center"/>
              <w:rPr>
                <w:lang w:val="es-419"/>
              </w:rPr>
            </w:pPr>
            <w:r w:rsidRPr="00FB21D6">
              <w:rPr>
                <w:lang w:val="es-419"/>
              </w:rPr>
              <w:t>43%</w:t>
            </w:r>
          </w:p>
        </w:tc>
      </w:tr>
      <w:tr w:rsidR="00725D54" w:rsidRPr="00FB21D6" w:rsidTr="00801EE6">
        <w:tc>
          <w:tcPr>
            <w:tcW w:w="752" w:type="dxa"/>
            <w:shd w:val="clear" w:color="auto" w:fill="auto"/>
          </w:tcPr>
          <w:p w:rsidR="00725D54" w:rsidRPr="00FB21D6" w:rsidRDefault="00725D54" w:rsidP="00801EE6">
            <w:pPr>
              <w:pStyle w:val="ListParagraph"/>
              <w:tabs>
                <w:tab w:val="left" w:pos="360"/>
              </w:tabs>
              <w:ind w:left="0"/>
              <w:jc w:val="center"/>
              <w:rPr>
                <w:lang w:val="es-419"/>
              </w:rPr>
            </w:pPr>
            <w:r w:rsidRPr="00FB21D6">
              <w:rPr>
                <w:lang w:val="es-419"/>
              </w:rPr>
              <w:t>V</w:t>
            </w:r>
          </w:p>
        </w:tc>
        <w:tc>
          <w:tcPr>
            <w:tcW w:w="2123" w:type="dxa"/>
          </w:tcPr>
          <w:p w:rsidR="00725D54" w:rsidRPr="00FB21D6" w:rsidRDefault="00725D54" w:rsidP="00801EE6">
            <w:pPr>
              <w:pStyle w:val="ListParagraph"/>
              <w:tabs>
                <w:tab w:val="left" w:pos="360"/>
              </w:tabs>
              <w:ind w:left="0"/>
              <w:jc w:val="center"/>
              <w:rPr>
                <w:lang w:val="es-419"/>
              </w:rPr>
            </w:pPr>
            <w:r w:rsidRPr="00FB21D6">
              <w:rPr>
                <w:lang w:val="es-419"/>
              </w:rPr>
              <w:t>Inglés (África)</w:t>
            </w:r>
          </w:p>
        </w:tc>
        <w:tc>
          <w:tcPr>
            <w:tcW w:w="2160" w:type="dxa"/>
          </w:tcPr>
          <w:p w:rsidR="00725D54" w:rsidRPr="00FB21D6" w:rsidRDefault="00725D54" w:rsidP="00801EE6">
            <w:pPr>
              <w:pStyle w:val="ListParagraph"/>
              <w:tabs>
                <w:tab w:val="left" w:pos="360"/>
              </w:tabs>
              <w:ind w:left="0"/>
              <w:jc w:val="center"/>
              <w:rPr>
                <w:lang w:val="es-419"/>
              </w:rPr>
            </w:pPr>
            <w:r w:rsidRPr="00FB21D6">
              <w:rPr>
                <w:lang w:val="es-419"/>
              </w:rPr>
              <w:t>98</w:t>
            </w:r>
          </w:p>
        </w:tc>
        <w:tc>
          <w:tcPr>
            <w:tcW w:w="2070" w:type="dxa"/>
          </w:tcPr>
          <w:p w:rsidR="00725D54" w:rsidRPr="00FB21D6" w:rsidRDefault="00725D54" w:rsidP="00801EE6">
            <w:pPr>
              <w:pStyle w:val="ListParagraph"/>
              <w:tabs>
                <w:tab w:val="left" w:pos="360"/>
              </w:tabs>
              <w:ind w:left="0"/>
              <w:jc w:val="center"/>
              <w:rPr>
                <w:lang w:val="es-419"/>
              </w:rPr>
            </w:pPr>
            <w:r w:rsidRPr="00FB21D6">
              <w:rPr>
                <w:lang w:val="es-419"/>
              </w:rPr>
              <w:t>32</w:t>
            </w:r>
          </w:p>
        </w:tc>
        <w:tc>
          <w:tcPr>
            <w:tcW w:w="2240" w:type="dxa"/>
          </w:tcPr>
          <w:p w:rsidR="00725D54" w:rsidRPr="00FB21D6" w:rsidRDefault="00725D54" w:rsidP="00801EE6">
            <w:pPr>
              <w:pStyle w:val="ListParagraph"/>
              <w:tabs>
                <w:tab w:val="left" w:pos="360"/>
              </w:tabs>
              <w:ind w:left="0"/>
              <w:jc w:val="center"/>
              <w:rPr>
                <w:lang w:val="es-419"/>
              </w:rPr>
            </w:pPr>
            <w:r w:rsidRPr="00FB21D6">
              <w:rPr>
                <w:lang w:val="es-419"/>
              </w:rPr>
              <w:t>50%</w:t>
            </w:r>
          </w:p>
        </w:tc>
      </w:tr>
      <w:tr w:rsidR="00725D54" w:rsidRPr="00FB21D6" w:rsidTr="00801EE6">
        <w:tc>
          <w:tcPr>
            <w:tcW w:w="752" w:type="dxa"/>
            <w:shd w:val="clear" w:color="auto" w:fill="auto"/>
          </w:tcPr>
          <w:p w:rsidR="00725D54" w:rsidRPr="00FB21D6" w:rsidRDefault="00725D54" w:rsidP="00801EE6">
            <w:pPr>
              <w:pStyle w:val="ListParagraph"/>
              <w:tabs>
                <w:tab w:val="left" w:pos="360"/>
              </w:tabs>
              <w:ind w:left="0"/>
              <w:jc w:val="center"/>
              <w:rPr>
                <w:lang w:val="es-419"/>
              </w:rPr>
            </w:pPr>
            <w:r w:rsidRPr="00FB21D6">
              <w:rPr>
                <w:lang w:val="es-419"/>
              </w:rPr>
              <w:t>VI</w:t>
            </w:r>
          </w:p>
        </w:tc>
        <w:tc>
          <w:tcPr>
            <w:tcW w:w="2123" w:type="dxa"/>
          </w:tcPr>
          <w:p w:rsidR="00725D54" w:rsidRPr="00FB21D6" w:rsidRDefault="00725D54" w:rsidP="00801EE6">
            <w:pPr>
              <w:pStyle w:val="ListParagraph"/>
              <w:tabs>
                <w:tab w:val="left" w:pos="360"/>
              </w:tabs>
              <w:ind w:left="0"/>
              <w:jc w:val="center"/>
              <w:rPr>
                <w:lang w:val="es-419"/>
              </w:rPr>
            </w:pPr>
            <w:r w:rsidRPr="00FB21D6">
              <w:rPr>
                <w:lang w:val="es-419"/>
              </w:rPr>
              <w:t>Inglés (Asia y el Pacífico)</w:t>
            </w:r>
          </w:p>
        </w:tc>
        <w:tc>
          <w:tcPr>
            <w:tcW w:w="2160" w:type="dxa"/>
          </w:tcPr>
          <w:p w:rsidR="00725D54" w:rsidRPr="00FB21D6" w:rsidRDefault="00725D54" w:rsidP="00801EE6">
            <w:pPr>
              <w:pStyle w:val="ListParagraph"/>
              <w:tabs>
                <w:tab w:val="left" w:pos="360"/>
              </w:tabs>
              <w:ind w:left="0"/>
              <w:jc w:val="center"/>
              <w:rPr>
                <w:lang w:val="es-419"/>
              </w:rPr>
            </w:pPr>
            <w:r w:rsidRPr="00FB21D6">
              <w:rPr>
                <w:lang w:val="es-419"/>
              </w:rPr>
              <w:t>155</w:t>
            </w:r>
          </w:p>
        </w:tc>
        <w:tc>
          <w:tcPr>
            <w:tcW w:w="2070" w:type="dxa"/>
          </w:tcPr>
          <w:p w:rsidR="00725D54" w:rsidRPr="00FB21D6" w:rsidRDefault="00725D54" w:rsidP="00801EE6">
            <w:pPr>
              <w:pStyle w:val="ListParagraph"/>
              <w:tabs>
                <w:tab w:val="left" w:pos="360"/>
              </w:tabs>
              <w:ind w:left="0"/>
              <w:jc w:val="center"/>
              <w:rPr>
                <w:lang w:val="es-419"/>
              </w:rPr>
            </w:pPr>
            <w:r w:rsidRPr="00FB21D6">
              <w:rPr>
                <w:lang w:val="es-419"/>
              </w:rPr>
              <w:t>67</w:t>
            </w:r>
          </w:p>
        </w:tc>
        <w:tc>
          <w:tcPr>
            <w:tcW w:w="2240" w:type="dxa"/>
          </w:tcPr>
          <w:p w:rsidR="00725D54" w:rsidRPr="00FB21D6" w:rsidRDefault="00725D54" w:rsidP="00801EE6">
            <w:pPr>
              <w:pStyle w:val="ListParagraph"/>
              <w:tabs>
                <w:tab w:val="left" w:pos="360"/>
              </w:tabs>
              <w:ind w:left="0"/>
              <w:jc w:val="center"/>
              <w:rPr>
                <w:lang w:val="es-419"/>
              </w:rPr>
            </w:pPr>
            <w:r w:rsidRPr="00FB21D6">
              <w:rPr>
                <w:lang w:val="es-419"/>
              </w:rPr>
              <w:t>61%</w:t>
            </w:r>
          </w:p>
        </w:tc>
      </w:tr>
      <w:tr w:rsidR="00725D54" w:rsidRPr="00FB21D6" w:rsidTr="00801EE6">
        <w:tc>
          <w:tcPr>
            <w:tcW w:w="752" w:type="dxa"/>
            <w:shd w:val="clear" w:color="auto" w:fill="auto"/>
          </w:tcPr>
          <w:p w:rsidR="00725D54" w:rsidRPr="00FB21D6" w:rsidRDefault="00725D54" w:rsidP="00801EE6">
            <w:pPr>
              <w:pStyle w:val="ListParagraph"/>
              <w:tabs>
                <w:tab w:val="left" w:pos="360"/>
              </w:tabs>
              <w:ind w:left="0"/>
              <w:jc w:val="center"/>
              <w:rPr>
                <w:lang w:val="es-419"/>
              </w:rPr>
            </w:pPr>
            <w:r w:rsidRPr="00FB21D6">
              <w:rPr>
                <w:lang w:val="es-419"/>
              </w:rPr>
              <w:t>VII</w:t>
            </w:r>
          </w:p>
        </w:tc>
        <w:tc>
          <w:tcPr>
            <w:tcW w:w="2123" w:type="dxa"/>
          </w:tcPr>
          <w:p w:rsidR="00725D54" w:rsidRPr="00FB21D6" w:rsidRDefault="00725D54" w:rsidP="00801EE6">
            <w:pPr>
              <w:pStyle w:val="ListParagraph"/>
              <w:tabs>
                <w:tab w:val="left" w:pos="360"/>
              </w:tabs>
              <w:ind w:left="0"/>
              <w:jc w:val="center"/>
              <w:rPr>
                <w:lang w:val="es-419"/>
              </w:rPr>
            </w:pPr>
            <w:r w:rsidRPr="00FB21D6">
              <w:rPr>
                <w:lang w:val="es-419"/>
              </w:rPr>
              <w:t>Francés</w:t>
            </w:r>
          </w:p>
        </w:tc>
        <w:tc>
          <w:tcPr>
            <w:tcW w:w="2160" w:type="dxa"/>
          </w:tcPr>
          <w:p w:rsidR="00725D54" w:rsidRPr="00FB21D6" w:rsidRDefault="00725D54" w:rsidP="00801EE6">
            <w:pPr>
              <w:pStyle w:val="ListParagraph"/>
              <w:tabs>
                <w:tab w:val="left" w:pos="360"/>
              </w:tabs>
              <w:ind w:left="0"/>
              <w:jc w:val="center"/>
              <w:rPr>
                <w:lang w:val="es-419"/>
              </w:rPr>
            </w:pPr>
            <w:r w:rsidRPr="00FB21D6">
              <w:rPr>
                <w:lang w:val="es-419"/>
              </w:rPr>
              <w:t>91</w:t>
            </w:r>
          </w:p>
        </w:tc>
        <w:tc>
          <w:tcPr>
            <w:tcW w:w="2070" w:type="dxa"/>
          </w:tcPr>
          <w:p w:rsidR="00725D54" w:rsidRPr="00FB21D6" w:rsidRDefault="00725D54" w:rsidP="00801EE6">
            <w:pPr>
              <w:pStyle w:val="ListParagraph"/>
              <w:tabs>
                <w:tab w:val="left" w:pos="360"/>
              </w:tabs>
              <w:ind w:left="0"/>
              <w:jc w:val="center"/>
              <w:rPr>
                <w:lang w:val="es-419"/>
              </w:rPr>
            </w:pPr>
            <w:r w:rsidRPr="00FB21D6">
              <w:rPr>
                <w:lang w:val="es-419"/>
              </w:rPr>
              <w:t>26</w:t>
            </w:r>
          </w:p>
        </w:tc>
        <w:tc>
          <w:tcPr>
            <w:tcW w:w="2240" w:type="dxa"/>
          </w:tcPr>
          <w:p w:rsidR="00725D54" w:rsidRPr="00FB21D6" w:rsidRDefault="00725D54" w:rsidP="00801EE6">
            <w:pPr>
              <w:pStyle w:val="ListParagraph"/>
              <w:tabs>
                <w:tab w:val="left" w:pos="360"/>
              </w:tabs>
              <w:ind w:left="0"/>
              <w:jc w:val="center"/>
              <w:rPr>
                <w:lang w:val="es-419"/>
              </w:rPr>
            </w:pPr>
            <w:r w:rsidRPr="00FB21D6">
              <w:rPr>
                <w:lang w:val="es-419"/>
              </w:rPr>
              <w:t>65%</w:t>
            </w:r>
          </w:p>
        </w:tc>
      </w:tr>
      <w:tr w:rsidR="00725D54" w:rsidRPr="00FB21D6" w:rsidTr="00801EE6">
        <w:tc>
          <w:tcPr>
            <w:tcW w:w="752" w:type="dxa"/>
            <w:shd w:val="clear" w:color="auto" w:fill="auto"/>
          </w:tcPr>
          <w:p w:rsidR="00725D54" w:rsidRPr="00FB21D6" w:rsidRDefault="00725D54" w:rsidP="00801EE6">
            <w:pPr>
              <w:pStyle w:val="ListParagraph"/>
              <w:tabs>
                <w:tab w:val="left" w:pos="360"/>
              </w:tabs>
              <w:ind w:left="0"/>
              <w:jc w:val="center"/>
              <w:rPr>
                <w:lang w:val="es-419"/>
              </w:rPr>
            </w:pPr>
            <w:r w:rsidRPr="00FB21D6">
              <w:rPr>
                <w:lang w:val="es-419"/>
              </w:rPr>
              <w:t>VIII</w:t>
            </w:r>
          </w:p>
        </w:tc>
        <w:tc>
          <w:tcPr>
            <w:tcW w:w="2123" w:type="dxa"/>
          </w:tcPr>
          <w:p w:rsidR="00725D54" w:rsidRPr="00FB21D6" w:rsidRDefault="00725D54" w:rsidP="00801EE6">
            <w:pPr>
              <w:pStyle w:val="ListParagraph"/>
              <w:tabs>
                <w:tab w:val="left" w:pos="360"/>
              </w:tabs>
              <w:ind w:left="0"/>
              <w:jc w:val="center"/>
              <w:rPr>
                <w:lang w:val="es-419"/>
              </w:rPr>
            </w:pPr>
            <w:r w:rsidRPr="00FB21D6">
              <w:rPr>
                <w:lang w:val="es-419"/>
              </w:rPr>
              <w:t>Chino</w:t>
            </w:r>
          </w:p>
        </w:tc>
        <w:tc>
          <w:tcPr>
            <w:tcW w:w="2160" w:type="dxa"/>
          </w:tcPr>
          <w:p w:rsidR="00725D54" w:rsidRPr="00FB21D6" w:rsidRDefault="00725D54" w:rsidP="00801EE6">
            <w:pPr>
              <w:pStyle w:val="ListParagraph"/>
              <w:tabs>
                <w:tab w:val="left" w:pos="360"/>
              </w:tabs>
              <w:ind w:left="0"/>
              <w:jc w:val="center"/>
              <w:rPr>
                <w:lang w:val="es-419"/>
              </w:rPr>
            </w:pPr>
            <w:r w:rsidRPr="00FB21D6">
              <w:rPr>
                <w:lang w:val="es-419"/>
              </w:rPr>
              <w:t>535</w:t>
            </w:r>
          </w:p>
        </w:tc>
        <w:tc>
          <w:tcPr>
            <w:tcW w:w="2070" w:type="dxa"/>
          </w:tcPr>
          <w:p w:rsidR="00725D54" w:rsidRPr="00FB21D6" w:rsidRDefault="00725D54" w:rsidP="00801EE6">
            <w:pPr>
              <w:pStyle w:val="ListParagraph"/>
              <w:tabs>
                <w:tab w:val="left" w:pos="360"/>
              </w:tabs>
              <w:ind w:left="0"/>
              <w:jc w:val="center"/>
              <w:rPr>
                <w:lang w:val="es-419"/>
              </w:rPr>
            </w:pPr>
            <w:r w:rsidRPr="00FB21D6">
              <w:rPr>
                <w:lang w:val="es-419"/>
              </w:rPr>
              <w:t>62</w:t>
            </w:r>
          </w:p>
        </w:tc>
        <w:tc>
          <w:tcPr>
            <w:tcW w:w="2240" w:type="dxa"/>
          </w:tcPr>
          <w:p w:rsidR="00725D54" w:rsidRPr="00FB21D6" w:rsidRDefault="00725D54" w:rsidP="00801EE6">
            <w:pPr>
              <w:pStyle w:val="ListParagraph"/>
              <w:tabs>
                <w:tab w:val="left" w:pos="360"/>
              </w:tabs>
              <w:ind w:left="0"/>
              <w:jc w:val="center"/>
              <w:rPr>
                <w:lang w:val="es-419"/>
              </w:rPr>
            </w:pPr>
            <w:r w:rsidRPr="00FB21D6">
              <w:rPr>
                <w:lang w:val="es-419"/>
              </w:rPr>
              <w:t>3%</w:t>
            </w:r>
          </w:p>
        </w:tc>
      </w:tr>
    </w:tbl>
    <w:p w:rsidR="00725D54" w:rsidRPr="00FB21D6" w:rsidRDefault="00725D54" w:rsidP="000B7175">
      <w:pPr>
        <w:pStyle w:val="ListParagraph"/>
        <w:numPr>
          <w:ilvl w:val="0"/>
          <w:numId w:val="7"/>
        </w:numPr>
        <w:tabs>
          <w:tab w:val="left" w:pos="567"/>
        </w:tabs>
        <w:spacing w:before="240" w:after="240"/>
        <w:ind w:left="0" w:firstLine="0"/>
        <w:contextualSpacing w:val="0"/>
        <w:rPr>
          <w:lang w:val="es-419"/>
        </w:rPr>
      </w:pPr>
      <w:r w:rsidRPr="00FB21D6">
        <w:rPr>
          <w:lang w:val="es-419"/>
        </w:rPr>
        <w:t>Los comentarios recibidos de los participantes en las encuestas de satisfacción fueron, en general, positivos. Como se detalla en los informes de conclusión que figuran en el Anexo, la mayoría de los participantes que respondió a las encuestas (el porcentaje de respuestas varió de un seminario a otro) expresó su satisfacción con los seminarios web y estaría dispuesta a asistir a eventos similares en el futuro y a recomendarlos. Los comentarios recibidos de los ponentes, tanto de manera oficiosa como mediante los informes de conclusión, también fueron positivos.</w:t>
      </w:r>
    </w:p>
    <w:p w:rsidR="00725D54" w:rsidRPr="00FB21D6" w:rsidRDefault="00725D54" w:rsidP="000B7175">
      <w:pPr>
        <w:pStyle w:val="Heading2"/>
        <w:numPr>
          <w:ilvl w:val="0"/>
          <w:numId w:val="8"/>
        </w:numPr>
        <w:spacing w:before="0" w:after="240"/>
        <w:ind w:left="567" w:hanging="567"/>
        <w:rPr>
          <w:lang w:val="es-419"/>
        </w:rPr>
      </w:pPr>
      <w:r w:rsidRPr="00FB21D6">
        <w:rPr>
          <w:lang w:val="es-419"/>
        </w:rPr>
        <w:t>Promoción de los seminarios web</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La Secretaría se encargó de la promoción de los seminarios web, con la asistencia de los ponentes.</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 xml:space="preserve">En primer lugar, se determinó, con arreglo a la región y el idioma, a quién iba dirigido cada seminario. En la mayoría de los casos, cabe señalar, entre otros, las oficinas de PI y otros receptores de asistencia técnica, los consultores empleados por la </w:t>
      </w:r>
      <w:proofErr w:type="spellStart"/>
      <w:r w:rsidRPr="00FB21D6">
        <w:rPr>
          <w:lang w:val="es-419"/>
        </w:rPr>
        <w:t>OMPI</w:t>
      </w:r>
      <w:proofErr w:type="spellEnd"/>
      <w:r w:rsidRPr="00FB21D6">
        <w:rPr>
          <w:lang w:val="es-419"/>
        </w:rPr>
        <w:t xml:space="preserve"> para la prestación de asistencia técnica, el personal de la </w:t>
      </w:r>
      <w:proofErr w:type="spellStart"/>
      <w:r w:rsidRPr="00FB21D6">
        <w:rPr>
          <w:lang w:val="es-419"/>
        </w:rPr>
        <w:t>OMPI</w:t>
      </w:r>
      <w:proofErr w:type="spellEnd"/>
      <w:r w:rsidRPr="00FB21D6">
        <w:rPr>
          <w:lang w:val="es-419"/>
        </w:rPr>
        <w:t xml:space="preserve"> encargado de la prestación de asistencia técnica, las misiones permanentes y otros funcionarios gubernamentales, además de actores de distintos ámbitos interesados en las actividades de la </w:t>
      </w:r>
      <w:proofErr w:type="spellStart"/>
      <w:r w:rsidRPr="00FB21D6">
        <w:rPr>
          <w:lang w:val="es-419"/>
        </w:rPr>
        <w:t>OMPI</w:t>
      </w:r>
      <w:proofErr w:type="spellEnd"/>
      <w:r w:rsidRPr="00FB21D6">
        <w:rPr>
          <w:lang w:val="es-419"/>
        </w:rPr>
        <w:t>.</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 xml:space="preserve">En segundo lugar, los eventos fueron promovidos entre los destinatarios con miras a aumentar la visibilidad y maximizar la participación. La promoción de los seminarios web se llevó a cabo a través de correo electrónico, el sitio web de la </w:t>
      </w:r>
      <w:proofErr w:type="spellStart"/>
      <w:r w:rsidRPr="00FB21D6">
        <w:rPr>
          <w:lang w:val="es-419"/>
        </w:rPr>
        <w:t>OMPI</w:t>
      </w:r>
      <w:proofErr w:type="spellEnd"/>
      <w:r w:rsidRPr="00FB21D6">
        <w:rPr>
          <w:lang w:val="es-419"/>
        </w:rPr>
        <w:t xml:space="preserve"> y, en algunos casos, las redes sociales (Twitter). </w:t>
      </w:r>
    </w:p>
    <w:p w:rsidR="00725D54" w:rsidRPr="00FB21D6" w:rsidRDefault="00725D54" w:rsidP="000B7175">
      <w:pPr>
        <w:pStyle w:val="Heading2"/>
        <w:numPr>
          <w:ilvl w:val="0"/>
          <w:numId w:val="8"/>
        </w:numPr>
        <w:spacing w:before="0" w:after="240"/>
        <w:ind w:left="567" w:hanging="567"/>
        <w:rPr>
          <w:lang w:val="es-419"/>
        </w:rPr>
      </w:pPr>
      <w:r w:rsidRPr="00FB21D6">
        <w:rPr>
          <w:lang w:val="es-419"/>
        </w:rPr>
        <w:t>PORCENTAJE DE UTILIZACIÓN DEL PRESUPUESTO</w:t>
      </w:r>
    </w:p>
    <w:p w:rsidR="00725D54" w:rsidRPr="00FB21D6" w:rsidRDefault="00725D54" w:rsidP="000B7175">
      <w:pPr>
        <w:pStyle w:val="ListParagraph"/>
        <w:numPr>
          <w:ilvl w:val="0"/>
          <w:numId w:val="7"/>
        </w:numPr>
        <w:tabs>
          <w:tab w:val="left" w:pos="567"/>
        </w:tabs>
        <w:spacing w:after="240"/>
        <w:ind w:left="0" w:firstLine="0"/>
        <w:contextualSpacing w:val="0"/>
        <w:rPr>
          <w:lang w:val="es-419"/>
        </w:rPr>
      </w:pPr>
      <w:r w:rsidRPr="00FB21D6">
        <w:rPr>
          <w:lang w:val="es-419"/>
        </w:rPr>
        <w:t>El presupuesto inicialmente previsto para la fase piloto de los seminarios web fue de 75.745 francos suizos. El importe utilizado fue de 56.847 francos suizos. Por consiguiente, el porcentaje de utilización fue del 75%.</w:t>
      </w:r>
    </w:p>
    <w:p w:rsidR="00725D54" w:rsidRPr="00FB21D6" w:rsidRDefault="00725D54" w:rsidP="00801EE6">
      <w:pPr>
        <w:pStyle w:val="ListParagraph"/>
        <w:keepNext/>
        <w:numPr>
          <w:ilvl w:val="0"/>
          <w:numId w:val="7"/>
        </w:numPr>
        <w:spacing w:after="240"/>
        <w:ind w:left="5533" w:hanging="4"/>
        <w:contextualSpacing w:val="0"/>
        <w:rPr>
          <w:i/>
          <w:lang w:val="es-419"/>
        </w:rPr>
      </w:pPr>
      <w:r w:rsidRPr="00FB21D6">
        <w:rPr>
          <w:i/>
          <w:lang w:val="es-419"/>
        </w:rPr>
        <w:lastRenderedPageBreak/>
        <w:t xml:space="preserve">Se invita al </w:t>
      </w:r>
      <w:proofErr w:type="spellStart"/>
      <w:r w:rsidRPr="00FB21D6">
        <w:rPr>
          <w:i/>
          <w:lang w:val="es-419"/>
        </w:rPr>
        <w:t>CDIP</w:t>
      </w:r>
      <w:proofErr w:type="spellEnd"/>
      <w:r w:rsidRPr="00FB21D6">
        <w:rPr>
          <w:i/>
          <w:lang w:val="es-419"/>
        </w:rPr>
        <w:t xml:space="preserve"> a:</w:t>
      </w:r>
    </w:p>
    <w:p w:rsidR="00725D54" w:rsidRPr="00FB21D6" w:rsidRDefault="00725D54" w:rsidP="00801EE6">
      <w:pPr>
        <w:pStyle w:val="ListParagraph"/>
        <w:keepNext/>
        <w:numPr>
          <w:ilvl w:val="0"/>
          <w:numId w:val="11"/>
        </w:numPr>
        <w:spacing w:after="240"/>
        <w:ind w:left="6804" w:hanging="567"/>
        <w:contextualSpacing w:val="0"/>
        <w:rPr>
          <w:i/>
          <w:lang w:val="es-419"/>
        </w:rPr>
      </w:pPr>
      <w:r w:rsidRPr="00FB21D6">
        <w:rPr>
          <w:i/>
          <w:lang w:val="es-419"/>
        </w:rPr>
        <w:t>tomar nota de la información contenida en el presente documento; y</w:t>
      </w:r>
    </w:p>
    <w:p w:rsidR="00725D54" w:rsidRPr="00FB21D6" w:rsidRDefault="00725D54" w:rsidP="00801EE6">
      <w:pPr>
        <w:pStyle w:val="ListParagraph"/>
        <w:keepNext/>
        <w:numPr>
          <w:ilvl w:val="0"/>
          <w:numId w:val="11"/>
        </w:numPr>
        <w:spacing w:after="240"/>
        <w:ind w:left="6804" w:hanging="567"/>
        <w:contextualSpacing w:val="0"/>
        <w:rPr>
          <w:i/>
          <w:lang w:val="es-419"/>
        </w:rPr>
      </w:pPr>
      <w:r w:rsidRPr="00FB21D6">
        <w:rPr>
          <w:i/>
          <w:lang w:val="es-419"/>
        </w:rPr>
        <w:t>examinar las posibles vías para seguir avanzando.</w:t>
      </w:r>
    </w:p>
    <w:p w:rsidR="00725D54" w:rsidRPr="002378C9" w:rsidRDefault="00F9022D" w:rsidP="00F9022D">
      <w:pPr>
        <w:pStyle w:val="Endofdocument-Annex"/>
        <w:spacing w:before="720"/>
        <w:rPr>
          <w:lang w:val="es-ES"/>
        </w:rPr>
      </w:pPr>
      <w:r>
        <w:rPr>
          <w:lang w:val="es-419"/>
        </w:rPr>
        <w:t>[Sigue el Anexo]</w:t>
      </w:r>
    </w:p>
    <w:sectPr w:rsidR="00725D54" w:rsidRPr="002378C9" w:rsidSect="000B7175">
      <w:headerReference w:type="default" r:id="rId17"/>
      <w:head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EE6" w:rsidRDefault="00801EE6">
      <w:r>
        <w:separator/>
      </w:r>
    </w:p>
  </w:endnote>
  <w:endnote w:type="continuationSeparator" w:id="0">
    <w:p w:rsidR="00801EE6" w:rsidRDefault="00801EE6" w:rsidP="003B38C1">
      <w:r>
        <w:separator/>
      </w:r>
    </w:p>
    <w:p w:rsidR="00801EE6" w:rsidRPr="003B38C1" w:rsidRDefault="00801EE6" w:rsidP="003B38C1">
      <w:pPr>
        <w:spacing w:after="60"/>
        <w:rPr>
          <w:sz w:val="17"/>
        </w:rPr>
      </w:pPr>
      <w:r>
        <w:rPr>
          <w:sz w:val="17"/>
        </w:rPr>
        <w:t>[Endnote continued from previous page]</w:t>
      </w:r>
    </w:p>
  </w:endnote>
  <w:endnote w:type="continuationNotice" w:id="1">
    <w:p w:rsidR="00801EE6" w:rsidRPr="003B38C1" w:rsidRDefault="00801EE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EE6" w:rsidRDefault="00801EE6">
      <w:r>
        <w:separator/>
      </w:r>
    </w:p>
  </w:footnote>
  <w:footnote w:type="continuationSeparator" w:id="0">
    <w:p w:rsidR="00801EE6" w:rsidRDefault="00801EE6" w:rsidP="008B60B2">
      <w:r>
        <w:separator/>
      </w:r>
    </w:p>
    <w:p w:rsidR="00801EE6" w:rsidRPr="00ED77FB" w:rsidRDefault="00801EE6" w:rsidP="008B60B2">
      <w:pPr>
        <w:spacing w:after="60"/>
        <w:rPr>
          <w:sz w:val="17"/>
          <w:szCs w:val="17"/>
        </w:rPr>
      </w:pPr>
      <w:r w:rsidRPr="00ED77FB">
        <w:rPr>
          <w:sz w:val="17"/>
          <w:szCs w:val="17"/>
        </w:rPr>
        <w:t>[Footnote continued from previous page]</w:t>
      </w:r>
    </w:p>
  </w:footnote>
  <w:footnote w:type="continuationNotice" w:id="1">
    <w:p w:rsidR="00801EE6" w:rsidRPr="00ED77FB" w:rsidRDefault="00801EE6" w:rsidP="008B60B2">
      <w:pPr>
        <w:spacing w:before="60"/>
        <w:jc w:val="right"/>
        <w:rPr>
          <w:sz w:val="17"/>
          <w:szCs w:val="17"/>
        </w:rPr>
      </w:pPr>
      <w:r w:rsidRPr="00ED77FB">
        <w:rPr>
          <w:sz w:val="17"/>
          <w:szCs w:val="17"/>
        </w:rPr>
        <w:t>[Footnote continued on next page]</w:t>
      </w:r>
    </w:p>
  </w:footnote>
  <w:footnote w:id="2">
    <w:p w:rsidR="005E3CBD" w:rsidRPr="00AF4510" w:rsidRDefault="005E3CBD">
      <w:pPr>
        <w:pStyle w:val="FootnoteText"/>
        <w:rPr>
          <w:szCs w:val="18"/>
          <w:lang w:val="es-ES_tradnl"/>
        </w:rPr>
      </w:pPr>
      <w:r w:rsidRPr="00AF4510">
        <w:rPr>
          <w:rStyle w:val="FootnoteReference"/>
          <w:szCs w:val="18"/>
        </w:rPr>
        <w:footnoteRef/>
      </w:r>
      <w:r w:rsidRPr="00AF4510">
        <w:rPr>
          <w:szCs w:val="18"/>
          <w:lang w:val="es-ES_tradnl"/>
        </w:rPr>
        <w:t xml:space="preserve"> Con arreglo a la Política Lingüística de la </w:t>
      </w:r>
      <w:proofErr w:type="spellStart"/>
      <w:r w:rsidRPr="00AF4510">
        <w:rPr>
          <w:szCs w:val="18"/>
          <w:lang w:val="es-ES_tradnl"/>
        </w:rPr>
        <w:t>OMPI</w:t>
      </w:r>
      <w:proofErr w:type="spellEnd"/>
      <w:r w:rsidRPr="00AF4510">
        <w:rPr>
          <w:szCs w:val="18"/>
          <w:lang w:val="es-ES_tradnl"/>
        </w:rPr>
        <w:t xml:space="preserve">, se traducirá a los otros cinco idiomas oficiales de la ONU solo el cuerpo del presente documento (páginas 1 a 4). El documento completo, incluido el Anexo, está disponible en inglés en la </w:t>
      </w:r>
      <w:hyperlink r:id="rId1" w:history="1">
        <w:r w:rsidRPr="00AF4510">
          <w:rPr>
            <w:rStyle w:val="Hyperlink"/>
            <w:szCs w:val="18"/>
            <w:lang w:val="es-ES_tradnl"/>
          </w:rPr>
          <w:t xml:space="preserve">página web de la 25ª sesión del </w:t>
        </w:r>
        <w:proofErr w:type="spellStart"/>
        <w:r w:rsidRPr="00AF4510">
          <w:rPr>
            <w:rStyle w:val="Hyperlink"/>
            <w:szCs w:val="18"/>
            <w:lang w:val="es-ES_tradnl"/>
          </w:rPr>
          <w:t>CDIP</w:t>
        </w:r>
        <w:proofErr w:type="spellEnd"/>
      </w:hyperlink>
      <w:r w:rsidRPr="00AF4510">
        <w:rPr>
          <w:szCs w:val="18"/>
          <w:lang w:val="es-ES_trad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EE6" w:rsidRPr="001A581D" w:rsidRDefault="00801EE6" w:rsidP="00477D6B">
    <w:pPr>
      <w:jc w:val="right"/>
      <w:rPr>
        <w:lang w:val="es-ES_tradnl"/>
      </w:rPr>
    </w:pPr>
    <w:bookmarkStart w:id="6" w:name="Code2"/>
    <w:bookmarkEnd w:id="6"/>
    <w:proofErr w:type="spellStart"/>
    <w:r w:rsidRPr="001A581D">
      <w:rPr>
        <w:lang w:val="es-ES_tradnl"/>
      </w:rPr>
      <w:t>CDIP</w:t>
    </w:r>
    <w:proofErr w:type="spellEnd"/>
    <w:r w:rsidRPr="001A581D">
      <w:rPr>
        <w:lang w:val="es-ES_tradnl"/>
      </w:rPr>
      <w:t>/25/3</w:t>
    </w:r>
  </w:p>
  <w:p w:rsidR="00801EE6" w:rsidRPr="001A581D" w:rsidRDefault="00801EE6" w:rsidP="00477D6B">
    <w:pPr>
      <w:jc w:val="right"/>
      <w:rPr>
        <w:lang w:val="es-ES_tradnl"/>
      </w:rPr>
    </w:pPr>
    <w:r w:rsidRPr="001A581D">
      <w:rPr>
        <w:lang w:val="es-ES_tradnl"/>
      </w:rPr>
      <w:t xml:space="preserve">Anexo, página </w:t>
    </w:r>
    <w:r w:rsidRPr="001A581D">
      <w:rPr>
        <w:lang w:val="es-ES_tradnl"/>
      </w:rPr>
      <w:fldChar w:fldCharType="begin"/>
    </w:r>
    <w:r w:rsidRPr="001A581D">
      <w:rPr>
        <w:lang w:val="es-ES_tradnl"/>
      </w:rPr>
      <w:instrText xml:space="preserve"> PAGE  \* MERGEFORMAT </w:instrText>
    </w:r>
    <w:r w:rsidRPr="001A581D">
      <w:rPr>
        <w:lang w:val="es-ES_tradnl"/>
      </w:rPr>
      <w:fldChar w:fldCharType="separate"/>
    </w:r>
    <w:r w:rsidR="008A08BE">
      <w:rPr>
        <w:noProof/>
        <w:lang w:val="es-ES_tradnl"/>
      </w:rPr>
      <w:t>5</w:t>
    </w:r>
    <w:r w:rsidRPr="001A581D">
      <w:rPr>
        <w:lang w:val="es-ES_tradnl"/>
      </w:rPr>
      <w:fldChar w:fldCharType="end"/>
    </w:r>
  </w:p>
  <w:p w:rsidR="00801EE6" w:rsidRPr="001A581D" w:rsidRDefault="00801EE6" w:rsidP="00477D6B">
    <w:pPr>
      <w:jc w:val="right"/>
      <w:rPr>
        <w:lang w:val="es-ES_tradnl"/>
      </w:rPr>
    </w:pPr>
  </w:p>
  <w:p w:rsidR="00801EE6" w:rsidRPr="001A581D" w:rsidRDefault="00801EE6" w:rsidP="00477D6B">
    <w:pPr>
      <w:jc w:val="right"/>
      <w:rPr>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EE6" w:rsidRDefault="00801EE6" w:rsidP="000B7175">
    <w:pPr>
      <w:pStyle w:val="Header"/>
      <w:jc w:val="right"/>
    </w:pPr>
  </w:p>
  <w:p w:rsidR="00801EE6" w:rsidRDefault="00801EE6" w:rsidP="000B717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5B6CF0"/>
    <w:multiLevelType w:val="hybridMultilevel"/>
    <w:tmpl w:val="A7BE988C"/>
    <w:lvl w:ilvl="0" w:tplc="C4B83B76">
      <w:start w:val="1"/>
      <w:numFmt w:val="decimal"/>
      <w:lvlText w:val="%1."/>
      <w:lvlJc w:val="left"/>
      <w:pPr>
        <w:ind w:left="930" w:hanging="57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45F2A"/>
    <w:multiLevelType w:val="hybridMultilevel"/>
    <w:tmpl w:val="AF6C6EB8"/>
    <w:lvl w:ilvl="0" w:tplc="0EA898F0">
      <w:start w:val="1"/>
      <w:numFmt w:val="low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1121566B"/>
    <w:multiLevelType w:val="hybridMultilevel"/>
    <w:tmpl w:val="CE52B3DA"/>
    <w:lvl w:ilvl="0" w:tplc="D602A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62232"/>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A24B3"/>
    <w:multiLevelType w:val="hybridMultilevel"/>
    <w:tmpl w:val="602E344C"/>
    <w:lvl w:ilvl="0" w:tplc="57747D5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F455BA"/>
    <w:multiLevelType w:val="hybridMultilevel"/>
    <w:tmpl w:val="825CA3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2D3727"/>
    <w:multiLevelType w:val="hybridMultilevel"/>
    <w:tmpl w:val="396AE2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5B734D"/>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F766A"/>
    <w:multiLevelType w:val="hybridMultilevel"/>
    <w:tmpl w:val="3844EE9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0562C8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3F3C1A"/>
    <w:multiLevelType w:val="hybridMultilevel"/>
    <w:tmpl w:val="C2C48D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9B5915"/>
    <w:multiLevelType w:val="hybridMultilevel"/>
    <w:tmpl w:val="C69A90EE"/>
    <w:lvl w:ilvl="0" w:tplc="49768F62">
      <w:start w:val="1"/>
      <w:numFmt w:val="lowerRoman"/>
      <w:lvlText w:val="%1)"/>
      <w:lvlJc w:val="left"/>
      <w:pPr>
        <w:ind w:left="6660" w:hanging="720"/>
      </w:pPr>
      <w:rPr>
        <w:rFonts w:hint="default"/>
        <w:i/>
      </w:rPr>
    </w:lvl>
    <w:lvl w:ilvl="1" w:tplc="04090019" w:tentative="1">
      <w:start w:val="1"/>
      <w:numFmt w:val="lowerLetter"/>
      <w:lvlText w:val="%2."/>
      <w:lvlJc w:val="left"/>
      <w:pPr>
        <w:ind w:left="7020" w:hanging="360"/>
      </w:pPr>
    </w:lvl>
    <w:lvl w:ilvl="2" w:tplc="0409001B" w:tentative="1">
      <w:start w:val="1"/>
      <w:numFmt w:val="lowerRoman"/>
      <w:lvlText w:val="%3."/>
      <w:lvlJc w:val="right"/>
      <w:pPr>
        <w:ind w:left="7740" w:hanging="180"/>
      </w:pPr>
    </w:lvl>
    <w:lvl w:ilvl="3" w:tplc="0409000F" w:tentative="1">
      <w:start w:val="1"/>
      <w:numFmt w:val="decimal"/>
      <w:lvlText w:val="%4."/>
      <w:lvlJc w:val="left"/>
      <w:pPr>
        <w:ind w:left="8460" w:hanging="360"/>
      </w:pPr>
    </w:lvl>
    <w:lvl w:ilvl="4" w:tplc="04090019" w:tentative="1">
      <w:start w:val="1"/>
      <w:numFmt w:val="lowerLetter"/>
      <w:lvlText w:val="%5."/>
      <w:lvlJc w:val="left"/>
      <w:pPr>
        <w:ind w:left="9180" w:hanging="360"/>
      </w:pPr>
    </w:lvl>
    <w:lvl w:ilvl="5" w:tplc="0409001B" w:tentative="1">
      <w:start w:val="1"/>
      <w:numFmt w:val="lowerRoman"/>
      <w:lvlText w:val="%6."/>
      <w:lvlJc w:val="right"/>
      <w:pPr>
        <w:ind w:left="9900" w:hanging="180"/>
      </w:pPr>
    </w:lvl>
    <w:lvl w:ilvl="6" w:tplc="0409000F" w:tentative="1">
      <w:start w:val="1"/>
      <w:numFmt w:val="decimal"/>
      <w:lvlText w:val="%7."/>
      <w:lvlJc w:val="left"/>
      <w:pPr>
        <w:ind w:left="10620" w:hanging="360"/>
      </w:pPr>
    </w:lvl>
    <w:lvl w:ilvl="7" w:tplc="04090019" w:tentative="1">
      <w:start w:val="1"/>
      <w:numFmt w:val="lowerLetter"/>
      <w:lvlText w:val="%8."/>
      <w:lvlJc w:val="left"/>
      <w:pPr>
        <w:ind w:left="11340" w:hanging="360"/>
      </w:pPr>
    </w:lvl>
    <w:lvl w:ilvl="8" w:tplc="0409001B" w:tentative="1">
      <w:start w:val="1"/>
      <w:numFmt w:val="lowerRoman"/>
      <w:lvlText w:val="%9."/>
      <w:lvlJc w:val="right"/>
      <w:pPr>
        <w:ind w:left="12060" w:hanging="180"/>
      </w:pPr>
    </w:lvl>
  </w:abstractNum>
  <w:abstractNum w:abstractNumId="16" w15:restartNumberingAfterBreak="0">
    <w:nsid w:val="314E4957"/>
    <w:multiLevelType w:val="hybridMultilevel"/>
    <w:tmpl w:val="9C2E1764"/>
    <w:lvl w:ilvl="0" w:tplc="0409000D">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7" w15:restartNumberingAfterBreak="0">
    <w:nsid w:val="32FE09AA"/>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293404"/>
    <w:multiLevelType w:val="hybridMultilevel"/>
    <w:tmpl w:val="01EC0686"/>
    <w:lvl w:ilvl="0" w:tplc="0409000D">
      <w:start w:val="1"/>
      <w:numFmt w:val="bullet"/>
      <w:lvlText w:val=""/>
      <w:lvlJc w:val="left"/>
      <w:pPr>
        <w:tabs>
          <w:tab w:val="num" w:pos="720"/>
        </w:tabs>
        <w:ind w:left="720" w:hanging="360"/>
      </w:pPr>
      <w:rPr>
        <w:rFonts w:ascii="Wingdings" w:hAnsi="Wingdings" w:hint="default"/>
      </w:rPr>
    </w:lvl>
    <w:lvl w:ilvl="1" w:tplc="FC32CD2C" w:tentative="1">
      <w:start w:val="1"/>
      <w:numFmt w:val="decimal"/>
      <w:lvlText w:val="%2)"/>
      <w:lvlJc w:val="left"/>
      <w:pPr>
        <w:tabs>
          <w:tab w:val="num" w:pos="1440"/>
        </w:tabs>
        <w:ind w:left="1440" w:hanging="360"/>
      </w:pPr>
    </w:lvl>
    <w:lvl w:ilvl="2" w:tplc="99EA4B38" w:tentative="1">
      <w:start w:val="1"/>
      <w:numFmt w:val="decimal"/>
      <w:lvlText w:val="%3)"/>
      <w:lvlJc w:val="left"/>
      <w:pPr>
        <w:tabs>
          <w:tab w:val="num" w:pos="2160"/>
        </w:tabs>
        <w:ind w:left="2160" w:hanging="360"/>
      </w:pPr>
    </w:lvl>
    <w:lvl w:ilvl="3" w:tplc="F522D66E" w:tentative="1">
      <w:start w:val="1"/>
      <w:numFmt w:val="decimal"/>
      <w:lvlText w:val="%4)"/>
      <w:lvlJc w:val="left"/>
      <w:pPr>
        <w:tabs>
          <w:tab w:val="num" w:pos="2880"/>
        </w:tabs>
        <w:ind w:left="2880" w:hanging="360"/>
      </w:pPr>
    </w:lvl>
    <w:lvl w:ilvl="4" w:tplc="EE90A9A2" w:tentative="1">
      <w:start w:val="1"/>
      <w:numFmt w:val="decimal"/>
      <w:lvlText w:val="%5)"/>
      <w:lvlJc w:val="left"/>
      <w:pPr>
        <w:tabs>
          <w:tab w:val="num" w:pos="3600"/>
        </w:tabs>
        <w:ind w:left="3600" w:hanging="360"/>
      </w:pPr>
    </w:lvl>
    <w:lvl w:ilvl="5" w:tplc="4FA837EA" w:tentative="1">
      <w:start w:val="1"/>
      <w:numFmt w:val="decimal"/>
      <w:lvlText w:val="%6)"/>
      <w:lvlJc w:val="left"/>
      <w:pPr>
        <w:tabs>
          <w:tab w:val="num" w:pos="4320"/>
        </w:tabs>
        <w:ind w:left="4320" w:hanging="360"/>
      </w:pPr>
    </w:lvl>
    <w:lvl w:ilvl="6" w:tplc="8932C0FC" w:tentative="1">
      <w:start w:val="1"/>
      <w:numFmt w:val="decimal"/>
      <w:lvlText w:val="%7)"/>
      <w:lvlJc w:val="left"/>
      <w:pPr>
        <w:tabs>
          <w:tab w:val="num" w:pos="5040"/>
        </w:tabs>
        <w:ind w:left="5040" w:hanging="360"/>
      </w:pPr>
    </w:lvl>
    <w:lvl w:ilvl="7" w:tplc="2670EBBE" w:tentative="1">
      <w:start w:val="1"/>
      <w:numFmt w:val="decimal"/>
      <w:lvlText w:val="%8)"/>
      <w:lvlJc w:val="left"/>
      <w:pPr>
        <w:tabs>
          <w:tab w:val="num" w:pos="5760"/>
        </w:tabs>
        <w:ind w:left="5760" w:hanging="360"/>
      </w:pPr>
    </w:lvl>
    <w:lvl w:ilvl="8" w:tplc="7BF4DF20" w:tentative="1">
      <w:start w:val="1"/>
      <w:numFmt w:val="decimal"/>
      <w:lvlText w:val="%9)"/>
      <w:lvlJc w:val="left"/>
      <w:pPr>
        <w:tabs>
          <w:tab w:val="num" w:pos="6480"/>
        </w:tabs>
        <w:ind w:left="6480" w:hanging="360"/>
      </w:pPr>
    </w:lvl>
  </w:abstractNum>
  <w:abstractNum w:abstractNumId="19" w15:restartNumberingAfterBreak="0">
    <w:nsid w:val="3C2C32F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106D2"/>
    <w:multiLevelType w:val="hybridMultilevel"/>
    <w:tmpl w:val="937437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62663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8A52A0F"/>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2B397C"/>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C0214F"/>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9A5A78"/>
    <w:multiLevelType w:val="hybridMultilevel"/>
    <w:tmpl w:val="009CD17E"/>
    <w:lvl w:ilvl="0" w:tplc="3376A5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21AB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4E70F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F5653B"/>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E59E6"/>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2307E9"/>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02D87"/>
    <w:multiLevelType w:val="hybridMultilevel"/>
    <w:tmpl w:val="F912ECA2"/>
    <w:lvl w:ilvl="0" w:tplc="E338590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D981D27"/>
    <w:multiLevelType w:val="hybridMultilevel"/>
    <w:tmpl w:val="177C48E0"/>
    <w:lvl w:ilvl="0" w:tplc="CD969B94">
      <w:start w:val="1"/>
      <w:numFmt w:val="decimal"/>
      <w:lvlText w:val="%1."/>
      <w:lvlJc w:val="left"/>
      <w:pPr>
        <w:ind w:left="720" w:hanging="432"/>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5" w15:restartNumberingAfterBreak="0">
    <w:nsid w:val="70106CB5"/>
    <w:multiLevelType w:val="hybridMultilevel"/>
    <w:tmpl w:val="59FEE58E"/>
    <w:lvl w:ilvl="0" w:tplc="FCD635FC">
      <w:start w:val="10"/>
      <w:numFmt w:val="decimal"/>
      <w:lvlText w:val="%1."/>
      <w:lvlJc w:val="left"/>
      <w:pPr>
        <w:ind w:left="720" w:hanging="432"/>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F514C3"/>
    <w:multiLevelType w:val="hybridMultilevel"/>
    <w:tmpl w:val="C72A4642"/>
    <w:lvl w:ilvl="0" w:tplc="54081A44">
      <w:start w:val="1"/>
      <w:numFmt w:val="decimal"/>
      <w:lvlText w:val="%1."/>
      <w:lvlJc w:val="left"/>
      <w:pPr>
        <w:ind w:left="864" w:hanging="504"/>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2"/>
  </w:num>
  <w:num w:numId="3">
    <w:abstractNumId w:val="0"/>
  </w:num>
  <w:num w:numId="4">
    <w:abstractNumId w:val="24"/>
  </w:num>
  <w:num w:numId="5">
    <w:abstractNumId w:val="1"/>
  </w:num>
  <w:num w:numId="6">
    <w:abstractNumId w:val="12"/>
  </w:num>
  <w:num w:numId="7">
    <w:abstractNumId w:val="2"/>
  </w:num>
  <w:num w:numId="8">
    <w:abstractNumId w:val="27"/>
  </w:num>
  <w:num w:numId="9">
    <w:abstractNumId w:val="6"/>
  </w:num>
  <w:num w:numId="10">
    <w:abstractNumId w:val="14"/>
  </w:num>
  <w:num w:numId="11">
    <w:abstractNumId w:val="15"/>
  </w:num>
  <w:num w:numId="12">
    <w:abstractNumId w:val="29"/>
  </w:num>
  <w:num w:numId="13">
    <w:abstractNumId w:val="19"/>
  </w:num>
  <w:num w:numId="14">
    <w:abstractNumId w:val="36"/>
  </w:num>
  <w:num w:numId="15">
    <w:abstractNumId w:val="33"/>
  </w:num>
  <w:num w:numId="16">
    <w:abstractNumId w:val="21"/>
  </w:num>
  <w:num w:numId="17">
    <w:abstractNumId w:val="32"/>
  </w:num>
  <w:num w:numId="18">
    <w:abstractNumId w:val="26"/>
  </w:num>
  <w:num w:numId="19">
    <w:abstractNumId w:val="34"/>
  </w:num>
  <w:num w:numId="20">
    <w:abstractNumId w:val="9"/>
  </w:num>
  <w:num w:numId="21">
    <w:abstractNumId w:val="13"/>
  </w:num>
  <w:num w:numId="22">
    <w:abstractNumId w:val="17"/>
  </w:num>
  <w:num w:numId="23">
    <w:abstractNumId w:val="18"/>
  </w:num>
  <w:num w:numId="24">
    <w:abstractNumId w:val="11"/>
  </w:num>
  <w:num w:numId="25">
    <w:abstractNumId w:val="30"/>
  </w:num>
  <w:num w:numId="26">
    <w:abstractNumId w:val="31"/>
  </w:num>
  <w:num w:numId="27">
    <w:abstractNumId w:val="5"/>
  </w:num>
  <w:num w:numId="28">
    <w:abstractNumId w:val="20"/>
  </w:num>
  <w:num w:numId="29">
    <w:abstractNumId w:val="4"/>
  </w:num>
  <w:num w:numId="30">
    <w:abstractNumId w:val="25"/>
  </w:num>
  <w:num w:numId="31">
    <w:abstractNumId w:val="23"/>
  </w:num>
  <w:num w:numId="32">
    <w:abstractNumId w:val="7"/>
  </w:num>
  <w:num w:numId="33">
    <w:abstractNumId w:val="35"/>
  </w:num>
  <w:num w:numId="34">
    <w:abstractNumId w:val="28"/>
  </w:num>
  <w:num w:numId="35">
    <w:abstractNumId w:val="3"/>
  </w:num>
  <w:num w:numId="36">
    <w:abstractNumId w:val="10"/>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D54"/>
    <w:rsid w:val="00043CAA"/>
    <w:rsid w:val="00045952"/>
    <w:rsid w:val="00075432"/>
    <w:rsid w:val="000968ED"/>
    <w:rsid w:val="000B7175"/>
    <w:rsid w:val="000F5CC2"/>
    <w:rsid w:val="000F5E56"/>
    <w:rsid w:val="001362EE"/>
    <w:rsid w:val="001647D5"/>
    <w:rsid w:val="001832A6"/>
    <w:rsid w:val="001A581D"/>
    <w:rsid w:val="001B56FD"/>
    <w:rsid w:val="0021217E"/>
    <w:rsid w:val="002378C9"/>
    <w:rsid w:val="002634C4"/>
    <w:rsid w:val="002928D3"/>
    <w:rsid w:val="002F1FE6"/>
    <w:rsid w:val="002F4E68"/>
    <w:rsid w:val="00312F7F"/>
    <w:rsid w:val="00335128"/>
    <w:rsid w:val="00361450"/>
    <w:rsid w:val="003673CF"/>
    <w:rsid w:val="00382439"/>
    <w:rsid w:val="003845C1"/>
    <w:rsid w:val="003905AA"/>
    <w:rsid w:val="003A6F89"/>
    <w:rsid w:val="003B38C1"/>
    <w:rsid w:val="00423E3E"/>
    <w:rsid w:val="00427AF4"/>
    <w:rsid w:val="004647DA"/>
    <w:rsid w:val="00474062"/>
    <w:rsid w:val="00477D6B"/>
    <w:rsid w:val="00493C88"/>
    <w:rsid w:val="004D5D84"/>
    <w:rsid w:val="005019FF"/>
    <w:rsid w:val="0053057A"/>
    <w:rsid w:val="00537D67"/>
    <w:rsid w:val="00556610"/>
    <w:rsid w:val="00560A29"/>
    <w:rsid w:val="005C6649"/>
    <w:rsid w:val="005D0EC4"/>
    <w:rsid w:val="005D55DD"/>
    <w:rsid w:val="005E3CBD"/>
    <w:rsid w:val="00605827"/>
    <w:rsid w:val="00646050"/>
    <w:rsid w:val="006713CA"/>
    <w:rsid w:val="00676C5C"/>
    <w:rsid w:val="006C2497"/>
    <w:rsid w:val="00702CCE"/>
    <w:rsid w:val="00725D54"/>
    <w:rsid w:val="007D1613"/>
    <w:rsid w:val="007E4C0E"/>
    <w:rsid w:val="00801EE6"/>
    <w:rsid w:val="008169B3"/>
    <w:rsid w:val="00847EA8"/>
    <w:rsid w:val="008A08BE"/>
    <w:rsid w:val="008A134B"/>
    <w:rsid w:val="008B2CC1"/>
    <w:rsid w:val="008B60B2"/>
    <w:rsid w:val="0090731E"/>
    <w:rsid w:val="00916DC6"/>
    <w:rsid w:val="00916EE2"/>
    <w:rsid w:val="00953B06"/>
    <w:rsid w:val="00966A22"/>
    <w:rsid w:val="0096722F"/>
    <w:rsid w:val="00976BBD"/>
    <w:rsid w:val="00980843"/>
    <w:rsid w:val="009809F0"/>
    <w:rsid w:val="009D338C"/>
    <w:rsid w:val="009E2791"/>
    <w:rsid w:val="009E3F6F"/>
    <w:rsid w:val="009F499F"/>
    <w:rsid w:val="00A37342"/>
    <w:rsid w:val="00A42DAF"/>
    <w:rsid w:val="00A45BD8"/>
    <w:rsid w:val="00A55E44"/>
    <w:rsid w:val="00A763B6"/>
    <w:rsid w:val="00A82E48"/>
    <w:rsid w:val="00A869B7"/>
    <w:rsid w:val="00AC205C"/>
    <w:rsid w:val="00AD1F66"/>
    <w:rsid w:val="00AF0A6B"/>
    <w:rsid w:val="00AF4510"/>
    <w:rsid w:val="00B05A69"/>
    <w:rsid w:val="00B16503"/>
    <w:rsid w:val="00B4799E"/>
    <w:rsid w:val="00B9734B"/>
    <w:rsid w:val="00BA30E2"/>
    <w:rsid w:val="00BB196C"/>
    <w:rsid w:val="00BC043F"/>
    <w:rsid w:val="00BD046F"/>
    <w:rsid w:val="00BD0BC6"/>
    <w:rsid w:val="00C11BFE"/>
    <w:rsid w:val="00C5068F"/>
    <w:rsid w:val="00C67470"/>
    <w:rsid w:val="00C86D74"/>
    <w:rsid w:val="00CD04F1"/>
    <w:rsid w:val="00CE4384"/>
    <w:rsid w:val="00D45252"/>
    <w:rsid w:val="00D61833"/>
    <w:rsid w:val="00D71B4D"/>
    <w:rsid w:val="00D74977"/>
    <w:rsid w:val="00D93D55"/>
    <w:rsid w:val="00DB005E"/>
    <w:rsid w:val="00E15015"/>
    <w:rsid w:val="00E335FE"/>
    <w:rsid w:val="00E42849"/>
    <w:rsid w:val="00EA7D6E"/>
    <w:rsid w:val="00EB65EB"/>
    <w:rsid w:val="00EC4411"/>
    <w:rsid w:val="00EC4E49"/>
    <w:rsid w:val="00ED77FB"/>
    <w:rsid w:val="00EE45FA"/>
    <w:rsid w:val="00F54F5F"/>
    <w:rsid w:val="00F66152"/>
    <w:rsid w:val="00F71BC6"/>
    <w:rsid w:val="00F720D9"/>
    <w:rsid w:val="00F777C0"/>
    <w:rsid w:val="00F9022D"/>
    <w:rsid w:val="00FB21D6"/>
    <w:rsid w:val="00FE0CBB"/>
    <w:rsid w:val="00FF4BDF"/>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B76B99"/>
  <w15:docId w15:val="{4DB737F0-447B-46E5-A663-90D2C0C9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1Char">
    <w:name w:val="Heading 1 Char"/>
    <w:basedOn w:val="DefaultParagraphFont"/>
    <w:link w:val="Heading1"/>
    <w:rsid w:val="00725D54"/>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25D54"/>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725D54"/>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725D54"/>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725D54"/>
    <w:rPr>
      <w:rFonts w:ascii="Arial" w:eastAsia="SimSun" w:hAnsi="Arial" w:cs="Arial"/>
      <w:sz w:val="22"/>
      <w:lang w:val="en-US" w:eastAsia="zh-CN"/>
    </w:rPr>
  </w:style>
  <w:style w:type="character" w:customStyle="1" w:styleId="CommentTextChar">
    <w:name w:val="Comment Text Char"/>
    <w:basedOn w:val="DefaultParagraphFont"/>
    <w:link w:val="CommentText"/>
    <w:semiHidden/>
    <w:rsid w:val="00725D54"/>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25D54"/>
    <w:rPr>
      <w:rFonts w:ascii="Arial" w:eastAsia="SimSun" w:hAnsi="Arial" w:cs="Arial"/>
      <w:sz w:val="18"/>
      <w:lang w:val="en-US" w:eastAsia="zh-CN"/>
    </w:rPr>
  </w:style>
  <w:style w:type="character" w:customStyle="1" w:styleId="FooterChar">
    <w:name w:val="Footer Char"/>
    <w:basedOn w:val="DefaultParagraphFont"/>
    <w:link w:val="Footer"/>
    <w:semiHidden/>
    <w:rsid w:val="00725D54"/>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725D54"/>
    <w:rPr>
      <w:rFonts w:ascii="Arial" w:eastAsia="SimSun" w:hAnsi="Arial" w:cs="Arial"/>
      <w:sz w:val="18"/>
      <w:lang w:val="en-US" w:eastAsia="zh-CN"/>
    </w:rPr>
  </w:style>
  <w:style w:type="character" w:customStyle="1" w:styleId="HeaderChar">
    <w:name w:val="Header Char"/>
    <w:basedOn w:val="DefaultParagraphFont"/>
    <w:link w:val="Header"/>
    <w:uiPriority w:val="99"/>
    <w:rsid w:val="00725D54"/>
    <w:rPr>
      <w:rFonts w:ascii="Arial" w:eastAsia="SimSun" w:hAnsi="Arial" w:cs="Arial"/>
      <w:sz w:val="22"/>
      <w:lang w:val="en-US" w:eastAsia="zh-CN"/>
    </w:rPr>
  </w:style>
  <w:style w:type="character" w:customStyle="1" w:styleId="SalutationChar">
    <w:name w:val="Salutation Char"/>
    <w:basedOn w:val="DefaultParagraphFont"/>
    <w:link w:val="Salutation"/>
    <w:semiHidden/>
    <w:rsid w:val="00725D54"/>
    <w:rPr>
      <w:rFonts w:ascii="Arial" w:eastAsia="SimSun" w:hAnsi="Arial" w:cs="Arial"/>
      <w:sz w:val="22"/>
      <w:lang w:val="en-US" w:eastAsia="zh-CN"/>
    </w:rPr>
  </w:style>
  <w:style w:type="character" w:customStyle="1" w:styleId="SignatureChar">
    <w:name w:val="Signature Char"/>
    <w:basedOn w:val="DefaultParagraphFont"/>
    <w:link w:val="Signature"/>
    <w:semiHidden/>
    <w:rsid w:val="00725D54"/>
    <w:rPr>
      <w:rFonts w:ascii="Arial" w:eastAsia="SimSun" w:hAnsi="Arial" w:cs="Arial"/>
      <w:sz w:val="22"/>
      <w:lang w:val="en-US" w:eastAsia="zh-CN"/>
    </w:rPr>
  </w:style>
  <w:style w:type="paragraph" w:styleId="ListParagraph">
    <w:name w:val="List Paragraph"/>
    <w:basedOn w:val="Normal"/>
    <w:uiPriority w:val="34"/>
    <w:qFormat/>
    <w:rsid w:val="00725D54"/>
    <w:pPr>
      <w:ind w:left="720"/>
      <w:contextualSpacing/>
    </w:pPr>
  </w:style>
  <w:style w:type="character" w:styleId="Hyperlink">
    <w:name w:val="Hyperlink"/>
    <w:basedOn w:val="DefaultParagraphFont"/>
    <w:uiPriority w:val="99"/>
    <w:unhideWhenUsed/>
    <w:rsid w:val="00725D54"/>
    <w:rPr>
      <w:color w:val="0000FF" w:themeColor="hyperlink"/>
      <w:u w:val="single"/>
    </w:rPr>
  </w:style>
  <w:style w:type="character" w:styleId="Emphasis">
    <w:name w:val="Emphasis"/>
    <w:basedOn w:val="DefaultParagraphFont"/>
    <w:uiPriority w:val="20"/>
    <w:qFormat/>
    <w:rsid w:val="00725D54"/>
    <w:rPr>
      <w:i/>
      <w:iCs/>
    </w:rPr>
  </w:style>
  <w:style w:type="table" w:styleId="TableGrid">
    <w:name w:val="Table Grid"/>
    <w:basedOn w:val="TableNormal"/>
    <w:uiPriority w:val="59"/>
    <w:rsid w:val="00725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725D54"/>
    <w:rPr>
      <w:vertAlign w:val="superscript"/>
    </w:rPr>
  </w:style>
  <w:style w:type="paragraph" w:styleId="BalloonText">
    <w:name w:val="Balloon Text"/>
    <w:basedOn w:val="Normal"/>
    <w:link w:val="BalloonTextChar"/>
    <w:semiHidden/>
    <w:unhideWhenUsed/>
    <w:rsid w:val="00725D54"/>
    <w:rPr>
      <w:rFonts w:ascii="Segoe UI" w:hAnsi="Segoe UI" w:cs="Segoe UI"/>
      <w:sz w:val="18"/>
      <w:szCs w:val="18"/>
    </w:rPr>
  </w:style>
  <w:style w:type="character" w:customStyle="1" w:styleId="BalloonTextChar">
    <w:name w:val="Balloon Text Char"/>
    <w:basedOn w:val="DefaultParagraphFont"/>
    <w:link w:val="BalloonText"/>
    <w:semiHidden/>
    <w:rsid w:val="00725D54"/>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725D54"/>
    <w:rPr>
      <w:color w:val="800080" w:themeColor="followedHyperlink"/>
      <w:u w:val="single"/>
    </w:rPr>
  </w:style>
  <w:style w:type="character" w:styleId="EndnoteReference">
    <w:name w:val="endnote reference"/>
    <w:basedOn w:val="DefaultParagraphFont"/>
    <w:semiHidden/>
    <w:unhideWhenUsed/>
    <w:rsid w:val="00AF45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ip-development/es/agenda/webinar.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meetings/es/doc_details.jsp?doc_id=474027"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meetings/es/doc_details.jsp?doc_id=43136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s/doc_details.jsp?doc_id=431364" TargetMode="External"/><Relationship Id="rId5" Type="http://schemas.openxmlformats.org/officeDocument/2006/relationships/webSettings" Target="webSettings.xml"/><Relationship Id="rId15" Type="http://schemas.openxmlformats.org/officeDocument/2006/relationships/hyperlink" Target="https://www.wipo.int/meetings/es/topic.jsp?group_id=321" TargetMode="External"/><Relationship Id="rId10" Type="http://schemas.openxmlformats.org/officeDocument/2006/relationships/hyperlink" Target="https://www.wipo.int/meetings/es/doc_details.jsp?doc_id=43721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meetings/es/doc_details.jsp?doc_id=431364" TargetMode="External"/><Relationship Id="rId14" Type="http://schemas.openxmlformats.org/officeDocument/2006/relationships/hyperlink" Target="https://www.wipo.int/ip-development/es/agend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s/details.jsp?meeting_id=5546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9E2389-674F-4550-9128-3D76B3E55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25 (S)</Template>
  <TotalTime>22</TotalTime>
  <Pages>5</Pages>
  <Words>1561</Words>
  <Characters>8078</Characters>
  <Application>Microsoft Office Word</Application>
  <DocSecurity>0</DocSecurity>
  <Lines>231</Lines>
  <Paragraphs>123</Paragraphs>
  <ScaleCrop>false</ScaleCrop>
  <HeadingPairs>
    <vt:vector size="2" baseType="variant">
      <vt:variant>
        <vt:lpstr>Title</vt:lpstr>
      </vt:variant>
      <vt:variant>
        <vt:i4>1</vt:i4>
      </vt:variant>
    </vt:vector>
  </HeadingPairs>
  <TitlesOfParts>
    <vt:vector size="1" baseType="lpstr">
      <vt:lpstr>CDIP/25/3</vt:lpstr>
    </vt:vector>
  </TitlesOfParts>
  <Company>WIPO</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CDIP/25/3</dc:title>
  <dc:creator>CEVALLOS DUQUE Nilo</dc:creator>
  <cp:keywords>FOR OFFICIAL USE ONLY</cp:keywords>
  <cp:lastModifiedBy>ESTEVES DOS SANTOS Anabela</cp:lastModifiedBy>
  <cp:revision>5</cp:revision>
  <cp:lastPrinted>2011-02-15T11:56:00Z</cp:lastPrinted>
  <dcterms:created xsi:type="dcterms:W3CDTF">2020-03-27T14:20:00Z</dcterms:created>
  <dcterms:modified xsi:type="dcterms:W3CDTF">2020-04-07T09:16:00Z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d0346ce3-d32d-4b19-babd-17b03afd192e</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