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9978" w14:textId="77777777" w:rsidR="008A05A9" w:rsidRPr="0002563A" w:rsidRDefault="008A05A9" w:rsidP="008A05A9">
      <w:pPr>
        <w:jc w:val="center"/>
        <w:rPr>
          <w:szCs w:val="22"/>
          <w:lang w:val="es-ES_tradnl"/>
        </w:rPr>
      </w:pPr>
      <w:r w:rsidRPr="0002563A">
        <w:rPr>
          <w:color w:val="548DD4" w:themeColor="text2" w:themeTint="99"/>
          <w:sz w:val="32"/>
          <w:lang w:val="es-ES_tradnl"/>
        </w:rPr>
        <w:t>CONFERENCIA INTERNACIONAL SOBRE</w:t>
      </w:r>
    </w:p>
    <w:p w14:paraId="47F06616" w14:textId="77777777" w:rsidR="008A05A9" w:rsidRPr="0002563A" w:rsidRDefault="008A05A9" w:rsidP="008A05A9">
      <w:pPr>
        <w:jc w:val="center"/>
        <w:rPr>
          <w:color w:val="548DD4" w:themeColor="text2" w:themeTint="99"/>
          <w:sz w:val="32"/>
          <w:szCs w:val="32"/>
          <w:lang w:val="es-ES_tradnl"/>
        </w:rPr>
      </w:pPr>
      <w:r w:rsidRPr="0002563A">
        <w:rPr>
          <w:color w:val="548DD4" w:themeColor="text2" w:themeTint="99"/>
          <w:sz w:val="32"/>
          <w:lang w:val="es-ES_tradnl"/>
        </w:rPr>
        <w:t>PROPIEDAD INTELECTUAL Y DESARROLLO</w:t>
      </w:r>
    </w:p>
    <w:p w14:paraId="6C893D7F" w14:textId="77777777" w:rsidR="008A05A9" w:rsidRPr="0002563A" w:rsidRDefault="008A05A9" w:rsidP="008A05A9">
      <w:pPr>
        <w:pStyle w:val="IntenseQuote"/>
        <w:contextualSpacing/>
        <w:rPr>
          <w:lang w:val="es-ES_tradnl"/>
        </w:rPr>
      </w:pPr>
      <w:r w:rsidRPr="0002563A">
        <w:rPr>
          <w:lang w:val="es-ES_tradnl"/>
        </w:rPr>
        <w:t xml:space="preserve">Subtemas propuestos por los Estados miembros </w:t>
      </w:r>
    </w:p>
    <w:p w14:paraId="6809135E" w14:textId="77777777" w:rsidR="008A05A9" w:rsidRPr="0002563A" w:rsidRDefault="008A05A9" w:rsidP="008A05A9">
      <w:pPr>
        <w:pStyle w:val="IntenseQuote"/>
        <w:rPr>
          <w:lang w:val="es-ES_tradnl"/>
        </w:rPr>
      </w:pPr>
      <w:r w:rsidRPr="0002563A">
        <w:rPr>
          <w:lang w:val="es-ES_tradnl"/>
        </w:rPr>
        <w:t>(por orden cronológico de recepción por la Secretaría)</w:t>
      </w:r>
    </w:p>
    <w:p w14:paraId="3F38DC15" w14:textId="77777777" w:rsidR="008A05A9" w:rsidRPr="0002563A" w:rsidRDefault="008A05A9" w:rsidP="008A05A9">
      <w:pPr>
        <w:pStyle w:val="ListParagraph"/>
        <w:jc w:val="center"/>
        <w:rPr>
          <w:b/>
          <w:lang w:val="es-ES_tradnl"/>
        </w:rPr>
      </w:pPr>
      <w:r w:rsidRPr="0002563A">
        <w:rPr>
          <w:b/>
          <w:lang w:val="es-ES_tradnl"/>
        </w:rPr>
        <w:t>Propuesta de China recibida el 14 de marzo de 2022</w:t>
      </w:r>
    </w:p>
    <w:p w14:paraId="035FF0CB" w14:textId="77777777" w:rsidR="008A05A9" w:rsidRPr="0002563A" w:rsidRDefault="008A05A9" w:rsidP="008A05A9">
      <w:pPr>
        <w:pStyle w:val="ListParagraph"/>
        <w:rPr>
          <w:b/>
          <w:lang w:val="es-ES_tradnl"/>
        </w:rPr>
      </w:pPr>
    </w:p>
    <w:p w14:paraId="12A54316" w14:textId="77777777" w:rsidR="008A05A9" w:rsidRPr="0002563A" w:rsidRDefault="008A05A9" w:rsidP="008A05A9">
      <w:pPr>
        <w:pStyle w:val="ListParagraph"/>
        <w:numPr>
          <w:ilvl w:val="0"/>
          <w:numId w:val="7"/>
        </w:numPr>
        <w:rPr>
          <w:b/>
          <w:lang w:val="es-ES_tradnl"/>
        </w:rPr>
      </w:pPr>
      <w:r w:rsidRPr="0002563A">
        <w:rPr>
          <w:b/>
          <w:i/>
          <w:lang w:val="es-ES_tradnl"/>
        </w:rPr>
        <w:t>Experiencias y prácticas nacionales de PI que promueven la consecución de los Objetivos de Desarrollo Sostenible (ODS) de las Naciones Unidas (ONU)</w:t>
      </w:r>
    </w:p>
    <w:p w14:paraId="690B6454" w14:textId="77777777" w:rsidR="008A05A9" w:rsidRPr="0002563A" w:rsidRDefault="008A05A9" w:rsidP="008A05A9">
      <w:pPr>
        <w:pStyle w:val="ListParagraph"/>
        <w:rPr>
          <w:lang w:val="es-ES_tradnl"/>
        </w:rPr>
      </w:pPr>
    </w:p>
    <w:p w14:paraId="7514D356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  <w:r w:rsidRPr="0002563A">
        <w:rPr>
          <w:color w:val="000000"/>
          <w:u w:val="single"/>
          <w:lang w:val="es-ES_tradnl"/>
        </w:rPr>
        <w:t>COMENTARIO FORMULADO POR LA DELEGACIÓN DE CHINA:</w:t>
      </w:r>
      <w:r w:rsidR="00381476" w:rsidRPr="0002563A">
        <w:rPr>
          <w:color w:val="000000"/>
          <w:lang w:val="es-ES_tradnl"/>
        </w:rPr>
        <w:t xml:space="preserve"> </w:t>
      </w:r>
    </w:p>
    <w:p w14:paraId="3AFC8EDE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</w:p>
    <w:p w14:paraId="0601A19C" w14:textId="58CA0818" w:rsidR="008A05A9" w:rsidRPr="0002563A" w:rsidRDefault="008A05A9" w:rsidP="008A05A9">
      <w:pPr>
        <w:ind w:left="720"/>
        <w:rPr>
          <w:rFonts w:eastAsia="SimSun"/>
          <w:lang w:val="es-ES_tradnl"/>
        </w:rPr>
      </w:pPr>
      <w:r w:rsidRPr="0002563A">
        <w:rPr>
          <w:lang w:val="es-ES_tradnl"/>
        </w:rPr>
        <w:t>La delegación de China propone que el subtema de la Conferencia Internacional sobre PI y Desarrollo, que se celebrará en 2023, lleve por título “Experiencias y prácticas nacionales de PI que promueven la consecución de los Objetivos de Desarrollo Sostenible (ODS) de las Naciones Unidas (ONU)”.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Si bien el Comité de Desarrollo y Propiedad Intelectual (CDIP) informa anualmente a los Estados miembros sobre la contribución de la OMPI a la consecución de los ODS de la ONU, actualmente los países no cuentan con la oportunidad de exponer e intercambiar información sobre las maneras en</w:t>
      </w:r>
      <w:r w:rsidR="00B904CE" w:rsidRPr="0002563A">
        <w:rPr>
          <w:lang w:val="es-ES_tradnl"/>
        </w:rPr>
        <w:t xml:space="preserve"> las</w:t>
      </w:r>
      <w:r w:rsidRPr="0002563A">
        <w:rPr>
          <w:lang w:val="es-ES_tradnl"/>
        </w:rPr>
        <w:t xml:space="preserve"> que utilizan la PI para lograr los ODS.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 xml:space="preserve">La Conferencia Internacional sobre PI y Desarrollo de 2023 puede servir de plataforma para que los Estados miembros intercambien detenidamente información sobre </w:t>
      </w:r>
      <w:r w:rsidR="00523E5B" w:rsidRPr="0002563A">
        <w:rPr>
          <w:lang w:val="es-ES_tradnl"/>
        </w:rPr>
        <w:t>las</w:t>
      </w:r>
      <w:r w:rsidRPr="0002563A">
        <w:rPr>
          <w:lang w:val="es-ES_tradnl"/>
        </w:rPr>
        <w:t xml:space="preserve"> experiencias y prácticas relativas a la consecución de los ODS, en particular, las políticas nacionales de PI relacionadas con el logro de los ODS o la función que desempeña la PI en la reducción de la pobreza y en el desarrollo socioeconómico local, entre otros asuntos.</w:t>
      </w:r>
    </w:p>
    <w:p w14:paraId="07A191AD" w14:textId="77777777" w:rsidR="008A05A9" w:rsidRPr="0002563A" w:rsidRDefault="008A05A9" w:rsidP="008A05A9">
      <w:pPr>
        <w:spacing w:before="100" w:beforeAutospacing="1" w:after="100" w:afterAutospacing="1"/>
        <w:jc w:val="center"/>
        <w:rPr>
          <w:b/>
          <w:szCs w:val="22"/>
          <w:lang w:val="es-ES_tradnl"/>
        </w:rPr>
      </w:pPr>
      <w:r w:rsidRPr="0002563A">
        <w:rPr>
          <w:rStyle w:val="colour"/>
          <w:b/>
          <w:lang w:val="es-ES_tradnl"/>
        </w:rPr>
        <w:t xml:space="preserve">Propuestas del </w:t>
      </w:r>
      <w:r w:rsidRPr="0002563A">
        <w:rPr>
          <w:b/>
          <w:lang w:val="es-ES_tradnl"/>
        </w:rPr>
        <w:t xml:space="preserve">Grupo de Estados de Europa Central y el Báltico (CEBS) recibida </w:t>
      </w:r>
      <w:r w:rsidRPr="0002563A">
        <w:rPr>
          <w:rStyle w:val="colour"/>
          <w:b/>
          <w:lang w:val="es-ES_tradnl"/>
        </w:rPr>
        <w:t>el 15 de marzo de 2022</w:t>
      </w:r>
    </w:p>
    <w:p w14:paraId="5C5E4F92" w14:textId="77777777" w:rsidR="008A05A9" w:rsidRPr="0002563A" w:rsidRDefault="008A05A9" w:rsidP="008A05A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i/>
          <w:szCs w:val="22"/>
          <w:lang w:val="es-ES_tradnl"/>
        </w:rPr>
      </w:pPr>
      <w:r w:rsidRPr="0002563A">
        <w:rPr>
          <w:b/>
          <w:i/>
          <w:lang w:val="es-ES_tradnl"/>
        </w:rPr>
        <w:t>Propuesta 1:</w:t>
      </w:r>
      <w:r w:rsidR="00381476" w:rsidRPr="0002563A">
        <w:rPr>
          <w:b/>
          <w:i/>
          <w:lang w:val="es-ES_tradnl"/>
        </w:rPr>
        <w:t xml:space="preserve"> </w:t>
      </w:r>
      <w:r w:rsidRPr="0002563A">
        <w:rPr>
          <w:b/>
          <w:i/>
          <w:lang w:val="es-ES_tradnl"/>
        </w:rPr>
        <w:t xml:space="preserve">Formas de acercar la PI a la generación joven: educación y formación en materia de PI en las escuelas y universidades y sensibilización acerca de los derechos de PI en la infancia y la juventud </w:t>
      </w:r>
    </w:p>
    <w:p w14:paraId="291F76F2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  <w:r w:rsidRPr="0002563A">
        <w:rPr>
          <w:color w:val="000000"/>
          <w:u w:val="single"/>
          <w:lang w:val="es-ES_tradnl"/>
        </w:rPr>
        <w:t>COMENTARIO FORMULADO POR EL GRUPO CEBS:</w:t>
      </w:r>
      <w:r w:rsidR="00381476" w:rsidRPr="0002563A">
        <w:rPr>
          <w:color w:val="000000"/>
          <w:lang w:val="es-ES_tradnl"/>
        </w:rPr>
        <w:t xml:space="preserve"> </w:t>
      </w:r>
    </w:p>
    <w:p w14:paraId="3722F2C3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</w:p>
    <w:p w14:paraId="52C7FC4E" w14:textId="77777777" w:rsidR="008A05A9" w:rsidRPr="0002563A" w:rsidRDefault="008A05A9" w:rsidP="008A05A9">
      <w:pPr>
        <w:ind w:left="720"/>
        <w:rPr>
          <w:lang w:val="es-ES_tradnl"/>
        </w:rPr>
      </w:pPr>
      <w:r w:rsidRPr="0002563A">
        <w:rPr>
          <w:lang w:val="es-ES_tradnl"/>
        </w:rPr>
        <w:t>La complejidad de los sistemas internacionales, regionales y nacionales de derechos de PI, la importancia de las capacidades y los conocimientos para una comercialización eficaz de los derechos de PI y el valor creciente de la propiedad intelectual (y los activos inmateriales) en las empresas y la economía (el 80% de los activos pertenecen al ámbito de la PI) provocan que todos los Estados miembros adopten medidas para acercar la PI a las personas jóvenes y hacer que los conocimientos en este ámbito sean una parte fundamental de sus carreras profesionales.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En consecuencia, la PI debe incorporarse a los programas educativos desde la educación primaria hasta la universidad. Por otra parte, los Estados miembros deben elaborar iniciativas propias de sensibilización y formación en materia de PI, fuera del sistema educativo, centradas en la juventud empresaria e innovadora, en las empresas emergentes y en las plataformas que reúnen a personas jóvenes activas en la economía de la innovación, como los centros o los espacios de trabajo compartido.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 xml:space="preserve">Las distintas políticas, planes, experiencias y </w:t>
      </w:r>
      <w:r w:rsidRPr="0002563A">
        <w:rPr>
          <w:lang w:val="es-ES_tradnl"/>
        </w:rPr>
        <w:lastRenderedPageBreak/>
        <w:t>mejores prácticas en este ámbito podrán presentarse e intercambiarse con otros Estados miembros.</w:t>
      </w:r>
    </w:p>
    <w:p w14:paraId="5D271187" w14:textId="77777777" w:rsidR="008A05A9" w:rsidRPr="0002563A" w:rsidRDefault="008A05A9" w:rsidP="008A05A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b/>
          <w:i/>
          <w:szCs w:val="22"/>
          <w:lang w:val="es-ES_tradnl"/>
        </w:rPr>
      </w:pPr>
      <w:r w:rsidRPr="0002563A">
        <w:rPr>
          <w:b/>
          <w:i/>
          <w:lang w:val="es-ES_tradnl"/>
        </w:rPr>
        <w:t>Propuesta 2:</w:t>
      </w:r>
      <w:r w:rsidR="00381476" w:rsidRPr="0002563A">
        <w:rPr>
          <w:b/>
          <w:i/>
          <w:lang w:val="es-ES_tradnl"/>
        </w:rPr>
        <w:t xml:space="preserve"> </w:t>
      </w:r>
      <w:r w:rsidRPr="0002563A">
        <w:rPr>
          <w:b/>
          <w:i/>
          <w:lang w:val="es-ES_tradnl"/>
        </w:rPr>
        <w:t>La PI, los alimentos y la agricultura sostenible:</w:t>
      </w:r>
      <w:r w:rsidR="00B904CE" w:rsidRPr="0002563A">
        <w:rPr>
          <w:b/>
          <w:i/>
          <w:lang w:val="es-ES_tradnl"/>
        </w:rPr>
        <w:t xml:space="preserve"> las</w:t>
      </w:r>
      <w:r w:rsidRPr="0002563A">
        <w:rPr>
          <w:b/>
          <w:i/>
          <w:lang w:val="es-ES_tradnl"/>
        </w:rPr>
        <w:t xml:space="preserve"> innovaciones, tecnologías y patentes ecológicas y </w:t>
      </w:r>
      <w:r w:rsidR="00B904CE" w:rsidRPr="0002563A">
        <w:rPr>
          <w:b/>
          <w:i/>
          <w:lang w:val="es-ES_tradnl"/>
        </w:rPr>
        <w:t xml:space="preserve">los </w:t>
      </w:r>
      <w:r w:rsidRPr="0002563A">
        <w:rPr>
          <w:b/>
          <w:i/>
          <w:lang w:val="es-ES_tradnl"/>
        </w:rPr>
        <w:t xml:space="preserve">derechos de PI </w:t>
      </w:r>
    </w:p>
    <w:p w14:paraId="3ED8560A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  <w:r w:rsidRPr="0002563A">
        <w:rPr>
          <w:color w:val="000000"/>
          <w:u w:val="single"/>
          <w:lang w:val="es-ES_tradnl"/>
        </w:rPr>
        <w:t>COMENTARIO FORMULADO POR EL GRUPO CEBS:</w:t>
      </w:r>
      <w:r w:rsidR="00381476" w:rsidRPr="0002563A">
        <w:rPr>
          <w:color w:val="000000"/>
          <w:lang w:val="es-ES_tradnl"/>
        </w:rPr>
        <w:t xml:space="preserve"> </w:t>
      </w:r>
    </w:p>
    <w:p w14:paraId="0C6989FD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</w:p>
    <w:p w14:paraId="47DF65E8" w14:textId="77777777" w:rsidR="008A05A9" w:rsidRPr="0002563A" w:rsidRDefault="008A05A9" w:rsidP="008A05A9">
      <w:pPr>
        <w:ind w:left="720"/>
        <w:rPr>
          <w:rStyle w:val="colour"/>
          <w:lang w:val="es-ES_tradnl"/>
        </w:rPr>
      </w:pPr>
      <w:r w:rsidRPr="0002563A">
        <w:rPr>
          <w:lang w:val="es-ES_tradnl"/>
        </w:rPr>
        <w:t>La agricultura sostenible es un sector orientado a la industria que depende directamente de las innovaciones y las tecnologías patentadas.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Por lo tanto, la propiedad intelectual relacionada con estas innovaciones resulta un aspecto fundamental.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 xml:space="preserve">Uno de los desafíos mundiales es la disminución de la calidad del suelo y de su capacidad para retener el agua, como consecuencia de la utilización de maquinaria pesada y </w:t>
      </w:r>
      <w:r w:rsidR="00B904CE" w:rsidRPr="0002563A">
        <w:rPr>
          <w:lang w:val="es-ES_tradnl"/>
        </w:rPr>
        <w:t xml:space="preserve">de </w:t>
      </w:r>
      <w:r w:rsidRPr="0002563A">
        <w:rPr>
          <w:lang w:val="es-ES_tradnl"/>
        </w:rPr>
        <w:t>fertilizantes e insecticidas químicos inorgánicos.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Esto provoca una reducción drástica de las poblaciones de insectos y otros animales y la pérdida de humus natural y de cristalización del suelo.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Otro desafío es la sequedad y la necesidad de</w:t>
      </w:r>
      <w:r w:rsidR="00B904CE" w:rsidRPr="0002563A">
        <w:rPr>
          <w:lang w:val="es-ES_tradnl"/>
        </w:rPr>
        <w:t xml:space="preserve"> instalar</w:t>
      </w:r>
      <w:r w:rsidRPr="0002563A">
        <w:rPr>
          <w:lang w:val="es-ES_tradnl"/>
        </w:rPr>
        <w:t xml:space="preserve"> sistemas </w:t>
      </w:r>
      <w:r w:rsidR="00B904CE" w:rsidRPr="0002563A">
        <w:rPr>
          <w:lang w:val="es-ES_tradnl"/>
        </w:rPr>
        <w:t xml:space="preserve">de riego y </w:t>
      </w:r>
      <w:r w:rsidRPr="0002563A">
        <w:rPr>
          <w:lang w:val="es-ES_tradnl"/>
        </w:rPr>
        <w:t>de retención del agua de lluvia.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Un desafío conexo es la disminución de la calidad de los alimentos (verdura, fruta, etc.) como resultado de la aplicación de métodos agrícolas intensivos.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En la actualidad se plantean otros muchos problemas relacionados con la agricultura que pueden resolverse mediante tecnologías sostenibles (ecológicas).</w:t>
      </w:r>
    </w:p>
    <w:p w14:paraId="60555B8F" w14:textId="77777777" w:rsidR="008A05A9" w:rsidRPr="0002563A" w:rsidRDefault="008A05A9" w:rsidP="008A05A9">
      <w:pPr>
        <w:pStyle w:val="ListParagraph"/>
        <w:rPr>
          <w:szCs w:val="22"/>
          <w:lang w:val="es-ES_tradnl"/>
        </w:rPr>
      </w:pPr>
    </w:p>
    <w:p w14:paraId="45A65477" w14:textId="77777777" w:rsidR="008A05A9" w:rsidRPr="0002563A" w:rsidRDefault="008A05A9" w:rsidP="008A05A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b/>
          <w:i/>
          <w:szCs w:val="22"/>
          <w:lang w:val="es-ES_tradnl"/>
        </w:rPr>
      </w:pPr>
      <w:r w:rsidRPr="0002563A">
        <w:rPr>
          <w:b/>
          <w:i/>
          <w:lang w:val="es-ES_tradnl"/>
        </w:rPr>
        <w:t>Propuesta 3:</w:t>
      </w:r>
      <w:r w:rsidR="00381476" w:rsidRPr="0002563A">
        <w:rPr>
          <w:b/>
          <w:i/>
          <w:lang w:val="es-ES_tradnl"/>
        </w:rPr>
        <w:t xml:space="preserve"> </w:t>
      </w:r>
      <w:r w:rsidRPr="0002563A">
        <w:rPr>
          <w:b/>
          <w:i/>
          <w:lang w:val="es-ES_tradnl"/>
        </w:rPr>
        <w:t>Las historias</w:t>
      </w:r>
      <w:r w:rsidR="00B904CE" w:rsidRPr="0002563A">
        <w:rPr>
          <w:b/>
          <w:i/>
          <w:lang w:val="es-ES_tradnl"/>
        </w:rPr>
        <w:t xml:space="preserve"> reales</w:t>
      </w:r>
      <w:r w:rsidRPr="0002563A">
        <w:rPr>
          <w:b/>
          <w:i/>
          <w:lang w:val="es-ES_tradnl"/>
        </w:rPr>
        <w:t xml:space="preserve"> de creatividad en las pequeñas y medianas empresas tecnológicas</w:t>
      </w:r>
    </w:p>
    <w:p w14:paraId="19033911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  <w:r w:rsidRPr="0002563A">
        <w:rPr>
          <w:color w:val="000000"/>
          <w:u w:val="single"/>
          <w:lang w:val="es-ES_tradnl"/>
        </w:rPr>
        <w:t>COMENTARIO FORMULADO POR EL GRUPO CEBS:</w:t>
      </w:r>
    </w:p>
    <w:p w14:paraId="2BB100DE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</w:p>
    <w:p w14:paraId="407B0743" w14:textId="77777777" w:rsidR="008A05A9" w:rsidRPr="0002563A" w:rsidRDefault="008A05A9" w:rsidP="008A05A9">
      <w:pPr>
        <w:ind w:left="720"/>
        <w:rPr>
          <w:lang w:val="es-ES_tradnl"/>
        </w:rPr>
      </w:pPr>
      <w:r w:rsidRPr="0002563A">
        <w:rPr>
          <w:lang w:val="es-ES_tradnl"/>
        </w:rPr>
        <w:t xml:space="preserve">Este tema puede proporcionar un marco amplio para recopilar contenido interesante y puede constituir </w:t>
      </w:r>
      <w:r w:rsidR="0024334A" w:rsidRPr="0002563A">
        <w:rPr>
          <w:lang w:val="es-ES_tradnl"/>
        </w:rPr>
        <w:t>una</w:t>
      </w:r>
      <w:r w:rsidRPr="0002563A">
        <w:rPr>
          <w:lang w:val="es-ES_tradnl"/>
        </w:rPr>
        <w:t xml:space="preserve"> base para que las pequeñas y medianas empresas tecnológicas entablen conversaciones fructíferas.</w:t>
      </w:r>
    </w:p>
    <w:p w14:paraId="4AD25B2C" w14:textId="77777777" w:rsidR="008A05A9" w:rsidRPr="0002563A" w:rsidRDefault="008A05A9" w:rsidP="008A05A9">
      <w:pPr>
        <w:spacing w:before="100" w:beforeAutospacing="1" w:after="100" w:afterAutospacing="1"/>
        <w:jc w:val="center"/>
        <w:rPr>
          <w:rStyle w:val="colour"/>
          <w:b/>
          <w:szCs w:val="22"/>
          <w:lang w:val="es-ES_tradnl"/>
        </w:rPr>
      </w:pPr>
      <w:r w:rsidRPr="0002563A">
        <w:rPr>
          <w:rStyle w:val="colour"/>
          <w:b/>
          <w:lang w:val="es-ES_tradnl"/>
        </w:rPr>
        <w:t xml:space="preserve">Propuesta del </w:t>
      </w:r>
      <w:r w:rsidRPr="0002563A">
        <w:rPr>
          <w:b/>
          <w:lang w:val="es-ES_tradnl"/>
        </w:rPr>
        <w:t xml:space="preserve">Grupo Africano recibida </w:t>
      </w:r>
      <w:r w:rsidRPr="0002563A">
        <w:rPr>
          <w:rStyle w:val="colour"/>
          <w:b/>
          <w:lang w:val="es-ES_tradnl"/>
        </w:rPr>
        <w:t>el 17 de marzo de 2022</w:t>
      </w:r>
    </w:p>
    <w:p w14:paraId="03008BEB" w14:textId="77777777" w:rsidR="008A05A9" w:rsidRPr="0002563A" w:rsidRDefault="008A05A9" w:rsidP="008A05A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b/>
          <w:szCs w:val="22"/>
          <w:lang w:val="es-ES_tradnl"/>
        </w:rPr>
      </w:pPr>
      <w:r w:rsidRPr="0002563A">
        <w:rPr>
          <w:rStyle w:val="colour"/>
          <w:b/>
          <w:i/>
          <w:lang w:val="es-ES_tradnl"/>
        </w:rPr>
        <w:t>El papel de la propiedad intelectual y la innovación en el logro de la seguridad alimentaria: desafíos y oportunidades</w:t>
      </w:r>
    </w:p>
    <w:p w14:paraId="47045D2F" w14:textId="77777777" w:rsidR="008A05A9" w:rsidRPr="0002563A" w:rsidRDefault="008A05A9" w:rsidP="008A05A9">
      <w:pPr>
        <w:pStyle w:val="ListParagraph"/>
        <w:spacing w:before="100" w:beforeAutospacing="1" w:after="100" w:afterAutospacing="1"/>
        <w:rPr>
          <w:b/>
          <w:szCs w:val="22"/>
          <w:lang w:val="es-ES_tradnl"/>
        </w:rPr>
      </w:pPr>
    </w:p>
    <w:p w14:paraId="0D77B15E" w14:textId="77777777" w:rsidR="008A05A9" w:rsidRPr="0002563A" w:rsidRDefault="0024334A" w:rsidP="008A05A9">
      <w:pPr>
        <w:pStyle w:val="ListParagraph"/>
        <w:spacing w:before="100" w:beforeAutospacing="1" w:after="100" w:afterAutospacing="1"/>
        <w:jc w:val="center"/>
        <w:rPr>
          <w:b/>
          <w:szCs w:val="22"/>
          <w:lang w:val="es-ES_tradnl"/>
        </w:rPr>
      </w:pPr>
      <w:r w:rsidRPr="0002563A">
        <w:rPr>
          <w:rStyle w:val="colour"/>
          <w:b/>
          <w:lang w:val="es-ES_tradnl"/>
        </w:rPr>
        <w:t>Propuesta</w:t>
      </w:r>
      <w:r w:rsidR="008A05A9" w:rsidRPr="0002563A">
        <w:rPr>
          <w:rStyle w:val="colour"/>
          <w:b/>
          <w:lang w:val="es-ES_tradnl"/>
        </w:rPr>
        <w:t xml:space="preserve"> del </w:t>
      </w:r>
      <w:r w:rsidR="008A05A9" w:rsidRPr="0002563A">
        <w:rPr>
          <w:b/>
          <w:lang w:val="es-ES_tradnl"/>
        </w:rPr>
        <w:t>Grupo B recibida el 18 de marzo de 2022</w:t>
      </w:r>
    </w:p>
    <w:p w14:paraId="43DC0CBC" w14:textId="77777777" w:rsidR="008A05A9" w:rsidRPr="0002563A" w:rsidRDefault="008A05A9" w:rsidP="008A05A9">
      <w:pPr>
        <w:pStyle w:val="ListParagraph"/>
        <w:rPr>
          <w:b/>
          <w:szCs w:val="22"/>
          <w:lang w:val="es-ES_tradnl"/>
        </w:rPr>
      </w:pPr>
    </w:p>
    <w:p w14:paraId="6BE15ADE" w14:textId="77777777" w:rsidR="008A05A9" w:rsidRPr="0002563A" w:rsidRDefault="008A05A9" w:rsidP="008A05A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i/>
          <w:szCs w:val="22"/>
          <w:lang w:val="es-ES_tradnl"/>
        </w:rPr>
      </w:pPr>
      <w:r w:rsidRPr="0002563A">
        <w:rPr>
          <w:b/>
          <w:i/>
          <w:lang w:val="es-ES_tradnl"/>
        </w:rPr>
        <w:t xml:space="preserve">PI y finanzas </w:t>
      </w:r>
    </w:p>
    <w:p w14:paraId="3F67D6EF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  <w:r w:rsidRPr="0002563A">
        <w:rPr>
          <w:color w:val="000000"/>
          <w:u w:val="single"/>
          <w:lang w:val="es-ES_tradnl"/>
        </w:rPr>
        <w:t>COMENTARIO FORMULADO POR EL GRUPO B:</w:t>
      </w:r>
      <w:r w:rsidR="00381476" w:rsidRPr="0002563A">
        <w:rPr>
          <w:color w:val="000000"/>
          <w:lang w:val="es-ES_tradnl"/>
        </w:rPr>
        <w:t xml:space="preserve"> </w:t>
      </w:r>
    </w:p>
    <w:p w14:paraId="0DAD520A" w14:textId="77777777" w:rsidR="008A05A9" w:rsidRPr="0002563A" w:rsidRDefault="008A05A9" w:rsidP="008A05A9">
      <w:pPr>
        <w:ind w:left="720"/>
        <w:rPr>
          <w:color w:val="000000"/>
          <w:szCs w:val="22"/>
          <w:lang w:val="es-ES_tradnl"/>
        </w:rPr>
      </w:pPr>
    </w:p>
    <w:p w14:paraId="4D30FA7C" w14:textId="0D7B1F3C" w:rsidR="009D3C0E" w:rsidRPr="0002563A" w:rsidRDefault="008A05A9" w:rsidP="0024334A">
      <w:pPr>
        <w:ind w:left="720"/>
        <w:rPr>
          <w:lang w:val="es-ES_tradnl"/>
        </w:rPr>
      </w:pPr>
      <w:r w:rsidRPr="0002563A">
        <w:rPr>
          <w:lang w:val="es-ES_tradnl"/>
        </w:rPr>
        <w:t>El Grupo B considera que este subtema puede proporcionar un medio para examinar una variedad de cuestiones de interés para los Estados miembros en desarrollo y para los desarrollados.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El Grupo B propone que, en relación con este subtema, se definan en sentido amplio los términos “activos de PI” o “innovación” a los fines de la Conferencia (por ejemplo, abarcar no solo la actividad de concesión de patentes sino también la imagen de marca o las marcas de fábrica o de comercio), así como el término “finanza” (para que incluya, por ejemplo, las microfinanzas). De este modo, el subtema puede tener un alcance extenso e interregional y centrarse en los Estados miembros en desarrollo o menos adelantados y, en particular, en las microempresas y pequeñas y media</w:t>
      </w:r>
      <w:bookmarkStart w:id="0" w:name="_GoBack"/>
      <w:bookmarkEnd w:id="0"/>
      <w:r w:rsidRPr="0002563A">
        <w:rPr>
          <w:lang w:val="es-ES_tradnl"/>
        </w:rPr>
        <w:t>nas empresas (mipymes).</w:t>
      </w:r>
      <w:r w:rsidR="00381476" w:rsidRPr="0002563A">
        <w:rPr>
          <w:lang w:val="es-ES_tradnl"/>
        </w:rPr>
        <w:t xml:space="preserve"> </w:t>
      </w:r>
      <w:r w:rsidRPr="0002563A">
        <w:rPr>
          <w:lang w:val="es-ES_tradnl"/>
        </w:rPr>
        <w:t>El Grupo B señala que la Secretaría c</w:t>
      </w:r>
      <w:r w:rsidR="008E5C2F" w:rsidRPr="0002563A">
        <w:rPr>
          <w:lang w:val="es-ES_tradnl"/>
        </w:rPr>
        <w:t xml:space="preserve">uenta con un programa incipiente y de tamaño reducido </w:t>
      </w:r>
      <w:r w:rsidRPr="0002563A">
        <w:rPr>
          <w:lang w:val="es-ES_tradnl"/>
        </w:rPr>
        <w:t>sobre la</w:t>
      </w:r>
      <w:r w:rsidR="0024334A" w:rsidRPr="0002563A">
        <w:rPr>
          <w:lang w:val="es-ES_tradnl"/>
        </w:rPr>
        <w:t xml:space="preserve"> financiación respaldada por la </w:t>
      </w:r>
      <w:r w:rsidRPr="0002563A">
        <w:rPr>
          <w:lang w:val="es-ES_tradnl"/>
        </w:rPr>
        <w:t>PI (véase, por ejemplo,</w:t>
      </w:r>
      <w:r w:rsidR="00381476" w:rsidRPr="0002563A">
        <w:rPr>
          <w:lang w:val="es-ES_tradnl"/>
        </w:rPr>
        <w:t xml:space="preserve"> </w:t>
      </w:r>
      <w:hyperlink r:id="rId8" w:history="1">
        <w:r w:rsidRPr="0002563A">
          <w:rPr>
            <w:rStyle w:val="Hyperlink"/>
            <w:lang w:val="es-ES_tradnl"/>
          </w:rPr>
          <w:t>www.wipo.int/sme/en/news/2021/news_0006.html</w:t>
        </w:r>
      </w:hyperlink>
      <w:r w:rsidRPr="0002563A">
        <w:rPr>
          <w:lang w:val="es-ES_tradnl"/>
        </w:rPr>
        <w:t>), por lo que, a los fines del subtema, podría aprovecharse el interés y la experiencia de la Secretaría y su red de contactos.</w:t>
      </w:r>
    </w:p>
    <w:sectPr w:rsidR="009D3C0E" w:rsidRPr="0002563A" w:rsidSect="0002563A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253E" w14:textId="77777777" w:rsidR="00BE5F94" w:rsidRDefault="00BE5F94" w:rsidP="009731F1">
      <w:r>
        <w:separator/>
      </w:r>
    </w:p>
  </w:endnote>
  <w:endnote w:type="continuationSeparator" w:id="0">
    <w:p w14:paraId="69C0C253" w14:textId="77777777" w:rsidR="00BE5F94" w:rsidRDefault="00BE5F94" w:rsidP="009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1803" w14:textId="77777777" w:rsidR="00C76E52" w:rsidRDefault="00C76E52" w:rsidP="00C76E52">
    <w:pPr>
      <w:pStyle w:val="Footer"/>
    </w:pPr>
  </w:p>
  <w:p w14:paraId="42D8E78F" w14:textId="77777777" w:rsidR="00C76E52" w:rsidRDefault="00C76E52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11469"/>
      <w:docPartObj>
        <w:docPartGallery w:val="Page Numbers (Bottom of Page)"/>
        <w:docPartUnique/>
      </w:docPartObj>
    </w:sdtPr>
    <w:sdtEndPr/>
    <w:sdtContent>
      <w:sdt>
        <w:sdtPr>
          <w:id w:val="1343200328"/>
          <w:docPartObj>
            <w:docPartGallery w:val="Page Numbers (Top of Page)"/>
            <w:docPartUnique/>
          </w:docPartObj>
        </w:sdtPr>
        <w:sdtEndPr/>
        <w:sdtContent>
          <w:p w14:paraId="029CFC9B" w14:textId="690761D4" w:rsidR="00FF5473" w:rsidRDefault="00FF5473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751C95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751C95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33982" w14:textId="77777777" w:rsidR="00FF5473" w:rsidRDefault="00FF5473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312D98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381476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43B1FB9B" w14:textId="77777777" w:rsidR="00FF5473" w:rsidRDefault="00FF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4F2A" w14:textId="77777777" w:rsidR="00BE5F94" w:rsidRDefault="00BE5F94" w:rsidP="009731F1">
      <w:r>
        <w:separator/>
      </w:r>
    </w:p>
  </w:footnote>
  <w:footnote w:type="continuationSeparator" w:id="0">
    <w:p w14:paraId="6879E07A" w14:textId="77777777" w:rsidR="00BE5F94" w:rsidRDefault="00BE5F94" w:rsidP="009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4BF0" w14:textId="77777777" w:rsidR="00C76E52" w:rsidRDefault="00C76E52" w:rsidP="00C76E52">
    <w:pPr>
      <w:pStyle w:val="Header"/>
    </w:pPr>
  </w:p>
  <w:p w14:paraId="2338FDAC" w14:textId="77777777" w:rsidR="00C76E52" w:rsidRDefault="00C76E52" w:rsidP="00467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A3"/>
    <w:multiLevelType w:val="hybridMultilevel"/>
    <w:tmpl w:val="3B74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A2"/>
    <w:multiLevelType w:val="hybridMultilevel"/>
    <w:tmpl w:val="27D8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D4A"/>
    <w:multiLevelType w:val="hybridMultilevel"/>
    <w:tmpl w:val="0322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2"/>
    <w:rsid w:val="0002121C"/>
    <w:rsid w:val="0002563A"/>
    <w:rsid w:val="00074338"/>
    <w:rsid w:val="000A4D08"/>
    <w:rsid w:val="000C0794"/>
    <w:rsid w:val="000E506F"/>
    <w:rsid w:val="000F5E56"/>
    <w:rsid w:val="00110723"/>
    <w:rsid w:val="00121653"/>
    <w:rsid w:val="001231D6"/>
    <w:rsid w:val="00180258"/>
    <w:rsid w:val="001B680E"/>
    <w:rsid w:val="001E4D3E"/>
    <w:rsid w:val="001F2B7F"/>
    <w:rsid w:val="00206252"/>
    <w:rsid w:val="00242118"/>
    <w:rsid w:val="0024334A"/>
    <w:rsid w:val="002A759B"/>
    <w:rsid w:val="002B1CC1"/>
    <w:rsid w:val="002E1FB7"/>
    <w:rsid w:val="002E3030"/>
    <w:rsid w:val="002E6021"/>
    <w:rsid w:val="0030686E"/>
    <w:rsid w:val="00312D98"/>
    <w:rsid w:val="00312DCF"/>
    <w:rsid w:val="00327B53"/>
    <w:rsid w:val="00337A12"/>
    <w:rsid w:val="00375E98"/>
    <w:rsid w:val="00381476"/>
    <w:rsid w:val="00387120"/>
    <w:rsid w:val="003878CF"/>
    <w:rsid w:val="003C66D6"/>
    <w:rsid w:val="003E41BC"/>
    <w:rsid w:val="003E6531"/>
    <w:rsid w:val="003F7083"/>
    <w:rsid w:val="00401329"/>
    <w:rsid w:val="0041492E"/>
    <w:rsid w:val="00430AC9"/>
    <w:rsid w:val="00431118"/>
    <w:rsid w:val="00443712"/>
    <w:rsid w:val="00462108"/>
    <w:rsid w:val="004678DC"/>
    <w:rsid w:val="00482690"/>
    <w:rsid w:val="00487E67"/>
    <w:rsid w:val="004A4C9C"/>
    <w:rsid w:val="004A5131"/>
    <w:rsid w:val="004C38F9"/>
    <w:rsid w:val="004F6330"/>
    <w:rsid w:val="00523E5B"/>
    <w:rsid w:val="0054098C"/>
    <w:rsid w:val="005B1AB6"/>
    <w:rsid w:val="005C1E46"/>
    <w:rsid w:val="005C5BA3"/>
    <w:rsid w:val="005D2370"/>
    <w:rsid w:val="005D3915"/>
    <w:rsid w:val="005F197D"/>
    <w:rsid w:val="00617F69"/>
    <w:rsid w:val="00684BFD"/>
    <w:rsid w:val="0068505C"/>
    <w:rsid w:val="006A2B7F"/>
    <w:rsid w:val="006A70D6"/>
    <w:rsid w:val="006C01C4"/>
    <w:rsid w:val="006D0B44"/>
    <w:rsid w:val="006D35E5"/>
    <w:rsid w:val="006D679F"/>
    <w:rsid w:val="00711013"/>
    <w:rsid w:val="0071544D"/>
    <w:rsid w:val="0074454C"/>
    <w:rsid w:val="00751C95"/>
    <w:rsid w:val="007660B6"/>
    <w:rsid w:val="007A7023"/>
    <w:rsid w:val="007B240C"/>
    <w:rsid w:val="007D1CF1"/>
    <w:rsid w:val="007D53C7"/>
    <w:rsid w:val="007E2992"/>
    <w:rsid w:val="00804DB7"/>
    <w:rsid w:val="00806FA4"/>
    <w:rsid w:val="00843ED5"/>
    <w:rsid w:val="00866F8E"/>
    <w:rsid w:val="008A05A9"/>
    <w:rsid w:val="008E5C2F"/>
    <w:rsid w:val="0090768A"/>
    <w:rsid w:val="00945C0C"/>
    <w:rsid w:val="009731F1"/>
    <w:rsid w:val="009A373E"/>
    <w:rsid w:val="009B23BB"/>
    <w:rsid w:val="009B63D9"/>
    <w:rsid w:val="009D3C0E"/>
    <w:rsid w:val="009E3A30"/>
    <w:rsid w:val="009E76AF"/>
    <w:rsid w:val="009F0CBA"/>
    <w:rsid w:val="009F2B51"/>
    <w:rsid w:val="009F47A4"/>
    <w:rsid w:val="00A014D8"/>
    <w:rsid w:val="00A25B3E"/>
    <w:rsid w:val="00A45212"/>
    <w:rsid w:val="00A56241"/>
    <w:rsid w:val="00A839A0"/>
    <w:rsid w:val="00A87A1A"/>
    <w:rsid w:val="00A93DF7"/>
    <w:rsid w:val="00AA4858"/>
    <w:rsid w:val="00AB0BA3"/>
    <w:rsid w:val="00B44D9D"/>
    <w:rsid w:val="00B47D9A"/>
    <w:rsid w:val="00B64F0D"/>
    <w:rsid w:val="00B71CCD"/>
    <w:rsid w:val="00B904CE"/>
    <w:rsid w:val="00B95CB2"/>
    <w:rsid w:val="00B9748A"/>
    <w:rsid w:val="00BA5A29"/>
    <w:rsid w:val="00BE5F94"/>
    <w:rsid w:val="00C357A8"/>
    <w:rsid w:val="00C554EC"/>
    <w:rsid w:val="00C76E52"/>
    <w:rsid w:val="00C82A57"/>
    <w:rsid w:val="00CC3B62"/>
    <w:rsid w:val="00CC4B91"/>
    <w:rsid w:val="00CE3FCF"/>
    <w:rsid w:val="00D054D0"/>
    <w:rsid w:val="00D102A0"/>
    <w:rsid w:val="00D13B36"/>
    <w:rsid w:val="00D15F9F"/>
    <w:rsid w:val="00D24258"/>
    <w:rsid w:val="00D3294F"/>
    <w:rsid w:val="00D44FB4"/>
    <w:rsid w:val="00D4535C"/>
    <w:rsid w:val="00DB59B2"/>
    <w:rsid w:val="00DC55F0"/>
    <w:rsid w:val="00DE394B"/>
    <w:rsid w:val="00DF176D"/>
    <w:rsid w:val="00E145BE"/>
    <w:rsid w:val="00E169C7"/>
    <w:rsid w:val="00E3200A"/>
    <w:rsid w:val="00E52817"/>
    <w:rsid w:val="00E75000"/>
    <w:rsid w:val="00EC2E07"/>
    <w:rsid w:val="00EE4162"/>
    <w:rsid w:val="00EF4B9A"/>
    <w:rsid w:val="00F13AEF"/>
    <w:rsid w:val="00F1581B"/>
    <w:rsid w:val="00F221B8"/>
    <w:rsid w:val="00F4204E"/>
    <w:rsid w:val="00F83DAE"/>
    <w:rsid w:val="00FB3653"/>
    <w:rsid w:val="00FC29A2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8CFE4D"/>
  <w15:chartTrackingRefBased/>
  <w15:docId w15:val="{3C45B623-6D55-4A94-B178-A3DE744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4454C"/>
    <w:pPr>
      <w:ind w:left="720"/>
      <w:contextualSpacing/>
    </w:pPr>
  </w:style>
  <w:style w:type="character" w:styleId="Hyperlink">
    <w:name w:val="Hyperlink"/>
    <w:basedOn w:val="DefaultParagraphFont"/>
    <w:unhideWhenUsed/>
    <w:rsid w:val="0074454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7D"/>
    <w:rPr>
      <w:rFonts w:ascii="Arial" w:hAnsi="Arial" w:cs="Arial"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E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D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9731F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C38F9"/>
    <w:rPr>
      <w:color w:val="800080" w:themeColor="followedHyperlink"/>
      <w:u w:val="single"/>
    </w:rPr>
  </w:style>
  <w:style w:type="character" w:customStyle="1" w:styleId="colour">
    <w:name w:val="colour"/>
    <w:basedOn w:val="DefaultParagraphFont"/>
    <w:rsid w:val="009D3C0E"/>
  </w:style>
  <w:style w:type="character" w:customStyle="1" w:styleId="bjh-p">
    <w:name w:val="bjh-p"/>
    <w:basedOn w:val="DefaultParagraphFont"/>
    <w:rsid w:val="00EF4B9A"/>
  </w:style>
  <w:style w:type="character" w:customStyle="1" w:styleId="FooterChar">
    <w:name w:val="Footer Char"/>
    <w:basedOn w:val="DefaultParagraphFont"/>
    <w:link w:val="Footer"/>
    <w:uiPriority w:val="99"/>
    <w:rsid w:val="00FF5473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47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76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semiHidden/>
    <w:rsid w:val="0038147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me/en/news/2021/news_000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5670-2903-425C-890B-E2AD102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BOU LLORET Amparo</cp:lastModifiedBy>
  <cp:revision>2</cp:revision>
  <cp:lastPrinted>2022-03-30T12:26:00Z</cp:lastPrinted>
  <dcterms:created xsi:type="dcterms:W3CDTF">2022-04-14T06:37:00Z</dcterms:created>
  <dcterms:modified xsi:type="dcterms:W3CDTF">2022-04-14T06:37:00Z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8367a364-d6f1-4b6a-a7a5-d8fd448bb7db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