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B2485" w14:textId="77777777" w:rsidR="008B2CC1" w:rsidRPr="006B3712" w:rsidRDefault="00472A6E" w:rsidP="000F7A05">
      <w:pPr>
        <w:pBdr>
          <w:bottom w:val="single" w:sz="4" w:space="11" w:color="auto"/>
        </w:pBdr>
        <w:spacing w:after="120"/>
        <w:ind w:right="-57"/>
        <w:jc w:val="right"/>
      </w:pPr>
      <w:bookmarkStart w:id="0" w:name="_GoBack"/>
      <w:bookmarkEnd w:id="0"/>
      <w:r w:rsidRPr="006B3712">
        <w:rPr>
          <w:noProof/>
          <w:lang w:val="fr-CH" w:eastAsia="fr-CH"/>
        </w:rPr>
        <w:drawing>
          <wp:inline distT="0" distB="0" distL="0" distR="0" wp14:anchorId="3FC75C29" wp14:editId="5E276E8E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4DD5B" w14:textId="77777777" w:rsidR="00472A6E" w:rsidRPr="006B3712" w:rsidRDefault="009B1FCF" w:rsidP="00472A6E">
      <w:pPr>
        <w:jc w:val="right"/>
        <w:rPr>
          <w:rFonts w:ascii="Arial Black" w:hAnsi="Arial Black"/>
          <w:caps/>
          <w:sz w:val="15"/>
        </w:rPr>
      </w:pPr>
      <w:r w:rsidRPr="006B3712">
        <w:rPr>
          <w:rFonts w:ascii="Arial Black" w:hAnsi="Arial Black"/>
          <w:caps/>
          <w:sz w:val="15"/>
        </w:rPr>
        <w:t>cdip/2</w:t>
      </w:r>
      <w:r w:rsidR="00671BA5" w:rsidRPr="006B3712">
        <w:rPr>
          <w:rFonts w:ascii="Arial Black" w:hAnsi="Arial Black"/>
          <w:caps/>
          <w:sz w:val="15"/>
        </w:rPr>
        <w:t>8</w:t>
      </w:r>
      <w:r w:rsidR="00B757AD" w:rsidRPr="006B3712">
        <w:rPr>
          <w:rFonts w:ascii="Arial Black" w:hAnsi="Arial Black"/>
          <w:caps/>
          <w:sz w:val="15"/>
        </w:rPr>
        <w:t>/</w:t>
      </w:r>
      <w:bookmarkStart w:id="1" w:name="Code"/>
      <w:bookmarkEnd w:id="1"/>
      <w:r w:rsidR="00E22B82" w:rsidRPr="006B3712">
        <w:rPr>
          <w:rFonts w:ascii="Arial Black" w:hAnsi="Arial Black"/>
          <w:caps/>
          <w:sz w:val="15"/>
        </w:rPr>
        <w:t>INF/5</w:t>
      </w:r>
    </w:p>
    <w:p w14:paraId="525CBA22" w14:textId="77777777" w:rsidR="008B2CC1" w:rsidRPr="006B3712" w:rsidRDefault="00472A6E" w:rsidP="00472A6E">
      <w:pPr>
        <w:jc w:val="right"/>
      </w:pPr>
      <w:r w:rsidRPr="006B3712">
        <w:rPr>
          <w:rFonts w:ascii="Arial Black" w:hAnsi="Arial Black"/>
          <w:caps/>
          <w:sz w:val="15"/>
        </w:rPr>
        <w:t>ORIGINAL:</w:t>
      </w:r>
      <w:bookmarkStart w:id="2" w:name="Original"/>
      <w:r w:rsidR="00E22B82" w:rsidRPr="006B3712">
        <w:rPr>
          <w:rFonts w:ascii="Arial Black" w:hAnsi="Arial Black"/>
          <w:caps/>
          <w:sz w:val="15"/>
        </w:rPr>
        <w:t xml:space="preserve"> INGLÉS</w:t>
      </w:r>
    </w:p>
    <w:bookmarkEnd w:id="2"/>
    <w:p w14:paraId="4A5D8E88" w14:textId="77777777" w:rsidR="008B2CC1" w:rsidRPr="006B3712" w:rsidRDefault="00472A6E" w:rsidP="00472A6E">
      <w:pPr>
        <w:spacing w:after="1200"/>
        <w:jc w:val="right"/>
      </w:pPr>
      <w:r w:rsidRPr="006B3712">
        <w:rPr>
          <w:rFonts w:ascii="Arial Black" w:hAnsi="Arial Black"/>
          <w:caps/>
          <w:sz w:val="15"/>
        </w:rPr>
        <w:t>fecha:</w:t>
      </w:r>
      <w:bookmarkStart w:id="3" w:name="Date"/>
      <w:r w:rsidR="00E22B82" w:rsidRPr="006B3712">
        <w:rPr>
          <w:rFonts w:ascii="Arial Black" w:hAnsi="Arial Black"/>
          <w:caps/>
          <w:sz w:val="15"/>
        </w:rPr>
        <w:t xml:space="preserve"> 19 DE ABRIL DE 2022</w:t>
      </w:r>
    </w:p>
    <w:bookmarkEnd w:id="3"/>
    <w:p w14:paraId="0231CBA1" w14:textId="77777777" w:rsidR="00281646" w:rsidRPr="006B3712" w:rsidRDefault="00281646" w:rsidP="00671BA5">
      <w:pPr>
        <w:pStyle w:val="Heading1"/>
        <w:spacing w:before="0" w:after="600"/>
        <w:rPr>
          <w:sz w:val="28"/>
        </w:rPr>
      </w:pPr>
      <w:r w:rsidRPr="006B3712">
        <w:rPr>
          <w:caps w:val="0"/>
          <w:sz w:val="28"/>
        </w:rPr>
        <w:t>Comité de Desarrollo y Propiedad Intelectual</w:t>
      </w:r>
      <w:r w:rsidRPr="006B3712">
        <w:rPr>
          <w:sz w:val="28"/>
          <w:szCs w:val="28"/>
        </w:rPr>
        <w:t xml:space="preserve"> (CDIP)</w:t>
      </w:r>
    </w:p>
    <w:p w14:paraId="4B5D9942" w14:textId="77777777" w:rsidR="000F7A05" w:rsidRPr="006B3712" w:rsidRDefault="00671BA5" w:rsidP="000F7A05">
      <w:pPr>
        <w:spacing w:after="720"/>
        <w:outlineLvl w:val="1"/>
        <w:rPr>
          <w:b/>
          <w:sz w:val="24"/>
          <w:szCs w:val="24"/>
        </w:rPr>
      </w:pPr>
      <w:r w:rsidRPr="006B3712">
        <w:rPr>
          <w:b/>
          <w:color w:val="000000"/>
          <w:sz w:val="24"/>
          <w:szCs w:val="24"/>
          <w:shd w:val="clear" w:color="auto" w:fill="FFFFFF"/>
        </w:rPr>
        <w:t>Vigesimoctava sesión</w:t>
      </w:r>
      <w:r w:rsidR="000F7A05" w:rsidRPr="006B3712">
        <w:rPr>
          <w:b/>
          <w:sz w:val="24"/>
          <w:szCs w:val="24"/>
        </w:rPr>
        <w:br/>
      </w:r>
      <w:r w:rsidRPr="006B3712">
        <w:rPr>
          <w:b/>
          <w:sz w:val="24"/>
          <w:szCs w:val="24"/>
        </w:rPr>
        <w:t xml:space="preserve">Ginebra, </w:t>
      </w:r>
      <w:r w:rsidRPr="006B3712">
        <w:rPr>
          <w:b/>
          <w:bCs/>
          <w:sz w:val="24"/>
          <w:szCs w:val="24"/>
        </w:rPr>
        <w:t>16 a 20 de mayo de 2022</w:t>
      </w:r>
    </w:p>
    <w:p w14:paraId="60CD548A" w14:textId="40410591" w:rsidR="008B2CC1" w:rsidRPr="006B3712" w:rsidRDefault="00DC1FE1" w:rsidP="007A7D8F">
      <w:pPr>
        <w:spacing w:after="360"/>
        <w:rPr>
          <w:caps/>
          <w:sz w:val="24"/>
        </w:rPr>
      </w:pPr>
      <w:bookmarkStart w:id="4" w:name="TitleOfDoc"/>
      <w:bookmarkEnd w:id="4"/>
      <w:r w:rsidRPr="006B3712">
        <w:rPr>
          <w:rFonts w:eastAsia="Arial"/>
          <w:color w:val="000000"/>
          <w:szCs w:val="22"/>
        </w:rPr>
        <w:t>RESUMEN DE</w:t>
      </w:r>
      <w:r w:rsidR="002F4095">
        <w:rPr>
          <w:rFonts w:eastAsia="Arial"/>
          <w:color w:val="000000"/>
          <w:szCs w:val="22"/>
        </w:rPr>
        <w:t xml:space="preserve"> </w:t>
      </w:r>
      <w:r w:rsidRPr="006B3712">
        <w:rPr>
          <w:rFonts w:eastAsia="Arial"/>
          <w:color w:val="000000"/>
          <w:szCs w:val="22"/>
        </w:rPr>
        <w:t>L</w:t>
      </w:r>
      <w:r w:rsidR="002F4095">
        <w:rPr>
          <w:rFonts w:eastAsia="Arial"/>
          <w:color w:val="000000"/>
          <w:szCs w:val="22"/>
        </w:rPr>
        <w:t xml:space="preserve">A GUÍA </w:t>
      </w:r>
      <w:r w:rsidRPr="006B3712">
        <w:rPr>
          <w:rFonts w:eastAsia="Arial"/>
          <w:color w:val="000000"/>
          <w:szCs w:val="22"/>
        </w:rPr>
        <w:t xml:space="preserve">SOBRE PROPIEDAD INTELECTUAL </w:t>
      </w:r>
      <w:r w:rsidR="00773704" w:rsidRPr="006B3712">
        <w:rPr>
          <w:rFonts w:eastAsia="Arial"/>
          <w:color w:val="000000"/>
          <w:szCs w:val="22"/>
        </w:rPr>
        <w:t>PARA</w:t>
      </w:r>
      <w:r w:rsidR="006B5088" w:rsidRPr="006B3712">
        <w:rPr>
          <w:rFonts w:eastAsia="Arial"/>
          <w:color w:val="000000"/>
          <w:szCs w:val="22"/>
        </w:rPr>
        <w:t xml:space="preserve"> DESARROLLADORES </w:t>
      </w:r>
      <w:r w:rsidRPr="006B3712">
        <w:rPr>
          <w:rFonts w:eastAsia="Arial"/>
          <w:color w:val="000000"/>
          <w:szCs w:val="22"/>
        </w:rPr>
        <w:t xml:space="preserve">DE APLICACIONES MÓVILES </w:t>
      </w:r>
      <w:bookmarkStart w:id="5" w:name="Prepared"/>
      <w:bookmarkEnd w:id="5"/>
    </w:p>
    <w:p w14:paraId="403121A0" w14:textId="30FBD13E" w:rsidR="008B2CC1" w:rsidRPr="006B3712" w:rsidRDefault="007D0705" w:rsidP="00EA5F37">
      <w:pPr>
        <w:spacing w:after="960"/>
        <w:rPr>
          <w:i/>
        </w:rPr>
      </w:pPr>
      <w:r w:rsidRPr="006B3712">
        <w:rPr>
          <w:rFonts w:eastAsia="Arial"/>
          <w:i/>
          <w:color w:val="000000"/>
          <w:szCs w:val="22"/>
        </w:rPr>
        <w:t>preparado por la Secretaría</w:t>
      </w:r>
    </w:p>
    <w:p w14:paraId="37A6650D" w14:textId="099E4E0C" w:rsidR="00A0797C" w:rsidRPr="006B3712" w:rsidRDefault="00DC1FE1" w:rsidP="00E22B82">
      <w:pPr>
        <w:pStyle w:val="ListParagraph"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>E</w:t>
      </w:r>
      <w:r w:rsidR="00773704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>n e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l Anexo del presente documento </w:t>
      </w:r>
      <w:r w:rsidR="00773704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>figura un resumen d</w:t>
      </w:r>
      <w:bookmarkStart w:id="6" w:name="_Hlk101554975"/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>e</w:t>
      </w:r>
      <w:r w:rsidR="002F4095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>l</w:t>
      </w:r>
      <w:r w:rsidR="002F4095">
        <w:rPr>
          <w:rFonts w:ascii="Arial" w:eastAsia="Times New Roman" w:hAnsi="Arial" w:cs="Arial"/>
          <w:color w:val="000000"/>
          <w:sz w:val="22"/>
          <w:szCs w:val="22"/>
          <w:lang w:val="es-ES"/>
        </w:rPr>
        <w:t>a guía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de </w:t>
      </w:r>
      <w:r w:rsidR="00DE7960">
        <w:rPr>
          <w:rFonts w:ascii="Arial" w:eastAsia="Times New Roman" w:hAnsi="Arial" w:cs="Arial"/>
          <w:color w:val="000000"/>
          <w:sz w:val="22"/>
          <w:szCs w:val="22"/>
          <w:lang w:val="es-ES"/>
        </w:rPr>
        <w:t>pr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opiedad intelectual </w:t>
      </w:r>
      <w:r w:rsidR="00EC6D6D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(PI) </w:t>
      </w:r>
      <w:r w:rsidR="001D56A7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>para</w:t>
      </w:r>
      <w:r w:rsidR="006B5088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desarrolladores d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>e aplicaciones móviles</w:t>
      </w:r>
      <w:bookmarkEnd w:id="6"/>
      <w:r w:rsidR="002F4095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realizada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en el marco del proyecto </w:t>
      </w:r>
      <w:r w:rsidR="00773704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relativo a la intensificación del uso de la PI 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en </w:t>
      </w:r>
      <w:r w:rsidR="00EC6D6D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>apoyo de</w:t>
      </w:r>
      <w:r w:rsidR="005902F0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las aplicaciones móviles en el sector </w:t>
      </w:r>
      <w:r w:rsidR="001D56A7"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del </w:t>
      </w:r>
      <w:r w:rsidR="001D56A7" w:rsidRPr="002F4095">
        <w:rPr>
          <w:rFonts w:ascii="Arial" w:eastAsia="Times New Roman" w:hAnsi="Arial" w:cs="Arial"/>
          <w:i/>
          <w:iCs/>
          <w:color w:val="000000"/>
          <w:sz w:val="22"/>
          <w:szCs w:val="22"/>
          <w:lang w:val="es-ES"/>
        </w:rPr>
        <w:t>software</w:t>
      </w:r>
      <w:r w:rsidRPr="006B3712">
        <w:rPr>
          <w:rFonts w:ascii="Arial" w:eastAsia="Times New Roman" w:hAnsi="Arial" w:cs="Arial"/>
          <w:color w:val="000000"/>
          <w:sz w:val="22"/>
          <w:szCs w:val="22"/>
          <w:lang w:val="es-ES"/>
        </w:rPr>
        <w:t xml:space="preserve"> (documento CDIP/22/8). </w:t>
      </w:r>
    </w:p>
    <w:p w14:paraId="3B7252C8" w14:textId="77777777" w:rsidR="00E22B82" w:rsidRPr="006B3712" w:rsidRDefault="00E22B82" w:rsidP="00E22B82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</w:p>
    <w:p w14:paraId="2BDE8A11" w14:textId="1A17EF16" w:rsidR="00E22B82" w:rsidRPr="006B3712" w:rsidRDefault="002F4095" w:rsidP="00E22B82">
      <w:pPr>
        <w:pStyle w:val="ListParagraph"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 xml:space="preserve">La guía </w:t>
      </w:r>
      <w:r w:rsidR="00D63C7C" w:rsidRPr="006B3712">
        <w:rPr>
          <w:rFonts w:ascii="Arial" w:eastAsia="Times New Roman" w:hAnsi="Arial" w:cs="Arial"/>
          <w:sz w:val="22"/>
          <w:szCs w:val="22"/>
          <w:lang w:val="es-ES"/>
        </w:rPr>
        <w:t>ha sido elabo</w:t>
      </w:r>
      <w:r>
        <w:rPr>
          <w:rFonts w:ascii="Arial" w:eastAsia="Times New Roman" w:hAnsi="Arial" w:cs="Arial"/>
          <w:sz w:val="22"/>
          <w:szCs w:val="22"/>
          <w:lang w:val="es-ES"/>
        </w:rPr>
        <w:t>rada</w:t>
      </w:r>
      <w:r w:rsidR="00D63C7C" w:rsidRPr="006B3712">
        <w:rPr>
          <w:rFonts w:ascii="Arial" w:eastAsia="Times New Roman" w:hAnsi="Arial" w:cs="Arial"/>
          <w:sz w:val="22"/>
          <w:szCs w:val="22"/>
          <w:lang w:val="es-ES"/>
        </w:rPr>
        <w:t xml:space="preserve"> por la Dra. Anke Moerland, profesora asociada de Derecho de la Propiedad Intelectual de la Universidad de Maastricht, y el profesor Noam Shemtov, director adjunto del Centro de Estudios de Derecho Comercial de la Universidad Queen Mary de Londres. </w:t>
      </w:r>
    </w:p>
    <w:p w14:paraId="136365A0" w14:textId="77777777" w:rsidR="00E22B82" w:rsidRPr="006B3712" w:rsidRDefault="00E22B82" w:rsidP="00E22B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Cs w:val="22"/>
        </w:rPr>
      </w:pPr>
    </w:p>
    <w:p w14:paraId="673E6E7C" w14:textId="4CDC66A3" w:rsidR="00E22B82" w:rsidRPr="006B3712" w:rsidRDefault="00E22B82" w:rsidP="00E22B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0"/>
        <w:ind w:left="4502"/>
        <w:rPr>
          <w:rFonts w:eastAsia="Arial"/>
          <w:i/>
          <w:color w:val="000000"/>
          <w:szCs w:val="22"/>
        </w:rPr>
      </w:pPr>
      <w:r w:rsidRPr="006B3712">
        <w:rPr>
          <w:rFonts w:eastAsia="Arial"/>
          <w:i/>
          <w:iCs/>
          <w:color w:val="000000"/>
          <w:szCs w:val="22"/>
        </w:rPr>
        <w:t>3.</w:t>
      </w:r>
      <w:r w:rsidRPr="006B3712">
        <w:rPr>
          <w:rFonts w:eastAsia="Arial"/>
          <w:i/>
          <w:iCs/>
          <w:color w:val="000000"/>
          <w:szCs w:val="22"/>
        </w:rPr>
        <w:tab/>
      </w:r>
      <w:r w:rsidR="00D63C7C" w:rsidRPr="006B3712">
        <w:rPr>
          <w:rFonts w:eastAsia="Arial"/>
          <w:i/>
          <w:iCs/>
          <w:color w:val="000000"/>
          <w:szCs w:val="22"/>
        </w:rPr>
        <w:t xml:space="preserve">Se invita al CDIP a tomar nota de la información </w:t>
      </w:r>
      <w:r w:rsidR="00414082" w:rsidRPr="006B3712">
        <w:rPr>
          <w:rFonts w:eastAsia="Arial"/>
          <w:i/>
          <w:iCs/>
          <w:color w:val="000000"/>
          <w:szCs w:val="22"/>
        </w:rPr>
        <w:t>que figura</w:t>
      </w:r>
      <w:r w:rsidR="00D63C7C" w:rsidRPr="006B3712">
        <w:rPr>
          <w:rFonts w:eastAsia="Arial"/>
          <w:i/>
          <w:iCs/>
          <w:color w:val="000000"/>
          <w:szCs w:val="22"/>
        </w:rPr>
        <w:t xml:space="preserve"> en el </w:t>
      </w:r>
      <w:r w:rsidR="00414082" w:rsidRPr="006B3712">
        <w:rPr>
          <w:rFonts w:eastAsia="Arial"/>
          <w:i/>
          <w:iCs/>
          <w:color w:val="000000"/>
          <w:szCs w:val="22"/>
        </w:rPr>
        <w:t>A</w:t>
      </w:r>
      <w:r w:rsidR="00D63C7C" w:rsidRPr="006B3712">
        <w:rPr>
          <w:rFonts w:eastAsia="Arial"/>
          <w:i/>
          <w:iCs/>
          <w:color w:val="000000"/>
          <w:szCs w:val="22"/>
        </w:rPr>
        <w:t>nexo del presente documento</w:t>
      </w:r>
      <w:r w:rsidRPr="006B3712">
        <w:rPr>
          <w:rFonts w:eastAsia="Arial"/>
          <w:i/>
          <w:color w:val="000000"/>
          <w:szCs w:val="22"/>
        </w:rPr>
        <w:t>.</w:t>
      </w:r>
    </w:p>
    <w:p w14:paraId="61217033" w14:textId="3C2D477C" w:rsidR="00E22B82" w:rsidRPr="006B3712" w:rsidRDefault="00E22B82" w:rsidP="00E22B82">
      <w:pPr>
        <w:widowControl w:val="0"/>
        <w:pBdr>
          <w:top w:val="nil"/>
          <w:left w:val="nil"/>
          <w:bottom w:val="nil"/>
          <w:right w:val="nil"/>
          <w:between w:val="nil"/>
        </w:pBdr>
        <w:ind w:left="5580"/>
        <w:rPr>
          <w:rFonts w:eastAsia="Arial"/>
          <w:color w:val="000000"/>
          <w:szCs w:val="22"/>
        </w:rPr>
      </w:pPr>
      <w:r w:rsidRPr="006B3712">
        <w:rPr>
          <w:rFonts w:eastAsia="Arial"/>
          <w:color w:val="000000"/>
          <w:szCs w:val="22"/>
        </w:rPr>
        <w:t>[</w:t>
      </w:r>
      <w:r w:rsidR="00D63C7C" w:rsidRPr="006B3712">
        <w:rPr>
          <w:rFonts w:eastAsia="Arial"/>
          <w:color w:val="000000"/>
          <w:szCs w:val="22"/>
        </w:rPr>
        <w:t>Sigue el Anexo</w:t>
      </w:r>
      <w:r w:rsidRPr="006B3712">
        <w:rPr>
          <w:rFonts w:eastAsia="Arial"/>
          <w:color w:val="000000"/>
          <w:szCs w:val="22"/>
        </w:rPr>
        <w:t>]</w:t>
      </w:r>
    </w:p>
    <w:p w14:paraId="5ADA369B" w14:textId="77777777" w:rsidR="00E22B82" w:rsidRPr="006B3712" w:rsidRDefault="00E22B82" w:rsidP="00E22B82">
      <w:pPr>
        <w:widowControl w:val="0"/>
        <w:pBdr>
          <w:top w:val="nil"/>
          <w:left w:val="nil"/>
          <w:bottom w:val="nil"/>
          <w:right w:val="nil"/>
          <w:between w:val="nil"/>
        </w:pBdr>
        <w:ind w:left="5580"/>
        <w:rPr>
          <w:rFonts w:eastAsia="Arial"/>
          <w:color w:val="000000"/>
          <w:szCs w:val="22"/>
        </w:rPr>
        <w:sectPr w:rsidR="00E22B82" w:rsidRPr="006B3712" w:rsidSect="00E3464C">
          <w:headerReference w:type="even" r:id="rId9"/>
          <w:headerReference w:type="default" r:id="rId10"/>
          <w:footerReference w:type="even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14:paraId="006DCF99" w14:textId="3E2EABF0" w:rsidR="00E22B82" w:rsidRPr="006B3712" w:rsidRDefault="002F4095" w:rsidP="00E22B82">
      <w:pPr>
        <w:spacing w:line="360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 xml:space="preserve">Guía </w:t>
      </w:r>
      <w:r w:rsidR="00D63C7C" w:rsidRPr="006B3712">
        <w:rPr>
          <w:b/>
          <w:szCs w:val="22"/>
          <w:u w:val="single"/>
        </w:rPr>
        <w:t xml:space="preserve">sobre propiedad intelectual para </w:t>
      </w:r>
      <w:r w:rsidR="00037486" w:rsidRPr="006B3712">
        <w:rPr>
          <w:b/>
          <w:szCs w:val="22"/>
          <w:u w:val="single"/>
        </w:rPr>
        <w:t>desarrolladores de</w:t>
      </w:r>
      <w:r w:rsidR="001F0366">
        <w:rPr>
          <w:b/>
          <w:szCs w:val="22"/>
          <w:u w:val="single"/>
        </w:rPr>
        <w:t xml:space="preserve"> </w:t>
      </w:r>
      <w:r w:rsidR="00D63C7C" w:rsidRPr="006B3712">
        <w:rPr>
          <w:b/>
          <w:szCs w:val="22"/>
          <w:u w:val="single"/>
        </w:rPr>
        <w:t>aplicaciones móviles</w:t>
      </w:r>
      <w:r w:rsidR="00E22B82" w:rsidRPr="006B3712">
        <w:rPr>
          <w:rStyle w:val="FootnoteReference"/>
          <w:b/>
          <w:szCs w:val="22"/>
          <w:u w:val="single"/>
        </w:rPr>
        <w:footnoteReference w:id="2"/>
      </w:r>
      <w:r w:rsidR="00E22B82" w:rsidRPr="006B3712">
        <w:rPr>
          <w:b/>
          <w:szCs w:val="22"/>
          <w:u w:val="single"/>
        </w:rPr>
        <w:t xml:space="preserve"> – </w:t>
      </w:r>
      <w:r w:rsidR="00D63C7C" w:rsidRPr="006B3712">
        <w:rPr>
          <w:b/>
          <w:szCs w:val="22"/>
          <w:u w:val="single"/>
        </w:rPr>
        <w:t xml:space="preserve">Resumen </w:t>
      </w:r>
    </w:p>
    <w:p w14:paraId="0FC1DAA8" w14:textId="77777777" w:rsidR="00E22B82" w:rsidRPr="006B3712" w:rsidRDefault="00E22B82" w:rsidP="00E22B82">
      <w:pPr>
        <w:spacing w:line="360" w:lineRule="auto"/>
        <w:jc w:val="both"/>
        <w:rPr>
          <w:szCs w:val="22"/>
        </w:rPr>
      </w:pPr>
    </w:p>
    <w:p w14:paraId="73C52307" w14:textId="0AA0C360" w:rsidR="00D63C7C" w:rsidRPr="006B3712" w:rsidRDefault="002F4095" w:rsidP="00D63C7C">
      <w:pPr>
        <w:spacing w:line="276" w:lineRule="auto"/>
        <w:rPr>
          <w:szCs w:val="22"/>
        </w:rPr>
      </w:pPr>
      <w:r>
        <w:rPr>
          <w:szCs w:val="22"/>
        </w:rPr>
        <w:t xml:space="preserve">La guía </w:t>
      </w:r>
      <w:r w:rsidR="00414082" w:rsidRPr="006B3712">
        <w:rPr>
          <w:szCs w:val="22"/>
        </w:rPr>
        <w:t xml:space="preserve">sobre </w:t>
      </w:r>
      <w:r w:rsidR="00D63C7C" w:rsidRPr="006B3712">
        <w:rPr>
          <w:szCs w:val="22"/>
        </w:rPr>
        <w:t xml:space="preserve">propiedad intelectual para </w:t>
      </w:r>
      <w:r w:rsidR="00037486" w:rsidRPr="006B3712">
        <w:rPr>
          <w:szCs w:val="22"/>
        </w:rPr>
        <w:t>desarrolladores</w:t>
      </w:r>
      <w:r w:rsidR="00D63C7C" w:rsidRPr="006B3712">
        <w:rPr>
          <w:szCs w:val="22"/>
        </w:rPr>
        <w:t xml:space="preserve"> de ap</w:t>
      </w:r>
      <w:r>
        <w:rPr>
          <w:szCs w:val="22"/>
        </w:rPr>
        <w:t>licaciones móviles está dirigida</w:t>
      </w:r>
      <w:r w:rsidR="00D63C7C" w:rsidRPr="006B3712">
        <w:rPr>
          <w:szCs w:val="22"/>
        </w:rPr>
        <w:t xml:space="preserve"> a un sector </w:t>
      </w:r>
      <w:r w:rsidR="001F0366">
        <w:rPr>
          <w:szCs w:val="22"/>
        </w:rPr>
        <w:t>de</w:t>
      </w:r>
      <w:r w:rsidR="00D63C7C" w:rsidRPr="006B3712">
        <w:rPr>
          <w:szCs w:val="22"/>
        </w:rPr>
        <w:t xml:space="preserve"> las industrias creativas que ha experimentado un crecimiento exponencial en la última década</w:t>
      </w:r>
      <w:r w:rsidR="00037486" w:rsidRPr="006B3712">
        <w:rPr>
          <w:szCs w:val="22"/>
        </w:rPr>
        <w:t xml:space="preserve">, a saber, </w:t>
      </w:r>
      <w:r w:rsidR="00D63C7C" w:rsidRPr="006B3712">
        <w:rPr>
          <w:szCs w:val="22"/>
        </w:rPr>
        <w:t xml:space="preserve">el sector de las aplicaciones móviles. El </w:t>
      </w:r>
      <w:r w:rsidR="00874449" w:rsidRPr="006B3712">
        <w:rPr>
          <w:szCs w:val="22"/>
        </w:rPr>
        <w:t xml:space="preserve">objetivo </w:t>
      </w:r>
      <w:r w:rsidR="00037486" w:rsidRPr="006B3712">
        <w:rPr>
          <w:szCs w:val="22"/>
        </w:rPr>
        <w:t xml:space="preserve">de </w:t>
      </w:r>
      <w:r>
        <w:rPr>
          <w:szCs w:val="22"/>
        </w:rPr>
        <w:t xml:space="preserve">la guía </w:t>
      </w:r>
      <w:r w:rsidR="00874449" w:rsidRPr="006B3712">
        <w:rPr>
          <w:szCs w:val="22"/>
        </w:rPr>
        <w:t>es</w:t>
      </w:r>
      <w:r w:rsidR="00D63C7C" w:rsidRPr="006B3712">
        <w:rPr>
          <w:szCs w:val="22"/>
        </w:rPr>
        <w:t xml:space="preserve"> ofrecer </w:t>
      </w:r>
      <w:r w:rsidR="00037486" w:rsidRPr="006B3712">
        <w:rPr>
          <w:szCs w:val="22"/>
        </w:rPr>
        <w:t xml:space="preserve">orientaciones </w:t>
      </w:r>
      <w:r w:rsidR="00D63C7C" w:rsidRPr="006B3712">
        <w:rPr>
          <w:szCs w:val="22"/>
        </w:rPr>
        <w:t>práctica</w:t>
      </w:r>
      <w:r w:rsidR="00037486" w:rsidRPr="006B3712">
        <w:rPr>
          <w:szCs w:val="22"/>
        </w:rPr>
        <w:t>s</w:t>
      </w:r>
      <w:r w:rsidR="00D63C7C" w:rsidRPr="006B3712">
        <w:rPr>
          <w:szCs w:val="22"/>
        </w:rPr>
        <w:t xml:space="preserve"> a los </w:t>
      </w:r>
      <w:r w:rsidR="00037486" w:rsidRPr="006B3712">
        <w:rPr>
          <w:szCs w:val="22"/>
        </w:rPr>
        <w:t>desarrolladores</w:t>
      </w:r>
      <w:r w:rsidR="00D63C7C" w:rsidRPr="006B3712">
        <w:rPr>
          <w:szCs w:val="22"/>
        </w:rPr>
        <w:t xml:space="preserve"> de aplicaciones y </w:t>
      </w:r>
      <w:r w:rsidR="00037486" w:rsidRPr="006B3712">
        <w:rPr>
          <w:szCs w:val="22"/>
        </w:rPr>
        <w:t xml:space="preserve">las </w:t>
      </w:r>
      <w:r w:rsidR="00D63C7C" w:rsidRPr="006B3712">
        <w:rPr>
          <w:szCs w:val="22"/>
        </w:rPr>
        <w:t xml:space="preserve">asociaciones de desarrolladores de aplicaciones, a las empresas que </w:t>
      </w:r>
      <w:r w:rsidR="003E583C" w:rsidRPr="006B3712">
        <w:rPr>
          <w:szCs w:val="22"/>
        </w:rPr>
        <w:t>desarrollan</w:t>
      </w:r>
      <w:r w:rsidR="00D63C7C" w:rsidRPr="006B3712">
        <w:rPr>
          <w:szCs w:val="22"/>
        </w:rPr>
        <w:t xml:space="preserve"> aplicaciones móviles, los centros de investigación y otros interesados.</w:t>
      </w:r>
    </w:p>
    <w:p w14:paraId="38F89188" w14:textId="77777777" w:rsidR="00E22B82" w:rsidRPr="006B3712" w:rsidRDefault="00E22B82" w:rsidP="00E22B82">
      <w:pPr>
        <w:spacing w:line="276" w:lineRule="auto"/>
        <w:rPr>
          <w:szCs w:val="22"/>
        </w:rPr>
      </w:pPr>
    </w:p>
    <w:p w14:paraId="7C48E01D" w14:textId="5A45761C" w:rsidR="00D16012" w:rsidRPr="006B3712" w:rsidRDefault="00D16012" w:rsidP="00D16012">
      <w:pPr>
        <w:spacing w:line="276" w:lineRule="auto"/>
        <w:rPr>
          <w:szCs w:val="22"/>
        </w:rPr>
      </w:pPr>
      <w:r w:rsidRPr="006B3712">
        <w:rPr>
          <w:szCs w:val="22"/>
        </w:rPr>
        <w:t>E</w:t>
      </w:r>
      <w:r w:rsidR="003E583C" w:rsidRPr="006B3712">
        <w:rPr>
          <w:szCs w:val="22"/>
        </w:rPr>
        <w:t xml:space="preserve">l propósito es presentar </w:t>
      </w:r>
      <w:r w:rsidRPr="006B3712">
        <w:rPr>
          <w:szCs w:val="22"/>
        </w:rPr>
        <w:t>divers</w:t>
      </w:r>
      <w:r w:rsidR="003E583C" w:rsidRPr="006B3712">
        <w:rPr>
          <w:szCs w:val="22"/>
        </w:rPr>
        <w:t xml:space="preserve">as herramientas </w:t>
      </w:r>
      <w:r w:rsidR="00B40D89" w:rsidRPr="006B3712">
        <w:rPr>
          <w:szCs w:val="22"/>
        </w:rPr>
        <w:t xml:space="preserve">que permiten </w:t>
      </w:r>
      <w:r w:rsidRPr="006B3712">
        <w:rPr>
          <w:szCs w:val="22"/>
        </w:rPr>
        <w:t xml:space="preserve">proteger </w:t>
      </w:r>
      <w:r w:rsidR="00B40D89" w:rsidRPr="006B3712">
        <w:rPr>
          <w:szCs w:val="22"/>
        </w:rPr>
        <w:t xml:space="preserve">una parte o la </w:t>
      </w:r>
      <w:r w:rsidRPr="006B3712">
        <w:rPr>
          <w:szCs w:val="22"/>
        </w:rPr>
        <w:t xml:space="preserve">totalidad de la propiedad intelectual (PI) de una aplicación móvil. </w:t>
      </w:r>
      <w:r w:rsidR="00B40D89" w:rsidRPr="006B3712">
        <w:rPr>
          <w:szCs w:val="22"/>
        </w:rPr>
        <w:t>Se ex</w:t>
      </w:r>
      <w:r w:rsidRPr="006B3712">
        <w:rPr>
          <w:szCs w:val="22"/>
        </w:rPr>
        <w:t>plica</w:t>
      </w:r>
      <w:r w:rsidR="00B40D89" w:rsidRPr="006B3712">
        <w:rPr>
          <w:szCs w:val="22"/>
        </w:rPr>
        <w:t>n</w:t>
      </w:r>
      <w:r w:rsidRPr="006B3712">
        <w:rPr>
          <w:szCs w:val="22"/>
        </w:rPr>
        <w:t xml:space="preserve"> las razones por las que </w:t>
      </w:r>
      <w:r w:rsidR="00526DBF">
        <w:rPr>
          <w:szCs w:val="22"/>
        </w:rPr>
        <w:t xml:space="preserve">se puede </w:t>
      </w:r>
      <w:r w:rsidR="007528A9" w:rsidRPr="006B3712">
        <w:rPr>
          <w:szCs w:val="22"/>
        </w:rPr>
        <w:t>considerar la obtención de</w:t>
      </w:r>
      <w:r w:rsidRPr="006B3712">
        <w:rPr>
          <w:szCs w:val="22"/>
        </w:rPr>
        <w:t xml:space="preserve"> protección y las herramientas que </w:t>
      </w:r>
      <w:r w:rsidR="007528A9" w:rsidRPr="006B3712">
        <w:rPr>
          <w:szCs w:val="22"/>
        </w:rPr>
        <w:t>permiten conseguirla</w:t>
      </w:r>
      <w:r w:rsidRPr="006B3712">
        <w:rPr>
          <w:szCs w:val="22"/>
        </w:rPr>
        <w:t xml:space="preserve">. </w:t>
      </w:r>
      <w:r w:rsidR="002F4095">
        <w:rPr>
          <w:szCs w:val="22"/>
        </w:rPr>
        <w:t xml:space="preserve">La guía </w:t>
      </w:r>
      <w:r w:rsidR="007528A9" w:rsidRPr="006B3712">
        <w:rPr>
          <w:szCs w:val="22"/>
        </w:rPr>
        <w:t xml:space="preserve">proporciona </w:t>
      </w:r>
      <w:r w:rsidRPr="006B3712">
        <w:rPr>
          <w:szCs w:val="22"/>
        </w:rPr>
        <w:t xml:space="preserve">el contexto y los conocimientos prácticos sobre su funcionalidad y analiza sus ventajas y riesgos. Siguiendo un enfoque orientado al usuario, presenta ejemplos y </w:t>
      </w:r>
      <w:r w:rsidR="00983679" w:rsidRPr="006B3712">
        <w:rPr>
          <w:szCs w:val="22"/>
        </w:rPr>
        <w:t>modelos</w:t>
      </w:r>
      <w:r w:rsidRPr="006B3712">
        <w:rPr>
          <w:szCs w:val="22"/>
        </w:rPr>
        <w:t xml:space="preserve"> de herramientas de diferentes mercados que </w:t>
      </w:r>
      <w:r w:rsidR="00526DBF">
        <w:rPr>
          <w:szCs w:val="22"/>
        </w:rPr>
        <w:t xml:space="preserve">pueden ser utilizados por </w:t>
      </w:r>
      <w:r w:rsidRPr="006B3712">
        <w:rPr>
          <w:szCs w:val="22"/>
        </w:rPr>
        <w:t xml:space="preserve">los </w:t>
      </w:r>
      <w:r w:rsidR="00983679" w:rsidRPr="006B3712">
        <w:rPr>
          <w:szCs w:val="22"/>
        </w:rPr>
        <w:t>desarrolladores</w:t>
      </w:r>
      <w:r w:rsidRPr="006B3712">
        <w:rPr>
          <w:szCs w:val="22"/>
        </w:rPr>
        <w:t xml:space="preserve"> de aplicaciones. Para cada herramienta, se exponen las ventajas y desventajas pertinentes y se concluye con </w:t>
      </w:r>
      <w:r w:rsidR="00983679" w:rsidRPr="006B3712">
        <w:rPr>
          <w:szCs w:val="22"/>
        </w:rPr>
        <w:t xml:space="preserve">los </w:t>
      </w:r>
      <w:r w:rsidRPr="006B3712">
        <w:rPr>
          <w:szCs w:val="22"/>
        </w:rPr>
        <w:t>aspectos clave.</w:t>
      </w:r>
    </w:p>
    <w:p w14:paraId="51C6FE98" w14:textId="77777777" w:rsidR="00E22B82" w:rsidRPr="006B3712" w:rsidRDefault="00E22B82" w:rsidP="00E22B82">
      <w:pPr>
        <w:spacing w:line="276" w:lineRule="auto"/>
        <w:ind w:left="3402" w:firstLine="567"/>
        <w:rPr>
          <w:szCs w:val="22"/>
        </w:rPr>
      </w:pPr>
    </w:p>
    <w:p w14:paraId="6D42F635" w14:textId="61F0AD5C" w:rsidR="003959CC" w:rsidRPr="006B3712" w:rsidRDefault="002F4095" w:rsidP="003959CC">
      <w:pPr>
        <w:spacing w:line="276" w:lineRule="auto"/>
        <w:rPr>
          <w:szCs w:val="22"/>
        </w:rPr>
      </w:pPr>
      <w:r>
        <w:rPr>
          <w:szCs w:val="22"/>
        </w:rPr>
        <w:t xml:space="preserve">La guía </w:t>
      </w:r>
      <w:r w:rsidR="003959CC" w:rsidRPr="006B3712">
        <w:rPr>
          <w:szCs w:val="22"/>
        </w:rPr>
        <w:t xml:space="preserve">pretende ofrecer a los desarrolladores de aplicaciones </w:t>
      </w:r>
      <w:r w:rsidR="00983679" w:rsidRPr="006B3712">
        <w:rPr>
          <w:szCs w:val="22"/>
        </w:rPr>
        <w:t>información completa</w:t>
      </w:r>
      <w:r w:rsidR="003959CC" w:rsidRPr="006B3712">
        <w:rPr>
          <w:szCs w:val="22"/>
        </w:rPr>
        <w:t xml:space="preserve"> sobre las herramientas básicas de PI disponibles en las distintas fases de desarrollo de una aplicación móvil, </w:t>
      </w:r>
      <w:r w:rsidR="00CC0955" w:rsidRPr="006B3712">
        <w:rPr>
          <w:szCs w:val="22"/>
        </w:rPr>
        <w:t xml:space="preserve">que puede serles de utilidad </w:t>
      </w:r>
      <w:r w:rsidR="003959CC" w:rsidRPr="006B3712">
        <w:rPr>
          <w:szCs w:val="22"/>
        </w:rPr>
        <w:t xml:space="preserve">antes de </w:t>
      </w:r>
      <w:r w:rsidR="00CC0955" w:rsidRPr="006B3712">
        <w:rPr>
          <w:szCs w:val="22"/>
        </w:rPr>
        <w:t xml:space="preserve">solicitar </w:t>
      </w:r>
      <w:r w:rsidR="003959CC" w:rsidRPr="006B3712">
        <w:rPr>
          <w:szCs w:val="22"/>
        </w:rPr>
        <w:t xml:space="preserve">asesoramiento jurídico sobre las especificidades de cada herramienta en los mercados correspondientes. Las herramientas </w:t>
      </w:r>
      <w:r w:rsidR="00A07AA3" w:rsidRPr="006B3712">
        <w:rPr>
          <w:szCs w:val="22"/>
        </w:rPr>
        <w:t xml:space="preserve">se </w:t>
      </w:r>
      <w:r w:rsidR="00884D52" w:rsidRPr="006B3712">
        <w:rPr>
          <w:szCs w:val="22"/>
        </w:rPr>
        <w:t xml:space="preserve">ajustan a las </w:t>
      </w:r>
      <w:r w:rsidR="00526DBF">
        <w:rPr>
          <w:szCs w:val="22"/>
        </w:rPr>
        <w:t xml:space="preserve">diferentes </w:t>
      </w:r>
      <w:r w:rsidR="003959CC" w:rsidRPr="006B3712">
        <w:rPr>
          <w:szCs w:val="22"/>
        </w:rPr>
        <w:t>etapa</w:t>
      </w:r>
      <w:r w:rsidR="00884D52" w:rsidRPr="006B3712">
        <w:rPr>
          <w:szCs w:val="22"/>
        </w:rPr>
        <w:t>s</w:t>
      </w:r>
      <w:r w:rsidR="003959CC" w:rsidRPr="006B3712">
        <w:rPr>
          <w:szCs w:val="22"/>
        </w:rPr>
        <w:t xml:space="preserve"> de</w:t>
      </w:r>
      <w:r w:rsidR="00CC0955" w:rsidRPr="006B3712">
        <w:rPr>
          <w:szCs w:val="22"/>
        </w:rPr>
        <w:t>l proceso de</w:t>
      </w:r>
      <w:r w:rsidR="003959CC" w:rsidRPr="006B3712">
        <w:rPr>
          <w:szCs w:val="22"/>
        </w:rPr>
        <w:t xml:space="preserve"> desarrollo de </w:t>
      </w:r>
      <w:r w:rsidR="00CC0955" w:rsidRPr="006B3712">
        <w:rPr>
          <w:szCs w:val="22"/>
        </w:rPr>
        <w:t xml:space="preserve">las aplicaciones </w:t>
      </w:r>
      <w:r w:rsidR="003959CC" w:rsidRPr="006B3712">
        <w:rPr>
          <w:szCs w:val="22"/>
        </w:rPr>
        <w:t>móvil</w:t>
      </w:r>
      <w:r w:rsidR="00CC0955" w:rsidRPr="006B3712">
        <w:rPr>
          <w:szCs w:val="22"/>
        </w:rPr>
        <w:t xml:space="preserve">es, es decir: </w:t>
      </w:r>
      <w:r w:rsidR="003959CC" w:rsidRPr="006B3712">
        <w:rPr>
          <w:szCs w:val="22"/>
        </w:rPr>
        <w:t>1) desarrollo de la aplicación; 2) protección de la aplicación; 3) herramientas de comercialización; y 4) herramientas para hacer frente a los casos de infracción.</w:t>
      </w:r>
      <w:r w:rsidR="00983679" w:rsidRPr="006B3712">
        <w:rPr>
          <w:szCs w:val="22"/>
        </w:rPr>
        <w:t xml:space="preserve">  </w:t>
      </w:r>
    </w:p>
    <w:p w14:paraId="3CEC3B27" w14:textId="77777777" w:rsidR="003959CC" w:rsidRPr="006B3712" w:rsidRDefault="003959CC" w:rsidP="003959CC">
      <w:pPr>
        <w:spacing w:line="276" w:lineRule="auto"/>
        <w:rPr>
          <w:szCs w:val="22"/>
        </w:rPr>
      </w:pPr>
    </w:p>
    <w:p w14:paraId="4DA61039" w14:textId="01B0FA26" w:rsidR="003959CC" w:rsidRPr="006B3712" w:rsidRDefault="002F4095" w:rsidP="003959CC">
      <w:pPr>
        <w:spacing w:line="276" w:lineRule="auto"/>
        <w:rPr>
          <w:szCs w:val="22"/>
        </w:rPr>
      </w:pPr>
      <w:r>
        <w:rPr>
          <w:szCs w:val="22"/>
        </w:rPr>
        <w:t xml:space="preserve">La guía </w:t>
      </w:r>
      <w:r w:rsidR="003959CC" w:rsidRPr="006B3712">
        <w:rPr>
          <w:szCs w:val="22"/>
        </w:rPr>
        <w:t xml:space="preserve">se estructura </w:t>
      </w:r>
      <w:r w:rsidR="00884D52" w:rsidRPr="006B3712">
        <w:rPr>
          <w:szCs w:val="22"/>
        </w:rPr>
        <w:t>en función de</w:t>
      </w:r>
      <w:r w:rsidR="003959CC" w:rsidRPr="006B3712">
        <w:rPr>
          <w:szCs w:val="22"/>
        </w:rPr>
        <w:t xml:space="preserve">l ciclo de vida de </w:t>
      </w:r>
      <w:r w:rsidR="00884D52" w:rsidRPr="006B3712">
        <w:rPr>
          <w:szCs w:val="22"/>
        </w:rPr>
        <w:t xml:space="preserve">las aplicaciones </w:t>
      </w:r>
      <w:r w:rsidR="003959CC" w:rsidRPr="006B3712">
        <w:rPr>
          <w:szCs w:val="22"/>
        </w:rPr>
        <w:t>móvil</w:t>
      </w:r>
      <w:r w:rsidR="00884D52" w:rsidRPr="006B3712">
        <w:rPr>
          <w:szCs w:val="22"/>
        </w:rPr>
        <w:t>es</w:t>
      </w:r>
      <w:r w:rsidR="003959CC" w:rsidRPr="006B3712">
        <w:rPr>
          <w:szCs w:val="22"/>
        </w:rPr>
        <w:t xml:space="preserve">, desde el uso de contenidos para la aplicación, el desarrollo de la aplicación, la difusión de la aplicación y </w:t>
      </w:r>
      <w:r w:rsidR="00884D52" w:rsidRPr="006B3712">
        <w:rPr>
          <w:szCs w:val="22"/>
        </w:rPr>
        <w:t xml:space="preserve">la observancia de </w:t>
      </w:r>
      <w:r w:rsidR="003959CC" w:rsidRPr="006B3712">
        <w:rPr>
          <w:szCs w:val="22"/>
        </w:rPr>
        <w:t xml:space="preserve">la PI </w:t>
      </w:r>
      <w:r w:rsidR="00567C5D" w:rsidRPr="006B3712">
        <w:rPr>
          <w:szCs w:val="22"/>
        </w:rPr>
        <w:t>respecto de</w:t>
      </w:r>
      <w:r w:rsidR="003959CC" w:rsidRPr="006B3712">
        <w:rPr>
          <w:szCs w:val="22"/>
        </w:rPr>
        <w:t xml:space="preserve"> la aplicación. Los desarrolladores pueden elegir la etapa </w:t>
      </w:r>
      <w:r w:rsidR="00290DE9">
        <w:rPr>
          <w:szCs w:val="22"/>
        </w:rPr>
        <w:t>pertinente</w:t>
      </w:r>
      <w:r w:rsidR="00567C5D" w:rsidRPr="006B3712">
        <w:rPr>
          <w:szCs w:val="22"/>
        </w:rPr>
        <w:t xml:space="preserve"> y</w:t>
      </w:r>
      <w:r w:rsidR="003959CC" w:rsidRPr="006B3712">
        <w:rPr>
          <w:szCs w:val="22"/>
        </w:rPr>
        <w:t xml:space="preserve"> obtener información sobre las herramientas </w:t>
      </w:r>
      <w:r w:rsidR="00567C5D" w:rsidRPr="006B3712">
        <w:rPr>
          <w:szCs w:val="22"/>
        </w:rPr>
        <w:t>que están a su disposición en sus situaciones específicas</w:t>
      </w:r>
      <w:r w:rsidR="003959CC" w:rsidRPr="006B3712">
        <w:rPr>
          <w:szCs w:val="22"/>
        </w:rPr>
        <w:t>.</w:t>
      </w:r>
    </w:p>
    <w:p w14:paraId="76C9385D" w14:textId="77777777" w:rsidR="003959CC" w:rsidRPr="006B3712" w:rsidRDefault="003959CC" w:rsidP="003959CC">
      <w:pPr>
        <w:spacing w:line="276" w:lineRule="auto"/>
        <w:rPr>
          <w:szCs w:val="22"/>
        </w:rPr>
      </w:pPr>
    </w:p>
    <w:p w14:paraId="2DC6554D" w14:textId="63EC628F" w:rsidR="00833BD7" w:rsidRPr="006B3712" w:rsidRDefault="00833BD7" w:rsidP="00E22B82">
      <w:pPr>
        <w:spacing w:line="276" w:lineRule="auto"/>
        <w:rPr>
          <w:szCs w:val="22"/>
        </w:rPr>
      </w:pPr>
      <w:r w:rsidRPr="006B3712">
        <w:rPr>
          <w:szCs w:val="22"/>
        </w:rPr>
        <w:t>La sección 2,</w:t>
      </w:r>
      <w:r w:rsidR="00567C5D" w:rsidRPr="006B3712">
        <w:rPr>
          <w:szCs w:val="22"/>
        </w:rPr>
        <w:t xml:space="preserve"> que lleva por título,</w:t>
      </w:r>
      <w:r w:rsidRPr="006B3712">
        <w:rPr>
          <w:szCs w:val="22"/>
        </w:rPr>
        <w:t xml:space="preserve"> "Aplicaciones móviles: una perspectiva de la PI", ofrece una descripción general del tema. Los </w:t>
      </w:r>
      <w:r w:rsidR="00391050" w:rsidRPr="006B3712">
        <w:rPr>
          <w:szCs w:val="22"/>
        </w:rPr>
        <w:t>usuarios</w:t>
      </w:r>
      <w:r w:rsidRPr="006B3712">
        <w:rPr>
          <w:szCs w:val="22"/>
        </w:rPr>
        <w:t xml:space="preserve"> </w:t>
      </w:r>
      <w:r w:rsidR="00391050" w:rsidRPr="006B3712">
        <w:rPr>
          <w:szCs w:val="22"/>
        </w:rPr>
        <w:t>de las herramientas</w:t>
      </w:r>
      <w:r w:rsidRPr="006B3712">
        <w:rPr>
          <w:szCs w:val="22"/>
        </w:rPr>
        <w:t xml:space="preserve"> que no dispongan de conocimientos previos en materia de propiedad intelectual podrán encontrar una introducción a las distintas herramientas de </w:t>
      </w:r>
      <w:r w:rsidR="00391050" w:rsidRPr="006B3712">
        <w:rPr>
          <w:szCs w:val="22"/>
        </w:rPr>
        <w:t>PI</w:t>
      </w:r>
      <w:r w:rsidRPr="006B3712">
        <w:rPr>
          <w:szCs w:val="22"/>
        </w:rPr>
        <w:t xml:space="preserve"> que son pertinentes para </w:t>
      </w:r>
      <w:r w:rsidR="00391050" w:rsidRPr="006B3712">
        <w:rPr>
          <w:szCs w:val="22"/>
        </w:rPr>
        <w:t xml:space="preserve">los distintos elementos que componen una </w:t>
      </w:r>
      <w:r w:rsidRPr="006B3712">
        <w:rPr>
          <w:szCs w:val="22"/>
        </w:rPr>
        <w:t>aplicación móvil.</w:t>
      </w:r>
    </w:p>
    <w:p w14:paraId="4925846B" w14:textId="77777777" w:rsidR="00E22B82" w:rsidRPr="006B3712" w:rsidRDefault="00E22B82" w:rsidP="00E22B82">
      <w:pPr>
        <w:spacing w:line="276" w:lineRule="auto"/>
        <w:rPr>
          <w:szCs w:val="22"/>
        </w:rPr>
      </w:pPr>
    </w:p>
    <w:p w14:paraId="74E379A8" w14:textId="4B19E869" w:rsidR="005F5141" w:rsidRPr="006B3712" w:rsidRDefault="00391050" w:rsidP="005F5141">
      <w:pPr>
        <w:spacing w:line="276" w:lineRule="auto"/>
        <w:rPr>
          <w:szCs w:val="22"/>
        </w:rPr>
      </w:pPr>
      <w:r w:rsidRPr="006B3712">
        <w:rPr>
          <w:szCs w:val="22"/>
        </w:rPr>
        <w:t xml:space="preserve">En la </w:t>
      </w:r>
      <w:r w:rsidR="005F5141" w:rsidRPr="006B3712">
        <w:rPr>
          <w:szCs w:val="22"/>
        </w:rPr>
        <w:t xml:space="preserve">sección 3 </w:t>
      </w:r>
      <w:r w:rsidRPr="006B3712">
        <w:rPr>
          <w:szCs w:val="22"/>
        </w:rPr>
        <w:t xml:space="preserve">se detallan </w:t>
      </w:r>
      <w:r w:rsidR="005F5141" w:rsidRPr="006B3712">
        <w:rPr>
          <w:szCs w:val="22"/>
        </w:rPr>
        <w:t xml:space="preserve">las herramientas que pueden resultar útiles a la hora de </w:t>
      </w:r>
      <w:r w:rsidRPr="006B3712">
        <w:rPr>
          <w:szCs w:val="22"/>
        </w:rPr>
        <w:t>desarrollar</w:t>
      </w:r>
      <w:r w:rsidR="005F5141" w:rsidRPr="006B3712">
        <w:rPr>
          <w:szCs w:val="22"/>
        </w:rPr>
        <w:t xml:space="preserve"> aplicaciones móviles. </w:t>
      </w:r>
      <w:r w:rsidR="002F4095">
        <w:rPr>
          <w:szCs w:val="22"/>
        </w:rPr>
        <w:t>Es posible que l</w:t>
      </w:r>
      <w:r w:rsidR="005F5141" w:rsidRPr="006B3712">
        <w:rPr>
          <w:szCs w:val="22"/>
        </w:rPr>
        <w:t xml:space="preserve">os desarrolladores de aplicaciones móviles </w:t>
      </w:r>
      <w:r w:rsidR="002F4095">
        <w:rPr>
          <w:szCs w:val="22"/>
        </w:rPr>
        <w:t xml:space="preserve">deseen </w:t>
      </w:r>
      <w:r w:rsidR="005F5141" w:rsidRPr="006B3712">
        <w:rPr>
          <w:szCs w:val="22"/>
        </w:rPr>
        <w:t xml:space="preserve">utilizar obras creativas anteriores que posiblemente estén protegidas por la PI. En esta sección se describen las maneras más comunes para determinar si las obras anteriores están protegidas por </w:t>
      </w:r>
      <w:r w:rsidRPr="006B3712">
        <w:rPr>
          <w:szCs w:val="22"/>
        </w:rPr>
        <w:t xml:space="preserve">algún tipo de </w:t>
      </w:r>
      <w:r w:rsidR="005F5141" w:rsidRPr="006B3712">
        <w:rPr>
          <w:szCs w:val="22"/>
        </w:rPr>
        <w:t xml:space="preserve">PI y los usos </w:t>
      </w:r>
      <w:r w:rsidR="00A22879" w:rsidRPr="006B3712">
        <w:rPr>
          <w:szCs w:val="22"/>
        </w:rPr>
        <w:t xml:space="preserve">que </w:t>
      </w:r>
      <w:r w:rsidR="005F5141" w:rsidRPr="006B3712">
        <w:rPr>
          <w:szCs w:val="22"/>
        </w:rPr>
        <w:t xml:space="preserve">requieren autorización. </w:t>
      </w:r>
      <w:r w:rsidR="00A22879" w:rsidRPr="006B3712">
        <w:rPr>
          <w:szCs w:val="22"/>
        </w:rPr>
        <w:t xml:space="preserve">Para </w:t>
      </w:r>
      <w:r w:rsidR="005F5141" w:rsidRPr="006B3712">
        <w:rPr>
          <w:szCs w:val="22"/>
        </w:rPr>
        <w:t xml:space="preserve">los casos en los que se requiere autorización, se ofrecen explicaciones, ejemplos y </w:t>
      </w:r>
      <w:r w:rsidR="00A22879" w:rsidRPr="006B3712">
        <w:rPr>
          <w:szCs w:val="22"/>
        </w:rPr>
        <w:t>modelos</w:t>
      </w:r>
      <w:r w:rsidR="005F5141" w:rsidRPr="006B3712">
        <w:rPr>
          <w:szCs w:val="22"/>
        </w:rPr>
        <w:t xml:space="preserve"> de diferentes herramientas </w:t>
      </w:r>
      <w:r w:rsidR="00A22879" w:rsidRPr="006B3712">
        <w:rPr>
          <w:szCs w:val="22"/>
        </w:rPr>
        <w:t>relativas a las</w:t>
      </w:r>
      <w:r w:rsidR="005F5141" w:rsidRPr="006B3712">
        <w:rPr>
          <w:szCs w:val="22"/>
        </w:rPr>
        <w:t xml:space="preserve"> licencias, como el </w:t>
      </w:r>
      <w:r w:rsidR="005F5141" w:rsidRPr="002F4095">
        <w:rPr>
          <w:i/>
          <w:iCs/>
          <w:szCs w:val="22"/>
        </w:rPr>
        <w:t>software</w:t>
      </w:r>
      <w:r w:rsidR="005F5141" w:rsidRPr="006B3712">
        <w:rPr>
          <w:szCs w:val="22"/>
        </w:rPr>
        <w:t xml:space="preserve"> de código abierto, las licencias comerciales de derecho de autor, las licencias </w:t>
      </w:r>
      <w:r w:rsidR="005F5141" w:rsidRPr="006B3712">
        <w:rPr>
          <w:i/>
          <w:iCs/>
          <w:szCs w:val="22"/>
        </w:rPr>
        <w:t>creative commons</w:t>
      </w:r>
      <w:r w:rsidR="005F5141" w:rsidRPr="006B3712">
        <w:rPr>
          <w:szCs w:val="22"/>
        </w:rPr>
        <w:t xml:space="preserve">, las licencias de marcas y los elementos importantes de las condiciones de uso de las interfaces de programación de aplicaciones. Aunque </w:t>
      </w:r>
      <w:r w:rsidR="00624528" w:rsidRPr="006B3712">
        <w:rPr>
          <w:szCs w:val="22"/>
        </w:rPr>
        <w:t xml:space="preserve">algunas licencias no ofrecen </w:t>
      </w:r>
      <w:r w:rsidR="005F5141" w:rsidRPr="006B3712">
        <w:rPr>
          <w:szCs w:val="22"/>
        </w:rPr>
        <w:t xml:space="preserve">mucho margen para </w:t>
      </w:r>
      <w:r w:rsidR="00624528" w:rsidRPr="006B3712">
        <w:rPr>
          <w:szCs w:val="22"/>
        </w:rPr>
        <w:t xml:space="preserve">la negociación, </w:t>
      </w:r>
      <w:r w:rsidR="005F5141" w:rsidRPr="006B3712">
        <w:rPr>
          <w:szCs w:val="22"/>
        </w:rPr>
        <w:t xml:space="preserve">se aconseja a los desarrolladores de aplicaciones móviles que determinen, junto con un </w:t>
      </w:r>
      <w:r w:rsidR="00624528" w:rsidRPr="006B3712">
        <w:rPr>
          <w:szCs w:val="22"/>
        </w:rPr>
        <w:t>profesional especializado en</w:t>
      </w:r>
      <w:r w:rsidR="005F5141" w:rsidRPr="006B3712">
        <w:rPr>
          <w:szCs w:val="22"/>
        </w:rPr>
        <w:t xml:space="preserve"> licencias, </w:t>
      </w:r>
      <w:r w:rsidR="00624528" w:rsidRPr="006B3712">
        <w:rPr>
          <w:szCs w:val="22"/>
        </w:rPr>
        <w:t xml:space="preserve">el </w:t>
      </w:r>
      <w:r w:rsidR="005F5141" w:rsidRPr="006B3712">
        <w:rPr>
          <w:szCs w:val="22"/>
        </w:rPr>
        <w:t xml:space="preserve">territorio </w:t>
      </w:r>
      <w:r w:rsidR="00624528" w:rsidRPr="006B3712">
        <w:rPr>
          <w:szCs w:val="22"/>
        </w:rPr>
        <w:t xml:space="preserve">al que </w:t>
      </w:r>
      <w:r w:rsidR="005F5141" w:rsidRPr="006B3712">
        <w:rPr>
          <w:szCs w:val="22"/>
        </w:rPr>
        <w:t xml:space="preserve">se aplicará la licencia, </w:t>
      </w:r>
      <w:r w:rsidR="00624528" w:rsidRPr="006B3712">
        <w:rPr>
          <w:szCs w:val="22"/>
        </w:rPr>
        <w:t xml:space="preserve">las posibilidades de </w:t>
      </w:r>
      <w:r w:rsidR="005F5141" w:rsidRPr="006B3712">
        <w:rPr>
          <w:szCs w:val="22"/>
        </w:rPr>
        <w:t xml:space="preserve">obtener una licencia exclusiva, </w:t>
      </w:r>
      <w:r w:rsidR="00624528" w:rsidRPr="006B3712">
        <w:rPr>
          <w:szCs w:val="22"/>
        </w:rPr>
        <w:t xml:space="preserve">el importe de los </w:t>
      </w:r>
      <w:r w:rsidR="005F5141" w:rsidRPr="006B3712">
        <w:rPr>
          <w:szCs w:val="22"/>
        </w:rPr>
        <w:t>cost</w:t>
      </w:r>
      <w:r w:rsidR="00624528" w:rsidRPr="006B3712">
        <w:rPr>
          <w:szCs w:val="22"/>
        </w:rPr>
        <w:t>o</w:t>
      </w:r>
      <w:r w:rsidR="005F5141" w:rsidRPr="006B3712">
        <w:rPr>
          <w:szCs w:val="22"/>
        </w:rPr>
        <w:t xml:space="preserve">s, así como </w:t>
      </w:r>
      <w:r w:rsidR="00624528" w:rsidRPr="006B3712">
        <w:rPr>
          <w:szCs w:val="22"/>
        </w:rPr>
        <w:t>los usos c</w:t>
      </w:r>
      <w:r w:rsidR="005F5141" w:rsidRPr="006B3712">
        <w:rPr>
          <w:szCs w:val="22"/>
        </w:rPr>
        <w:t>ubiertos.</w:t>
      </w:r>
    </w:p>
    <w:p w14:paraId="5C570790" w14:textId="77777777" w:rsidR="00E22B82" w:rsidRPr="006B3712" w:rsidRDefault="00E22B82" w:rsidP="00E22B82">
      <w:pPr>
        <w:spacing w:line="276" w:lineRule="auto"/>
        <w:rPr>
          <w:szCs w:val="22"/>
        </w:rPr>
      </w:pPr>
    </w:p>
    <w:p w14:paraId="11C9FFC0" w14:textId="64682E65" w:rsidR="00E22B82" w:rsidRPr="006B3712" w:rsidRDefault="004503C7" w:rsidP="00E22B82">
      <w:pPr>
        <w:spacing w:line="276" w:lineRule="auto"/>
        <w:rPr>
          <w:szCs w:val="22"/>
        </w:rPr>
      </w:pPr>
      <w:r w:rsidRPr="006B3712">
        <w:rPr>
          <w:szCs w:val="22"/>
        </w:rPr>
        <w:t xml:space="preserve">La sección 4 se centra en las diversas herramientas de PI que pueden proteger diferentes </w:t>
      </w:r>
      <w:r w:rsidR="00624528" w:rsidRPr="006B3712">
        <w:rPr>
          <w:szCs w:val="22"/>
        </w:rPr>
        <w:t>elementos</w:t>
      </w:r>
      <w:r w:rsidRPr="006B3712">
        <w:rPr>
          <w:szCs w:val="22"/>
        </w:rPr>
        <w:t xml:space="preserve"> de las aplicaciones móviles. Estas herramientas se refieren a</w:t>
      </w:r>
      <w:r w:rsidR="00AF0ED6" w:rsidRPr="006B3712">
        <w:rPr>
          <w:szCs w:val="22"/>
        </w:rPr>
        <w:t>l</w:t>
      </w:r>
      <w:r w:rsidRPr="006B3712">
        <w:rPr>
          <w:szCs w:val="22"/>
        </w:rPr>
        <w:t xml:space="preserve"> derecho de autor, las patentes, las marcas y la competencia desleal, los derechos sobre los diseños y los secretos comerciales. Para cada ámbito de la PI, se explica su finalidad, las condiciones en que se concede </w:t>
      </w:r>
      <w:r w:rsidR="00AF0ED6" w:rsidRPr="006B3712">
        <w:rPr>
          <w:szCs w:val="22"/>
        </w:rPr>
        <w:t xml:space="preserve">la </w:t>
      </w:r>
      <w:r w:rsidRPr="006B3712">
        <w:rPr>
          <w:szCs w:val="22"/>
        </w:rPr>
        <w:t xml:space="preserve">protección y </w:t>
      </w:r>
      <w:r w:rsidR="00290DE9">
        <w:rPr>
          <w:szCs w:val="22"/>
        </w:rPr>
        <w:t xml:space="preserve">el </w:t>
      </w:r>
      <w:r w:rsidRPr="006B3712">
        <w:rPr>
          <w:szCs w:val="22"/>
        </w:rPr>
        <w:t>alcance</w:t>
      </w:r>
      <w:r w:rsidR="00290DE9">
        <w:rPr>
          <w:szCs w:val="22"/>
        </w:rPr>
        <w:t xml:space="preserve"> de dicha protección</w:t>
      </w:r>
      <w:r w:rsidRPr="006B3712">
        <w:rPr>
          <w:szCs w:val="22"/>
        </w:rPr>
        <w:t>. A continuación, se analizan las herramientas que pueden utilizarse en cada ámbito, como el registro, la búsqueda del estado de la técnica y de los derechos anteriores, los procedimientos de solicitud y la información exigida, la manera de evitar la falta de utilización de una marca, l</w:t>
      </w:r>
      <w:r w:rsidR="00AF0ED6" w:rsidRPr="006B3712">
        <w:rPr>
          <w:szCs w:val="22"/>
        </w:rPr>
        <w:t>os avisos de</w:t>
      </w:r>
      <w:r w:rsidRPr="006B3712">
        <w:rPr>
          <w:szCs w:val="22"/>
        </w:rPr>
        <w:t xml:space="preserve"> derecho de autor, el mantenimiento de registros </w:t>
      </w:r>
      <w:r w:rsidR="00AF0ED6" w:rsidRPr="006B3712">
        <w:rPr>
          <w:szCs w:val="22"/>
        </w:rPr>
        <w:t>para</w:t>
      </w:r>
      <w:r w:rsidRPr="006B3712">
        <w:rPr>
          <w:szCs w:val="22"/>
        </w:rPr>
        <w:t xml:space="preserve"> el desarrollo de interfaces gráficas de usuario y los acuerdos de no divulgación, entre otros. Los aspectos </w:t>
      </w:r>
      <w:r w:rsidR="004F65D3" w:rsidRPr="006B3712">
        <w:rPr>
          <w:szCs w:val="22"/>
        </w:rPr>
        <w:t>esenciales</w:t>
      </w:r>
      <w:r w:rsidR="00AF0ED6" w:rsidRPr="006B3712">
        <w:rPr>
          <w:szCs w:val="22"/>
        </w:rPr>
        <w:t xml:space="preserve"> </w:t>
      </w:r>
      <w:r w:rsidRPr="006B3712">
        <w:rPr>
          <w:szCs w:val="22"/>
        </w:rPr>
        <w:t>y las directrices</w:t>
      </w:r>
      <w:r w:rsidR="00AF0ED6" w:rsidRPr="006B3712">
        <w:rPr>
          <w:szCs w:val="22"/>
        </w:rPr>
        <w:t xml:space="preserve"> </w:t>
      </w:r>
      <w:r w:rsidR="004F65D3" w:rsidRPr="006B3712">
        <w:rPr>
          <w:szCs w:val="22"/>
        </w:rPr>
        <w:t xml:space="preserve">que se proporcionan para </w:t>
      </w:r>
      <w:r w:rsidRPr="006B3712">
        <w:rPr>
          <w:szCs w:val="22"/>
        </w:rPr>
        <w:t>cada herramienta ponen de relieve su aplicabilidad en diferentes situaciones y las principales consideraciones que servirán de guía en el proceso de toma de decisiones a</w:t>
      </w:r>
      <w:r w:rsidR="004F65D3" w:rsidRPr="006B3712">
        <w:rPr>
          <w:szCs w:val="22"/>
        </w:rPr>
        <w:t>l</w:t>
      </w:r>
      <w:r w:rsidRPr="006B3712">
        <w:rPr>
          <w:szCs w:val="22"/>
        </w:rPr>
        <w:t xml:space="preserve"> utilizar dichas herramientas. La decisión </w:t>
      </w:r>
      <w:r w:rsidR="004F65D3" w:rsidRPr="006B3712">
        <w:rPr>
          <w:szCs w:val="22"/>
        </w:rPr>
        <w:t>que atañe al</w:t>
      </w:r>
      <w:r w:rsidRPr="006B3712">
        <w:rPr>
          <w:szCs w:val="22"/>
        </w:rPr>
        <w:t xml:space="preserve"> mercado en el que se debe solicitar la protección y </w:t>
      </w:r>
      <w:r w:rsidR="004F65D3" w:rsidRPr="006B3712">
        <w:rPr>
          <w:szCs w:val="22"/>
        </w:rPr>
        <w:t xml:space="preserve">el </w:t>
      </w:r>
      <w:r w:rsidRPr="006B3712">
        <w:rPr>
          <w:szCs w:val="22"/>
        </w:rPr>
        <w:t xml:space="preserve">procedimiento </w:t>
      </w:r>
      <w:r w:rsidR="004F65D3" w:rsidRPr="006B3712">
        <w:rPr>
          <w:szCs w:val="22"/>
        </w:rPr>
        <w:t xml:space="preserve">que se habrá de elegir </w:t>
      </w:r>
      <w:r w:rsidR="000A08D7" w:rsidRPr="006B3712">
        <w:rPr>
          <w:szCs w:val="22"/>
        </w:rPr>
        <w:t xml:space="preserve">requerirá </w:t>
      </w:r>
      <w:r w:rsidRPr="006B3712">
        <w:rPr>
          <w:szCs w:val="22"/>
        </w:rPr>
        <w:t>una evaluación de los mercados clave</w:t>
      </w:r>
      <w:r w:rsidR="000A08D7" w:rsidRPr="006B3712">
        <w:rPr>
          <w:szCs w:val="22"/>
        </w:rPr>
        <w:t>,</w:t>
      </w:r>
      <w:r w:rsidRPr="006B3712">
        <w:rPr>
          <w:szCs w:val="22"/>
        </w:rPr>
        <w:t xml:space="preserve"> </w:t>
      </w:r>
      <w:r w:rsidR="000A08D7" w:rsidRPr="006B3712">
        <w:rPr>
          <w:szCs w:val="22"/>
        </w:rPr>
        <w:t xml:space="preserve">y dependerá de </w:t>
      </w:r>
      <w:r w:rsidRPr="006B3712">
        <w:rPr>
          <w:szCs w:val="22"/>
        </w:rPr>
        <w:t>la disponibilidad de la aplicación móvil en estos mercados y la posibilidad</w:t>
      </w:r>
      <w:r w:rsidR="000A08D7" w:rsidRPr="006B3712">
        <w:rPr>
          <w:szCs w:val="22"/>
        </w:rPr>
        <w:t xml:space="preserve"> de garantizar la observancia de los </w:t>
      </w:r>
      <w:r w:rsidRPr="006B3712">
        <w:rPr>
          <w:szCs w:val="22"/>
        </w:rPr>
        <w:t>derechos en ellos.</w:t>
      </w:r>
    </w:p>
    <w:p w14:paraId="0D651376" w14:textId="77777777" w:rsidR="00E22B82" w:rsidRPr="006B3712" w:rsidRDefault="00E22B82" w:rsidP="00AA0E55">
      <w:pPr>
        <w:spacing w:line="276" w:lineRule="auto"/>
        <w:rPr>
          <w:szCs w:val="22"/>
        </w:rPr>
      </w:pPr>
    </w:p>
    <w:p w14:paraId="79A85DDF" w14:textId="09A3FF04" w:rsidR="00E22B82" w:rsidRPr="006B3712" w:rsidRDefault="00873E1B" w:rsidP="00E22B82">
      <w:pPr>
        <w:spacing w:line="276" w:lineRule="auto"/>
        <w:rPr>
          <w:szCs w:val="22"/>
        </w:rPr>
      </w:pPr>
      <w:r w:rsidRPr="006B3712">
        <w:rPr>
          <w:szCs w:val="22"/>
        </w:rPr>
        <w:t xml:space="preserve">En la sección 5 se analiza la fase de difusión y se examinan las herramientas que pueden utilizarse para distribuir aplicaciones móviles. En </w:t>
      </w:r>
      <w:r w:rsidR="000A08D7" w:rsidRPr="006B3712">
        <w:rPr>
          <w:szCs w:val="22"/>
        </w:rPr>
        <w:t>especial</w:t>
      </w:r>
      <w:r w:rsidRPr="006B3712">
        <w:rPr>
          <w:szCs w:val="22"/>
        </w:rPr>
        <w:t xml:space="preserve">, </w:t>
      </w:r>
      <w:r w:rsidR="006B7D38">
        <w:rPr>
          <w:szCs w:val="22"/>
        </w:rPr>
        <w:t>si l</w:t>
      </w:r>
      <w:r w:rsidRPr="006B3712">
        <w:rPr>
          <w:szCs w:val="22"/>
        </w:rPr>
        <w:t xml:space="preserve">os que los desarrolladores de aplicaciones móviles </w:t>
      </w:r>
      <w:r w:rsidR="006B7D38">
        <w:rPr>
          <w:szCs w:val="22"/>
        </w:rPr>
        <w:t>desean</w:t>
      </w:r>
      <w:r w:rsidRPr="006B3712">
        <w:rPr>
          <w:szCs w:val="22"/>
        </w:rPr>
        <w:t xml:space="preserve"> poner sus aplicaciones a disposición de las plataformas de aplicaciones o de los consumidores, pueden utilizar herramientas como los acuerdos de distribución o diferentes </w:t>
      </w:r>
      <w:r w:rsidR="000A08D7" w:rsidRPr="006B3712">
        <w:rPr>
          <w:szCs w:val="22"/>
        </w:rPr>
        <w:t xml:space="preserve">modalidades </w:t>
      </w:r>
      <w:r w:rsidRPr="006B3712">
        <w:rPr>
          <w:szCs w:val="22"/>
        </w:rPr>
        <w:t xml:space="preserve">de licencias. Las herramientas </w:t>
      </w:r>
      <w:r w:rsidR="000A08D7" w:rsidRPr="006B3712">
        <w:rPr>
          <w:szCs w:val="22"/>
        </w:rPr>
        <w:t>relativas a las</w:t>
      </w:r>
      <w:r w:rsidRPr="006B3712">
        <w:rPr>
          <w:szCs w:val="22"/>
        </w:rPr>
        <w:t xml:space="preserve"> licencias que se </w:t>
      </w:r>
      <w:r w:rsidR="00FF5ECF" w:rsidRPr="006B3712">
        <w:rPr>
          <w:szCs w:val="22"/>
        </w:rPr>
        <w:t>examinan</w:t>
      </w:r>
      <w:r w:rsidRPr="006B3712">
        <w:rPr>
          <w:szCs w:val="22"/>
        </w:rPr>
        <w:t xml:space="preserve"> en esta sección incluyen las licencias de </w:t>
      </w:r>
      <w:r w:rsidR="00FF5ECF" w:rsidRPr="006B3712">
        <w:rPr>
          <w:szCs w:val="22"/>
        </w:rPr>
        <w:t>PI</w:t>
      </w:r>
      <w:r w:rsidRPr="006B3712">
        <w:rPr>
          <w:szCs w:val="22"/>
        </w:rPr>
        <w:t xml:space="preserve">, los contratos de licencia </w:t>
      </w:r>
      <w:r w:rsidR="00FF5ECF" w:rsidRPr="006B3712">
        <w:rPr>
          <w:szCs w:val="22"/>
        </w:rPr>
        <w:t>con el</w:t>
      </w:r>
      <w:r w:rsidRPr="006B3712">
        <w:rPr>
          <w:szCs w:val="22"/>
        </w:rPr>
        <w:t xml:space="preserve"> usuario final y las licencias de código abierto y </w:t>
      </w:r>
      <w:r w:rsidR="006B7D38">
        <w:rPr>
          <w:szCs w:val="22"/>
        </w:rPr>
        <w:t xml:space="preserve">las licencias </w:t>
      </w:r>
      <w:r w:rsidRPr="006B3712">
        <w:rPr>
          <w:i/>
          <w:iCs/>
          <w:szCs w:val="22"/>
        </w:rPr>
        <w:t>creative commons</w:t>
      </w:r>
      <w:r w:rsidRPr="006B3712">
        <w:rPr>
          <w:szCs w:val="22"/>
        </w:rPr>
        <w:t xml:space="preserve">. Si bien las licencias de código abierto y </w:t>
      </w:r>
      <w:r w:rsidRPr="006B3712">
        <w:rPr>
          <w:i/>
          <w:iCs/>
          <w:szCs w:val="22"/>
        </w:rPr>
        <w:t>creative commons</w:t>
      </w:r>
      <w:r w:rsidRPr="006B3712">
        <w:rPr>
          <w:szCs w:val="22"/>
        </w:rPr>
        <w:t xml:space="preserve"> </w:t>
      </w:r>
      <w:r w:rsidR="00FF5ECF" w:rsidRPr="006B3712">
        <w:rPr>
          <w:szCs w:val="22"/>
        </w:rPr>
        <w:t xml:space="preserve">permiten que </w:t>
      </w:r>
      <w:r w:rsidR="003D3867">
        <w:rPr>
          <w:szCs w:val="22"/>
        </w:rPr>
        <w:t>el</w:t>
      </w:r>
      <w:r w:rsidR="005B34D2" w:rsidRPr="006B3712">
        <w:rPr>
          <w:szCs w:val="22"/>
        </w:rPr>
        <w:t xml:space="preserve"> </w:t>
      </w:r>
      <w:r w:rsidR="005B34D2" w:rsidRPr="003D3867">
        <w:rPr>
          <w:i/>
          <w:iCs/>
          <w:szCs w:val="22"/>
        </w:rPr>
        <w:t>software</w:t>
      </w:r>
      <w:r w:rsidR="00FF5ECF" w:rsidRPr="006B3712">
        <w:rPr>
          <w:szCs w:val="22"/>
        </w:rPr>
        <w:t xml:space="preserve"> </w:t>
      </w:r>
      <w:r w:rsidRPr="006B3712">
        <w:rPr>
          <w:szCs w:val="22"/>
        </w:rPr>
        <w:t xml:space="preserve">y los contenidos creativos estén disponibles gratuitamente, es importante determinar con precisión las condiciones asociadas a </w:t>
      </w:r>
      <w:r w:rsidR="00C80DBC" w:rsidRPr="006B3712">
        <w:rPr>
          <w:szCs w:val="22"/>
        </w:rPr>
        <w:t>su</w:t>
      </w:r>
      <w:r w:rsidRPr="006B3712">
        <w:rPr>
          <w:szCs w:val="22"/>
        </w:rPr>
        <w:t xml:space="preserve"> utilización por parte de terceros. Para cada tipo de licencia es preciso de</w:t>
      </w:r>
      <w:r w:rsidR="006B7D38">
        <w:rPr>
          <w:szCs w:val="22"/>
        </w:rPr>
        <w:t>finir</w:t>
      </w:r>
      <w:r w:rsidRPr="006B3712">
        <w:rPr>
          <w:szCs w:val="22"/>
        </w:rPr>
        <w:t xml:space="preserve">, entre otras cosas, el </w:t>
      </w:r>
      <w:r w:rsidR="00C80DBC" w:rsidRPr="006B3712">
        <w:rPr>
          <w:szCs w:val="22"/>
        </w:rPr>
        <w:t>alcance</w:t>
      </w:r>
      <w:r w:rsidRPr="006B3712">
        <w:rPr>
          <w:szCs w:val="22"/>
        </w:rPr>
        <w:t xml:space="preserve"> territorial y material, los costos, la </w:t>
      </w:r>
      <w:r w:rsidR="00C80DBC" w:rsidRPr="006B3712">
        <w:rPr>
          <w:szCs w:val="22"/>
        </w:rPr>
        <w:t xml:space="preserve">cuestión de la </w:t>
      </w:r>
      <w:r w:rsidRPr="006B3712">
        <w:rPr>
          <w:szCs w:val="22"/>
        </w:rPr>
        <w:t xml:space="preserve">exclusividad y el plazo de la licencia. Se recomienda recurrir al asesoramiento de un </w:t>
      </w:r>
      <w:r w:rsidR="00C80DBC" w:rsidRPr="006B3712">
        <w:rPr>
          <w:szCs w:val="22"/>
        </w:rPr>
        <w:t>profesional especializado en</w:t>
      </w:r>
      <w:r w:rsidRPr="006B3712">
        <w:rPr>
          <w:szCs w:val="22"/>
        </w:rPr>
        <w:t xml:space="preserve"> licencias.</w:t>
      </w:r>
    </w:p>
    <w:p w14:paraId="4B262334" w14:textId="77777777" w:rsidR="00E22B82" w:rsidRPr="006B3712" w:rsidRDefault="00E22B82" w:rsidP="003D3867">
      <w:pPr>
        <w:spacing w:line="276" w:lineRule="auto"/>
        <w:rPr>
          <w:szCs w:val="22"/>
        </w:rPr>
      </w:pPr>
    </w:p>
    <w:p w14:paraId="4779FBD7" w14:textId="2B2D9A5D" w:rsidR="00C80DBC" w:rsidRPr="006B3712" w:rsidRDefault="00873E1B" w:rsidP="00E22B82">
      <w:pPr>
        <w:spacing w:line="276" w:lineRule="auto"/>
        <w:rPr>
          <w:szCs w:val="22"/>
        </w:rPr>
      </w:pPr>
      <w:r w:rsidRPr="006B3712">
        <w:rPr>
          <w:szCs w:val="22"/>
        </w:rPr>
        <w:t xml:space="preserve">En la sección 6 se </w:t>
      </w:r>
      <w:r w:rsidR="00C80DBC" w:rsidRPr="006B3712">
        <w:rPr>
          <w:szCs w:val="22"/>
        </w:rPr>
        <w:t>presentan</w:t>
      </w:r>
      <w:r w:rsidRPr="006B3712">
        <w:rPr>
          <w:szCs w:val="22"/>
        </w:rPr>
        <w:t xml:space="preserve"> </w:t>
      </w:r>
      <w:r w:rsidR="00C80DBC" w:rsidRPr="006B3712">
        <w:rPr>
          <w:szCs w:val="22"/>
        </w:rPr>
        <w:t xml:space="preserve">las </w:t>
      </w:r>
      <w:r w:rsidRPr="006B3712">
        <w:rPr>
          <w:szCs w:val="22"/>
        </w:rPr>
        <w:t>diferentes herramientas que pueden utilizarse para asegurar la observancia de los derechos de PI respecto de la aplicación móvil, así como las posibles infracciones de los contratos de licencia</w:t>
      </w:r>
      <w:r w:rsidR="006D5B74" w:rsidRPr="006B3712">
        <w:rPr>
          <w:szCs w:val="22"/>
        </w:rPr>
        <w:t xml:space="preserve">. </w:t>
      </w:r>
      <w:r w:rsidR="00A269A1" w:rsidRPr="006B3712">
        <w:rPr>
          <w:szCs w:val="22"/>
        </w:rPr>
        <w:t xml:space="preserve">En los casos en que terceros copien partes de la aplicación móvil sin el consentimiento del titular de los derechos, o en que los licenciatarios no respeten las condiciones contractuales establecidas en las licencias, los desarrolladores de aplicaciones pueden utilizar varias herramientas para hacer valer sus derechos. Se recomienda </w:t>
      </w:r>
      <w:r w:rsidR="00C80DBC" w:rsidRPr="006B3712">
        <w:rPr>
          <w:szCs w:val="22"/>
        </w:rPr>
        <w:t xml:space="preserve">solicitar </w:t>
      </w:r>
      <w:r w:rsidR="00A269A1" w:rsidRPr="006B3712">
        <w:rPr>
          <w:szCs w:val="22"/>
        </w:rPr>
        <w:t xml:space="preserve">asesoramiento jurídico </w:t>
      </w:r>
      <w:r w:rsidR="00C80DBC" w:rsidRPr="006B3712">
        <w:rPr>
          <w:szCs w:val="22"/>
        </w:rPr>
        <w:t xml:space="preserve">en </w:t>
      </w:r>
      <w:r w:rsidR="00A54457" w:rsidRPr="006B3712">
        <w:rPr>
          <w:szCs w:val="22"/>
        </w:rPr>
        <w:t xml:space="preserve">lo referente a la mayoría </w:t>
      </w:r>
      <w:r w:rsidR="00A269A1" w:rsidRPr="006B3712">
        <w:rPr>
          <w:szCs w:val="22"/>
        </w:rPr>
        <w:t xml:space="preserve">de las </w:t>
      </w:r>
      <w:r w:rsidR="00A54457" w:rsidRPr="006B3712">
        <w:rPr>
          <w:szCs w:val="22"/>
        </w:rPr>
        <w:t xml:space="preserve">etapas de la </w:t>
      </w:r>
      <w:r w:rsidR="00A269A1" w:rsidRPr="006B3712">
        <w:rPr>
          <w:szCs w:val="22"/>
        </w:rPr>
        <w:t xml:space="preserve">observancia. </w:t>
      </w:r>
      <w:r w:rsidR="00A54457" w:rsidRPr="006B3712">
        <w:rPr>
          <w:szCs w:val="22"/>
        </w:rPr>
        <w:t xml:space="preserve">Se detallan </w:t>
      </w:r>
      <w:r w:rsidR="00A269A1" w:rsidRPr="006B3712">
        <w:rPr>
          <w:szCs w:val="22"/>
        </w:rPr>
        <w:t xml:space="preserve">los procedimientos de detección y retirada de las principales plataformas de aplicaciones móviles, las cartas de </w:t>
      </w:r>
      <w:r w:rsidR="005634BD">
        <w:rPr>
          <w:szCs w:val="22"/>
        </w:rPr>
        <w:t>cese en la práctica</w:t>
      </w:r>
      <w:r w:rsidR="00A269A1" w:rsidRPr="006B3712">
        <w:rPr>
          <w:szCs w:val="22"/>
        </w:rPr>
        <w:t xml:space="preserve"> seguidas de negociaciones, los procedimientos administrativos y judiciales, y los procedimientos y cláusulas para la solución de con</w:t>
      </w:r>
      <w:r w:rsidR="00A54457" w:rsidRPr="006B3712">
        <w:rPr>
          <w:szCs w:val="22"/>
        </w:rPr>
        <w:t>troversias</w:t>
      </w:r>
      <w:r w:rsidR="00A269A1" w:rsidRPr="006B3712">
        <w:rPr>
          <w:szCs w:val="22"/>
        </w:rPr>
        <w:t xml:space="preserve">. La recopilación de pruebas </w:t>
      </w:r>
      <w:r w:rsidR="00A54457" w:rsidRPr="006B3712">
        <w:rPr>
          <w:szCs w:val="22"/>
        </w:rPr>
        <w:t xml:space="preserve">y de </w:t>
      </w:r>
      <w:r w:rsidR="00A269A1" w:rsidRPr="006B3712">
        <w:rPr>
          <w:szCs w:val="22"/>
        </w:rPr>
        <w:t xml:space="preserve">información sobre el presunto infractor es fundamental para </w:t>
      </w:r>
      <w:r w:rsidR="00A54457" w:rsidRPr="006B3712">
        <w:rPr>
          <w:szCs w:val="22"/>
        </w:rPr>
        <w:t xml:space="preserve">poder </w:t>
      </w:r>
      <w:r w:rsidR="00A269A1" w:rsidRPr="006B3712">
        <w:rPr>
          <w:szCs w:val="22"/>
        </w:rPr>
        <w:t xml:space="preserve">elegir la herramienta adecuada. </w:t>
      </w:r>
      <w:r w:rsidR="00D153F2" w:rsidRPr="006B3712">
        <w:rPr>
          <w:szCs w:val="22"/>
        </w:rPr>
        <w:t xml:space="preserve">Para determinar </w:t>
      </w:r>
      <w:r w:rsidR="00A269A1" w:rsidRPr="006B3712">
        <w:rPr>
          <w:szCs w:val="22"/>
        </w:rPr>
        <w:t xml:space="preserve">la jurisdicción en la que se deben presentar los litigios </w:t>
      </w:r>
      <w:r w:rsidR="00D153F2" w:rsidRPr="006B3712">
        <w:rPr>
          <w:szCs w:val="22"/>
        </w:rPr>
        <w:t xml:space="preserve">se </w:t>
      </w:r>
      <w:r w:rsidR="00A269A1" w:rsidRPr="006B3712">
        <w:rPr>
          <w:szCs w:val="22"/>
        </w:rPr>
        <w:t xml:space="preserve">debe tener en cuenta la aplicabilidad de </w:t>
      </w:r>
      <w:r w:rsidR="00D153F2" w:rsidRPr="006B3712">
        <w:rPr>
          <w:szCs w:val="22"/>
        </w:rPr>
        <w:t>las</w:t>
      </w:r>
      <w:r w:rsidR="00A269A1" w:rsidRPr="006B3712">
        <w:rPr>
          <w:szCs w:val="22"/>
        </w:rPr>
        <w:t xml:space="preserve"> sentencia</w:t>
      </w:r>
      <w:r w:rsidR="00D153F2" w:rsidRPr="006B3712">
        <w:rPr>
          <w:szCs w:val="22"/>
        </w:rPr>
        <w:t>s</w:t>
      </w:r>
      <w:r w:rsidR="00A269A1" w:rsidRPr="006B3712">
        <w:rPr>
          <w:szCs w:val="22"/>
        </w:rPr>
        <w:t>, especialmente en el caso de los conflictos transfronterizos</w:t>
      </w:r>
      <w:r w:rsidR="00C80DBC" w:rsidRPr="006B3712">
        <w:rPr>
          <w:szCs w:val="22"/>
        </w:rPr>
        <w:t>.</w:t>
      </w:r>
    </w:p>
    <w:p w14:paraId="4AF941E0" w14:textId="77777777" w:rsidR="00E22B82" w:rsidRPr="006B3712" w:rsidRDefault="00E22B82" w:rsidP="00E22B82">
      <w:pPr>
        <w:spacing w:line="276" w:lineRule="auto"/>
        <w:rPr>
          <w:szCs w:val="22"/>
        </w:rPr>
      </w:pPr>
    </w:p>
    <w:p w14:paraId="57611AA5" w14:textId="0050F61F" w:rsidR="00E22B82" w:rsidRPr="006B3712" w:rsidRDefault="00A269A1" w:rsidP="00AA0E55">
      <w:pPr>
        <w:spacing w:after="600"/>
        <w:rPr>
          <w:szCs w:val="22"/>
        </w:rPr>
      </w:pPr>
      <w:r w:rsidRPr="006B3712">
        <w:rPr>
          <w:szCs w:val="22"/>
        </w:rPr>
        <w:t>En la sección 7 se ofrece una lista de recursos e hiper</w:t>
      </w:r>
      <w:r w:rsidR="003D3867">
        <w:rPr>
          <w:szCs w:val="22"/>
        </w:rPr>
        <w:t xml:space="preserve">enlaces </w:t>
      </w:r>
      <w:r w:rsidRPr="006B3712">
        <w:rPr>
          <w:szCs w:val="22"/>
        </w:rPr>
        <w:t xml:space="preserve">de interés. </w:t>
      </w:r>
      <w:r w:rsidR="00D153F2" w:rsidRPr="006B3712">
        <w:rPr>
          <w:szCs w:val="22"/>
        </w:rPr>
        <w:t xml:space="preserve">Los desarrolladores de aplicaciones móviles podrán </w:t>
      </w:r>
      <w:r w:rsidRPr="006B3712">
        <w:rPr>
          <w:szCs w:val="22"/>
        </w:rPr>
        <w:t xml:space="preserve">encontrar </w:t>
      </w:r>
      <w:r w:rsidR="00D153F2" w:rsidRPr="006B3712">
        <w:rPr>
          <w:szCs w:val="22"/>
        </w:rPr>
        <w:t xml:space="preserve">en esas referencias </w:t>
      </w:r>
      <w:r w:rsidRPr="006B3712">
        <w:rPr>
          <w:szCs w:val="22"/>
        </w:rPr>
        <w:t xml:space="preserve">más información sobre las herramientas analizadas, así como los ejemplos y </w:t>
      </w:r>
      <w:r w:rsidR="00D153F2" w:rsidRPr="006B3712">
        <w:rPr>
          <w:szCs w:val="22"/>
        </w:rPr>
        <w:t>modelos</w:t>
      </w:r>
      <w:r w:rsidRPr="006B3712">
        <w:rPr>
          <w:szCs w:val="22"/>
        </w:rPr>
        <w:t xml:space="preserve"> a los que se hace referencia en </w:t>
      </w:r>
      <w:r w:rsidR="005634BD">
        <w:rPr>
          <w:szCs w:val="22"/>
        </w:rPr>
        <w:t>la guía</w:t>
      </w:r>
      <w:r w:rsidR="00E22B82" w:rsidRPr="006B3712">
        <w:rPr>
          <w:szCs w:val="22"/>
        </w:rPr>
        <w:t>.</w:t>
      </w:r>
    </w:p>
    <w:p w14:paraId="434817D7" w14:textId="5DE60E24" w:rsidR="00E22B82" w:rsidRPr="006B3712" w:rsidRDefault="00E22B82" w:rsidP="00E22B82">
      <w:pPr>
        <w:pStyle w:val="Endofdocument-Annex"/>
        <w:rPr>
          <w:lang w:val="es-ES"/>
        </w:rPr>
      </w:pPr>
      <w:r w:rsidRPr="006B3712">
        <w:rPr>
          <w:lang w:val="es-ES"/>
        </w:rPr>
        <w:t>[</w:t>
      </w:r>
      <w:r w:rsidR="00A269A1" w:rsidRPr="006B3712">
        <w:rPr>
          <w:lang w:val="es-ES"/>
        </w:rPr>
        <w:t>Fin del Anexo y del documento</w:t>
      </w:r>
      <w:r w:rsidRPr="006B3712">
        <w:rPr>
          <w:lang w:val="es-ES"/>
        </w:rPr>
        <w:t>]</w:t>
      </w:r>
    </w:p>
    <w:sectPr w:rsidR="00E22B82" w:rsidRPr="006B3712" w:rsidSect="00E22B82">
      <w:headerReference w:type="default" r:id="rId12"/>
      <w:headerReference w:type="first" r:id="rId13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DEC00" w14:textId="77777777" w:rsidR="005F6236" w:rsidRDefault="005F6236">
      <w:r>
        <w:separator/>
      </w:r>
    </w:p>
  </w:endnote>
  <w:endnote w:type="continuationSeparator" w:id="0">
    <w:p w14:paraId="0EB74CFB" w14:textId="77777777" w:rsidR="005F6236" w:rsidRPr="009D30E6" w:rsidRDefault="005F623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910E58B" w14:textId="77777777" w:rsidR="005F6236" w:rsidRPr="007E663E" w:rsidRDefault="005F623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5CCD6F5" w14:textId="77777777" w:rsidR="005F6236" w:rsidRPr="007E663E" w:rsidRDefault="005F623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F9C7" w14:textId="77777777" w:rsidR="00E22B82" w:rsidRDefault="00E22B82" w:rsidP="00E346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4C44" w14:textId="77777777" w:rsidR="005F6236" w:rsidRDefault="005F6236">
      <w:r>
        <w:separator/>
      </w:r>
    </w:p>
  </w:footnote>
  <w:footnote w:type="continuationSeparator" w:id="0">
    <w:p w14:paraId="4AE48469" w14:textId="77777777" w:rsidR="005F6236" w:rsidRPr="009D30E6" w:rsidRDefault="005F623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BB88F61" w14:textId="77777777" w:rsidR="005F6236" w:rsidRPr="007E663E" w:rsidRDefault="005F623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A69B7DC" w14:textId="77777777" w:rsidR="005F6236" w:rsidRPr="007E663E" w:rsidRDefault="005F623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1D2464A9" w14:textId="2057B24F" w:rsidR="00E22B82" w:rsidRPr="00391050" w:rsidRDefault="00E22B82" w:rsidP="00E22B82">
      <w:pPr>
        <w:pStyle w:val="FootnoteText"/>
      </w:pPr>
      <w:r w:rsidRPr="00E22B82">
        <w:rPr>
          <w:rStyle w:val="FootnoteReference"/>
        </w:rPr>
        <w:footnoteRef/>
      </w:r>
      <w:r w:rsidRPr="00391050">
        <w:t xml:space="preserve"> </w:t>
      </w:r>
      <w:r w:rsidR="001B1CE8">
        <w:t>La versión íntegra de la guía sobre</w:t>
      </w:r>
      <w:r w:rsidR="00391050" w:rsidRPr="00391050">
        <w:t xml:space="preserve"> propiedad </w:t>
      </w:r>
      <w:r w:rsidR="00A22879" w:rsidRPr="00391050">
        <w:t>intelectual</w:t>
      </w:r>
      <w:r w:rsidR="00391050" w:rsidRPr="00391050">
        <w:t xml:space="preserve"> para desarrolladores de </w:t>
      </w:r>
      <w:r w:rsidR="00391050">
        <w:t xml:space="preserve">aplicaciones móviles </w:t>
      </w:r>
      <w:r w:rsidR="00A22879">
        <w:t>se puede consultar en</w:t>
      </w:r>
      <w:r w:rsidRPr="00391050">
        <w:t>: www.wipo.int/export/sites/www/ip-development/en/agenda/pdf/wipo_ip_toolbox_mobile_apps.pdf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F94D" w14:textId="77777777" w:rsidR="00E22B82" w:rsidRPr="00262966" w:rsidRDefault="00E22B82" w:rsidP="00E3464C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14:paraId="2F56C8A1" w14:textId="77777777" w:rsidR="00E22B82" w:rsidRDefault="00E22B82" w:rsidP="00E3464C">
    <w:pPr>
      <w:tabs>
        <w:tab w:val="center" w:pos="4536"/>
        <w:tab w:val="right" w:pos="9072"/>
      </w:tabs>
      <w:jc w:val="right"/>
    </w:pPr>
    <w:r>
      <w:t>Annex</w:t>
    </w:r>
    <w:r w:rsidRPr="00262966">
      <w:t xml:space="preserve">,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rPr>
        <w:noProof/>
      </w:rPr>
      <w:t>4</w:t>
    </w:r>
    <w:r w:rsidRPr="0026296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CFFCD" w14:textId="77777777" w:rsidR="00E22B82" w:rsidRPr="00262966" w:rsidRDefault="00E22B82" w:rsidP="00E3464C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14:paraId="474E4BDD" w14:textId="77777777" w:rsidR="00E22B82" w:rsidRDefault="00E22B82" w:rsidP="00E3464C">
    <w:pPr>
      <w:tabs>
        <w:tab w:val="center" w:pos="4536"/>
        <w:tab w:val="right" w:pos="9072"/>
      </w:tabs>
      <w:jc w:val="right"/>
    </w:pPr>
    <w:r>
      <w:t>Annex</w:t>
    </w:r>
    <w:r w:rsidRPr="00262966">
      <w:t xml:space="preserve">,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rPr>
        <w:noProof/>
      </w:rPr>
      <w:t>4</w:t>
    </w:r>
    <w:r w:rsidRPr="0026296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D2BA0" w14:textId="77777777" w:rsidR="00AE7F20" w:rsidRPr="00EB0D93" w:rsidRDefault="00E22B82" w:rsidP="00477D6B">
    <w:pPr>
      <w:jc w:val="right"/>
      <w:rPr>
        <w:caps/>
      </w:rPr>
    </w:pPr>
    <w:bookmarkStart w:id="7" w:name="Code2"/>
    <w:bookmarkEnd w:id="7"/>
    <w:r>
      <w:rPr>
        <w:caps/>
      </w:rPr>
      <w:t>CDIP/28/INF/5</w:t>
    </w:r>
  </w:p>
  <w:p w14:paraId="0F3F6EC5" w14:textId="4ACD388B" w:rsidR="00AE7F20" w:rsidRDefault="00E22B82" w:rsidP="00477D6B">
    <w:pPr>
      <w:jc w:val="right"/>
    </w:pPr>
    <w:r>
      <w:t xml:space="preserve">Anexo, </w:t>
    </w:r>
    <w:r w:rsidR="00AE7F20">
      <w:t xml:space="preserve">página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6F75E2">
      <w:rPr>
        <w:noProof/>
      </w:rPr>
      <w:t>3</w:t>
    </w:r>
    <w:r w:rsidR="00AE7F20">
      <w:fldChar w:fldCharType="end"/>
    </w:r>
  </w:p>
  <w:p w14:paraId="0F8946A6" w14:textId="77777777" w:rsidR="00AE7F20" w:rsidRDefault="00AE7F20" w:rsidP="00477D6B">
    <w:pPr>
      <w:jc w:val="right"/>
    </w:pPr>
  </w:p>
  <w:p w14:paraId="206801EF" w14:textId="77777777" w:rsidR="00EC1AA7" w:rsidRDefault="00EC1AA7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36EB0" w14:textId="77777777" w:rsidR="00E22B82" w:rsidRPr="00EB0D93" w:rsidRDefault="00E22B82" w:rsidP="00E22B82">
    <w:pPr>
      <w:jc w:val="right"/>
      <w:rPr>
        <w:caps/>
      </w:rPr>
    </w:pPr>
    <w:r>
      <w:rPr>
        <w:caps/>
      </w:rPr>
      <w:t>CDIP/28/INF/5</w:t>
    </w:r>
  </w:p>
  <w:p w14:paraId="180A24EA" w14:textId="77777777" w:rsidR="00E22B82" w:rsidRDefault="00E22B82" w:rsidP="00E22B82">
    <w:pPr>
      <w:pStyle w:val="Header"/>
      <w:jc w:val="right"/>
    </w:pPr>
    <w:r>
      <w:t>ANEXO</w:t>
    </w:r>
  </w:p>
  <w:p w14:paraId="5836E9B7" w14:textId="77777777" w:rsidR="00E22B82" w:rsidRDefault="00E22B82" w:rsidP="00E22B8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E0E93"/>
    <w:multiLevelType w:val="hybridMultilevel"/>
    <w:tmpl w:val="9EBE5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2"/>
    <w:rsid w:val="00010686"/>
    <w:rsid w:val="00037486"/>
    <w:rsid w:val="00052915"/>
    <w:rsid w:val="000A08D7"/>
    <w:rsid w:val="000E3BB3"/>
    <w:rsid w:val="000F5E56"/>
    <w:rsid w:val="000F7A05"/>
    <w:rsid w:val="001362EE"/>
    <w:rsid w:val="00152CEA"/>
    <w:rsid w:val="001832A6"/>
    <w:rsid w:val="001B1CE8"/>
    <w:rsid w:val="001C5292"/>
    <w:rsid w:val="001D56A7"/>
    <w:rsid w:val="001F0366"/>
    <w:rsid w:val="002634C4"/>
    <w:rsid w:val="00281646"/>
    <w:rsid w:val="00290DE9"/>
    <w:rsid w:val="002C2E2F"/>
    <w:rsid w:val="002D23B5"/>
    <w:rsid w:val="002E0F47"/>
    <w:rsid w:val="002F4095"/>
    <w:rsid w:val="002F4E68"/>
    <w:rsid w:val="00303E0F"/>
    <w:rsid w:val="00310826"/>
    <w:rsid w:val="00354647"/>
    <w:rsid w:val="00377273"/>
    <w:rsid w:val="003845C1"/>
    <w:rsid w:val="0038512D"/>
    <w:rsid w:val="00387287"/>
    <w:rsid w:val="00391050"/>
    <w:rsid w:val="003959CC"/>
    <w:rsid w:val="003D3867"/>
    <w:rsid w:val="003E48F1"/>
    <w:rsid w:val="003E583C"/>
    <w:rsid w:val="003F347A"/>
    <w:rsid w:val="00414082"/>
    <w:rsid w:val="00423E3E"/>
    <w:rsid w:val="00427AF4"/>
    <w:rsid w:val="004503C7"/>
    <w:rsid w:val="0045231F"/>
    <w:rsid w:val="004647DA"/>
    <w:rsid w:val="0046793F"/>
    <w:rsid w:val="00472A6E"/>
    <w:rsid w:val="00477808"/>
    <w:rsid w:val="00477D6B"/>
    <w:rsid w:val="004A6C37"/>
    <w:rsid w:val="004E297D"/>
    <w:rsid w:val="004F65D3"/>
    <w:rsid w:val="00526DBF"/>
    <w:rsid w:val="00531B02"/>
    <w:rsid w:val="005332F0"/>
    <w:rsid w:val="0055013B"/>
    <w:rsid w:val="005634BD"/>
    <w:rsid w:val="00567C5D"/>
    <w:rsid w:val="00571B99"/>
    <w:rsid w:val="005902F0"/>
    <w:rsid w:val="005B34D2"/>
    <w:rsid w:val="005F5141"/>
    <w:rsid w:val="005F6236"/>
    <w:rsid w:val="00605827"/>
    <w:rsid w:val="00624528"/>
    <w:rsid w:val="00671BA5"/>
    <w:rsid w:val="00675021"/>
    <w:rsid w:val="006A06C6"/>
    <w:rsid w:val="006B3712"/>
    <w:rsid w:val="006B5088"/>
    <w:rsid w:val="006B7D38"/>
    <w:rsid w:val="006D5B74"/>
    <w:rsid w:val="006F75E2"/>
    <w:rsid w:val="00712685"/>
    <w:rsid w:val="007224C8"/>
    <w:rsid w:val="00741AEA"/>
    <w:rsid w:val="007528A9"/>
    <w:rsid w:val="00773704"/>
    <w:rsid w:val="00794BE2"/>
    <w:rsid w:val="007A5581"/>
    <w:rsid w:val="007A7D8F"/>
    <w:rsid w:val="007B71FE"/>
    <w:rsid w:val="007C7F82"/>
    <w:rsid w:val="007D0705"/>
    <w:rsid w:val="007D781E"/>
    <w:rsid w:val="007E663E"/>
    <w:rsid w:val="00815082"/>
    <w:rsid w:val="00833BD7"/>
    <w:rsid w:val="00873E1B"/>
    <w:rsid w:val="00874449"/>
    <w:rsid w:val="0088395E"/>
    <w:rsid w:val="00884D52"/>
    <w:rsid w:val="008B2CC1"/>
    <w:rsid w:val="008E6BD6"/>
    <w:rsid w:val="0090731E"/>
    <w:rsid w:val="00966A22"/>
    <w:rsid w:val="00972F03"/>
    <w:rsid w:val="00983679"/>
    <w:rsid w:val="0098367F"/>
    <w:rsid w:val="009A0C8B"/>
    <w:rsid w:val="009A20CD"/>
    <w:rsid w:val="009B0342"/>
    <w:rsid w:val="009B165A"/>
    <w:rsid w:val="009B1FCF"/>
    <w:rsid w:val="009B6241"/>
    <w:rsid w:val="009D30F8"/>
    <w:rsid w:val="009E753F"/>
    <w:rsid w:val="00A0797C"/>
    <w:rsid w:val="00A07AA3"/>
    <w:rsid w:val="00A16DB2"/>
    <w:rsid w:val="00A16FC0"/>
    <w:rsid w:val="00A22879"/>
    <w:rsid w:val="00A269A1"/>
    <w:rsid w:val="00A32C9E"/>
    <w:rsid w:val="00A54457"/>
    <w:rsid w:val="00A83D50"/>
    <w:rsid w:val="00AA0E55"/>
    <w:rsid w:val="00AB613D"/>
    <w:rsid w:val="00AE7F20"/>
    <w:rsid w:val="00AF0ED6"/>
    <w:rsid w:val="00B31790"/>
    <w:rsid w:val="00B40D89"/>
    <w:rsid w:val="00B41F7F"/>
    <w:rsid w:val="00B52C22"/>
    <w:rsid w:val="00B534D5"/>
    <w:rsid w:val="00B65A0A"/>
    <w:rsid w:val="00B67CDC"/>
    <w:rsid w:val="00B72D36"/>
    <w:rsid w:val="00B757AD"/>
    <w:rsid w:val="00BC4164"/>
    <w:rsid w:val="00BD2DCC"/>
    <w:rsid w:val="00BF5A8E"/>
    <w:rsid w:val="00C80DBC"/>
    <w:rsid w:val="00C90559"/>
    <w:rsid w:val="00CA0500"/>
    <w:rsid w:val="00CA2251"/>
    <w:rsid w:val="00CC0955"/>
    <w:rsid w:val="00D153F2"/>
    <w:rsid w:val="00D16012"/>
    <w:rsid w:val="00D44EEB"/>
    <w:rsid w:val="00D56C7C"/>
    <w:rsid w:val="00D63C7C"/>
    <w:rsid w:val="00D71B4D"/>
    <w:rsid w:val="00D90289"/>
    <w:rsid w:val="00D93D55"/>
    <w:rsid w:val="00DC1FE1"/>
    <w:rsid w:val="00DC4C60"/>
    <w:rsid w:val="00DD6CF4"/>
    <w:rsid w:val="00DE7960"/>
    <w:rsid w:val="00E0079A"/>
    <w:rsid w:val="00E22B82"/>
    <w:rsid w:val="00E3464C"/>
    <w:rsid w:val="00E444DA"/>
    <w:rsid w:val="00E45C84"/>
    <w:rsid w:val="00E504E5"/>
    <w:rsid w:val="00EA5F37"/>
    <w:rsid w:val="00EB0D93"/>
    <w:rsid w:val="00EB7A3E"/>
    <w:rsid w:val="00EC1AA7"/>
    <w:rsid w:val="00EC401A"/>
    <w:rsid w:val="00EC6D6D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238FE2"/>
  <w15:docId w15:val="{BEA7AE59-DD23-497B-BEFC-DB5E3851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281646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22B82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22B82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E22B82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22B82"/>
    <w:rPr>
      <w:i/>
      <w:iCs/>
    </w:rPr>
  </w:style>
  <w:style w:type="character" w:styleId="FootnoteReference">
    <w:name w:val="footnote reference"/>
    <w:basedOn w:val="DefaultParagraphFont"/>
    <w:semiHidden/>
    <w:unhideWhenUsed/>
    <w:rsid w:val="00E22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7637-4010-4667-B28C-F3625266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7658</Characters>
  <Application>Microsoft Office Word</Application>
  <DocSecurity>0</DocSecurity>
  <Lines>130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CDIP/28/INF/5</vt:lpstr>
      <vt:lpstr>CDIP/28/INF/5</vt:lpstr>
    </vt:vector>
  </TitlesOfParts>
  <Company>WIPO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CDIP/28/INF/5</dc:title>
  <dc:subject/>
  <dc:creator>mercedes mendoza</dc:creator>
  <cp:keywords>FOR OFFICIAL USE ONLY</cp:keywords>
  <dc:description/>
  <cp:lastModifiedBy>ESTEVES DOS SANTOS Anabela</cp:lastModifiedBy>
  <cp:revision>2</cp:revision>
  <dcterms:created xsi:type="dcterms:W3CDTF">2022-04-28T08:12:00Z</dcterms:created>
  <dcterms:modified xsi:type="dcterms:W3CDTF">2022-04-28T08:12:00Z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7356a6d3-005f-4f64-a8f3-36699f379519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