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CD176" w14:textId="77777777" w:rsidR="008B2CC1" w:rsidRPr="00F87F5B" w:rsidRDefault="008B14EA" w:rsidP="008B14EA">
      <w:pPr>
        <w:spacing w:after="120"/>
        <w:jc w:val="right"/>
        <w:rPr>
          <w:lang w:val="es-419"/>
        </w:rPr>
      </w:pPr>
      <w:bookmarkStart w:id="0" w:name="_GoBack"/>
      <w:bookmarkEnd w:id="0"/>
      <w:r w:rsidRPr="00F87F5B">
        <w:rPr>
          <w:noProof/>
          <w:lang w:val="en-US" w:eastAsia="en-US"/>
        </w:rPr>
        <w:drawing>
          <wp:inline distT="0" distB="0" distL="0" distR="0" wp14:anchorId="4ABDE09A" wp14:editId="715E54F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87F5B">
        <w:rPr>
          <w:rFonts w:ascii="Arial Black" w:hAnsi="Arial Black"/>
          <w:caps/>
          <w:noProof/>
          <w:sz w:val="15"/>
          <w:szCs w:val="15"/>
          <w:lang w:val="en-US" w:eastAsia="en-US"/>
        </w:rPr>
        <mc:AlternateContent>
          <mc:Choice Requires="wps">
            <w:drawing>
              <wp:inline distT="0" distB="0" distL="0" distR="0" wp14:anchorId="4AEEDD47" wp14:editId="48ABBA5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BFF874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4F4C75B5" w14:textId="77777777" w:rsidR="008B2CC1" w:rsidRPr="00F87F5B" w:rsidRDefault="00C92F16" w:rsidP="008B14EA">
      <w:pPr>
        <w:jc w:val="right"/>
        <w:rPr>
          <w:rFonts w:ascii="Arial Black" w:hAnsi="Arial Black"/>
          <w:caps/>
          <w:sz w:val="15"/>
          <w:lang w:val="es-419"/>
        </w:rPr>
      </w:pPr>
      <w:r w:rsidRPr="00F87F5B">
        <w:rPr>
          <w:rFonts w:ascii="Arial Black" w:hAnsi="Arial Black"/>
          <w:caps/>
          <w:sz w:val="15"/>
          <w:lang w:val="es-419"/>
        </w:rPr>
        <w:t>CDIP/29/</w:t>
      </w:r>
      <w:bookmarkStart w:id="1" w:name="Code"/>
      <w:r w:rsidR="00423826" w:rsidRPr="00F87F5B">
        <w:rPr>
          <w:rFonts w:ascii="Arial Black" w:hAnsi="Arial Black"/>
          <w:caps/>
          <w:sz w:val="15"/>
          <w:lang w:val="es-419"/>
        </w:rPr>
        <w:t>8</w:t>
      </w:r>
    </w:p>
    <w:bookmarkEnd w:id="1"/>
    <w:p w14:paraId="434C726D" w14:textId="77777777" w:rsidR="008B2CC1" w:rsidRPr="00F87F5B" w:rsidRDefault="008B14EA" w:rsidP="008B14EA">
      <w:pPr>
        <w:jc w:val="right"/>
        <w:rPr>
          <w:rFonts w:ascii="Arial Black" w:hAnsi="Arial Black"/>
          <w:caps/>
          <w:sz w:val="15"/>
          <w:lang w:val="es-419"/>
        </w:rPr>
      </w:pPr>
      <w:r w:rsidRPr="00F87F5B">
        <w:rPr>
          <w:rFonts w:ascii="Arial Black" w:hAnsi="Arial Black"/>
          <w:caps/>
          <w:sz w:val="15"/>
          <w:lang w:val="es-419"/>
        </w:rPr>
        <w:t xml:space="preserve">ORIGINAL: </w:t>
      </w:r>
      <w:bookmarkStart w:id="2" w:name="Original"/>
      <w:r w:rsidR="00423826" w:rsidRPr="00F87F5B">
        <w:rPr>
          <w:rFonts w:ascii="Arial Black" w:hAnsi="Arial Black"/>
          <w:caps/>
          <w:sz w:val="15"/>
          <w:lang w:val="es-419"/>
        </w:rPr>
        <w:t>INGLÉS</w:t>
      </w:r>
    </w:p>
    <w:bookmarkEnd w:id="2"/>
    <w:p w14:paraId="66CE98FC" w14:textId="77777777" w:rsidR="008B2CC1" w:rsidRPr="00F87F5B" w:rsidRDefault="008B14EA" w:rsidP="008B14EA">
      <w:pPr>
        <w:spacing w:after="1200"/>
        <w:jc w:val="right"/>
        <w:rPr>
          <w:rFonts w:ascii="Arial Black" w:hAnsi="Arial Black"/>
          <w:caps/>
          <w:sz w:val="15"/>
          <w:lang w:val="es-419"/>
        </w:rPr>
      </w:pPr>
      <w:r w:rsidRPr="00F87F5B">
        <w:rPr>
          <w:rFonts w:ascii="Arial Black" w:hAnsi="Arial Black"/>
          <w:caps/>
          <w:sz w:val="15"/>
          <w:lang w:val="es-419"/>
        </w:rPr>
        <w:t xml:space="preserve">FECHA: </w:t>
      </w:r>
      <w:bookmarkStart w:id="3" w:name="Date"/>
      <w:r w:rsidR="00423826" w:rsidRPr="00F87F5B">
        <w:rPr>
          <w:rFonts w:ascii="Arial Black" w:hAnsi="Arial Black"/>
          <w:caps/>
          <w:sz w:val="15"/>
          <w:lang w:val="es-419"/>
        </w:rPr>
        <w:t>14 DE SEPTIEMBRE DE 2022</w:t>
      </w:r>
    </w:p>
    <w:bookmarkEnd w:id="3"/>
    <w:p w14:paraId="1ECFF023" w14:textId="77777777" w:rsidR="008B2CC1" w:rsidRPr="00F87F5B" w:rsidRDefault="00C92F16" w:rsidP="007B541F">
      <w:pPr>
        <w:spacing w:after="600"/>
        <w:outlineLvl w:val="0"/>
        <w:rPr>
          <w:b/>
          <w:sz w:val="28"/>
          <w:szCs w:val="28"/>
          <w:lang w:val="es-419"/>
        </w:rPr>
      </w:pPr>
      <w:r w:rsidRPr="00F87F5B">
        <w:rPr>
          <w:b/>
          <w:sz w:val="28"/>
          <w:szCs w:val="28"/>
          <w:lang w:val="es-419"/>
        </w:rPr>
        <w:t>Comité de Desarrollo y Propiedad Intelectual (CDIP)</w:t>
      </w:r>
    </w:p>
    <w:p w14:paraId="2A3C3A78" w14:textId="77777777" w:rsidR="007B541F" w:rsidRPr="00F87F5B" w:rsidRDefault="00C92F16" w:rsidP="007B541F">
      <w:pPr>
        <w:spacing w:after="720"/>
        <w:outlineLvl w:val="1"/>
        <w:rPr>
          <w:b/>
          <w:sz w:val="24"/>
          <w:szCs w:val="24"/>
          <w:lang w:val="es-419"/>
        </w:rPr>
      </w:pPr>
      <w:r w:rsidRPr="00F87F5B">
        <w:rPr>
          <w:b/>
          <w:sz w:val="24"/>
          <w:szCs w:val="24"/>
          <w:lang w:val="es-419"/>
        </w:rPr>
        <w:t>Vigesimonovena sesión</w:t>
      </w:r>
      <w:r w:rsidR="007B541F" w:rsidRPr="00F87F5B">
        <w:rPr>
          <w:b/>
          <w:sz w:val="24"/>
          <w:szCs w:val="24"/>
          <w:lang w:val="es-419"/>
        </w:rPr>
        <w:br/>
      </w:r>
      <w:r w:rsidRPr="00F87F5B">
        <w:rPr>
          <w:b/>
          <w:sz w:val="24"/>
          <w:szCs w:val="24"/>
          <w:lang w:val="es-419"/>
        </w:rPr>
        <w:t>Ginebra, 17 a 21 de octubre de 2022</w:t>
      </w:r>
    </w:p>
    <w:p w14:paraId="78158B78" w14:textId="77777777" w:rsidR="00133C06" w:rsidRPr="00F87F5B" w:rsidRDefault="00133C06" w:rsidP="00133C06">
      <w:pPr>
        <w:spacing w:after="360"/>
        <w:rPr>
          <w:caps/>
          <w:sz w:val="24"/>
          <w:lang w:val="es-419"/>
        </w:rPr>
      </w:pPr>
      <w:bookmarkStart w:id="4" w:name="TitleOfDoc"/>
      <w:r w:rsidRPr="00F87F5B">
        <w:rPr>
          <w:rFonts w:eastAsia="Arial"/>
          <w:caps/>
          <w:sz w:val="24"/>
          <w:szCs w:val="24"/>
          <w:lang w:val="es-419"/>
        </w:rPr>
        <w:t xml:space="preserve">Intensificación del uso de la propiedad intelectual para las aplicaciones móviles en el sector del </w:t>
      </w:r>
      <w:r w:rsidRPr="00F87F5B">
        <w:rPr>
          <w:rFonts w:eastAsia="Arial"/>
          <w:i/>
          <w:iCs/>
          <w:caps/>
          <w:sz w:val="24"/>
          <w:szCs w:val="24"/>
          <w:lang w:val="es-419"/>
        </w:rPr>
        <w:t xml:space="preserve">software </w:t>
      </w:r>
      <w:r w:rsidRPr="00F87F5B">
        <w:rPr>
          <w:rFonts w:eastAsia="Arial"/>
          <w:caps/>
          <w:sz w:val="24"/>
          <w:szCs w:val="24"/>
          <w:lang w:val="es-419"/>
        </w:rPr>
        <w:t>– Propuesta de Fase II</w:t>
      </w:r>
    </w:p>
    <w:p w14:paraId="6D947B18" w14:textId="77777777" w:rsidR="00133C06" w:rsidRPr="00F87F5B" w:rsidRDefault="00133C06" w:rsidP="00133C06">
      <w:pPr>
        <w:spacing w:after="960"/>
        <w:rPr>
          <w:i/>
          <w:lang w:val="es-419"/>
        </w:rPr>
      </w:pPr>
      <w:bookmarkStart w:id="5" w:name="Prepared"/>
      <w:bookmarkEnd w:id="4"/>
      <w:r w:rsidRPr="00F87F5B">
        <w:rPr>
          <w:rFonts w:eastAsia="Arial"/>
          <w:i/>
          <w:iCs/>
          <w:szCs w:val="22"/>
          <w:lang w:val="es-419"/>
        </w:rPr>
        <w:t>preparada por la Secretaría</w:t>
      </w:r>
    </w:p>
    <w:bookmarkEnd w:id="5"/>
    <w:p w14:paraId="74433556" w14:textId="4DFB7BCF" w:rsidR="00133C06" w:rsidRPr="00F87F5B" w:rsidRDefault="00133C06" w:rsidP="00133C06">
      <w:pPr>
        <w:autoSpaceDE w:val="0"/>
        <w:autoSpaceDN w:val="0"/>
        <w:adjustRightInd w:val="0"/>
        <w:spacing w:after="240"/>
        <w:rPr>
          <w:rFonts w:eastAsia="Batang"/>
          <w:color w:val="000000"/>
          <w:szCs w:val="22"/>
          <w:lang w:val="es-419" w:eastAsia="ko-KR"/>
        </w:rPr>
      </w:pPr>
      <w:r w:rsidRPr="00F87F5B">
        <w:rPr>
          <w:rFonts w:eastAsia="Batang"/>
          <w:color w:val="000000"/>
          <w:szCs w:val="22"/>
          <w:lang w:val="es-419" w:eastAsia="ko-KR"/>
        </w:rPr>
        <w:fldChar w:fldCharType="begin"/>
      </w:r>
      <w:r w:rsidRPr="00F87F5B">
        <w:rPr>
          <w:rFonts w:eastAsia="Batang"/>
          <w:color w:val="000000"/>
          <w:szCs w:val="22"/>
          <w:lang w:val="es-419" w:eastAsia="ko-KR"/>
        </w:rPr>
        <w:instrText xml:space="preserve"> AUTONUM  </w:instrText>
      </w:r>
      <w:r w:rsidRPr="00F87F5B">
        <w:rPr>
          <w:rFonts w:eastAsia="Batang"/>
          <w:color w:val="000000"/>
          <w:szCs w:val="22"/>
          <w:lang w:val="es-419" w:eastAsia="ko-KR"/>
        </w:rPr>
        <w:fldChar w:fldCharType="end"/>
      </w:r>
      <w:r w:rsidRPr="00F87F5B">
        <w:rPr>
          <w:rFonts w:eastAsia="Arial"/>
          <w:color w:val="000000"/>
          <w:szCs w:val="22"/>
          <w:lang w:val="es-419" w:eastAsia="ko-KR"/>
        </w:rPr>
        <w:tab/>
        <w:t xml:space="preserve">En </w:t>
      </w:r>
      <w:r w:rsidRPr="00F87F5B">
        <w:rPr>
          <w:rFonts w:eastAsia="Arial"/>
          <w:szCs w:val="22"/>
          <w:lang w:val="es-419" w:eastAsia="ko-KR"/>
        </w:rPr>
        <w:t xml:space="preserve">su vigesimoctava sesión, el Comité de Desarrollo y Propiedad Intelectual (CDIP), al examinar el informe de evaluación del proyecto sobre la intensificación del uso de la propiedad intelectual (PI) para las aplicaciones móviles en el sector del </w:t>
      </w:r>
      <w:r w:rsidRPr="00F87F5B">
        <w:rPr>
          <w:rFonts w:eastAsia="Arial"/>
          <w:i/>
          <w:iCs/>
          <w:szCs w:val="22"/>
          <w:lang w:val="es-419" w:eastAsia="ko-KR"/>
        </w:rPr>
        <w:t>software</w:t>
      </w:r>
      <w:r w:rsidRPr="00F87F5B">
        <w:rPr>
          <w:rFonts w:eastAsia="Arial"/>
          <w:szCs w:val="22"/>
          <w:lang w:val="es-419" w:eastAsia="ko-KR"/>
        </w:rPr>
        <w:t>, que figura en el documento CDIP/28/6, pidió, entre otras cosas, “recibir un documento de seguimiento sobre las actividades ulteriores que emprenda la Secretaría en este ámbito” (párrafo 4.3 del resumen de la presidencia de la</w:t>
      </w:r>
      <w:r w:rsidR="00EA1B93" w:rsidRPr="00F87F5B">
        <w:rPr>
          <w:rFonts w:eastAsia="Arial"/>
          <w:szCs w:val="22"/>
          <w:lang w:val="es-419" w:eastAsia="ko-KR"/>
        </w:rPr>
        <w:t xml:space="preserve"> vigesimoctava</w:t>
      </w:r>
      <w:r w:rsidR="00EA1B93" w:rsidRPr="00F87F5B" w:rsidDel="00EA1B93">
        <w:rPr>
          <w:rFonts w:eastAsia="Arial"/>
          <w:szCs w:val="22"/>
          <w:lang w:val="es-419" w:eastAsia="ko-KR"/>
        </w:rPr>
        <w:t xml:space="preserve"> </w:t>
      </w:r>
      <w:r w:rsidRPr="00F87F5B">
        <w:rPr>
          <w:rFonts w:eastAsia="Arial"/>
          <w:szCs w:val="22"/>
          <w:lang w:val="es-419" w:eastAsia="ko-KR"/>
        </w:rPr>
        <w:t>sesión)</w:t>
      </w:r>
      <w:r w:rsidRPr="00F87F5B">
        <w:rPr>
          <w:rFonts w:eastAsia="Arial"/>
          <w:color w:val="000000"/>
          <w:szCs w:val="22"/>
          <w:lang w:val="es-419" w:eastAsia="ko-KR"/>
        </w:rPr>
        <w:t>.</w:t>
      </w:r>
    </w:p>
    <w:p w14:paraId="51621A8E" w14:textId="43C9A5B7" w:rsidR="00133C06" w:rsidRPr="00F87F5B" w:rsidRDefault="00133C06" w:rsidP="00133C06">
      <w:pPr>
        <w:autoSpaceDE w:val="0"/>
        <w:autoSpaceDN w:val="0"/>
        <w:adjustRightInd w:val="0"/>
        <w:spacing w:after="240"/>
        <w:rPr>
          <w:rFonts w:eastAsia="Batang"/>
          <w:color w:val="000000"/>
          <w:szCs w:val="22"/>
          <w:lang w:val="es-419" w:eastAsia="ko-KR"/>
        </w:rPr>
      </w:pPr>
      <w:r w:rsidRPr="00F87F5B">
        <w:rPr>
          <w:rFonts w:eastAsia="Batang"/>
          <w:color w:val="000000"/>
          <w:szCs w:val="22"/>
          <w:lang w:val="es-419" w:eastAsia="ko-KR"/>
        </w:rPr>
        <w:fldChar w:fldCharType="begin"/>
      </w:r>
      <w:r w:rsidRPr="00F87F5B">
        <w:rPr>
          <w:rFonts w:eastAsia="Batang"/>
          <w:color w:val="000000"/>
          <w:szCs w:val="22"/>
          <w:lang w:val="es-419" w:eastAsia="ko-KR"/>
        </w:rPr>
        <w:instrText xml:space="preserve"> AUTONUM  </w:instrText>
      </w:r>
      <w:r w:rsidRPr="00F87F5B">
        <w:rPr>
          <w:rFonts w:eastAsia="Batang"/>
          <w:color w:val="000000"/>
          <w:szCs w:val="22"/>
          <w:lang w:val="es-419" w:eastAsia="ko-KR"/>
        </w:rPr>
        <w:fldChar w:fldCharType="end"/>
      </w:r>
      <w:r w:rsidRPr="00F87F5B">
        <w:rPr>
          <w:rFonts w:eastAsia="Arial"/>
          <w:color w:val="000000"/>
          <w:szCs w:val="22"/>
          <w:lang w:val="es-419" w:eastAsia="ko-KR"/>
        </w:rPr>
        <w:tab/>
        <w:t xml:space="preserve">El Anexo del presente documento contiene una propuesta </w:t>
      </w:r>
      <w:r w:rsidR="002A349D" w:rsidRPr="00F87F5B">
        <w:rPr>
          <w:rFonts w:eastAsia="Arial"/>
          <w:color w:val="000000"/>
          <w:szCs w:val="22"/>
          <w:lang w:val="es-419" w:eastAsia="ko-KR"/>
        </w:rPr>
        <w:t xml:space="preserve">para la </w:t>
      </w:r>
      <w:r w:rsidRPr="00F87F5B">
        <w:rPr>
          <w:rFonts w:eastAsia="Arial"/>
          <w:color w:val="000000"/>
          <w:szCs w:val="22"/>
          <w:lang w:val="es-419" w:eastAsia="ko-KR"/>
        </w:rPr>
        <w:t xml:space="preserve">Fase II del proyecto sobre la intensificación del uso de la PI para las aplicaciones móviles en el sector del </w:t>
      </w:r>
      <w:r w:rsidRPr="00F87F5B">
        <w:rPr>
          <w:rFonts w:eastAsia="Arial"/>
          <w:i/>
          <w:iCs/>
          <w:color w:val="000000"/>
          <w:szCs w:val="22"/>
          <w:lang w:val="es-419" w:eastAsia="ko-KR"/>
        </w:rPr>
        <w:t>software</w:t>
      </w:r>
      <w:r w:rsidRPr="00F87F5B">
        <w:rPr>
          <w:rFonts w:eastAsia="Arial"/>
          <w:color w:val="000000"/>
          <w:szCs w:val="22"/>
          <w:lang w:val="es-419" w:eastAsia="ko-KR"/>
        </w:rPr>
        <w:t>.</w:t>
      </w:r>
    </w:p>
    <w:p w14:paraId="3BA18C3C" w14:textId="77777777" w:rsidR="00133C06" w:rsidRPr="00F87F5B" w:rsidRDefault="00133C06" w:rsidP="00133C06">
      <w:pPr>
        <w:ind w:left="5530"/>
        <w:rPr>
          <w:rFonts w:eastAsia="Times New Roman" w:cs="Times New Roman"/>
          <w:i/>
          <w:iCs/>
          <w:szCs w:val="22"/>
          <w:lang w:val="es-419" w:eastAsia="en-US"/>
        </w:rPr>
      </w:pPr>
      <w:r w:rsidRPr="00F87F5B">
        <w:rPr>
          <w:rFonts w:eastAsia="Times New Roman" w:cs="Times New Roman"/>
          <w:lang w:val="es-419" w:eastAsia="en-US"/>
        </w:rPr>
        <w:fldChar w:fldCharType="begin"/>
      </w:r>
      <w:r w:rsidRPr="00F87F5B">
        <w:rPr>
          <w:rFonts w:eastAsia="Times New Roman" w:cs="Times New Roman"/>
          <w:lang w:val="es-419" w:eastAsia="en-US"/>
        </w:rPr>
        <w:instrText xml:space="preserve"> AUTONUM  </w:instrText>
      </w:r>
      <w:r w:rsidRPr="00F87F5B">
        <w:rPr>
          <w:rFonts w:eastAsia="Times New Roman" w:cs="Times New Roman"/>
          <w:lang w:val="es-419" w:eastAsia="en-US"/>
        </w:rPr>
        <w:fldChar w:fldCharType="end"/>
      </w:r>
      <w:r w:rsidRPr="00F87F5B">
        <w:rPr>
          <w:rFonts w:eastAsia="Arial" w:cs="Times New Roman"/>
          <w:i/>
          <w:iCs/>
          <w:szCs w:val="22"/>
          <w:lang w:val="es-419" w:eastAsia="en-US"/>
        </w:rPr>
        <w:tab/>
        <w:t>Se invita al CDIP a examinar la información contenida en el Anexo del presente documento.</w:t>
      </w:r>
    </w:p>
    <w:p w14:paraId="3F8D9AAF" w14:textId="77777777" w:rsidR="00133C06" w:rsidRPr="00F87F5B" w:rsidRDefault="00133C06" w:rsidP="00133C06">
      <w:pPr>
        <w:ind w:left="4968" w:firstLine="562"/>
        <w:rPr>
          <w:rFonts w:eastAsia="Arial"/>
          <w:szCs w:val="22"/>
          <w:lang w:val="es-419" w:eastAsia="en-US"/>
        </w:rPr>
      </w:pPr>
    </w:p>
    <w:p w14:paraId="367410F4" w14:textId="77777777" w:rsidR="00133C06" w:rsidRPr="00F87F5B" w:rsidRDefault="00133C06" w:rsidP="00133C06">
      <w:pPr>
        <w:ind w:left="4968" w:firstLine="562"/>
        <w:rPr>
          <w:rFonts w:eastAsia="Arial"/>
          <w:szCs w:val="22"/>
          <w:lang w:val="es-419" w:eastAsia="en-US"/>
        </w:rPr>
      </w:pPr>
    </w:p>
    <w:p w14:paraId="1DBB3144" w14:textId="77777777" w:rsidR="00133C06" w:rsidRPr="00F87F5B" w:rsidRDefault="00133C06" w:rsidP="00133C06">
      <w:pPr>
        <w:ind w:left="4968" w:firstLine="562"/>
        <w:rPr>
          <w:rFonts w:eastAsia="Arial"/>
          <w:szCs w:val="22"/>
          <w:lang w:val="es-419" w:eastAsia="en-US"/>
        </w:rPr>
      </w:pPr>
    </w:p>
    <w:p w14:paraId="58185286" w14:textId="315DC244" w:rsidR="00423826" w:rsidRPr="00F87F5B" w:rsidRDefault="00133C06" w:rsidP="00133C06">
      <w:pPr>
        <w:ind w:left="4968" w:firstLine="562"/>
        <w:rPr>
          <w:i/>
          <w:lang w:val="es-419"/>
        </w:rPr>
      </w:pPr>
      <w:r w:rsidRPr="00F87F5B">
        <w:rPr>
          <w:rFonts w:eastAsia="Arial"/>
          <w:szCs w:val="22"/>
          <w:lang w:val="es-419" w:eastAsia="en-US"/>
        </w:rPr>
        <w:t>[Sigue el Anexo</w:t>
      </w:r>
      <w:r w:rsidR="00423826" w:rsidRPr="00F87F5B">
        <w:rPr>
          <w:rFonts w:eastAsia="Arial"/>
          <w:szCs w:val="22"/>
          <w:lang w:val="es-419" w:eastAsia="en-US"/>
        </w:rPr>
        <w:t>]</w:t>
      </w:r>
    </w:p>
    <w:p w14:paraId="3822CA21" w14:textId="77777777" w:rsidR="00423826" w:rsidRPr="00F87F5B" w:rsidRDefault="00423826" w:rsidP="00423826">
      <w:pPr>
        <w:spacing w:after="220"/>
        <w:rPr>
          <w:lang w:val="es-419"/>
        </w:rPr>
      </w:pPr>
    </w:p>
    <w:p w14:paraId="29B11999" w14:textId="77777777" w:rsidR="00423826" w:rsidRPr="00F87F5B" w:rsidRDefault="00423826" w:rsidP="00423826">
      <w:pPr>
        <w:spacing w:after="220"/>
        <w:rPr>
          <w:lang w:val="es-419"/>
        </w:rPr>
      </w:pPr>
    </w:p>
    <w:p w14:paraId="0A2FD29C" w14:textId="77777777" w:rsidR="00423826" w:rsidRPr="00F87F5B" w:rsidRDefault="00423826" w:rsidP="00423826">
      <w:pPr>
        <w:spacing w:after="220"/>
        <w:rPr>
          <w:lang w:val="es-419"/>
        </w:rPr>
      </w:pPr>
    </w:p>
    <w:p w14:paraId="67AF5DD9" w14:textId="77777777" w:rsidR="00423826" w:rsidRPr="00F87F5B" w:rsidRDefault="00423826" w:rsidP="00423826">
      <w:pPr>
        <w:spacing w:after="220"/>
        <w:rPr>
          <w:lang w:val="es-419"/>
        </w:rPr>
        <w:sectPr w:rsidR="00423826" w:rsidRPr="00F87F5B" w:rsidSect="005A1A7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E1606D" w:rsidRPr="00F87F5B" w14:paraId="0005EB66" w14:textId="77777777" w:rsidTr="00EF2254">
        <w:trPr>
          <w:trHeight w:val="253"/>
        </w:trPr>
        <w:tc>
          <w:tcPr>
            <w:tcW w:w="9352" w:type="dxa"/>
            <w:shd w:val="clear" w:color="auto" w:fill="68E089"/>
          </w:tcPr>
          <w:p w14:paraId="5C3F35F5" w14:textId="77777777" w:rsidR="00E1606D" w:rsidRPr="00F87F5B" w:rsidRDefault="00E1606D" w:rsidP="00EF2254">
            <w:pPr>
              <w:pStyle w:val="TableParagraph"/>
              <w:spacing w:line="234" w:lineRule="exact"/>
              <w:ind w:left="103" w:right="87"/>
              <w:jc w:val="center"/>
              <w:rPr>
                <w:b/>
                <w:lang w:val="es-419"/>
              </w:rPr>
            </w:pPr>
            <w:r w:rsidRPr="00F87F5B">
              <w:rPr>
                <w:b/>
                <w:bCs/>
                <w:lang w:val="es-419"/>
              </w:rPr>
              <w:lastRenderedPageBreak/>
              <w:t>1. Código del proyecto</w:t>
            </w:r>
          </w:p>
        </w:tc>
      </w:tr>
      <w:tr w:rsidR="00E1606D" w:rsidRPr="00F87F5B" w14:paraId="5245D42F" w14:textId="77777777" w:rsidTr="00EF2254">
        <w:trPr>
          <w:trHeight w:val="441"/>
        </w:trPr>
        <w:tc>
          <w:tcPr>
            <w:tcW w:w="9352" w:type="dxa"/>
          </w:tcPr>
          <w:p w14:paraId="7E245109" w14:textId="77777777" w:rsidR="00E1606D" w:rsidRPr="00F87F5B" w:rsidRDefault="00E1606D" w:rsidP="00EF2254">
            <w:pPr>
              <w:pStyle w:val="TableParagraph"/>
              <w:spacing w:line="249" w:lineRule="exact"/>
              <w:ind w:left="110"/>
              <w:rPr>
                <w:lang w:val="es-419"/>
              </w:rPr>
            </w:pPr>
            <w:r w:rsidRPr="00F87F5B">
              <w:rPr>
                <w:lang w:val="es-419"/>
              </w:rPr>
              <w:t>DA_4_11_23_24_27_02</w:t>
            </w:r>
          </w:p>
        </w:tc>
      </w:tr>
      <w:tr w:rsidR="00E1606D" w:rsidRPr="00F87F5B" w14:paraId="39D810D1" w14:textId="77777777" w:rsidTr="00EF2254">
        <w:trPr>
          <w:trHeight w:val="251"/>
        </w:trPr>
        <w:tc>
          <w:tcPr>
            <w:tcW w:w="9352" w:type="dxa"/>
            <w:shd w:val="clear" w:color="auto" w:fill="68E089"/>
          </w:tcPr>
          <w:p w14:paraId="5BE9F7E6" w14:textId="77777777" w:rsidR="00E1606D" w:rsidRPr="00F87F5B" w:rsidRDefault="00E1606D" w:rsidP="00EF2254">
            <w:pPr>
              <w:pStyle w:val="TableParagraph"/>
              <w:spacing w:line="232" w:lineRule="exact"/>
              <w:ind w:left="103" w:right="90"/>
              <w:jc w:val="center"/>
              <w:rPr>
                <w:b/>
                <w:lang w:val="es-419"/>
              </w:rPr>
            </w:pPr>
            <w:r w:rsidRPr="00F87F5B">
              <w:rPr>
                <w:b/>
                <w:bCs/>
                <w:lang w:val="es-419"/>
              </w:rPr>
              <w:t>1.2 Título del proyecto</w:t>
            </w:r>
          </w:p>
        </w:tc>
      </w:tr>
      <w:tr w:rsidR="00E1606D" w:rsidRPr="00F87F5B" w14:paraId="643240B9" w14:textId="77777777" w:rsidTr="00EF2254">
        <w:trPr>
          <w:trHeight w:val="699"/>
        </w:trPr>
        <w:tc>
          <w:tcPr>
            <w:tcW w:w="9352" w:type="dxa"/>
          </w:tcPr>
          <w:p w14:paraId="3109E8BC" w14:textId="77777777" w:rsidR="00E1606D" w:rsidRPr="00F87F5B" w:rsidRDefault="00E1606D" w:rsidP="00EF2254">
            <w:pPr>
              <w:pStyle w:val="TableParagraph"/>
              <w:ind w:left="110" w:right="188"/>
              <w:rPr>
                <w:lang w:val="es-419"/>
              </w:rPr>
            </w:pPr>
            <w:r w:rsidRPr="00F87F5B">
              <w:rPr>
                <w:lang w:val="es-419"/>
              </w:rPr>
              <w:t xml:space="preserve">Intensificación del uso de la propiedad intelectual para las aplicaciones móviles en el sector del </w:t>
            </w:r>
            <w:r w:rsidRPr="00F87F5B">
              <w:rPr>
                <w:i/>
                <w:iCs/>
                <w:lang w:val="es-419"/>
              </w:rPr>
              <w:t xml:space="preserve">software </w:t>
            </w:r>
            <w:r w:rsidRPr="00F87F5B">
              <w:rPr>
                <w:lang w:val="es-419"/>
              </w:rPr>
              <w:t>– Fase II</w:t>
            </w:r>
          </w:p>
        </w:tc>
      </w:tr>
      <w:tr w:rsidR="00E1606D" w:rsidRPr="00F87F5B" w14:paraId="04E4B2EE" w14:textId="77777777" w:rsidTr="00EF2254">
        <w:trPr>
          <w:trHeight w:val="252"/>
        </w:trPr>
        <w:tc>
          <w:tcPr>
            <w:tcW w:w="9352" w:type="dxa"/>
            <w:shd w:val="clear" w:color="auto" w:fill="68E089"/>
          </w:tcPr>
          <w:p w14:paraId="76E9DD88" w14:textId="4AF6C107" w:rsidR="00E1606D" w:rsidRPr="00F87F5B" w:rsidRDefault="00E1606D" w:rsidP="00EF2254">
            <w:pPr>
              <w:pStyle w:val="TableParagraph"/>
              <w:spacing w:line="232" w:lineRule="exact"/>
              <w:ind w:left="103" w:right="88"/>
              <w:jc w:val="center"/>
              <w:rPr>
                <w:b/>
                <w:lang w:val="es-419"/>
              </w:rPr>
            </w:pPr>
            <w:r w:rsidRPr="00F87F5B">
              <w:rPr>
                <w:b/>
                <w:bCs/>
                <w:lang w:val="es-419"/>
              </w:rPr>
              <w:t xml:space="preserve">1.3 </w:t>
            </w:r>
            <w:hyperlink r:id="rId14" w:history="1">
              <w:r w:rsidRPr="00F87F5B">
                <w:rPr>
                  <w:b/>
                  <w:bCs/>
                  <w:color w:val="0000FF"/>
                  <w:u w:val="single"/>
                  <w:lang w:val="es-419"/>
                </w:rPr>
                <w:t>Recomendaciones de la AD</w:t>
              </w:r>
            </w:hyperlink>
          </w:p>
        </w:tc>
      </w:tr>
      <w:tr w:rsidR="00E1606D" w:rsidRPr="00F87F5B" w14:paraId="03FA8975" w14:textId="77777777" w:rsidTr="00EF2254">
        <w:trPr>
          <w:trHeight w:val="760"/>
        </w:trPr>
        <w:tc>
          <w:tcPr>
            <w:tcW w:w="9352" w:type="dxa"/>
          </w:tcPr>
          <w:p w14:paraId="54B10623" w14:textId="56CBB90D" w:rsidR="00E1606D" w:rsidRPr="003D1DB2" w:rsidRDefault="00E1606D" w:rsidP="00EF2254">
            <w:pPr>
              <w:pStyle w:val="TableParagraph"/>
              <w:ind w:left="110"/>
              <w:rPr>
                <w:i/>
                <w:lang w:val="es-419"/>
              </w:rPr>
            </w:pPr>
            <w:r w:rsidRPr="003D1DB2">
              <w:rPr>
                <w:i/>
                <w:iCs/>
                <w:lang w:val="es-419"/>
              </w:rPr>
              <w:t xml:space="preserve">Recomendación 4: </w:t>
            </w:r>
            <w:r w:rsidRPr="003D1DB2">
              <w:rPr>
                <w:lang w:val="es-419"/>
              </w:rPr>
              <w:t>Destacar, en particular, las necesidades de las pymes y las instituciones de investigación científica, así como las industrias culturales, y asistir a los Estados miembros, cuando estos lo soliciten, en el establecimiento de estrategias nacionales adecuadas en el campo de la PI.</w:t>
            </w:r>
          </w:p>
          <w:p w14:paraId="264556F7" w14:textId="77777777" w:rsidR="00E1606D" w:rsidRPr="003D1DB2" w:rsidRDefault="00E1606D" w:rsidP="00EF2254">
            <w:pPr>
              <w:pStyle w:val="TableParagraph"/>
              <w:ind w:left="110"/>
              <w:rPr>
                <w:i/>
                <w:lang w:val="es-419"/>
              </w:rPr>
            </w:pPr>
          </w:p>
          <w:p w14:paraId="4D260AEF" w14:textId="6087078E" w:rsidR="00E1606D" w:rsidRPr="003D1DB2" w:rsidRDefault="00E1606D" w:rsidP="00EF2254">
            <w:pPr>
              <w:pStyle w:val="TableParagraph"/>
              <w:ind w:left="110"/>
              <w:rPr>
                <w:lang w:val="es-419"/>
              </w:rPr>
            </w:pPr>
            <w:r w:rsidRPr="003D1DB2">
              <w:rPr>
                <w:i/>
                <w:iCs/>
                <w:lang w:val="es-419"/>
              </w:rPr>
              <w:t xml:space="preserve">Recomendación 11: </w:t>
            </w:r>
            <w:r w:rsidRPr="003D1DB2">
              <w:rPr>
                <w:lang w:val="es-419"/>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p w14:paraId="477E5E6C" w14:textId="77777777" w:rsidR="00E1606D" w:rsidRPr="003D1DB2" w:rsidRDefault="00E1606D" w:rsidP="00EF2254">
            <w:pPr>
              <w:pStyle w:val="TableParagraph"/>
              <w:ind w:left="110"/>
              <w:rPr>
                <w:i/>
                <w:lang w:val="es-419"/>
              </w:rPr>
            </w:pPr>
          </w:p>
          <w:p w14:paraId="55F928C7" w14:textId="3739B8A4" w:rsidR="00E1606D" w:rsidRPr="003D1DB2" w:rsidRDefault="00E1606D" w:rsidP="00EF2254">
            <w:pPr>
              <w:pStyle w:val="TableParagraph"/>
              <w:ind w:left="110"/>
              <w:rPr>
                <w:lang w:val="es-419"/>
              </w:rPr>
            </w:pPr>
            <w:r w:rsidRPr="003D1DB2">
              <w:rPr>
                <w:i/>
                <w:iCs/>
                <w:lang w:val="es-419"/>
              </w:rPr>
              <w:t xml:space="preserve">Recomendación 23: </w:t>
            </w:r>
            <w:r w:rsidRPr="003D1DB2">
              <w:rPr>
                <w:lang w:val="es-419"/>
              </w:rPr>
              <w:t>Estudiar cómo fomentar más adecuadamente las prácticas de concesión de licencias de PI en pro de la competencia, especialmente con miras a impulsar la creatividad, la innovación y la transferencia y la difusión de tecnología en los países interesados, en particular los países en desarrollo y los PMA.</w:t>
            </w:r>
          </w:p>
          <w:p w14:paraId="529E4870" w14:textId="77777777" w:rsidR="00E1606D" w:rsidRPr="003D1DB2" w:rsidRDefault="00E1606D" w:rsidP="00EF2254">
            <w:pPr>
              <w:pStyle w:val="TableParagraph"/>
              <w:ind w:left="110"/>
              <w:rPr>
                <w:i/>
                <w:lang w:val="es-419"/>
              </w:rPr>
            </w:pPr>
          </w:p>
          <w:p w14:paraId="1D4DCAFB" w14:textId="3C6D2E31" w:rsidR="00E1606D" w:rsidRPr="003D1DB2" w:rsidRDefault="00E1606D" w:rsidP="00EF2254">
            <w:pPr>
              <w:pStyle w:val="TableParagraph"/>
              <w:ind w:left="110"/>
              <w:rPr>
                <w:lang w:val="es-419"/>
              </w:rPr>
            </w:pPr>
            <w:r w:rsidRPr="003D1DB2">
              <w:rPr>
                <w:i/>
                <w:iCs/>
                <w:lang w:val="es-419"/>
              </w:rPr>
              <w:t xml:space="preserve">Recomendación 24: </w:t>
            </w:r>
            <w:r w:rsidRPr="003D1DB2">
              <w:rPr>
                <w:lang w:val="es-419"/>
              </w:rPr>
              <w:t>Solicitar a la OMPI que, con arreglo a su mandato, amplíe el alcance de sus actividades destinadas a colmar la brecha digital, de conformidad con los efectos de la Cumbre Mundial sobre la Sociedad de la Información (CMSI), y teniendo en cuenta la importancia del fondo de solidaridad digital.</w:t>
            </w:r>
          </w:p>
          <w:p w14:paraId="4C70ADF0" w14:textId="77777777" w:rsidR="00E1606D" w:rsidRPr="003D1DB2" w:rsidRDefault="00E1606D" w:rsidP="00EF2254">
            <w:pPr>
              <w:pStyle w:val="TableParagraph"/>
              <w:ind w:left="110"/>
              <w:rPr>
                <w:i/>
                <w:lang w:val="es-419"/>
              </w:rPr>
            </w:pPr>
          </w:p>
          <w:p w14:paraId="19CDB737" w14:textId="4C70D2C8" w:rsidR="00E1606D" w:rsidRPr="00F87F5B" w:rsidRDefault="00E1606D" w:rsidP="00EF2254">
            <w:pPr>
              <w:pStyle w:val="TableParagraph"/>
              <w:ind w:left="110"/>
              <w:rPr>
                <w:lang w:val="es-419"/>
              </w:rPr>
            </w:pPr>
            <w:r w:rsidRPr="003D1DB2">
              <w:rPr>
                <w:i/>
                <w:iCs/>
                <w:lang w:val="es-419"/>
              </w:rPr>
              <w:t xml:space="preserve">Recomendación 27: </w:t>
            </w:r>
            <w:r w:rsidRPr="003D1DB2">
              <w:rPr>
                <w:lang w:val="es-419"/>
              </w:rPr>
              <w:t>Determinar los aspectos de las TIC relacionados con la PI que favorecen el crecimiento y el desarrollo: crear un foro, en el marco de un órgano pertinente de la OMPI, para debatir la importancia de los aspectos de las TIC relacionados con la PI y su papel en el desarrollo económico y cultural, haciendo hincapié concretamente en ayudar a los Estados miembros a definir estrategias prácticas relacionadas con la PI para utilizar las TIC en pro del desarrollo económico, social y cultural.</w:t>
            </w:r>
          </w:p>
        </w:tc>
      </w:tr>
      <w:tr w:rsidR="00E1606D" w:rsidRPr="00F87F5B" w14:paraId="4043296D" w14:textId="77777777" w:rsidTr="00EF2254">
        <w:trPr>
          <w:trHeight w:val="251"/>
        </w:trPr>
        <w:tc>
          <w:tcPr>
            <w:tcW w:w="9352" w:type="dxa"/>
            <w:shd w:val="clear" w:color="auto" w:fill="68E089"/>
          </w:tcPr>
          <w:p w14:paraId="3D780421" w14:textId="77777777" w:rsidR="00E1606D" w:rsidRPr="00F87F5B" w:rsidRDefault="00E1606D" w:rsidP="00EF2254">
            <w:pPr>
              <w:pStyle w:val="TableParagraph"/>
              <w:spacing w:line="232" w:lineRule="exact"/>
              <w:ind w:left="103" w:right="88"/>
              <w:jc w:val="center"/>
              <w:rPr>
                <w:b/>
                <w:lang w:val="es-419"/>
              </w:rPr>
            </w:pPr>
            <w:r w:rsidRPr="00F87F5B">
              <w:rPr>
                <w:b/>
                <w:bCs/>
                <w:lang w:val="es-419"/>
              </w:rPr>
              <w:t>1.4 Duración del proyecto</w:t>
            </w:r>
          </w:p>
        </w:tc>
      </w:tr>
      <w:tr w:rsidR="00E1606D" w:rsidRPr="00F87F5B" w14:paraId="52F56E43" w14:textId="77777777" w:rsidTr="00EF2254">
        <w:trPr>
          <w:trHeight w:val="251"/>
        </w:trPr>
        <w:tc>
          <w:tcPr>
            <w:tcW w:w="9352" w:type="dxa"/>
            <w:shd w:val="clear" w:color="auto" w:fill="auto"/>
          </w:tcPr>
          <w:p w14:paraId="6B99005B" w14:textId="77777777" w:rsidR="00E1606D" w:rsidRPr="00F87F5B" w:rsidRDefault="00E1606D" w:rsidP="00EF2254">
            <w:pPr>
              <w:pStyle w:val="TableParagraph"/>
              <w:spacing w:line="232" w:lineRule="exact"/>
              <w:ind w:left="103" w:right="90"/>
              <w:rPr>
                <w:lang w:val="es-419"/>
              </w:rPr>
            </w:pPr>
            <w:r w:rsidRPr="00F87F5B">
              <w:rPr>
                <w:lang w:val="es-419"/>
              </w:rPr>
              <w:t>15 meses</w:t>
            </w:r>
          </w:p>
          <w:p w14:paraId="67AF8104" w14:textId="77777777" w:rsidR="00E1606D" w:rsidRPr="00F87F5B" w:rsidRDefault="00E1606D" w:rsidP="00EF2254">
            <w:pPr>
              <w:pStyle w:val="TableParagraph"/>
              <w:spacing w:line="232" w:lineRule="exact"/>
              <w:ind w:left="103" w:right="90"/>
              <w:rPr>
                <w:b/>
                <w:lang w:val="es-419"/>
              </w:rPr>
            </w:pPr>
          </w:p>
        </w:tc>
      </w:tr>
      <w:tr w:rsidR="00E1606D" w:rsidRPr="00F87F5B" w14:paraId="41B26B07" w14:textId="77777777" w:rsidTr="00EF2254">
        <w:trPr>
          <w:trHeight w:val="251"/>
        </w:trPr>
        <w:tc>
          <w:tcPr>
            <w:tcW w:w="9352" w:type="dxa"/>
            <w:shd w:val="clear" w:color="auto" w:fill="68E089"/>
          </w:tcPr>
          <w:p w14:paraId="2C93EB30" w14:textId="77777777" w:rsidR="00E1606D" w:rsidRPr="00F87F5B" w:rsidRDefault="00E1606D" w:rsidP="00EF2254">
            <w:pPr>
              <w:pStyle w:val="TableParagraph"/>
              <w:spacing w:line="232" w:lineRule="exact"/>
              <w:ind w:left="103" w:right="90"/>
              <w:jc w:val="center"/>
              <w:rPr>
                <w:b/>
                <w:lang w:val="es-419"/>
              </w:rPr>
            </w:pPr>
            <w:r w:rsidRPr="00F87F5B">
              <w:rPr>
                <w:b/>
                <w:bCs/>
                <w:lang w:val="es-419"/>
              </w:rPr>
              <w:t>1.5 Presupuesto del proyecto</w:t>
            </w:r>
          </w:p>
        </w:tc>
      </w:tr>
      <w:tr w:rsidR="00E1606D" w:rsidRPr="00F87F5B" w14:paraId="0F30E918" w14:textId="77777777" w:rsidTr="00EF2254">
        <w:trPr>
          <w:trHeight w:val="251"/>
        </w:trPr>
        <w:tc>
          <w:tcPr>
            <w:tcW w:w="9352" w:type="dxa"/>
            <w:shd w:val="clear" w:color="auto" w:fill="auto"/>
          </w:tcPr>
          <w:p w14:paraId="74C0B62B" w14:textId="3B64C811" w:rsidR="00E1606D" w:rsidRPr="00F87F5B" w:rsidRDefault="00E1606D" w:rsidP="00EF2254">
            <w:pPr>
              <w:pStyle w:val="TableParagraph"/>
              <w:spacing w:line="232" w:lineRule="exact"/>
              <w:ind w:left="103" w:right="90"/>
              <w:rPr>
                <w:bCs/>
                <w:lang w:val="es-419"/>
              </w:rPr>
            </w:pPr>
            <w:r w:rsidRPr="00F87F5B">
              <w:rPr>
                <w:bCs/>
                <w:lang w:val="es-419"/>
              </w:rPr>
              <w:t>Gastos no relativos al personal:</w:t>
            </w:r>
            <w:r w:rsidR="004A650F" w:rsidRPr="00F87F5B">
              <w:rPr>
                <w:bCs/>
                <w:lang w:val="es-419"/>
              </w:rPr>
              <w:t> </w:t>
            </w:r>
            <w:r w:rsidRPr="00F87F5B">
              <w:rPr>
                <w:bCs/>
                <w:lang w:val="es-419"/>
              </w:rPr>
              <w:t>361.000 francos suizos</w:t>
            </w:r>
          </w:p>
          <w:p w14:paraId="20198C87" w14:textId="77777777" w:rsidR="00E1606D" w:rsidRPr="00F87F5B" w:rsidRDefault="00E1606D" w:rsidP="00EF2254">
            <w:pPr>
              <w:pStyle w:val="TableParagraph"/>
              <w:spacing w:line="232" w:lineRule="exact"/>
              <w:ind w:left="103" w:right="90"/>
              <w:rPr>
                <w:bCs/>
                <w:lang w:val="es-419"/>
              </w:rPr>
            </w:pPr>
          </w:p>
        </w:tc>
      </w:tr>
      <w:tr w:rsidR="00E1606D" w:rsidRPr="00F87F5B" w14:paraId="3B1B83B1" w14:textId="77777777" w:rsidTr="00EF2254">
        <w:trPr>
          <w:trHeight w:val="251"/>
        </w:trPr>
        <w:tc>
          <w:tcPr>
            <w:tcW w:w="9352" w:type="dxa"/>
            <w:shd w:val="clear" w:color="auto" w:fill="68E089"/>
          </w:tcPr>
          <w:p w14:paraId="626AED39" w14:textId="77777777" w:rsidR="00E1606D" w:rsidRPr="00F87F5B" w:rsidRDefault="00E1606D" w:rsidP="00EF2254">
            <w:pPr>
              <w:pStyle w:val="TableParagraph"/>
              <w:spacing w:line="232" w:lineRule="exact"/>
              <w:ind w:left="103" w:right="90"/>
              <w:jc w:val="center"/>
              <w:rPr>
                <w:b/>
                <w:lang w:val="es-419"/>
              </w:rPr>
            </w:pPr>
            <w:r w:rsidRPr="00F87F5B">
              <w:rPr>
                <w:b/>
                <w:bCs/>
                <w:lang w:val="es-419"/>
              </w:rPr>
              <w:t>2. Descripción del proyecto</w:t>
            </w:r>
          </w:p>
        </w:tc>
      </w:tr>
      <w:tr w:rsidR="00E1606D" w:rsidRPr="00F87F5B" w14:paraId="7F385449" w14:textId="77777777" w:rsidTr="00EF2254">
        <w:trPr>
          <w:trHeight w:val="1172"/>
        </w:trPr>
        <w:tc>
          <w:tcPr>
            <w:tcW w:w="9352" w:type="dxa"/>
          </w:tcPr>
          <w:p w14:paraId="2997EAEE" w14:textId="775803C1" w:rsidR="00E1606D" w:rsidRPr="00F87F5B" w:rsidRDefault="00E1606D" w:rsidP="00EF2254">
            <w:pPr>
              <w:pStyle w:val="TableParagraph"/>
              <w:ind w:left="110" w:right="493"/>
              <w:rPr>
                <w:lang w:val="es-419"/>
              </w:rPr>
            </w:pPr>
            <w:r w:rsidRPr="00F87F5B">
              <w:rPr>
                <w:lang w:val="es-419"/>
              </w:rPr>
              <w:t xml:space="preserve">El proyecto relativo a la intensificación del </w:t>
            </w:r>
            <w:hyperlink r:id="rId15" w:history="1">
              <w:r w:rsidRPr="00F87F5B">
                <w:rPr>
                  <w:color w:val="0000FF"/>
                  <w:u w:val="single"/>
                  <w:lang w:val="es-419"/>
                </w:rPr>
                <w:t xml:space="preserve">uso de la PI para las aplicaciones móviles en el sector del </w:t>
              </w:r>
              <w:r w:rsidRPr="00F87F5B">
                <w:rPr>
                  <w:i/>
                  <w:iCs/>
                  <w:color w:val="0000FF"/>
                  <w:u w:val="single"/>
                  <w:lang w:val="es-419"/>
                </w:rPr>
                <w:t>software</w:t>
              </w:r>
            </w:hyperlink>
            <w:r w:rsidRPr="00F87F5B">
              <w:rPr>
                <w:lang w:val="es-419"/>
              </w:rPr>
              <w:t xml:space="preserve"> es fruto de una propuesta presentada por Kenya y fue aprobado por el CDIP en su</w:t>
            </w:r>
            <w:r w:rsidR="00EA1B93" w:rsidRPr="00F87F5B">
              <w:rPr>
                <w:lang w:val="es-419"/>
              </w:rPr>
              <w:t xml:space="preserve"> vigesimosegunda </w:t>
            </w:r>
            <w:r w:rsidRPr="00F87F5B">
              <w:rPr>
                <w:lang w:val="es-419"/>
              </w:rPr>
              <w:t>sesión, celebrada en 2018.</w:t>
            </w:r>
          </w:p>
          <w:p w14:paraId="441C66D5" w14:textId="77777777" w:rsidR="00E1606D" w:rsidRPr="00F87F5B" w:rsidRDefault="00E1606D" w:rsidP="00EF2254">
            <w:pPr>
              <w:pStyle w:val="TableParagraph"/>
              <w:ind w:left="110" w:right="493"/>
              <w:rPr>
                <w:lang w:val="es-419"/>
              </w:rPr>
            </w:pPr>
          </w:p>
          <w:p w14:paraId="10A1BFF7" w14:textId="2F4DA1E8" w:rsidR="00E1606D" w:rsidRPr="00F87F5B" w:rsidRDefault="00E1606D" w:rsidP="00EF2254">
            <w:pPr>
              <w:pStyle w:val="TableParagraph"/>
              <w:ind w:left="110" w:right="493"/>
              <w:rPr>
                <w:lang w:val="es-419"/>
              </w:rPr>
            </w:pPr>
            <w:r w:rsidRPr="00F87F5B">
              <w:rPr>
                <w:lang w:val="es-419"/>
              </w:rPr>
              <w:t xml:space="preserve">El proyecto se concibió con el objetivo general de contribuir al desarrollo económico de los países beneficiarios mediante la intensificación del uso de la PI en el sector del </w:t>
            </w:r>
            <w:r w:rsidRPr="00F87F5B">
              <w:rPr>
                <w:i/>
                <w:iCs/>
                <w:lang w:val="es-419"/>
              </w:rPr>
              <w:t>software</w:t>
            </w:r>
            <w:r w:rsidRPr="00F87F5B">
              <w:rPr>
                <w:lang w:val="es-419"/>
              </w:rPr>
              <w:t xml:space="preserve">, </w:t>
            </w:r>
            <w:r w:rsidR="00713E48" w:rsidRPr="00F87F5B">
              <w:rPr>
                <w:lang w:val="es-419"/>
              </w:rPr>
              <w:t>incluida la puesta a disposición</w:t>
            </w:r>
            <w:r w:rsidRPr="00F87F5B">
              <w:rPr>
                <w:lang w:val="es-419"/>
              </w:rPr>
              <w:t xml:space="preserve"> de herramientas que también puedan utilizarse en otros países.</w:t>
            </w:r>
          </w:p>
          <w:p w14:paraId="284E1E41" w14:textId="77777777" w:rsidR="00E1606D" w:rsidRPr="00F87F5B" w:rsidRDefault="00E1606D" w:rsidP="00EF2254">
            <w:pPr>
              <w:pStyle w:val="TableParagraph"/>
              <w:ind w:left="110" w:right="493"/>
              <w:rPr>
                <w:lang w:val="es-419"/>
              </w:rPr>
            </w:pPr>
          </w:p>
          <w:p w14:paraId="57EB6DF1" w14:textId="77777777" w:rsidR="00E1606D" w:rsidRPr="00F87F5B" w:rsidRDefault="00E1606D" w:rsidP="00EF2254">
            <w:pPr>
              <w:pStyle w:val="TableParagraph"/>
              <w:ind w:left="110" w:right="493"/>
              <w:rPr>
                <w:lang w:val="es-419"/>
              </w:rPr>
            </w:pPr>
            <w:r w:rsidRPr="00F87F5B">
              <w:rPr>
                <w:lang w:val="es-419"/>
              </w:rPr>
              <w:t>Más concretamente, el proyecto se proponía:</w:t>
            </w:r>
          </w:p>
          <w:p w14:paraId="7DE59794" w14:textId="77777777" w:rsidR="00E1606D" w:rsidRPr="00F87F5B" w:rsidRDefault="00E1606D" w:rsidP="00EF2254">
            <w:pPr>
              <w:pStyle w:val="TableParagraph"/>
              <w:ind w:left="110" w:right="493"/>
              <w:rPr>
                <w:lang w:val="es-419"/>
              </w:rPr>
            </w:pPr>
          </w:p>
          <w:p w14:paraId="6BF51195" w14:textId="1DC945CC" w:rsidR="00E1606D" w:rsidRPr="003D1DB2" w:rsidRDefault="00E1606D" w:rsidP="00EF2254">
            <w:pPr>
              <w:pStyle w:val="TableParagraph"/>
              <w:ind w:left="567" w:right="493"/>
              <w:rPr>
                <w:lang w:val="es-419"/>
              </w:rPr>
            </w:pPr>
            <w:r w:rsidRPr="003D1DB2">
              <w:rPr>
                <w:lang w:val="es-419"/>
              </w:rPr>
              <w:t xml:space="preserve">i) </w:t>
            </w:r>
            <w:r w:rsidR="00713E48" w:rsidRPr="003D1DB2">
              <w:rPr>
                <w:lang w:val="es-419"/>
              </w:rPr>
              <w:t>potenciar la intensificación del uso de la PI en apoyo de las aplicaciones móviles mediante la formación de investigadores, creadores y emprendedores en relación con la gama de herramientas de PI disponibles y la manera de utilizar esas herramientas para respaldar actividades conexas</w:t>
            </w:r>
            <w:r w:rsidRPr="003D1DB2">
              <w:rPr>
                <w:lang w:val="es-419"/>
              </w:rPr>
              <w:t xml:space="preserve">; </w:t>
            </w:r>
          </w:p>
          <w:p w14:paraId="33B0750B" w14:textId="77777777" w:rsidR="00E1606D" w:rsidRPr="003D1DB2" w:rsidRDefault="00E1606D" w:rsidP="00EF2254">
            <w:pPr>
              <w:pStyle w:val="TableParagraph"/>
              <w:ind w:left="567" w:right="493"/>
              <w:rPr>
                <w:lang w:val="es-419"/>
              </w:rPr>
            </w:pPr>
          </w:p>
          <w:p w14:paraId="138700D7" w14:textId="4C96D3C7" w:rsidR="00E1606D" w:rsidRPr="003D1DB2" w:rsidRDefault="00E1606D" w:rsidP="00EF2254">
            <w:pPr>
              <w:pStyle w:val="TableParagraph"/>
              <w:ind w:left="567" w:right="493"/>
              <w:rPr>
                <w:lang w:val="es-419"/>
              </w:rPr>
            </w:pPr>
            <w:r w:rsidRPr="003D1DB2">
              <w:rPr>
                <w:lang w:val="es-419"/>
              </w:rPr>
              <w:t xml:space="preserve">ii) </w:t>
            </w:r>
            <w:r w:rsidR="00713E48" w:rsidRPr="003D1DB2">
              <w:rPr>
                <w:lang w:val="es-419"/>
              </w:rPr>
              <w:t>sensibilizar a los empresarios, las instituciones financieras, los agentes de capital de riesgo y otros inversores sobre la utilización de la PI como un activo y un instrumento de colaboración, incidiendo en el intercambio de conocimientos y experiencias</w:t>
            </w:r>
            <w:r w:rsidRPr="003D1DB2">
              <w:rPr>
                <w:lang w:val="es-419"/>
              </w:rPr>
              <w:t xml:space="preserve">; y </w:t>
            </w:r>
          </w:p>
          <w:p w14:paraId="3D37E36A" w14:textId="77777777" w:rsidR="00E1606D" w:rsidRPr="003D1DB2" w:rsidRDefault="00E1606D" w:rsidP="00EF2254">
            <w:pPr>
              <w:pStyle w:val="TableParagraph"/>
              <w:ind w:left="567" w:right="493"/>
              <w:rPr>
                <w:lang w:val="es-419"/>
              </w:rPr>
            </w:pPr>
          </w:p>
          <w:p w14:paraId="241C32E6" w14:textId="4791E5A6" w:rsidR="00E1606D" w:rsidRPr="003D1DB2" w:rsidRDefault="00E1606D" w:rsidP="00EF2254">
            <w:pPr>
              <w:pStyle w:val="TableParagraph"/>
              <w:ind w:left="567" w:right="493"/>
              <w:rPr>
                <w:lang w:val="es-419"/>
              </w:rPr>
            </w:pPr>
            <w:r w:rsidRPr="003D1DB2">
              <w:rPr>
                <w:lang w:val="es-419"/>
              </w:rPr>
              <w:t xml:space="preserve">iii) </w:t>
            </w:r>
            <w:r w:rsidR="00713E48" w:rsidRPr="003D1DB2">
              <w:rPr>
                <w:lang w:val="es-419"/>
              </w:rPr>
              <w:t xml:space="preserve">fomentar el respeto por la PI en el sector del </w:t>
            </w:r>
            <w:r w:rsidR="00713E48" w:rsidRPr="003D1DB2">
              <w:rPr>
                <w:i/>
                <w:iCs/>
                <w:lang w:val="es-419"/>
              </w:rPr>
              <w:t>software</w:t>
            </w:r>
            <w:r w:rsidR="00713E48" w:rsidRPr="003D1DB2">
              <w:rPr>
                <w:lang w:val="es-419"/>
              </w:rPr>
              <w:t xml:space="preserve"> ofreciendo formación a investigadores, creadores y empresarios sobre herramientas y procedimientos destinados a proteger eficazmente los derechos de PI en las aplicaciones móviles, incluidos la mediación y el arbitraje</w:t>
            </w:r>
            <w:r w:rsidRPr="003D1DB2">
              <w:rPr>
                <w:lang w:val="es-419"/>
              </w:rPr>
              <w:t>.</w:t>
            </w:r>
          </w:p>
          <w:p w14:paraId="68D96FC7" w14:textId="77777777" w:rsidR="00E1606D" w:rsidRPr="00F87F5B" w:rsidRDefault="00E1606D" w:rsidP="00EF2254">
            <w:pPr>
              <w:pStyle w:val="TableParagraph"/>
              <w:ind w:left="110" w:right="493"/>
              <w:rPr>
                <w:lang w:val="es-419"/>
              </w:rPr>
            </w:pPr>
          </w:p>
          <w:p w14:paraId="78A21768" w14:textId="3EB9382E" w:rsidR="00E1606D" w:rsidRPr="00F87F5B" w:rsidRDefault="00E1606D" w:rsidP="00EF2254">
            <w:pPr>
              <w:pStyle w:val="TableParagraph"/>
              <w:ind w:left="110" w:right="493"/>
              <w:rPr>
                <w:lang w:val="es-419"/>
              </w:rPr>
            </w:pPr>
            <w:r w:rsidRPr="00F87F5B">
              <w:rPr>
                <w:lang w:val="es-419"/>
              </w:rPr>
              <w:t xml:space="preserve">La primera fase del proyecto se ejecutó en Kenya, Filipinas y Trinidad y Tabago. </w:t>
            </w:r>
            <w:r w:rsidR="00343345" w:rsidRPr="00F87F5B">
              <w:rPr>
                <w:lang w:val="es-419"/>
              </w:rPr>
              <w:t xml:space="preserve">Esta fase se </w:t>
            </w:r>
            <w:r w:rsidR="00225C6E" w:rsidRPr="00F87F5B">
              <w:rPr>
                <w:lang w:val="es-419"/>
              </w:rPr>
              <w:t>llevó a cabo</w:t>
            </w:r>
            <w:r w:rsidRPr="00F87F5B">
              <w:rPr>
                <w:lang w:val="es-419"/>
              </w:rPr>
              <w:t xml:space="preserve"> entre enero de 2019 y diciembre de 2021.</w:t>
            </w:r>
          </w:p>
          <w:p w14:paraId="7D68E31E" w14:textId="77777777" w:rsidR="00E1606D" w:rsidRPr="00F87F5B" w:rsidRDefault="00E1606D" w:rsidP="00EF2254">
            <w:pPr>
              <w:pStyle w:val="TableParagraph"/>
              <w:ind w:left="110" w:right="493"/>
              <w:rPr>
                <w:lang w:val="es-419"/>
              </w:rPr>
            </w:pPr>
          </w:p>
          <w:p w14:paraId="3BDDFD4B" w14:textId="26A2B463" w:rsidR="00E1606D" w:rsidRPr="00F87F5B" w:rsidRDefault="00E1606D" w:rsidP="00EF2254">
            <w:pPr>
              <w:pStyle w:val="TableParagraph"/>
              <w:ind w:left="110"/>
              <w:rPr>
                <w:lang w:val="es-419"/>
              </w:rPr>
            </w:pPr>
            <w:r w:rsidRPr="00F87F5B">
              <w:rPr>
                <w:lang w:val="es-419"/>
              </w:rPr>
              <w:t xml:space="preserve">En el contexto de los debates </w:t>
            </w:r>
            <w:r w:rsidR="00225C6E" w:rsidRPr="00F87F5B">
              <w:rPr>
                <w:lang w:val="es-419"/>
              </w:rPr>
              <w:t>que se mantuvieron en la</w:t>
            </w:r>
            <w:r w:rsidR="00EA1B93" w:rsidRPr="00F87F5B">
              <w:rPr>
                <w:lang w:val="es-419"/>
              </w:rPr>
              <w:t xml:space="preserve"> </w:t>
            </w:r>
            <w:r w:rsidR="00EA1B93" w:rsidRPr="00F87F5B">
              <w:rPr>
                <w:lang w:val="es-419" w:eastAsia="ko-KR"/>
              </w:rPr>
              <w:t>vigesimoctava</w:t>
            </w:r>
            <w:r w:rsidR="00225C6E" w:rsidRPr="00F87F5B">
              <w:rPr>
                <w:lang w:val="es-419"/>
              </w:rPr>
              <w:t xml:space="preserve"> sesión del CDIP </w:t>
            </w:r>
            <w:r w:rsidRPr="00F87F5B">
              <w:rPr>
                <w:lang w:val="es-419"/>
              </w:rPr>
              <w:t xml:space="preserve">en torno a los informes de finalización (documento CDIP/28/7) y de evaluación (documento CDIP/28/6), se </w:t>
            </w:r>
            <w:r w:rsidR="00225C6E" w:rsidRPr="00F87F5B">
              <w:rPr>
                <w:lang w:val="es-419"/>
              </w:rPr>
              <w:t xml:space="preserve">señaló el especial hincapié </w:t>
            </w:r>
            <w:r w:rsidR="00EA1B93" w:rsidRPr="00F87F5B">
              <w:rPr>
                <w:lang w:val="es-419"/>
              </w:rPr>
              <w:t xml:space="preserve">que hizo el </w:t>
            </w:r>
            <w:r w:rsidRPr="00F87F5B">
              <w:rPr>
                <w:lang w:val="es-419"/>
              </w:rPr>
              <w:t xml:space="preserve">proyecto </w:t>
            </w:r>
            <w:r w:rsidR="00225C6E" w:rsidRPr="00F87F5B">
              <w:rPr>
                <w:lang w:val="es-419"/>
              </w:rPr>
              <w:t>sobre</w:t>
            </w:r>
            <w:r w:rsidRPr="00F87F5B">
              <w:rPr>
                <w:lang w:val="es-419"/>
              </w:rPr>
              <w:t xml:space="preserve"> las aplicaciones móviles como </w:t>
            </w:r>
            <w:r w:rsidR="003D1DB2">
              <w:rPr>
                <w:lang w:val="es-419"/>
              </w:rPr>
              <w:t xml:space="preserve">ámbito </w:t>
            </w:r>
            <w:r w:rsidR="008C4D79">
              <w:rPr>
                <w:lang w:val="es-419"/>
              </w:rPr>
              <w:t xml:space="preserve">independiente de los </w:t>
            </w:r>
            <w:r w:rsidRPr="00F87F5B">
              <w:rPr>
                <w:lang w:val="es-419"/>
              </w:rPr>
              <w:t>sector</w:t>
            </w:r>
            <w:r w:rsidR="008C4D79">
              <w:rPr>
                <w:lang w:val="es-419"/>
              </w:rPr>
              <w:t>es</w:t>
            </w:r>
            <w:r w:rsidRPr="00F87F5B">
              <w:rPr>
                <w:lang w:val="es-419"/>
              </w:rPr>
              <w:t xml:space="preserve">. </w:t>
            </w:r>
            <w:r w:rsidR="00225C6E" w:rsidRPr="00F87F5B">
              <w:rPr>
                <w:lang w:val="es-419"/>
              </w:rPr>
              <w:t>Empero</w:t>
            </w:r>
            <w:r w:rsidRPr="00F87F5B">
              <w:rPr>
                <w:lang w:val="es-419"/>
              </w:rPr>
              <w:t>, estas aplicaciones revestir</w:t>
            </w:r>
            <w:r w:rsidR="00EA1B93" w:rsidRPr="00F87F5B">
              <w:rPr>
                <w:lang w:val="es-419"/>
              </w:rPr>
              <w:t xml:space="preserve">án </w:t>
            </w:r>
            <w:r w:rsidR="00204918" w:rsidRPr="00F87F5B">
              <w:rPr>
                <w:lang w:val="es-419"/>
              </w:rPr>
              <w:t xml:space="preserve">cada vez </w:t>
            </w:r>
            <w:r w:rsidRPr="00F87F5B">
              <w:rPr>
                <w:lang w:val="es-419"/>
              </w:rPr>
              <w:t xml:space="preserve">mayor importancia en contextos particulares </w:t>
            </w:r>
            <w:r w:rsidR="00204918" w:rsidRPr="00F87F5B">
              <w:rPr>
                <w:lang w:val="es-419"/>
              </w:rPr>
              <w:t xml:space="preserve">en los que </w:t>
            </w:r>
            <w:r w:rsidRPr="00F87F5B">
              <w:rPr>
                <w:lang w:val="es-419"/>
              </w:rPr>
              <w:t xml:space="preserve">añaden valor, refuerzan la utilización de la PI e impulsan el rendimiento del mercado en </w:t>
            </w:r>
            <w:r w:rsidR="003D1DB2">
              <w:rPr>
                <w:lang w:val="es-419"/>
              </w:rPr>
              <w:t>sectores específico</w:t>
            </w:r>
            <w:r w:rsidRPr="00F87F5B">
              <w:rPr>
                <w:lang w:val="es-419"/>
              </w:rPr>
              <w:t>s.</w:t>
            </w:r>
            <w:r w:rsidR="00234B29" w:rsidRPr="00F87F5B">
              <w:rPr>
                <w:lang w:val="es-419"/>
              </w:rPr>
              <w:t xml:space="preserve"> </w:t>
            </w:r>
            <w:r w:rsidRPr="00F87F5B">
              <w:rPr>
                <w:lang w:val="es-419"/>
              </w:rPr>
              <w:t xml:space="preserve">Conforme a lo expuesto en la recomendación 47.b) del informe de evaluación, la adopción de un enfoque vertical de las aplicaciones en el contexto de la industria podría ser un complemento </w:t>
            </w:r>
            <w:r w:rsidR="00204918" w:rsidRPr="00F87F5B">
              <w:rPr>
                <w:lang w:val="es-419"/>
              </w:rPr>
              <w:t xml:space="preserve">fundamental </w:t>
            </w:r>
            <w:r w:rsidRPr="00F87F5B">
              <w:rPr>
                <w:lang w:val="es-419"/>
              </w:rPr>
              <w:t>al enfoque horizontal aplicado a lo largo del proyecto, y contribuiría a la sostenibilidad de los resultados iniciales del proyecto.</w:t>
            </w:r>
            <w:r w:rsidR="00EA1B93" w:rsidRPr="00F87F5B">
              <w:rPr>
                <w:lang w:val="es-419"/>
              </w:rPr>
              <w:t xml:space="preserve"> </w:t>
            </w:r>
          </w:p>
          <w:p w14:paraId="4E4B08C7" w14:textId="77777777" w:rsidR="00E1606D" w:rsidRPr="00F87F5B" w:rsidRDefault="00E1606D" w:rsidP="00EF2254">
            <w:pPr>
              <w:pStyle w:val="TableParagraph"/>
              <w:ind w:left="110"/>
              <w:rPr>
                <w:lang w:val="es-419"/>
              </w:rPr>
            </w:pPr>
          </w:p>
          <w:p w14:paraId="2F9C8EAA" w14:textId="0AC98C92" w:rsidR="00E1606D" w:rsidRPr="00F87F5B" w:rsidRDefault="00E1606D" w:rsidP="00EF2254">
            <w:pPr>
              <w:pStyle w:val="TableParagraph"/>
              <w:ind w:left="110"/>
              <w:rPr>
                <w:lang w:val="es-419"/>
              </w:rPr>
            </w:pPr>
            <w:r w:rsidRPr="00F87F5B">
              <w:rPr>
                <w:lang w:val="es-419"/>
              </w:rPr>
              <w:t>Habida cuenta de que los informes mencionados han recibido una valoración favorable, el Comité decidió integrar los resultados del proyecto en la labor de la OMPI y pidió “recibir un documento de seguimiento sobre las actividades ulteriores que emprenda la Secretaría en este ámbito”</w:t>
            </w:r>
            <w:r w:rsidRPr="00F87F5B">
              <w:rPr>
                <w:rStyle w:val="FootnoteReference"/>
                <w:lang w:val="es-419"/>
              </w:rPr>
              <w:footnoteReference w:id="2"/>
            </w:r>
            <w:r w:rsidRPr="00F87F5B">
              <w:rPr>
                <w:color w:val="000000"/>
                <w:lang w:val="es-419"/>
              </w:rPr>
              <w:t>.</w:t>
            </w:r>
          </w:p>
          <w:p w14:paraId="2419D777" w14:textId="77777777" w:rsidR="00E1606D" w:rsidRPr="00F87F5B" w:rsidRDefault="00E1606D" w:rsidP="00EF2254">
            <w:pPr>
              <w:pStyle w:val="TableParagraph"/>
              <w:ind w:left="110"/>
              <w:rPr>
                <w:lang w:val="es-419"/>
              </w:rPr>
            </w:pPr>
          </w:p>
          <w:p w14:paraId="0E6BC38E" w14:textId="13E3E700" w:rsidR="00E1606D" w:rsidRPr="00F87F5B" w:rsidRDefault="00E1606D" w:rsidP="00EF2254">
            <w:pPr>
              <w:pStyle w:val="TableParagraph"/>
              <w:ind w:left="110" w:right="493"/>
              <w:rPr>
                <w:lang w:val="es-419"/>
              </w:rPr>
            </w:pPr>
            <w:r w:rsidRPr="00F87F5B">
              <w:rPr>
                <w:lang w:val="es-419"/>
              </w:rPr>
              <w:t>Por ende, la segunda fase del proyecto se centrará en garantizar la sostenibilidad a largo plazo de los productos del proyecto, al incluirlos como material</w:t>
            </w:r>
            <w:r w:rsidR="00234B29" w:rsidRPr="00F87F5B">
              <w:rPr>
                <w:lang w:val="es-419"/>
              </w:rPr>
              <w:t>es</w:t>
            </w:r>
            <w:r w:rsidRPr="00F87F5B">
              <w:rPr>
                <w:lang w:val="es-419"/>
              </w:rPr>
              <w:t xml:space="preserve"> de un completo curso que brindará la posibilidad de </w:t>
            </w:r>
            <w:r w:rsidR="00EA1B93" w:rsidRPr="00F87F5B">
              <w:rPr>
                <w:lang w:val="es-419"/>
              </w:rPr>
              <w:t>una formación continua autodidacta</w:t>
            </w:r>
            <w:r w:rsidRPr="00F87F5B">
              <w:rPr>
                <w:lang w:val="es-419"/>
              </w:rPr>
              <w:t xml:space="preserve"> en el futuro y</w:t>
            </w:r>
            <w:r w:rsidR="00234B29" w:rsidRPr="00F87F5B">
              <w:rPr>
                <w:lang w:val="es-419"/>
              </w:rPr>
              <w:t>, por otra parte,</w:t>
            </w:r>
            <w:r w:rsidRPr="00F87F5B">
              <w:rPr>
                <w:lang w:val="es-419"/>
              </w:rPr>
              <w:t xml:space="preserve"> facilitará</w:t>
            </w:r>
            <w:r w:rsidR="00234B29" w:rsidRPr="00F87F5B">
              <w:rPr>
                <w:lang w:val="es-419"/>
              </w:rPr>
              <w:t xml:space="preserve"> </w:t>
            </w:r>
            <w:r w:rsidRPr="00F87F5B">
              <w:rPr>
                <w:lang w:val="es-419"/>
              </w:rPr>
              <w:t xml:space="preserve">obras de referencia y lecturas </w:t>
            </w:r>
            <w:r w:rsidR="00AB246C" w:rsidRPr="00F87F5B">
              <w:rPr>
                <w:lang w:val="es-419"/>
              </w:rPr>
              <w:t>para profundizar sobre ese tema</w:t>
            </w:r>
            <w:r w:rsidRPr="00F87F5B">
              <w:rPr>
                <w:lang w:val="es-419"/>
              </w:rPr>
              <w:t>.</w:t>
            </w:r>
          </w:p>
          <w:p w14:paraId="5739D176" w14:textId="77777777" w:rsidR="00E1606D" w:rsidRPr="00F87F5B" w:rsidRDefault="00E1606D" w:rsidP="00EF2254">
            <w:pPr>
              <w:pStyle w:val="TableParagraph"/>
              <w:ind w:left="110"/>
              <w:rPr>
                <w:lang w:val="es-419"/>
              </w:rPr>
            </w:pPr>
          </w:p>
          <w:p w14:paraId="60258284" w14:textId="7B894A7D" w:rsidR="00E1606D" w:rsidRPr="00F87F5B" w:rsidRDefault="00E1606D" w:rsidP="00EF2254">
            <w:pPr>
              <w:pStyle w:val="TableParagraph"/>
              <w:ind w:left="110"/>
              <w:rPr>
                <w:lang w:val="es-419"/>
              </w:rPr>
            </w:pPr>
            <w:r w:rsidRPr="00F87F5B">
              <w:rPr>
                <w:lang w:val="es-419"/>
              </w:rPr>
              <w:t>Asimismo, en consulta con los países beneficiarios (Kenya, Filipinas y Trinidad y Tabago), se tomó la decisión de orientar la segunda fase del proyecto hacia la intensificación del uso de la protección de la PI en apoyo de la industria de las aplicaciones móviles en las cuatro industrias creativas</w:t>
            </w:r>
            <w:r w:rsidR="00234B29" w:rsidRPr="00F87F5B">
              <w:rPr>
                <w:lang w:val="es-419"/>
              </w:rPr>
              <w:t xml:space="preserve"> siguientes</w:t>
            </w:r>
            <w:r w:rsidRPr="00F87F5B">
              <w:rPr>
                <w:lang w:val="es-419"/>
              </w:rPr>
              <w:t>: música, edición, videojuegos y contenidos audiovisuales.</w:t>
            </w:r>
          </w:p>
          <w:p w14:paraId="1A0CFC50" w14:textId="77777777" w:rsidR="00E1606D" w:rsidRPr="00F87F5B" w:rsidRDefault="00E1606D" w:rsidP="00EF2254">
            <w:pPr>
              <w:pStyle w:val="TableParagraph"/>
              <w:ind w:right="493"/>
              <w:rPr>
                <w:lang w:val="es-419"/>
              </w:rPr>
            </w:pPr>
          </w:p>
        </w:tc>
      </w:tr>
      <w:tr w:rsidR="00E1606D" w:rsidRPr="00F87F5B" w14:paraId="27D516A4" w14:textId="77777777" w:rsidTr="00EF2254">
        <w:trPr>
          <w:trHeight w:val="280"/>
        </w:trPr>
        <w:tc>
          <w:tcPr>
            <w:tcW w:w="9352" w:type="dxa"/>
            <w:shd w:val="clear" w:color="auto" w:fill="68E089"/>
          </w:tcPr>
          <w:p w14:paraId="2F0682CF" w14:textId="2921AB24" w:rsidR="00E1606D" w:rsidRPr="00F87F5B" w:rsidRDefault="00E1606D" w:rsidP="00EF2254">
            <w:pPr>
              <w:pStyle w:val="TableParagraph"/>
              <w:ind w:left="110"/>
              <w:jc w:val="center"/>
              <w:rPr>
                <w:b/>
                <w:bCs/>
                <w:lang w:val="es-419"/>
              </w:rPr>
            </w:pPr>
            <w:r w:rsidRPr="00F87F5B">
              <w:rPr>
                <w:b/>
                <w:bCs/>
                <w:lang w:val="es-419"/>
              </w:rPr>
              <w:t xml:space="preserve">2.1 Objetivo, </w:t>
            </w:r>
            <w:r w:rsidR="00397D43" w:rsidRPr="00F87F5B">
              <w:rPr>
                <w:b/>
                <w:bCs/>
                <w:lang w:val="es-419"/>
              </w:rPr>
              <w:t xml:space="preserve">efecto </w:t>
            </w:r>
            <w:r w:rsidRPr="00F87F5B">
              <w:rPr>
                <w:b/>
                <w:bCs/>
                <w:lang w:val="es-419"/>
              </w:rPr>
              <w:t>previsto y productos del proyecto</w:t>
            </w:r>
          </w:p>
        </w:tc>
      </w:tr>
      <w:tr w:rsidR="00E1606D" w:rsidRPr="00F87F5B" w14:paraId="1753EDBF" w14:textId="77777777" w:rsidTr="00EF2254">
        <w:trPr>
          <w:trHeight w:val="280"/>
        </w:trPr>
        <w:tc>
          <w:tcPr>
            <w:tcW w:w="9352" w:type="dxa"/>
            <w:shd w:val="clear" w:color="auto" w:fill="auto"/>
          </w:tcPr>
          <w:p w14:paraId="34D26A72" w14:textId="77BE8B1F" w:rsidR="00E1606D" w:rsidRPr="00F87F5B" w:rsidRDefault="00E1606D" w:rsidP="00EF2254">
            <w:pPr>
              <w:pStyle w:val="TableParagraph"/>
              <w:ind w:left="110"/>
              <w:rPr>
                <w:lang w:val="es-419"/>
              </w:rPr>
            </w:pPr>
            <w:r w:rsidRPr="00F87F5B">
              <w:rPr>
                <w:lang w:val="es-419"/>
              </w:rPr>
              <w:t xml:space="preserve">El </w:t>
            </w:r>
            <w:r w:rsidRPr="00F87F5B">
              <w:rPr>
                <w:b/>
                <w:bCs/>
                <w:lang w:val="es-419"/>
              </w:rPr>
              <w:t>objetivo</w:t>
            </w:r>
            <w:r w:rsidRPr="00F87F5B">
              <w:rPr>
                <w:lang w:val="es-419"/>
              </w:rPr>
              <w:t xml:space="preserve"> general de la fase II propuesta consiste en aprovechar las herramientas y la capacidad adquirida durante la primera fase y garantizar una mayor sostenibilidad de </w:t>
            </w:r>
            <w:r w:rsidR="005050B1" w:rsidRPr="00F87F5B">
              <w:rPr>
                <w:lang w:val="es-419"/>
              </w:rPr>
              <w:t>los</w:t>
            </w:r>
            <w:r w:rsidRPr="00F87F5B">
              <w:rPr>
                <w:lang w:val="es-419"/>
              </w:rPr>
              <w:t xml:space="preserve"> resultados</w:t>
            </w:r>
            <w:r w:rsidR="005050B1" w:rsidRPr="00F87F5B">
              <w:rPr>
                <w:lang w:val="es-419"/>
              </w:rPr>
              <w:t xml:space="preserve"> del proyecto</w:t>
            </w:r>
            <w:r w:rsidRPr="00F87F5B">
              <w:rPr>
                <w:lang w:val="es-419"/>
              </w:rPr>
              <w:t>.</w:t>
            </w:r>
          </w:p>
          <w:p w14:paraId="074A5B3A" w14:textId="77777777" w:rsidR="00E1606D" w:rsidRPr="00F87F5B" w:rsidRDefault="00E1606D" w:rsidP="00EF2254">
            <w:pPr>
              <w:pStyle w:val="TableParagraph"/>
              <w:rPr>
                <w:lang w:val="es-419"/>
              </w:rPr>
            </w:pPr>
          </w:p>
          <w:p w14:paraId="4A9A824E" w14:textId="5EBBF42F" w:rsidR="00E1606D" w:rsidRPr="00F87F5B" w:rsidRDefault="00E1606D" w:rsidP="00EF2254">
            <w:pPr>
              <w:pStyle w:val="TableParagraph"/>
              <w:ind w:left="110"/>
              <w:rPr>
                <w:lang w:val="es-419"/>
              </w:rPr>
            </w:pPr>
            <w:r w:rsidRPr="00F87F5B">
              <w:rPr>
                <w:lang w:val="es-419"/>
              </w:rPr>
              <w:t xml:space="preserve">Habida cuenta de lo anterior, el </w:t>
            </w:r>
            <w:r w:rsidR="00397D43" w:rsidRPr="00F87F5B">
              <w:rPr>
                <w:b/>
                <w:bCs/>
                <w:lang w:val="es-419"/>
              </w:rPr>
              <w:t xml:space="preserve">efecto </w:t>
            </w:r>
            <w:r w:rsidRPr="00F87F5B">
              <w:rPr>
                <w:lang w:val="es-419"/>
              </w:rPr>
              <w:t>previsto del proyecto es la mejora de la comprensión de la pertinencia de la PI y la intensificación del uso de la protección que esta confiere en apoyo de la industria de las aplicaciones móviles en los sectores de la música, la edición, los videojuegos y los contenidos audiovisuales.</w:t>
            </w:r>
          </w:p>
          <w:p w14:paraId="2485DA0E" w14:textId="77777777" w:rsidR="00E1606D" w:rsidRPr="00F87F5B" w:rsidRDefault="00E1606D" w:rsidP="00EF2254">
            <w:pPr>
              <w:pStyle w:val="TableParagraph"/>
              <w:ind w:left="110"/>
              <w:rPr>
                <w:lang w:val="es-419"/>
              </w:rPr>
            </w:pPr>
          </w:p>
          <w:p w14:paraId="3E0B1E42" w14:textId="6B939640" w:rsidR="00E1606D" w:rsidRPr="00F87F5B" w:rsidRDefault="00E1606D" w:rsidP="00EF2254">
            <w:pPr>
              <w:pStyle w:val="TableParagraph"/>
              <w:ind w:left="110"/>
              <w:rPr>
                <w:lang w:val="es-419"/>
              </w:rPr>
            </w:pPr>
            <w:r w:rsidRPr="00F87F5B">
              <w:rPr>
                <w:lang w:val="es-419"/>
              </w:rPr>
              <w:t xml:space="preserve">Este objetivo se logrará mediante la obtención de los </w:t>
            </w:r>
            <w:r w:rsidRPr="00F87F5B">
              <w:rPr>
                <w:b/>
                <w:bCs/>
                <w:lang w:val="es-419"/>
              </w:rPr>
              <w:t>productos</w:t>
            </w:r>
            <w:r w:rsidR="00CA3AC1" w:rsidRPr="00F87F5B">
              <w:rPr>
                <w:lang w:val="es-419"/>
              </w:rPr>
              <w:t xml:space="preserve"> siguientes</w:t>
            </w:r>
            <w:r w:rsidRPr="00F87F5B">
              <w:rPr>
                <w:lang w:val="es-419"/>
              </w:rPr>
              <w:t xml:space="preserve">: </w:t>
            </w:r>
          </w:p>
          <w:p w14:paraId="4B949547" w14:textId="77777777" w:rsidR="00E1606D" w:rsidRPr="00F87F5B" w:rsidRDefault="00E1606D" w:rsidP="00EF2254">
            <w:pPr>
              <w:pStyle w:val="TableParagraph"/>
              <w:numPr>
                <w:ilvl w:val="0"/>
                <w:numId w:val="7"/>
              </w:numPr>
              <w:rPr>
                <w:lang w:val="es-419"/>
              </w:rPr>
            </w:pPr>
            <w:r w:rsidRPr="00F87F5B">
              <w:rPr>
                <w:lang w:val="es-419"/>
              </w:rPr>
              <w:t>materiales para un curso de formación sobre la PI para las aplicaciones móviles;</w:t>
            </w:r>
          </w:p>
          <w:p w14:paraId="1E2FB3B0" w14:textId="77777777" w:rsidR="00E1606D" w:rsidRPr="00F87F5B" w:rsidRDefault="00E1606D" w:rsidP="00EF2254">
            <w:pPr>
              <w:pStyle w:val="TableParagraph"/>
              <w:numPr>
                <w:ilvl w:val="0"/>
                <w:numId w:val="7"/>
              </w:numPr>
              <w:rPr>
                <w:lang w:val="es-419"/>
              </w:rPr>
            </w:pPr>
            <w:r w:rsidRPr="00F87F5B">
              <w:rPr>
                <w:lang w:val="es-419"/>
              </w:rPr>
              <w:t>herramientas de PI para aplicaciones móviles en el ámbito de la música, la edición, los videojuegos y los contenidos audiovisuales;</w:t>
            </w:r>
          </w:p>
          <w:p w14:paraId="270D3A2F" w14:textId="77777777" w:rsidR="00E1606D" w:rsidRPr="00F87F5B" w:rsidRDefault="00E1606D" w:rsidP="00EF2254">
            <w:pPr>
              <w:pStyle w:val="TableParagraph"/>
              <w:numPr>
                <w:ilvl w:val="0"/>
                <w:numId w:val="7"/>
              </w:numPr>
              <w:rPr>
                <w:lang w:val="es-419"/>
              </w:rPr>
            </w:pPr>
            <w:r w:rsidRPr="00F87F5B">
              <w:rPr>
                <w:lang w:val="es-419"/>
              </w:rPr>
              <w:t>organización de eventos para presentar los materiales creados a las partes interesadas en cada país beneficiario y recabar sus opiniones.</w:t>
            </w:r>
          </w:p>
          <w:p w14:paraId="417DEF59" w14:textId="77777777" w:rsidR="00E1606D" w:rsidRPr="00F87F5B" w:rsidRDefault="00E1606D" w:rsidP="00EF2254">
            <w:pPr>
              <w:pStyle w:val="TableParagraph"/>
              <w:ind w:left="720"/>
              <w:rPr>
                <w:lang w:val="es-419"/>
              </w:rPr>
            </w:pPr>
          </w:p>
        </w:tc>
      </w:tr>
      <w:tr w:rsidR="00E1606D" w:rsidRPr="00F87F5B" w14:paraId="344C39B1" w14:textId="77777777" w:rsidTr="00EF2254">
        <w:trPr>
          <w:trHeight w:val="280"/>
        </w:trPr>
        <w:tc>
          <w:tcPr>
            <w:tcW w:w="9352" w:type="dxa"/>
            <w:shd w:val="clear" w:color="auto" w:fill="68E089"/>
          </w:tcPr>
          <w:p w14:paraId="09D465A6" w14:textId="77777777" w:rsidR="00E1606D" w:rsidRPr="00F87F5B" w:rsidRDefault="00E1606D" w:rsidP="00EF2254">
            <w:pPr>
              <w:pStyle w:val="TableParagraph"/>
              <w:ind w:left="110"/>
              <w:jc w:val="center"/>
              <w:rPr>
                <w:b/>
                <w:bCs/>
                <w:lang w:val="es-419"/>
              </w:rPr>
            </w:pPr>
            <w:r w:rsidRPr="00F87F5B">
              <w:rPr>
                <w:b/>
                <w:bCs/>
                <w:lang w:val="es-419"/>
              </w:rPr>
              <w:t>2.2 Estrategia de ejecución del proyecto</w:t>
            </w:r>
          </w:p>
        </w:tc>
      </w:tr>
      <w:tr w:rsidR="00E1606D" w:rsidRPr="00F87F5B" w14:paraId="52CD3420" w14:textId="77777777" w:rsidTr="00EF2254">
        <w:trPr>
          <w:trHeight w:val="463"/>
        </w:trPr>
        <w:tc>
          <w:tcPr>
            <w:tcW w:w="9352" w:type="dxa"/>
            <w:shd w:val="clear" w:color="auto" w:fill="auto"/>
          </w:tcPr>
          <w:p w14:paraId="6B4E1177" w14:textId="1F9CFE39" w:rsidR="00E1606D" w:rsidRPr="00F87F5B" w:rsidRDefault="00E1606D" w:rsidP="00EF2254">
            <w:pPr>
              <w:pStyle w:val="TableParagraph"/>
              <w:ind w:left="110"/>
              <w:rPr>
                <w:lang w:val="es-419"/>
              </w:rPr>
            </w:pPr>
            <w:r w:rsidRPr="00F87F5B">
              <w:rPr>
                <w:lang w:val="es-419"/>
              </w:rPr>
              <w:t>Los materiales para el curso de formación se elaborarán a partir de las herramientas encargadas para la primera fase del proyecto. Se pondrá a disposición de los países beneficiarios (y de todos los Estados miembros) para que los utilicen, según proceda, en sus actividades</w:t>
            </w:r>
            <w:r w:rsidR="005050B1" w:rsidRPr="00F87F5B">
              <w:rPr>
                <w:lang w:val="es-419"/>
              </w:rPr>
              <w:t xml:space="preserve"> futuras</w:t>
            </w:r>
            <w:r w:rsidRPr="00F87F5B">
              <w:rPr>
                <w:lang w:val="es-419"/>
              </w:rPr>
              <w:t>. Los materiales del curso solo estarán disponibles en línea y, como parte de la integración del proyecto, se actualizarán de forma periódica al objeto de mantener la información vigente en todo momento. Asimismo, estos materiales se remitirán a la Academia de la OMPI para que pueda emplearlos en sus diversas actividades de fortalecimiento de capacidades.</w:t>
            </w:r>
          </w:p>
          <w:p w14:paraId="2D00FE17" w14:textId="77777777" w:rsidR="00E1606D" w:rsidRPr="00F87F5B" w:rsidRDefault="00E1606D" w:rsidP="00EF2254">
            <w:pPr>
              <w:pStyle w:val="TableParagraph"/>
              <w:ind w:left="110"/>
              <w:rPr>
                <w:lang w:val="es-419"/>
              </w:rPr>
            </w:pPr>
          </w:p>
          <w:p w14:paraId="1A207593" w14:textId="22BE9B58" w:rsidR="00E1606D" w:rsidRPr="00F87F5B" w:rsidRDefault="00E1606D" w:rsidP="00EF2254">
            <w:pPr>
              <w:pStyle w:val="TableParagraph"/>
              <w:ind w:left="110"/>
              <w:rPr>
                <w:lang w:val="es-419"/>
              </w:rPr>
            </w:pPr>
            <w:r w:rsidRPr="00F87F5B">
              <w:rPr>
                <w:lang w:val="es-419"/>
              </w:rPr>
              <w:t>Las herramientas de PI para las aplicaciones móviles en l</w:t>
            </w:r>
            <w:r w:rsidR="005050B1" w:rsidRPr="00F87F5B">
              <w:rPr>
                <w:lang w:val="es-419"/>
              </w:rPr>
              <w:t>a</w:t>
            </w:r>
            <w:r w:rsidRPr="00F87F5B">
              <w:rPr>
                <w:lang w:val="es-419"/>
              </w:rPr>
              <w:t xml:space="preserve">s </w:t>
            </w:r>
            <w:r w:rsidR="005050B1" w:rsidRPr="00F87F5B">
              <w:rPr>
                <w:lang w:val="es-419"/>
              </w:rPr>
              <w:t>industrias</w:t>
            </w:r>
            <w:r w:rsidRPr="00F87F5B">
              <w:rPr>
                <w:lang w:val="es-419"/>
              </w:rPr>
              <w:t xml:space="preserve"> creativ</w:t>
            </w:r>
            <w:r w:rsidR="005050B1" w:rsidRPr="00F87F5B">
              <w:rPr>
                <w:lang w:val="es-419"/>
              </w:rPr>
              <w:t>a</w:t>
            </w:r>
            <w:r w:rsidR="001C57BD">
              <w:rPr>
                <w:lang w:val="es-419"/>
              </w:rPr>
              <w:t>s seleccionada</w:t>
            </w:r>
            <w:r w:rsidRPr="00F87F5B">
              <w:rPr>
                <w:lang w:val="es-419"/>
              </w:rPr>
              <w:t>s servirán como complemento a los contenidos elaborados durante la primera fase del proyecto y aportarán materiales expresamente orientados a las partes interesadas en los sectores de la música, la edición, los videojuegos y los contenidos audiovisuales que dese</w:t>
            </w:r>
            <w:r w:rsidR="00847813" w:rsidRPr="00F87F5B">
              <w:rPr>
                <w:lang w:val="es-419"/>
              </w:rPr>
              <w:t>e</w:t>
            </w:r>
            <w:r w:rsidRPr="00F87F5B">
              <w:rPr>
                <w:lang w:val="es-419"/>
              </w:rPr>
              <w:t xml:space="preserve">n aumentar sus ingresos mediante la explotación de la PI. </w:t>
            </w:r>
            <w:r w:rsidR="005050B1" w:rsidRPr="00F87F5B">
              <w:rPr>
                <w:lang w:val="es-419"/>
              </w:rPr>
              <w:t>Gracias a estos materiales</w:t>
            </w:r>
            <w:r w:rsidRPr="00F87F5B">
              <w:rPr>
                <w:lang w:val="es-419"/>
              </w:rPr>
              <w:t>, podría confeccionarse una recopilación de las mejores prácticas y constituir una referencia para las personas dispuestas a emprender en el futuro.</w:t>
            </w:r>
          </w:p>
          <w:p w14:paraId="6A4B4B3C" w14:textId="77777777" w:rsidR="00E1606D" w:rsidRPr="00F87F5B" w:rsidRDefault="00E1606D" w:rsidP="00EF2254">
            <w:pPr>
              <w:pStyle w:val="TableParagraph"/>
              <w:ind w:left="110"/>
              <w:rPr>
                <w:lang w:val="es-419"/>
              </w:rPr>
            </w:pPr>
          </w:p>
          <w:p w14:paraId="65923DE5" w14:textId="185C7035" w:rsidR="00E1606D" w:rsidRPr="00F87F5B" w:rsidRDefault="00E1606D" w:rsidP="00EF2254">
            <w:pPr>
              <w:pStyle w:val="TableParagraph"/>
              <w:ind w:left="110"/>
              <w:rPr>
                <w:lang w:val="es-419"/>
              </w:rPr>
            </w:pPr>
            <w:r w:rsidRPr="00F87F5B">
              <w:rPr>
                <w:lang w:val="es-419"/>
              </w:rPr>
              <w:t xml:space="preserve">Los eventos </w:t>
            </w:r>
            <w:r w:rsidR="00847813" w:rsidRPr="00F87F5B">
              <w:rPr>
                <w:lang w:val="es-419"/>
              </w:rPr>
              <w:t>para presentar estas herramientas</w:t>
            </w:r>
            <w:r w:rsidRPr="00F87F5B">
              <w:rPr>
                <w:lang w:val="es-419"/>
              </w:rPr>
              <w:t xml:space="preserve"> entre las partes interesadas en cada uno de los países beneficiarios</w:t>
            </w:r>
            <w:r w:rsidR="00847813" w:rsidRPr="00F87F5B">
              <w:rPr>
                <w:lang w:val="es-419"/>
              </w:rPr>
              <w:t xml:space="preserve">, y permitirles probarlas, </w:t>
            </w:r>
            <w:r w:rsidRPr="00F87F5B">
              <w:rPr>
                <w:lang w:val="es-419"/>
              </w:rPr>
              <w:t xml:space="preserve">servirán para hacer una evaluación objetiva de su </w:t>
            </w:r>
            <w:r w:rsidR="00034BB6" w:rsidRPr="00F87F5B">
              <w:rPr>
                <w:lang w:val="es-419"/>
              </w:rPr>
              <w:t>grado</w:t>
            </w:r>
            <w:r w:rsidRPr="00F87F5B">
              <w:rPr>
                <w:lang w:val="es-419"/>
              </w:rPr>
              <w:t xml:space="preserve"> de aceptación y orientación práctica. Asimismo, durante los eventos se recopilarán las opiniones de los participantes con miras a revisar o adaptar los contenidos en consecuencia</w:t>
            </w:r>
            <w:r w:rsidR="00ED60ED" w:rsidRPr="00F87F5B">
              <w:rPr>
                <w:lang w:val="es-419"/>
              </w:rPr>
              <w:t xml:space="preserve">, cuando sea </w:t>
            </w:r>
            <w:r w:rsidRPr="00F87F5B">
              <w:rPr>
                <w:lang w:val="es-419"/>
              </w:rPr>
              <w:t>necesario.</w:t>
            </w:r>
          </w:p>
          <w:p w14:paraId="365D791F" w14:textId="77777777" w:rsidR="00E1606D" w:rsidRPr="00F87F5B" w:rsidRDefault="00E1606D" w:rsidP="00EF2254">
            <w:pPr>
              <w:pStyle w:val="TableParagraph"/>
              <w:ind w:left="110"/>
              <w:rPr>
                <w:lang w:val="es-419"/>
              </w:rPr>
            </w:pPr>
          </w:p>
          <w:p w14:paraId="3AFC6890" w14:textId="77777777" w:rsidR="00E1606D" w:rsidRPr="00F87F5B" w:rsidRDefault="00E1606D" w:rsidP="00EF2254">
            <w:pPr>
              <w:pStyle w:val="TableParagraph"/>
              <w:ind w:left="110"/>
              <w:rPr>
                <w:lang w:val="es-419"/>
              </w:rPr>
            </w:pPr>
            <w:r w:rsidRPr="00F87F5B">
              <w:rPr>
                <w:lang w:val="es-419"/>
              </w:rPr>
              <w:t>Esta estrategia se llevará a cabo en estrecha colaboración con los asociados de cada uno de los países beneficiarios y en consulta con las partes interesadas en el sector de las aplicaciones móviles y la industria creativa.</w:t>
            </w:r>
          </w:p>
          <w:p w14:paraId="00442F0A" w14:textId="77777777" w:rsidR="00E1606D" w:rsidRPr="00F87F5B" w:rsidRDefault="00E1606D" w:rsidP="00EF2254">
            <w:pPr>
              <w:pStyle w:val="TableParagraph"/>
              <w:ind w:left="110"/>
              <w:rPr>
                <w:lang w:val="es-419"/>
              </w:rPr>
            </w:pPr>
          </w:p>
        </w:tc>
      </w:tr>
      <w:tr w:rsidR="00E1606D" w:rsidRPr="00F87F5B" w14:paraId="5EA40D7C" w14:textId="77777777" w:rsidTr="00EF2254">
        <w:trPr>
          <w:trHeight w:val="280"/>
        </w:trPr>
        <w:tc>
          <w:tcPr>
            <w:tcW w:w="9352" w:type="dxa"/>
            <w:shd w:val="clear" w:color="auto" w:fill="68E089"/>
          </w:tcPr>
          <w:p w14:paraId="255590E3" w14:textId="77777777" w:rsidR="00E1606D" w:rsidRPr="00F87F5B" w:rsidRDefault="00E1606D" w:rsidP="00EF2254">
            <w:pPr>
              <w:pStyle w:val="TableParagraph"/>
              <w:ind w:left="110"/>
              <w:jc w:val="center"/>
              <w:rPr>
                <w:b/>
                <w:bCs/>
                <w:lang w:val="es-419"/>
              </w:rPr>
            </w:pPr>
            <w:r w:rsidRPr="00F87F5B">
              <w:rPr>
                <w:b/>
                <w:bCs/>
                <w:lang w:val="es-419"/>
              </w:rPr>
              <w:t>2.3 Indicadores del proyecto</w:t>
            </w:r>
          </w:p>
        </w:tc>
      </w:tr>
      <w:tr w:rsidR="00E1606D" w:rsidRPr="00F87F5B" w14:paraId="16B329C9" w14:textId="77777777" w:rsidTr="00EF2254">
        <w:trPr>
          <w:trHeight w:val="280"/>
        </w:trPr>
        <w:tc>
          <w:tcPr>
            <w:tcW w:w="9352" w:type="dxa"/>
            <w:shd w:val="clear" w:color="auto" w:fill="FFFFFF" w:themeFill="background1"/>
          </w:tcPr>
          <w:p w14:paraId="56A630A7" w14:textId="68D54B8E" w:rsidR="00E1606D" w:rsidRPr="00F87F5B" w:rsidRDefault="00CA3AC1" w:rsidP="00EF2254">
            <w:pPr>
              <w:pStyle w:val="TableParagraph"/>
              <w:ind w:left="110"/>
              <w:rPr>
                <w:lang w:val="es-419"/>
              </w:rPr>
            </w:pPr>
            <w:r w:rsidRPr="00F87F5B">
              <w:rPr>
                <w:b/>
                <w:bCs/>
                <w:lang w:val="es-419"/>
              </w:rPr>
              <w:t>Efecto</w:t>
            </w:r>
            <w:r w:rsidRPr="00F87F5B">
              <w:rPr>
                <w:lang w:val="es-419"/>
              </w:rPr>
              <w:t xml:space="preserve"> </w:t>
            </w:r>
            <w:r w:rsidR="00E1606D" w:rsidRPr="00F87F5B">
              <w:rPr>
                <w:lang w:val="es-419"/>
              </w:rPr>
              <w:t xml:space="preserve">del proyecto: mejorar la </w:t>
            </w:r>
            <w:r w:rsidR="00D82642" w:rsidRPr="00F87F5B">
              <w:rPr>
                <w:lang w:val="es-419"/>
              </w:rPr>
              <w:t>percepción de la importancia</w:t>
            </w:r>
            <w:r w:rsidR="00E1606D" w:rsidRPr="00F87F5B">
              <w:rPr>
                <w:lang w:val="es-419"/>
              </w:rPr>
              <w:t xml:space="preserve"> de la PI e intensificar del uso de la protección que esta confiere en apoyo </w:t>
            </w:r>
            <w:r w:rsidR="00D82642" w:rsidRPr="00F87F5B">
              <w:rPr>
                <w:lang w:val="es-419"/>
              </w:rPr>
              <w:t xml:space="preserve">a </w:t>
            </w:r>
            <w:r w:rsidR="00E1606D" w:rsidRPr="00F87F5B">
              <w:rPr>
                <w:lang w:val="es-419"/>
              </w:rPr>
              <w:t>la industria de las aplicaciones móviles en los sectores de la música, la edición, los videojuegos y los contenidos audiovisuales.</w:t>
            </w:r>
          </w:p>
          <w:p w14:paraId="40A55201" w14:textId="77777777" w:rsidR="00E1606D" w:rsidRPr="00F87F5B" w:rsidRDefault="00E1606D" w:rsidP="00EF2254">
            <w:pPr>
              <w:rPr>
                <w:lang w:val="es-419"/>
              </w:rPr>
            </w:pPr>
          </w:p>
          <w:p w14:paraId="2147DA50" w14:textId="59C073E8" w:rsidR="00E1606D" w:rsidRPr="00F87F5B" w:rsidRDefault="00E1606D" w:rsidP="00EF2254">
            <w:pPr>
              <w:pStyle w:val="TableParagraph"/>
              <w:ind w:left="110"/>
              <w:rPr>
                <w:lang w:val="es-419"/>
              </w:rPr>
            </w:pPr>
            <w:r w:rsidRPr="00F87F5B">
              <w:rPr>
                <w:b/>
                <w:bCs/>
                <w:lang w:val="es-419"/>
              </w:rPr>
              <w:t>Indicadores</w:t>
            </w:r>
            <w:r w:rsidRPr="00F87F5B">
              <w:rPr>
                <w:lang w:val="es-419"/>
              </w:rPr>
              <w:t xml:space="preserve"> de </w:t>
            </w:r>
            <w:r w:rsidR="00CA3AC1" w:rsidRPr="00F87F5B">
              <w:rPr>
                <w:lang w:val="es-419"/>
              </w:rPr>
              <w:t>efectos</w:t>
            </w:r>
            <w:r w:rsidRPr="00F87F5B">
              <w:rPr>
                <w:lang w:val="es-419"/>
              </w:rPr>
              <w:t>:</w:t>
            </w:r>
          </w:p>
          <w:p w14:paraId="5C8F02C2" w14:textId="660F565E" w:rsidR="00E1606D" w:rsidRPr="00F87F5B" w:rsidRDefault="00E1606D" w:rsidP="00EF2254">
            <w:pPr>
              <w:pStyle w:val="TableParagraph"/>
              <w:numPr>
                <w:ilvl w:val="0"/>
                <w:numId w:val="10"/>
              </w:numPr>
              <w:rPr>
                <w:lang w:val="es-419"/>
              </w:rPr>
            </w:pPr>
            <w:r w:rsidRPr="00F87F5B">
              <w:rPr>
                <w:lang w:val="es-419"/>
              </w:rPr>
              <w:t>el 70% de las partes interesadas en los países beneficiarios están de acuerdo en que la PI es un instrumento fundamental capaz de respaldar a la industria de las aplicaciones móviles en los ámbitos de la música, la edición, los videojuegos y los contenidos audiovisuales.</w:t>
            </w:r>
          </w:p>
          <w:p w14:paraId="7569A231" w14:textId="75714DFB" w:rsidR="00E1606D" w:rsidRPr="00F87F5B" w:rsidRDefault="00E1606D" w:rsidP="00EF2254">
            <w:pPr>
              <w:pStyle w:val="TableParagraph"/>
              <w:numPr>
                <w:ilvl w:val="0"/>
                <w:numId w:val="10"/>
              </w:numPr>
              <w:rPr>
                <w:lang w:val="es-419"/>
              </w:rPr>
            </w:pPr>
            <w:r w:rsidRPr="00F87F5B">
              <w:rPr>
                <w:lang w:val="es-419"/>
              </w:rPr>
              <w:t>en los tres primeros meses desde su publicación, se han registrado al menos 100 descargas de las herramientas.</w:t>
            </w:r>
          </w:p>
          <w:p w14:paraId="70802A35" w14:textId="77777777" w:rsidR="00E1606D" w:rsidRPr="00F87F5B" w:rsidRDefault="00E1606D" w:rsidP="00EF2254">
            <w:pPr>
              <w:pStyle w:val="TableParagraph"/>
              <w:ind w:left="110"/>
              <w:rPr>
                <w:lang w:val="es-419"/>
              </w:rPr>
            </w:pPr>
          </w:p>
          <w:p w14:paraId="7FE02F8E" w14:textId="77777777" w:rsidR="00E1606D" w:rsidRPr="00F87F5B" w:rsidRDefault="00E1606D" w:rsidP="00EF2254">
            <w:pPr>
              <w:pStyle w:val="TableParagraph"/>
              <w:ind w:left="110"/>
              <w:rPr>
                <w:lang w:val="es-419"/>
              </w:rPr>
            </w:pPr>
            <w:r w:rsidRPr="00F87F5B">
              <w:rPr>
                <w:b/>
                <w:bCs/>
                <w:lang w:val="es-419"/>
              </w:rPr>
              <w:t>Productos</w:t>
            </w:r>
            <w:r w:rsidRPr="00F87F5B">
              <w:rPr>
                <w:lang w:val="es-419"/>
              </w:rPr>
              <w:t xml:space="preserve"> de los proyectos: </w:t>
            </w:r>
          </w:p>
          <w:p w14:paraId="568D67F9" w14:textId="77777777" w:rsidR="00E1606D" w:rsidRPr="00F87F5B" w:rsidRDefault="00E1606D" w:rsidP="00EF2254">
            <w:pPr>
              <w:pStyle w:val="TableParagraph"/>
              <w:numPr>
                <w:ilvl w:val="0"/>
                <w:numId w:val="9"/>
              </w:numPr>
              <w:rPr>
                <w:lang w:val="es-419"/>
              </w:rPr>
            </w:pPr>
            <w:r w:rsidRPr="00F87F5B">
              <w:rPr>
                <w:lang w:val="es-419"/>
              </w:rPr>
              <w:t>materiales para un curso de formación sobre la PI para las aplicaciones móviles;</w:t>
            </w:r>
          </w:p>
          <w:p w14:paraId="09DAB25F" w14:textId="77777777" w:rsidR="00E1606D" w:rsidRPr="00F87F5B" w:rsidRDefault="00E1606D" w:rsidP="00EF2254">
            <w:pPr>
              <w:pStyle w:val="TableParagraph"/>
              <w:numPr>
                <w:ilvl w:val="0"/>
                <w:numId w:val="9"/>
              </w:numPr>
              <w:rPr>
                <w:lang w:val="es-419"/>
              </w:rPr>
            </w:pPr>
            <w:r w:rsidRPr="00F87F5B">
              <w:rPr>
                <w:lang w:val="es-419"/>
              </w:rPr>
              <w:t>herramientas de PI para aplicaciones móviles en el ámbito de la música, la edición, los videojuegos y los contenidos audiovisuales;</w:t>
            </w:r>
          </w:p>
          <w:p w14:paraId="25F9A41B" w14:textId="77777777" w:rsidR="00E1606D" w:rsidRPr="00F87F5B" w:rsidRDefault="00E1606D" w:rsidP="00EF2254">
            <w:pPr>
              <w:pStyle w:val="TableParagraph"/>
              <w:numPr>
                <w:ilvl w:val="0"/>
                <w:numId w:val="9"/>
              </w:numPr>
              <w:rPr>
                <w:lang w:val="es-419"/>
              </w:rPr>
            </w:pPr>
            <w:r w:rsidRPr="00F87F5B">
              <w:rPr>
                <w:lang w:val="es-419"/>
              </w:rPr>
              <w:t>organización de eventos para presentar los materiales creados a las partes interesadas en cada país beneficiario y recabar sus opiniones.</w:t>
            </w:r>
          </w:p>
          <w:p w14:paraId="75195F1F" w14:textId="77777777" w:rsidR="00E1606D" w:rsidRPr="00F87F5B" w:rsidRDefault="00E1606D" w:rsidP="00EF2254">
            <w:pPr>
              <w:pStyle w:val="TableParagraph"/>
              <w:rPr>
                <w:lang w:val="es-419"/>
              </w:rPr>
            </w:pPr>
          </w:p>
          <w:p w14:paraId="696314C1" w14:textId="77777777" w:rsidR="00E1606D" w:rsidRPr="00F87F5B" w:rsidRDefault="00E1606D" w:rsidP="00EF2254">
            <w:pPr>
              <w:pStyle w:val="TableParagraph"/>
              <w:ind w:left="110"/>
              <w:rPr>
                <w:lang w:val="es-419"/>
              </w:rPr>
            </w:pPr>
            <w:r w:rsidRPr="00F87F5B">
              <w:rPr>
                <w:b/>
                <w:bCs/>
                <w:lang w:val="es-419"/>
              </w:rPr>
              <w:t>Indicadores</w:t>
            </w:r>
            <w:r w:rsidRPr="00F87F5B">
              <w:rPr>
                <w:lang w:val="es-419"/>
              </w:rPr>
              <w:t xml:space="preserve"> de productos:</w:t>
            </w:r>
          </w:p>
          <w:p w14:paraId="192030EB" w14:textId="77777777" w:rsidR="00E1606D" w:rsidRPr="00F87F5B" w:rsidRDefault="00E1606D" w:rsidP="00EF2254">
            <w:pPr>
              <w:pStyle w:val="TableParagraph"/>
              <w:numPr>
                <w:ilvl w:val="0"/>
                <w:numId w:val="8"/>
              </w:numPr>
              <w:rPr>
                <w:lang w:val="es-419"/>
              </w:rPr>
            </w:pPr>
            <w:r w:rsidRPr="00F87F5B">
              <w:rPr>
                <w:lang w:val="es-419"/>
              </w:rPr>
              <w:t>elaboración de materiales para un curso de formación sobre la PI para aplicaciones móviles y su publicación en línea en los seis meses posteriores a la ejecución del proyecto;</w:t>
            </w:r>
          </w:p>
          <w:p w14:paraId="03016411" w14:textId="4650C73F" w:rsidR="00E1606D" w:rsidRPr="00F87F5B" w:rsidRDefault="00E1606D" w:rsidP="00EF2254">
            <w:pPr>
              <w:pStyle w:val="TableParagraph"/>
              <w:numPr>
                <w:ilvl w:val="0"/>
                <w:numId w:val="8"/>
              </w:numPr>
              <w:rPr>
                <w:lang w:val="es-419"/>
              </w:rPr>
            </w:pPr>
            <w:r w:rsidRPr="00F87F5B">
              <w:rPr>
                <w:lang w:val="es-419"/>
              </w:rPr>
              <w:t>cuatro herramientas de PI para aplicaciones móviles en las industrias creativa</w:t>
            </w:r>
            <w:r w:rsidR="008F6ED9" w:rsidRPr="00F87F5B">
              <w:rPr>
                <w:lang w:val="es-419"/>
              </w:rPr>
              <w:t>s de la</w:t>
            </w:r>
            <w:r w:rsidRPr="00F87F5B">
              <w:rPr>
                <w:lang w:val="es-419"/>
              </w:rPr>
              <w:t xml:space="preserve"> música,</w:t>
            </w:r>
            <w:r w:rsidR="008F6ED9" w:rsidRPr="00F87F5B">
              <w:rPr>
                <w:lang w:val="es-419"/>
              </w:rPr>
              <w:t xml:space="preserve"> la</w:t>
            </w:r>
            <w:r w:rsidRPr="00F87F5B">
              <w:rPr>
                <w:lang w:val="es-419"/>
              </w:rPr>
              <w:t xml:space="preserve"> edición, </w:t>
            </w:r>
            <w:r w:rsidR="008F6ED9" w:rsidRPr="00F87F5B">
              <w:rPr>
                <w:lang w:val="es-419"/>
              </w:rPr>
              <w:t xml:space="preserve">los </w:t>
            </w:r>
            <w:r w:rsidRPr="00F87F5B">
              <w:rPr>
                <w:lang w:val="es-419"/>
              </w:rPr>
              <w:t>videojuegos y</w:t>
            </w:r>
            <w:r w:rsidR="008F6ED9" w:rsidRPr="00F87F5B">
              <w:rPr>
                <w:lang w:val="es-419"/>
              </w:rPr>
              <w:t xml:space="preserve"> los</w:t>
            </w:r>
            <w:r w:rsidRPr="00F87F5B">
              <w:rPr>
                <w:lang w:val="es-419"/>
              </w:rPr>
              <w:t xml:space="preserve"> contenidos audiovisuales, creadas y publicadas en línea en los nueve meses posteriores a la ejecución del proyecto;</w:t>
            </w:r>
          </w:p>
          <w:p w14:paraId="67689898" w14:textId="472B65A5" w:rsidR="00E1606D" w:rsidRPr="00F87F5B" w:rsidRDefault="00E1606D" w:rsidP="00EF2254">
            <w:pPr>
              <w:pStyle w:val="TableParagraph"/>
              <w:numPr>
                <w:ilvl w:val="0"/>
                <w:numId w:val="8"/>
              </w:numPr>
              <w:rPr>
                <w:lang w:val="es-419"/>
              </w:rPr>
            </w:pPr>
            <w:r w:rsidRPr="00F87F5B">
              <w:rPr>
                <w:lang w:val="es-419"/>
              </w:rPr>
              <w:t xml:space="preserve">celebración de tres eventos (uno en cada país beneficiario) con la asistencia de al menos dos representantes de cada uno de los sectores creativos seleccionados. Ajuste de las herramientas en respuesta a las opiniones recabadas, si las hubiera, en el plazo de un mes </w:t>
            </w:r>
            <w:r w:rsidR="004913B2" w:rsidRPr="00F87F5B">
              <w:rPr>
                <w:lang w:val="es-419"/>
              </w:rPr>
              <w:t>después de celebrado el</w:t>
            </w:r>
            <w:r w:rsidRPr="00F87F5B">
              <w:rPr>
                <w:lang w:val="es-419"/>
              </w:rPr>
              <w:t xml:space="preserve"> evento.</w:t>
            </w:r>
          </w:p>
          <w:p w14:paraId="32B2F6CF" w14:textId="77777777" w:rsidR="00E1606D" w:rsidRPr="00F87F5B" w:rsidRDefault="00E1606D" w:rsidP="00EF2254">
            <w:pPr>
              <w:pStyle w:val="TableParagraph"/>
              <w:ind w:left="720"/>
              <w:rPr>
                <w:lang w:val="es-419"/>
              </w:rPr>
            </w:pPr>
          </w:p>
        </w:tc>
      </w:tr>
      <w:tr w:rsidR="00E1606D" w:rsidRPr="00F87F5B" w14:paraId="04658DD4" w14:textId="77777777" w:rsidTr="00EF2254">
        <w:trPr>
          <w:trHeight w:val="280"/>
        </w:trPr>
        <w:tc>
          <w:tcPr>
            <w:tcW w:w="9352" w:type="dxa"/>
            <w:shd w:val="clear" w:color="auto" w:fill="68E089"/>
          </w:tcPr>
          <w:p w14:paraId="7256BB8A" w14:textId="77777777" w:rsidR="00E1606D" w:rsidRPr="00F87F5B" w:rsidRDefault="00E1606D" w:rsidP="00EF2254">
            <w:pPr>
              <w:pStyle w:val="TableParagraph"/>
              <w:ind w:left="110"/>
              <w:jc w:val="center"/>
              <w:rPr>
                <w:b/>
                <w:bCs/>
                <w:lang w:val="es-419"/>
              </w:rPr>
            </w:pPr>
            <w:r w:rsidRPr="00F87F5B">
              <w:rPr>
                <w:b/>
                <w:bCs/>
                <w:lang w:val="es-419"/>
              </w:rPr>
              <w:t>2.4 Estrategia de sostenibilidad</w:t>
            </w:r>
          </w:p>
        </w:tc>
      </w:tr>
      <w:tr w:rsidR="00E1606D" w:rsidRPr="00F87F5B" w14:paraId="4ABDABFD" w14:textId="77777777" w:rsidTr="00EF2254">
        <w:trPr>
          <w:trHeight w:val="370"/>
        </w:trPr>
        <w:tc>
          <w:tcPr>
            <w:tcW w:w="9352" w:type="dxa"/>
          </w:tcPr>
          <w:p w14:paraId="46FEB8AF" w14:textId="7A373996" w:rsidR="00E1606D" w:rsidRPr="00F87F5B" w:rsidRDefault="00E1606D" w:rsidP="00EF2254">
            <w:pPr>
              <w:pStyle w:val="TableParagraph"/>
              <w:ind w:left="110"/>
              <w:rPr>
                <w:lang w:val="es-419"/>
              </w:rPr>
            </w:pPr>
            <w:r w:rsidRPr="00F87F5B">
              <w:rPr>
                <w:lang w:val="es-419"/>
              </w:rPr>
              <w:t>En aras de la sostenibilidad de los resultados del proyecto, es esencial que las herramientas creadas en el marco de las fases</w:t>
            </w:r>
            <w:r w:rsidR="008F6ED9" w:rsidRPr="00F87F5B">
              <w:rPr>
                <w:lang w:val="es-419"/>
              </w:rPr>
              <w:t> </w:t>
            </w:r>
            <w:r w:rsidRPr="00F87F5B">
              <w:rPr>
                <w:lang w:val="es-419"/>
              </w:rPr>
              <w:t>I y</w:t>
            </w:r>
            <w:r w:rsidR="008F6ED9" w:rsidRPr="00F87F5B">
              <w:rPr>
                <w:lang w:val="es-419"/>
              </w:rPr>
              <w:t> </w:t>
            </w:r>
            <w:r w:rsidRPr="00F87F5B">
              <w:rPr>
                <w:lang w:val="es-419"/>
              </w:rPr>
              <w:t xml:space="preserve">II se mantengan actualizadas y respondan a las necesidades de las partes interesadas. Asimismo, es fundamental que tanto la OMPI como los Estados miembros </w:t>
            </w:r>
            <w:r w:rsidR="004021D0" w:rsidRPr="00F87F5B">
              <w:rPr>
                <w:lang w:val="es-419"/>
              </w:rPr>
              <w:t xml:space="preserve">velen por que las partes interesadas tengan acceso </w:t>
            </w:r>
            <w:r w:rsidRPr="00F87F5B">
              <w:rPr>
                <w:lang w:val="es-419"/>
              </w:rPr>
              <w:t xml:space="preserve">la a las herramientas creadas en el marco del proyecto y, por otro lado, que prosigan con la labor de sensibilización al respecto, con el fin de </w:t>
            </w:r>
            <w:r w:rsidR="004021D0" w:rsidRPr="00F87F5B">
              <w:rPr>
                <w:lang w:val="es-419"/>
              </w:rPr>
              <w:t>potenciar el</w:t>
            </w:r>
            <w:r w:rsidRPr="00F87F5B">
              <w:rPr>
                <w:lang w:val="es-419"/>
              </w:rPr>
              <w:t xml:space="preserve"> uso de estas herramientas en la organización futura de actividades de fortalecimiento de capacidades. Si fuera necesario, las herramientas podrían </w:t>
            </w:r>
            <w:r w:rsidR="008F6ED9" w:rsidRPr="00F87F5B">
              <w:rPr>
                <w:lang w:val="es-419"/>
              </w:rPr>
              <w:t>adaptarse</w:t>
            </w:r>
            <w:r w:rsidRPr="00F87F5B">
              <w:rPr>
                <w:lang w:val="es-419"/>
              </w:rPr>
              <w:t xml:space="preserve"> o traducirse a otros idiomas</w:t>
            </w:r>
            <w:r w:rsidR="008F6ED9" w:rsidRPr="00F87F5B">
              <w:rPr>
                <w:lang w:val="es-419"/>
              </w:rPr>
              <w:t>.</w:t>
            </w:r>
          </w:p>
          <w:p w14:paraId="34FFF408" w14:textId="77777777" w:rsidR="00E1606D" w:rsidRPr="00F87F5B" w:rsidRDefault="00E1606D" w:rsidP="00EF2254">
            <w:pPr>
              <w:pStyle w:val="TableParagraph"/>
              <w:ind w:left="110"/>
              <w:rPr>
                <w:lang w:val="es-419"/>
              </w:rPr>
            </w:pPr>
          </w:p>
          <w:p w14:paraId="5A41A44E" w14:textId="7BE5596D" w:rsidR="00E1606D" w:rsidRPr="00F87F5B" w:rsidRDefault="00E1606D" w:rsidP="00EF2254">
            <w:pPr>
              <w:pStyle w:val="TableParagraph"/>
              <w:ind w:left="110"/>
              <w:rPr>
                <w:lang w:val="es-419"/>
              </w:rPr>
            </w:pPr>
            <w:r w:rsidRPr="00F87F5B">
              <w:rPr>
                <w:lang w:val="es-419"/>
              </w:rPr>
              <w:t>Además, el Comité aprobó la integración de los productos del proyecto</w:t>
            </w:r>
            <w:r w:rsidRPr="00F87F5B">
              <w:rPr>
                <w:vertAlign w:val="superscript"/>
                <w:lang w:val="es-419"/>
              </w:rPr>
              <w:footnoteReference w:id="3"/>
            </w:r>
            <w:r w:rsidRPr="00F87F5B">
              <w:rPr>
                <w:lang w:val="es-419"/>
              </w:rPr>
              <w:t xml:space="preserve"> en la</w:t>
            </w:r>
            <w:r w:rsidR="004021D0" w:rsidRPr="00F87F5B">
              <w:rPr>
                <w:lang w:val="es-419"/>
              </w:rPr>
              <w:t xml:space="preserve"> vigesimoctava</w:t>
            </w:r>
            <w:r w:rsidRPr="00F87F5B">
              <w:rPr>
                <w:lang w:val="es-419"/>
              </w:rPr>
              <w:t xml:space="preserve"> sesión del CDIP. Por ello, la Secretaría velará por la debida integración de los productos del proyecto en la labor corriente de la OMPI.</w:t>
            </w:r>
          </w:p>
          <w:p w14:paraId="23493687" w14:textId="77777777" w:rsidR="00E1606D" w:rsidRPr="00F87F5B" w:rsidRDefault="00E1606D" w:rsidP="00EF2254">
            <w:pPr>
              <w:pStyle w:val="TableParagraph"/>
              <w:rPr>
                <w:lang w:val="es-419"/>
              </w:rPr>
            </w:pPr>
          </w:p>
        </w:tc>
      </w:tr>
      <w:tr w:rsidR="00E1606D" w:rsidRPr="00F87F5B" w14:paraId="5126CC61" w14:textId="77777777" w:rsidTr="00EF2254">
        <w:trPr>
          <w:trHeight w:val="253"/>
        </w:trPr>
        <w:tc>
          <w:tcPr>
            <w:tcW w:w="9352" w:type="dxa"/>
            <w:shd w:val="clear" w:color="auto" w:fill="68E089"/>
          </w:tcPr>
          <w:p w14:paraId="697BE5AB" w14:textId="77777777" w:rsidR="00E1606D" w:rsidRPr="00F87F5B" w:rsidRDefault="00E1606D" w:rsidP="00EF2254">
            <w:pPr>
              <w:pStyle w:val="TableParagraph"/>
              <w:spacing w:line="234" w:lineRule="exact"/>
              <w:ind w:left="102" w:right="90"/>
              <w:jc w:val="center"/>
              <w:rPr>
                <w:b/>
                <w:lang w:val="es-419"/>
              </w:rPr>
            </w:pPr>
            <w:r w:rsidRPr="00F87F5B">
              <w:rPr>
                <w:b/>
                <w:bCs/>
                <w:lang w:val="es-419"/>
              </w:rPr>
              <w:t>2.5 Criterios de selección de los países piloto o beneficiarios</w:t>
            </w:r>
          </w:p>
        </w:tc>
      </w:tr>
      <w:tr w:rsidR="00E1606D" w:rsidRPr="00F87F5B" w14:paraId="51347CD7" w14:textId="77777777" w:rsidTr="00EF2254">
        <w:trPr>
          <w:trHeight w:val="253"/>
        </w:trPr>
        <w:tc>
          <w:tcPr>
            <w:tcW w:w="9352" w:type="dxa"/>
            <w:shd w:val="clear" w:color="auto" w:fill="FFFFFF" w:themeFill="background1"/>
          </w:tcPr>
          <w:p w14:paraId="587B775C" w14:textId="25D435C7" w:rsidR="00E1606D" w:rsidRPr="00F87F5B" w:rsidRDefault="00E1606D" w:rsidP="00EF2254">
            <w:pPr>
              <w:pStyle w:val="TableParagraph"/>
              <w:spacing w:line="234" w:lineRule="exact"/>
              <w:ind w:left="102" w:right="90"/>
              <w:rPr>
                <w:lang w:val="es-419"/>
              </w:rPr>
            </w:pPr>
            <w:r w:rsidRPr="00F87F5B">
              <w:rPr>
                <w:lang w:val="es-419"/>
              </w:rPr>
              <w:t>Los países beneficiarios serán los mismos que participaron en la fase</w:t>
            </w:r>
            <w:r w:rsidR="008F6ED9" w:rsidRPr="00F87F5B">
              <w:rPr>
                <w:lang w:val="es-419"/>
              </w:rPr>
              <w:t> </w:t>
            </w:r>
            <w:r w:rsidRPr="00F87F5B">
              <w:rPr>
                <w:lang w:val="es-419"/>
              </w:rPr>
              <w:t>I, a saber, Kenya, Filipinas y Trinidad y Tabago.</w:t>
            </w:r>
          </w:p>
          <w:p w14:paraId="139EE143" w14:textId="77777777" w:rsidR="00E1606D" w:rsidRPr="00F87F5B" w:rsidRDefault="00E1606D" w:rsidP="00EF2254">
            <w:pPr>
              <w:pStyle w:val="TableParagraph"/>
              <w:spacing w:line="234" w:lineRule="exact"/>
              <w:ind w:left="102" w:right="90"/>
              <w:rPr>
                <w:lang w:val="es-419"/>
              </w:rPr>
            </w:pPr>
          </w:p>
        </w:tc>
      </w:tr>
      <w:tr w:rsidR="00E1606D" w:rsidRPr="00F87F5B" w14:paraId="2F117305" w14:textId="77777777" w:rsidTr="00EF2254">
        <w:trPr>
          <w:trHeight w:val="253"/>
        </w:trPr>
        <w:tc>
          <w:tcPr>
            <w:tcW w:w="9352" w:type="dxa"/>
            <w:shd w:val="clear" w:color="auto" w:fill="68E089"/>
          </w:tcPr>
          <w:p w14:paraId="65A6121B" w14:textId="77777777" w:rsidR="00E1606D" w:rsidRPr="00F87F5B" w:rsidRDefault="00E1606D" w:rsidP="00EF2254">
            <w:pPr>
              <w:pStyle w:val="TableParagraph"/>
              <w:spacing w:line="234" w:lineRule="exact"/>
              <w:ind w:left="102" w:right="90"/>
              <w:jc w:val="center"/>
              <w:rPr>
                <w:b/>
                <w:lang w:val="es-419"/>
              </w:rPr>
            </w:pPr>
            <w:r w:rsidRPr="00F87F5B">
              <w:rPr>
                <w:b/>
                <w:bCs/>
                <w:lang w:val="es-419"/>
              </w:rPr>
              <w:t>2.6 Entidad institucional encargada de la ejecución</w:t>
            </w:r>
          </w:p>
        </w:tc>
      </w:tr>
      <w:tr w:rsidR="00E1606D" w:rsidRPr="00F87F5B" w14:paraId="172D614B" w14:textId="77777777" w:rsidTr="00EF2254">
        <w:trPr>
          <w:trHeight w:val="416"/>
        </w:trPr>
        <w:tc>
          <w:tcPr>
            <w:tcW w:w="9352" w:type="dxa"/>
          </w:tcPr>
          <w:p w14:paraId="4B765F28" w14:textId="77777777" w:rsidR="00E1606D" w:rsidRPr="00F87F5B" w:rsidRDefault="00E1606D" w:rsidP="00EF2254">
            <w:pPr>
              <w:pStyle w:val="TableParagraph"/>
              <w:ind w:left="110" w:right="614"/>
              <w:rPr>
                <w:lang w:val="es-419"/>
              </w:rPr>
            </w:pPr>
            <w:r w:rsidRPr="00F87F5B">
              <w:rPr>
                <w:lang w:val="es-419"/>
              </w:rPr>
              <w:t>Sector de Derecho de Autor e Industrias Creativas, División de Información y Difusión por Medios Digitales</w:t>
            </w:r>
          </w:p>
        </w:tc>
      </w:tr>
      <w:tr w:rsidR="00E1606D" w:rsidRPr="00F87F5B" w14:paraId="13821AD4" w14:textId="77777777" w:rsidTr="00EF2254">
        <w:trPr>
          <w:trHeight w:val="254"/>
        </w:trPr>
        <w:tc>
          <w:tcPr>
            <w:tcW w:w="9352" w:type="dxa"/>
            <w:shd w:val="clear" w:color="auto" w:fill="68E089"/>
          </w:tcPr>
          <w:p w14:paraId="42FA32F8" w14:textId="77777777" w:rsidR="00E1606D" w:rsidRPr="00F87F5B" w:rsidRDefault="00E1606D" w:rsidP="00EF2254">
            <w:pPr>
              <w:pStyle w:val="TableParagraph"/>
              <w:spacing w:line="234" w:lineRule="exact"/>
              <w:ind w:left="102" w:right="90"/>
              <w:jc w:val="center"/>
              <w:rPr>
                <w:b/>
                <w:lang w:val="es-419"/>
              </w:rPr>
            </w:pPr>
            <w:r w:rsidRPr="00F87F5B">
              <w:rPr>
                <w:b/>
                <w:bCs/>
                <w:lang w:val="es-419"/>
              </w:rPr>
              <w:t>2.7 Vínculos con otras entidades institucionales</w:t>
            </w:r>
          </w:p>
        </w:tc>
      </w:tr>
      <w:tr w:rsidR="00E1606D" w:rsidRPr="00F87F5B" w14:paraId="71407C30" w14:textId="77777777" w:rsidTr="00EF2254">
        <w:trPr>
          <w:trHeight w:val="431"/>
        </w:trPr>
        <w:tc>
          <w:tcPr>
            <w:tcW w:w="9352" w:type="dxa"/>
          </w:tcPr>
          <w:p w14:paraId="014BFC7A" w14:textId="591FE0FE" w:rsidR="00E1606D" w:rsidRPr="00F87F5B" w:rsidRDefault="00E1606D" w:rsidP="00EF2254">
            <w:pPr>
              <w:pStyle w:val="TableParagraph"/>
              <w:spacing w:before="1"/>
              <w:ind w:left="110"/>
              <w:rPr>
                <w:lang w:val="es-419"/>
              </w:rPr>
            </w:pPr>
            <w:r w:rsidRPr="00F87F5B">
              <w:rPr>
                <w:lang w:val="es-419"/>
              </w:rPr>
              <w:t>Sector de Desarrollo Nacional y Regional</w:t>
            </w:r>
          </w:p>
          <w:p w14:paraId="5B219668" w14:textId="77777777" w:rsidR="00E1606D" w:rsidRPr="00F87F5B" w:rsidRDefault="00E1606D" w:rsidP="00EF2254">
            <w:pPr>
              <w:pStyle w:val="TableParagraph"/>
              <w:spacing w:before="1"/>
              <w:ind w:left="110"/>
              <w:rPr>
                <w:lang w:val="es-419"/>
              </w:rPr>
            </w:pPr>
            <w:r w:rsidRPr="00F87F5B">
              <w:rPr>
                <w:lang w:val="es-419"/>
              </w:rPr>
              <w:t>Sector de PI y Ecosistemas de Innovación</w:t>
            </w:r>
          </w:p>
          <w:p w14:paraId="3293F591" w14:textId="77777777" w:rsidR="00E1606D" w:rsidRPr="00F87F5B" w:rsidRDefault="00E1606D" w:rsidP="00EF2254">
            <w:pPr>
              <w:pStyle w:val="TableParagraph"/>
              <w:spacing w:before="1"/>
              <w:ind w:left="110"/>
              <w:rPr>
                <w:lang w:val="es-419"/>
              </w:rPr>
            </w:pPr>
          </w:p>
        </w:tc>
      </w:tr>
      <w:tr w:rsidR="00E1606D" w:rsidRPr="00F87F5B" w14:paraId="78709678" w14:textId="77777777" w:rsidTr="00EF2254">
        <w:trPr>
          <w:trHeight w:val="361"/>
        </w:trPr>
        <w:tc>
          <w:tcPr>
            <w:tcW w:w="9352" w:type="dxa"/>
            <w:shd w:val="clear" w:color="auto" w:fill="68E089"/>
          </w:tcPr>
          <w:p w14:paraId="51E92656" w14:textId="77777777" w:rsidR="00E1606D" w:rsidRPr="00F87F5B" w:rsidRDefault="00E1606D" w:rsidP="00EF2254">
            <w:pPr>
              <w:pStyle w:val="TableParagraph"/>
              <w:spacing w:line="250" w:lineRule="exact"/>
              <w:ind w:left="110"/>
              <w:jc w:val="center"/>
              <w:rPr>
                <w:lang w:val="es-419"/>
              </w:rPr>
            </w:pPr>
            <w:r w:rsidRPr="00F87F5B">
              <w:rPr>
                <w:b/>
                <w:bCs/>
                <w:lang w:val="es-419"/>
              </w:rPr>
              <w:t>2.8 Vínculos con otros proyectos de la AD</w:t>
            </w:r>
          </w:p>
        </w:tc>
      </w:tr>
      <w:tr w:rsidR="00E1606D" w:rsidRPr="00F87F5B" w14:paraId="30ACB993" w14:textId="77777777" w:rsidTr="00EF2254">
        <w:trPr>
          <w:trHeight w:val="568"/>
        </w:trPr>
        <w:tc>
          <w:tcPr>
            <w:tcW w:w="9352" w:type="dxa"/>
          </w:tcPr>
          <w:p w14:paraId="124962A5" w14:textId="77777777" w:rsidR="00E1606D" w:rsidRPr="00F87F5B" w:rsidRDefault="00E1606D" w:rsidP="00EF2254">
            <w:pPr>
              <w:pStyle w:val="TableParagraph"/>
              <w:ind w:left="110" w:right="614"/>
              <w:rPr>
                <w:lang w:val="es-419"/>
              </w:rPr>
            </w:pPr>
            <w:r w:rsidRPr="00F87F5B">
              <w:rPr>
                <w:lang w:val="es-419"/>
              </w:rPr>
              <w:t xml:space="preserve">Proyecto de la AD relativo a la intensificación del uso de la PI en el sector del </w:t>
            </w:r>
            <w:r w:rsidRPr="00F87F5B">
              <w:rPr>
                <w:i/>
                <w:iCs/>
                <w:lang w:val="es-419"/>
              </w:rPr>
              <w:t xml:space="preserve">software </w:t>
            </w:r>
            <w:r w:rsidRPr="00F87F5B">
              <w:rPr>
                <w:lang w:val="es-419"/>
              </w:rPr>
              <w:t>(DA_11_23_24_27_01)</w:t>
            </w:r>
          </w:p>
          <w:p w14:paraId="245A20E5" w14:textId="77777777" w:rsidR="00E1606D" w:rsidRPr="00F87F5B" w:rsidRDefault="00E1606D" w:rsidP="00EF2254">
            <w:pPr>
              <w:pStyle w:val="TableParagraph"/>
              <w:ind w:right="614"/>
              <w:rPr>
                <w:lang w:val="es-419"/>
              </w:rPr>
            </w:pPr>
          </w:p>
        </w:tc>
      </w:tr>
      <w:tr w:rsidR="00E1606D" w:rsidRPr="00F87F5B" w14:paraId="64467DA1" w14:textId="77777777" w:rsidTr="00EF2254">
        <w:trPr>
          <w:trHeight w:val="406"/>
        </w:trPr>
        <w:tc>
          <w:tcPr>
            <w:tcW w:w="9352" w:type="dxa"/>
            <w:shd w:val="clear" w:color="auto" w:fill="68E089"/>
          </w:tcPr>
          <w:p w14:paraId="6D5801B5" w14:textId="77777777" w:rsidR="00E1606D" w:rsidRPr="00F87F5B" w:rsidRDefault="00E1606D" w:rsidP="00EF2254">
            <w:pPr>
              <w:pStyle w:val="TableParagraph"/>
              <w:spacing w:line="246" w:lineRule="exact"/>
              <w:ind w:left="110"/>
              <w:jc w:val="center"/>
              <w:rPr>
                <w:lang w:val="es-419"/>
              </w:rPr>
            </w:pPr>
            <w:r w:rsidRPr="00F87F5B">
              <w:rPr>
                <w:b/>
                <w:bCs/>
                <w:lang w:val="es-419"/>
              </w:rPr>
              <w:t>2.9 Contribución a los resultados previstos en el presupuesto por programas de la OMPI</w:t>
            </w:r>
          </w:p>
        </w:tc>
      </w:tr>
      <w:tr w:rsidR="00E1606D" w:rsidRPr="00F87F5B" w14:paraId="2D5F1377" w14:textId="77777777" w:rsidTr="00EF2254">
        <w:trPr>
          <w:trHeight w:val="451"/>
        </w:trPr>
        <w:tc>
          <w:tcPr>
            <w:tcW w:w="9352" w:type="dxa"/>
          </w:tcPr>
          <w:p w14:paraId="7F4E7382" w14:textId="00CEE5A8" w:rsidR="00E1606D" w:rsidRPr="00F2251A" w:rsidRDefault="00E1606D" w:rsidP="00EF2254">
            <w:pPr>
              <w:pStyle w:val="TableParagraph"/>
              <w:spacing w:line="246" w:lineRule="exact"/>
              <w:ind w:left="110"/>
              <w:rPr>
                <w:lang w:val="es-419"/>
              </w:rPr>
            </w:pPr>
            <w:r w:rsidRPr="00F2251A">
              <w:rPr>
                <w:lang w:val="es-419"/>
              </w:rPr>
              <w:t>4.1 Un uso más eficaz de la propiedad intelectual para apoyar el crecimiento y el desarrollo de todos los Estados miembros y sus regiones y subregiones, entre otras cosas, mediante la implantación de las recomendaciones de la Agenda para el Desarrollo.</w:t>
            </w:r>
          </w:p>
          <w:p w14:paraId="7FB24340" w14:textId="77777777" w:rsidR="00E1606D" w:rsidRPr="00F2251A" w:rsidRDefault="00E1606D" w:rsidP="00EF2254">
            <w:pPr>
              <w:pStyle w:val="TableParagraph"/>
              <w:spacing w:line="246" w:lineRule="exact"/>
              <w:ind w:left="110"/>
              <w:rPr>
                <w:lang w:val="es-419"/>
              </w:rPr>
            </w:pPr>
          </w:p>
          <w:p w14:paraId="74CAE65B" w14:textId="1C4D10E9" w:rsidR="00E1606D" w:rsidRPr="00F2251A" w:rsidRDefault="00E1606D" w:rsidP="00EF2254">
            <w:pPr>
              <w:pStyle w:val="TableParagraph"/>
              <w:spacing w:line="246" w:lineRule="exact"/>
              <w:ind w:left="110"/>
              <w:rPr>
                <w:lang w:val="es-419"/>
              </w:rPr>
            </w:pPr>
            <w:r w:rsidRPr="00F2251A">
              <w:rPr>
                <w:lang w:val="es-419"/>
              </w:rPr>
              <w:t>4.2 Desarrollo de ecosistemas equilibrados y eficaces de PI, innovación y creatividad en los Estados miembros.</w:t>
            </w:r>
          </w:p>
          <w:p w14:paraId="26F437DB" w14:textId="77777777" w:rsidR="00E1606D" w:rsidRPr="00F2251A" w:rsidRDefault="00E1606D" w:rsidP="00EF2254">
            <w:pPr>
              <w:pStyle w:val="TableParagraph"/>
              <w:spacing w:line="246" w:lineRule="exact"/>
              <w:ind w:left="110"/>
              <w:rPr>
                <w:lang w:val="es-419"/>
              </w:rPr>
            </w:pPr>
          </w:p>
          <w:p w14:paraId="020F9DB6" w14:textId="538E7AEF" w:rsidR="00E1606D" w:rsidRPr="00F2251A" w:rsidRDefault="00E1606D" w:rsidP="00EF2254">
            <w:pPr>
              <w:pStyle w:val="TableParagraph"/>
              <w:spacing w:line="246" w:lineRule="exact"/>
              <w:ind w:left="110"/>
              <w:rPr>
                <w:lang w:val="es-419"/>
              </w:rPr>
            </w:pPr>
            <w:r w:rsidRPr="00F2251A">
              <w:rPr>
                <w:lang w:val="es-419"/>
              </w:rPr>
              <w:t>4.3 Aumento de los conocimientos y competencias en materia de PI en todos los Estados miembros.</w:t>
            </w:r>
          </w:p>
          <w:p w14:paraId="2C21F7BB" w14:textId="77777777" w:rsidR="00E1606D" w:rsidRPr="00F2251A" w:rsidRDefault="00E1606D" w:rsidP="00EF2254">
            <w:pPr>
              <w:pStyle w:val="TableParagraph"/>
              <w:spacing w:line="246" w:lineRule="exact"/>
              <w:ind w:left="110"/>
              <w:rPr>
                <w:b/>
                <w:lang w:val="es-419"/>
              </w:rPr>
            </w:pPr>
          </w:p>
          <w:p w14:paraId="2E2985A6" w14:textId="3159BEEB" w:rsidR="00E1606D" w:rsidRPr="00541D4E" w:rsidRDefault="00E1606D" w:rsidP="00EF2254">
            <w:pPr>
              <w:pStyle w:val="TableParagraph"/>
              <w:spacing w:line="246" w:lineRule="exact"/>
              <w:ind w:left="110"/>
              <w:rPr>
                <w:lang w:val="es-419"/>
              </w:rPr>
            </w:pPr>
            <w:r w:rsidRPr="00F2251A">
              <w:rPr>
                <w:lang w:val="es-419"/>
              </w:rPr>
              <w:t xml:space="preserve">4.4 Más innovadores, creadores, pymes, universidades, instituciones de investigación y </w:t>
            </w:r>
            <w:r w:rsidRPr="00541D4E">
              <w:rPr>
                <w:lang w:val="es-419"/>
              </w:rPr>
              <w:t>comunidades sacan provecho de la PI.</w:t>
            </w:r>
          </w:p>
          <w:p w14:paraId="0E87C85A" w14:textId="77777777" w:rsidR="00E1606D" w:rsidRPr="00541D4E" w:rsidRDefault="00E1606D" w:rsidP="00ED68AB">
            <w:pPr>
              <w:pStyle w:val="TableParagraph"/>
              <w:spacing w:line="246" w:lineRule="exact"/>
              <w:rPr>
                <w:lang w:val="es-419"/>
              </w:rPr>
            </w:pPr>
          </w:p>
          <w:p w14:paraId="09F8EB14" w14:textId="6096A6BF" w:rsidR="00ED68AB" w:rsidRPr="00F87F5B" w:rsidRDefault="00ED68AB" w:rsidP="00ED68AB">
            <w:pPr>
              <w:pStyle w:val="TableParagraph"/>
              <w:spacing w:line="246" w:lineRule="exact"/>
              <w:rPr>
                <w:b/>
                <w:lang w:val="es-419"/>
              </w:rPr>
            </w:pPr>
          </w:p>
        </w:tc>
      </w:tr>
      <w:tr w:rsidR="00E1606D" w:rsidRPr="00F87F5B" w14:paraId="00A8448B" w14:textId="77777777" w:rsidTr="00EF2254">
        <w:trPr>
          <w:trHeight w:val="352"/>
        </w:trPr>
        <w:tc>
          <w:tcPr>
            <w:tcW w:w="9352" w:type="dxa"/>
            <w:shd w:val="clear" w:color="auto" w:fill="68E089"/>
          </w:tcPr>
          <w:p w14:paraId="337A94B9" w14:textId="77777777" w:rsidR="00E1606D" w:rsidRPr="00F87F5B" w:rsidRDefault="00E1606D" w:rsidP="00EF2254">
            <w:pPr>
              <w:pStyle w:val="TableParagraph"/>
              <w:ind w:left="110" w:right="77"/>
              <w:jc w:val="center"/>
              <w:rPr>
                <w:b/>
                <w:lang w:val="es-419"/>
              </w:rPr>
            </w:pPr>
            <w:r w:rsidRPr="00F87F5B">
              <w:rPr>
                <w:b/>
                <w:bCs/>
                <w:lang w:val="es-419"/>
              </w:rPr>
              <w:t>2.10 Riesgos y medidas paliativas</w:t>
            </w:r>
          </w:p>
        </w:tc>
      </w:tr>
      <w:tr w:rsidR="00E1606D" w:rsidRPr="00F87F5B" w14:paraId="23795B1D" w14:textId="77777777" w:rsidTr="00EF2254">
        <w:trPr>
          <w:trHeight w:val="424"/>
        </w:trPr>
        <w:tc>
          <w:tcPr>
            <w:tcW w:w="9352" w:type="dxa"/>
            <w:shd w:val="clear" w:color="auto" w:fill="FFFFFF" w:themeFill="background1"/>
          </w:tcPr>
          <w:p w14:paraId="525A38F9" w14:textId="0C261367" w:rsidR="00E1606D" w:rsidRPr="00F87F5B" w:rsidRDefault="00E1606D" w:rsidP="00EF2254">
            <w:pPr>
              <w:pStyle w:val="TableParagraph"/>
              <w:ind w:left="110" w:right="77"/>
              <w:rPr>
                <w:lang w:val="es-419"/>
              </w:rPr>
            </w:pPr>
            <w:r w:rsidRPr="00F87F5B">
              <w:rPr>
                <w:b/>
                <w:bCs/>
                <w:lang w:val="es-419"/>
              </w:rPr>
              <w:t>Riesgo I</w:t>
            </w:r>
            <w:r w:rsidRPr="00F87F5B">
              <w:rPr>
                <w:lang w:val="es-419"/>
              </w:rPr>
              <w:t>: dificultades en la búsqueda de desarrolladores de aplicaciones móviles en los ámbitos de la industria creativa seleccionados (música, edición, videojuegos y contenidos audiovisuales).</w:t>
            </w:r>
          </w:p>
          <w:p w14:paraId="6A48964D" w14:textId="77777777" w:rsidR="00E1606D" w:rsidRPr="00F87F5B" w:rsidRDefault="00E1606D" w:rsidP="00EF2254">
            <w:pPr>
              <w:pStyle w:val="TableParagraph"/>
              <w:ind w:left="110" w:right="77"/>
              <w:rPr>
                <w:lang w:val="es-419"/>
              </w:rPr>
            </w:pPr>
          </w:p>
          <w:p w14:paraId="7DBAF836" w14:textId="73E99D41" w:rsidR="00E1606D" w:rsidRPr="00F87F5B" w:rsidRDefault="00E1606D" w:rsidP="00EF2254">
            <w:pPr>
              <w:pStyle w:val="TableParagraph"/>
              <w:ind w:left="110" w:right="77"/>
              <w:rPr>
                <w:lang w:val="es-419"/>
              </w:rPr>
            </w:pPr>
            <w:r w:rsidRPr="00F87F5B">
              <w:rPr>
                <w:b/>
                <w:bCs/>
                <w:lang w:val="es-419"/>
              </w:rPr>
              <w:t>Medida paliativa I</w:t>
            </w:r>
            <w:r w:rsidRPr="00F87F5B">
              <w:rPr>
                <w:lang w:val="es-419"/>
              </w:rPr>
              <w:t>: elaboración de una estrategia de comunicación o divulgación clara y específica en estrecha coordinación con los asociados locales de cada uno de los países beneficiarios.</w:t>
            </w:r>
          </w:p>
          <w:p w14:paraId="08D13392" w14:textId="77777777" w:rsidR="00E1606D" w:rsidRPr="00F87F5B" w:rsidRDefault="00E1606D" w:rsidP="00EF2254">
            <w:pPr>
              <w:pStyle w:val="TableParagraph"/>
              <w:ind w:left="110" w:right="77"/>
              <w:rPr>
                <w:lang w:val="es-419"/>
              </w:rPr>
            </w:pPr>
          </w:p>
          <w:p w14:paraId="5CB41691" w14:textId="7522DF11" w:rsidR="00E1606D" w:rsidRPr="00F87F5B" w:rsidRDefault="00E1606D" w:rsidP="00EF2254">
            <w:pPr>
              <w:pStyle w:val="TableParagraph"/>
              <w:ind w:left="110" w:right="77"/>
              <w:rPr>
                <w:lang w:val="es-419"/>
              </w:rPr>
            </w:pPr>
            <w:r w:rsidRPr="00F87F5B">
              <w:rPr>
                <w:b/>
                <w:bCs/>
                <w:lang w:val="es-419"/>
              </w:rPr>
              <w:t>Riesgo II</w:t>
            </w:r>
            <w:r w:rsidRPr="00F87F5B">
              <w:rPr>
                <w:lang w:val="es-419"/>
              </w:rPr>
              <w:t>: la posible continuidad de las restricciones relacionadas con la COVID-19, quizá distintas en cada uno de los países beneficiarios, que pueden entorpecer la necesaria interacción, la creación de redes y los eventos presenciales programados.</w:t>
            </w:r>
          </w:p>
          <w:p w14:paraId="03D2B12A" w14:textId="77777777" w:rsidR="00E1606D" w:rsidRPr="00F87F5B" w:rsidRDefault="00E1606D" w:rsidP="00EF2254">
            <w:pPr>
              <w:pStyle w:val="TableParagraph"/>
              <w:ind w:left="110" w:right="77"/>
              <w:rPr>
                <w:lang w:val="es-419"/>
              </w:rPr>
            </w:pPr>
          </w:p>
          <w:p w14:paraId="44E34EBB" w14:textId="3B0D0D28" w:rsidR="00E1606D" w:rsidRPr="00F87F5B" w:rsidRDefault="00E1606D" w:rsidP="00EF2254">
            <w:pPr>
              <w:pStyle w:val="TableParagraph"/>
              <w:ind w:left="110" w:right="77"/>
              <w:rPr>
                <w:lang w:val="es-419"/>
              </w:rPr>
            </w:pPr>
            <w:r w:rsidRPr="00F87F5B">
              <w:rPr>
                <w:b/>
                <w:bCs/>
                <w:lang w:val="es-419"/>
              </w:rPr>
              <w:t>Medida paliativa II</w:t>
            </w:r>
            <w:r w:rsidRPr="00F87F5B">
              <w:rPr>
                <w:lang w:val="es-419"/>
              </w:rPr>
              <w:t>: la ejecución armonizada del proyecto en los tres países beneficiarios mediante la celebración de los eventos en formato virtual o en Ginebra.</w:t>
            </w:r>
          </w:p>
          <w:p w14:paraId="5F5037CB" w14:textId="77777777" w:rsidR="00E1606D" w:rsidRPr="00F87F5B" w:rsidRDefault="00E1606D" w:rsidP="00EF2254">
            <w:pPr>
              <w:pStyle w:val="TableParagraph"/>
              <w:ind w:left="110" w:right="77"/>
              <w:rPr>
                <w:lang w:val="es-419"/>
              </w:rPr>
            </w:pPr>
          </w:p>
        </w:tc>
      </w:tr>
    </w:tbl>
    <w:p w14:paraId="2EA8E283" w14:textId="77777777" w:rsidR="00423826" w:rsidRPr="00F87F5B" w:rsidRDefault="00423826" w:rsidP="00423826">
      <w:pPr>
        <w:widowControl w:val="0"/>
        <w:autoSpaceDE w:val="0"/>
        <w:autoSpaceDN w:val="0"/>
        <w:spacing w:before="71"/>
        <w:ind w:left="136"/>
        <w:rPr>
          <w:rFonts w:eastAsia="Arial"/>
          <w:b/>
          <w:szCs w:val="22"/>
          <w:lang w:val="es-419" w:eastAsia="en-US"/>
        </w:rPr>
      </w:pPr>
    </w:p>
    <w:p w14:paraId="37B94D78" w14:textId="1F9FD41F" w:rsidR="00423826" w:rsidRPr="00F87F5B" w:rsidRDefault="00423826" w:rsidP="00423826">
      <w:pPr>
        <w:spacing w:before="5" w:after="220"/>
        <w:rPr>
          <w:rFonts w:eastAsia="Times New Roman"/>
          <w:szCs w:val="22"/>
          <w:lang w:val="es-419" w:eastAsia="en-US"/>
        </w:rPr>
      </w:pPr>
      <w:r w:rsidRPr="00F87F5B">
        <w:rPr>
          <w:rFonts w:eastAsia="Times New Roman"/>
          <w:b/>
          <w:bCs/>
          <w:szCs w:val="22"/>
          <w:lang w:val="es-419" w:eastAsia="en-US"/>
        </w:rPr>
        <w:t>3.</w:t>
      </w:r>
      <w:r w:rsidRPr="00F87F5B">
        <w:rPr>
          <w:rFonts w:eastAsia="Times New Roman"/>
          <w:szCs w:val="22"/>
          <w:lang w:val="es-419" w:eastAsia="en-US"/>
        </w:rPr>
        <w:t xml:space="preserve"> </w:t>
      </w:r>
      <w:r w:rsidR="00E1606D" w:rsidRPr="00F87F5B">
        <w:rPr>
          <w:rFonts w:eastAsia="Arial"/>
          <w:b/>
          <w:bCs/>
          <w:szCs w:val="22"/>
          <w:lang w:val="es-419" w:eastAsia="en-US"/>
        </w:rPr>
        <w:t>Calendario provisional de ejecución</w:t>
      </w:r>
    </w:p>
    <w:tbl>
      <w:tblPr>
        <w:tblW w:w="949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5245"/>
        <w:gridCol w:w="851"/>
        <w:gridCol w:w="850"/>
        <w:gridCol w:w="851"/>
        <w:gridCol w:w="850"/>
        <w:gridCol w:w="851"/>
      </w:tblGrid>
      <w:tr w:rsidR="00E1606D" w:rsidRPr="00F87F5B" w14:paraId="7E6DCAA0" w14:textId="77777777" w:rsidTr="00EF2254">
        <w:trPr>
          <w:trHeight w:val="377"/>
        </w:trPr>
        <w:tc>
          <w:tcPr>
            <w:tcW w:w="5245" w:type="dxa"/>
            <w:vMerge w:val="restart"/>
            <w:tcBorders>
              <w:left w:val="nil"/>
              <w:bottom w:val="single" w:sz="8" w:space="0" w:color="FFFFFF"/>
              <w:right w:val="single" w:sz="8" w:space="0" w:color="FFFFFF"/>
            </w:tcBorders>
            <w:shd w:val="clear" w:color="auto" w:fill="F1F1F1"/>
          </w:tcPr>
          <w:p w14:paraId="3165A554" w14:textId="77777777" w:rsidR="00E1606D" w:rsidRPr="00F87F5B" w:rsidRDefault="00E1606D" w:rsidP="00EF2254">
            <w:pPr>
              <w:pStyle w:val="TableParagraph"/>
              <w:rPr>
                <w:lang w:val="es-419"/>
              </w:rPr>
            </w:pPr>
          </w:p>
          <w:p w14:paraId="23845212" w14:textId="77777777" w:rsidR="00E1606D" w:rsidRPr="00F87F5B" w:rsidRDefault="00E1606D" w:rsidP="00EF2254">
            <w:pPr>
              <w:pStyle w:val="TableParagraph"/>
              <w:spacing w:before="150"/>
              <w:ind w:left="98"/>
              <w:rPr>
                <w:lang w:val="es-419"/>
              </w:rPr>
            </w:pPr>
            <w:r w:rsidRPr="00F87F5B">
              <w:rPr>
                <w:lang w:val="es-419"/>
              </w:rPr>
              <w:t xml:space="preserve">Productos del proyecto </w:t>
            </w:r>
          </w:p>
        </w:tc>
        <w:tc>
          <w:tcPr>
            <w:tcW w:w="4253" w:type="dxa"/>
            <w:gridSpan w:val="5"/>
            <w:tcBorders>
              <w:left w:val="single" w:sz="8" w:space="0" w:color="FFFFFF"/>
              <w:bottom w:val="single" w:sz="12" w:space="0" w:color="FFFFFF"/>
              <w:right w:val="single" w:sz="12" w:space="0" w:color="FFFFFF" w:themeColor="background1"/>
            </w:tcBorders>
            <w:shd w:val="clear" w:color="auto" w:fill="68E089"/>
          </w:tcPr>
          <w:p w14:paraId="264D4C1D" w14:textId="77777777" w:rsidR="00E1606D" w:rsidRPr="00F87F5B" w:rsidRDefault="00E1606D" w:rsidP="00EF2254">
            <w:pPr>
              <w:pStyle w:val="TableParagraph"/>
              <w:spacing w:line="264" w:lineRule="exact"/>
              <w:ind w:left="90"/>
              <w:jc w:val="center"/>
              <w:rPr>
                <w:lang w:val="es-419"/>
              </w:rPr>
            </w:pPr>
            <w:r w:rsidRPr="00F87F5B">
              <w:rPr>
                <w:lang w:val="es-419"/>
              </w:rPr>
              <w:t>2023/24</w:t>
            </w:r>
          </w:p>
        </w:tc>
      </w:tr>
      <w:tr w:rsidR="00E1606D" w:rsidRPr="00F87F5B" w14:paraId="0BC59957" w14:textId="77777777" w:rsidTr="00EF2254">
        <w:trPr>
          <w:trHeight w:val="384"/>
        </w:trPr>
        <w:tc>
          <w:tcPr>
            <w:tcW w:w="5245" w:type="dxa"/>
            <w:vMerge/>
            <w:tcBorders>
              <w:top w:val="nil"/>
              <w:left w:val="nil"/>
              <w:bottom w:val="single" w:sz="8" w:space="0" w:color="FFFFFF"/>
              <w:right w:val="single" w:sz="8" w:space="0" w:color="FFFFFF"/>
            </w:tcBorders>
            <w:shd w:val="clear" w:color="auto" w:fill="F1F1F1"/>
          </w:tcPr>
          <w:p w14:paraId="55035103" w14:textId="77777777" w:rsidR="00E1606D" w:rsidRPr="00F87F5B" w:rsidRDefault="00E1606D" w:rsidP="00EF2254">
            <w:pPr>
              <w:rPr>
                <w:lang w:val="es-419"/>
              </w:rPr>
            </w:pPr>
          </w:p>
        </w:tc>
        <w:tc>
          <w:tcPr>
            <w:tcW w:w="4253" w:type="dxa"/>
            <w:gridSpan w:val="5"/>
            <w:tcBorders>
              <w:left w:val="single" w:sz="8" w:space="0" w:color="FFFFFF"/>
              <w:bottom w:val="single" w:sz="12" w:space="0" w:color="FFFFFF"/>
              <w:right w:val="single" w:sz="12" w:space="0" w:color="FFFFFF" w:themeColor="background1"/>
            </w:tcBorders>
            <w:shd w:val="clear" w:color="auto" w:fill="68E089"/>
          </w:tcPr>
          <w:p w14:paraId="7B47C7B6" w14:textId="77777777" w:rsidR="00E1606D" w:rsidRPr="00F87F5B" w:rsidRDefault="00E1606D" w:rsidP="00EF2254">
            <w:pPr>
              <w:pStyle w:val="TableParagraph"/>
              <w:jc w:val="center"/>
              <w:rPr>
                <w:lang w:val="es-419"/>
              </w:rPr>
            </w:pPr>
            <w:r w:rsidRPr="00F87F5B">
              <w:rPr>
                <w:lang w:val="es-419"/>
              </w:rPr>
              <w:t>Trimestres</w:t>
            </w:r>
          </w:p>
        </w:tc>
      </w:tr>
      <w:tr w:rsidR="00E1606D" w:rsidRPr="00F87F5B" w14:paraId="69B42E36" w14:textId="77777777" w:rsidTr="00EF2254">
        <w:trPr>
          <w:trHeight w:val="387"/>
        </w:trPr>
        <w:tc>
          <w:tcPr>
            <w:tcW w:w="5245" w:type="dxa"/>
            <w:vMerge/>
            <w:tcBorders>
              <w:top w:val="nil"/>
              <w:left w:val="nil"/>
              <w:bottom w:val="single" w:sz="8" w:space="0" w:color="FFFFFF"/>
              <w:right w:val="single" w:sz="8" w:space="0" w:color="FFFFFF"/>
            </w:tcBorders>
            <w:shd w:val="clear" w:color="auto" w:fill="F1F1F1"/>
          </w:tcPr>
          <w:p w14:paraId="36985AC6" w14:textId="77777777" w:rsidR="00E1606D" w:rsidRPr="00F87F5B" w:rsidRDefault="00E1606D" w:rsidP="00EF2254">
            <w:pPr>
              <w:rPr>
                <w:lang w:val="es-419"/>
              </w:rPr>
            </w:pPr>
          </w:p>
        </w:tc>
        <w:tc>
          <w:tcPr>
            <w:tcW w:w="851" w:type="dxa"/>
            <w:tcBorders>
              <w:top w:val="single" w:sz="4" w:space="0" w:color="auto"/>
              <w:left w:val="single" w:sz="8" w:space="0" w:color="FFFFFF"/>
              <w:bottom w:val="single" w:sz="12" w:space="0" w:color="FFFFFF"/>
              <w:right w:val="single" w:sz="4" w:space="0" w:color="auto"/>
            </w:tcBorders>
            <w:shd w:val="clear" w:color="auto" w:fill="68E089"/>
          </w:tcPr>
          <w:p w14:paraId="0DDF324D" w14:textId="77777777" w:rsidR="00E1606D" w:rsidRPr="00F87F5B" w:rsidRDefault="00E1606D" w:rsidP="00EF2254">
            <w:pPr>
              <w:pStyle w:val="TableParagraph"/>
              <w:spacing w:before="45" w:line="146" w:lineRule="auto"/>
              <w:ind w:left="103"/>
              <w:rPr>
                <w:lang w:val="es-419"/>
              </w:rPr>
            </w:pPr>
            <w:r w:rsidRPr="00F87F5B">
              <w:rPr>
                <w:lang w:val="es-419"/>
              </w:rPr>
              <w:t>1.º</w:t>
            </w:r>
          </w:p>
        </w:tc>
        <w:tc>
          <w:tcPr>
            <w:tcW w:w="850" w:type="dxa"/>
            <w:tcBorders>
              <w:top w:val="single" w:sz="4" w:space="0" w:color="auto"/>
              <w:left w:val="single" w:sz="8" w:space="0" w:color="FFFFFF"/>
              <w:bottom w:val="single" w:sz="12" w:space="0" w:color="FFFFFF"/>
              <w:right w:val="single" w:sz="4" w:space="0" w:color="auto"/>
            </w:tcBorders>
            <w:shd w:val="clear" w:color="auto" w:fill="68E089"/>
          </w:tcPr>
          <w:p w14:paraId="46997BAE" w14:textId="77777777" w:rsidR="00E1606D" w:rsidRPr="00F87F5B" w:rsidRDefault="00E1606D" w:rsidP="00EF2254">
            <w:pPr>
              <w:pStyle w:val="TableParagraph"/>
              <w:spacing w:before="45" w:line="146" w:lineRule="auto"/>
              <w:ind w:left="103"/>
              <w:rPr>
                <w:lang w:val="es-419"/>
              </w:rPr>
            </w:pPr>
            <w:r w:rsidRPr="00F87F5B">
              <w:rPr>
                <w:lang w:val="es-419"/>
              </w:rPr>
              <w:t xml:space="preserve">2.º </w:t>
            </w:r>
          </w:p>
        </w:tc>
        <w:tc>
          <w:tcPr>
            <w:tcW w:w="851" w:type="dxa"/>
            <w:tcBorders>
              <w:top w:val="single" w:sz="4" w:space="0" w:color="auto"/>
              <w:left w:val="single" w:sz="8" w:space="0" w:color="FFFFFF"/>
              <w:bottom w:val="single" w:sz="12" w:space="0" w:color="FFFFFF"/>
              <w:right w:val="single" w:sz="4" w:space="0" w:color="auto"/>
            </w:tcBorders>
            <w:shd w:val="clear" w:color="auto" w:fill="68E089"/>
          </w:tcPr>
          <w:p w14:paraId="092A9589" w14:textId="77777777" w:rsidR="00E1606D" w:rsidRPr="00F87F5B" w:rsidRDefault="00E1606D" w:rsidP="00EF2254">
            <w:pPr>
              <w:pStyle w:val="TableParagraph"/>
              <w:spacing w:before="45" w:line="146" w:lineRule="auto"/>
              <w:ind w:left="103"/>
              <w:rPr>
                <w:lang w:val="es-419"/>
              </w:rPr>
            </w:pPr>
            <w:r w:rsidRPr="00F87F5B">
              <w:rPr>
                <w:lang w:val="es-419"/>
              </w:rPr>
              <w:t xml:space="preserve">3.º </w:t>
            </w:r>
          </w:p>
        </w:tc>
        <w:tc>
          <w:tcPr>
            <w:tcW w:w="850" w:type="dxa"/>
            <w:tcBorders>
              <w:top w:val="single" w:sz="4" w:space="0" w:color="auto"/>
              <w:left w:val="single" w:sz="8" w:space="0" w:color="FFFFFF"/>
              <w:bottom w:val="single" w:sz="12" w:space="0" w:color="FFFFFF"/>
              <w:right w:val="single" w:sz="4" w:space="0" w:color="auto"/>
            </w:tcBorders>
            <w:shd w:val="clear" w:color="auto" w:fill="68E089"/>
          </w:tcPr>
          <w:p w14:paraId="41B75BA5" w14:textId="77777777" w:rsidR="00E1606D" w:rsidRPr="00F87F5B" w:rsidRDefault="00E1606D" w:rsidP="00EF2254">
            <w:pPr>
              <w:pStyle w:val="TableParagraph"/>
              <w:spacing w:before="45" w:line="146" w:lineRule="auto"/>
              <w:ind w:left="103"/>
              <w:rPr>
                <w:lang w:val="es-419"/>
              </w:rPr>
            </w:pPr>
            <w:r w:rsidRPr="00F87F5B">
              <w:rPr>
                <w:lang w:val="es-419"/>
              </w:rPr>
              <w:t xml:space="preserve">4.º </w:t>
            </w:r>
          </w:p>
        </w:tc>
        <w:tc>
          <w:tcPr>
            <w:tcW w:w="851" w:type="dxa"/>
            <w:tcBorders>
              <w:top w:val="single" w:sz="4" w:space="0" w:color="auto"/>
              <w:left w:val="single" w:sz="8" w:space="0" w:color="FFFFFF"/>
              <w:bottom w:val="single" w:sz="12" w:space="0" w:color="FFFFFF"/>
              <w:right w:val="single" w:sz="12" w:space="0" w:color="FFFFFF" w:themeColor="background1"/>
            </w:tcBorders>
            <w:shd w:val="clear" w:color="auto" w:fill="68E089"/>
          </w:tcPr>
          <w:p w14:paraId="3243AF98" w14:textId="77777777" w:rsidR="00E1606D" w:rsidRPr="00F87F5B" w:rsidRDefault="00E1606D" w:rsidP="00EF2254">
            <w:pPr>
              <w:pStyle w:val="TableParagraph"/>
              <w:spacing w:before="45" w:line="146" w:lineRule="auto"/>
              <w:ind w:left="103"/>
              <w:rPr>
                <w:lang w:val="es-419"/>
              </w:rPr>
            </w:pPr>
            <w:r w:rsidRPr="00F87F5B">
              <w:rPr>
                <w:lang w:val="es-419"/>
              </w:rPr>
              <w:t xml:space="preserve">1.º </w:t>
            </w:r>
          </w:p>
        </w:tc>
      </w:tr>
      <w:tr w:rsidR="00E1606D" w:rsidRPr="00F87F5B" w14:paraId="318263A3" w14:textId="77777777" w:rsidTr="00EF2254">
        <w:trPr>
          <w:trHeight w:val="388"/>
        </w:trPr>
        <w:tc>
          <w:tcPr>
            <w:tcW w:w="5245" w:type="dxa"/>
            <w:tcBorders>
              <w:top w:val="single" w:sz="8" w:space="0" w:color="FFFFFF"/>
              <w:left w:val="nil"/>
              <w:bottom w:val="single" w:sz="8" w:space="0" w:color="FFFFFF"/>
              <w:right w:val="single" w:sz="8" w:space="0" w:color="FFFFFF"/>
            </w:tcBorders>
            <w:shd w:val="clear" w:color="auto" w:fill="F1F1F1"/>
          </w:tcPr>
          <w:p w14:paraId="405DBF35" w14:textId="77777777" w:rsidR="00E1606D" w:rsidRPr="00F87F5B" w:rsidRDefault="00E1606D" w:rsidP="00EF2254">
            <w:pPr>
              <w:pStyle w:val="TableParagraph"/>
              <w:spacing w:line="268" w:lineRule="exact"/>
              <w:ind w:left="98"/>
              <w:rPr>
                <w:lang w:val="es-419"/>
              </w:rPr>
            </w:pPr>
            <w:r w:rsidRPr="00F87F5B">
              <w:rPr>
                <w:lang w:val="es-419"/>
              </w:rPr>
              <w:t>1. Materiales para un curso de formación sobre la PI para las aplicaciones móviles</w:t>
            </w:r>
          </w:p>
        </w:tc>
        <w:tc>
          <w:tcPr>
            <w:tcW w:w="851" w:type="dxa"/>
            <w:tcBorders>
              <w:top w:val="single" w:sz="4" w:space="0" w:color="auto"/>
              <w:left w:val="single" w:sz="8" w:space="0" w:color="FFFFFF"/>
              <w:right w:val="nil"/>
            </w:tcBorders>
            <w:shd w:val="clear" w:color="auto" w:fill="68E089"/>
          </w:tcPr>
          <w:p w14:paraId="677D3C2D" w14:textId="77777777" w:rsidR="00E1606D" w:rsidRPr="00F87F5B" w:rsidRDefault="00E1606D" w:rsidP="00EF2254">
            <w:pPr>
              <w:pStyle w:val="TableParagraph"/>
              <w:jc w:val="center"/>
              <w:rPr>
                <w:lang w:val="es-419"/>
              </w:rPr>
            </w:pPr>
            <w:r w:rsidRPr="00F87F5B">
              <w:rPr>
                <w:lang w:val="es-419"/>
              </w:rPr>
              <w:t>X</w:t>
            </w:r>
          </w:p>
        </w:tc>
        <w:tc>
          <w:tcPr>
            <w:tcW w:w="850" w:type="dxa"/>
            <w:tcBorders>
              <w:top w:val="single" w:sz="4" w:space="0" w:color="auto"/>
              <w:left w:val="single" w:sz="8" w:space="0" w:color="FFFFFF"/>
              <w:right w:val="nil"/>
            </w:tcBorders>
            <w:shd w:val="clear" w:color="auto" w:fill="68E089"/>
          </w:tcPr>
          <w:p w14:paraId="4A7A8814" w14:textId="77777777" w:rsidR="00E1606D" w:rsidRPr="00F87F5B" w:rsidRDefault="00E1606D" w:rsidP="00EF2254">
            <w:pPr>
              <w:pStyle w:val="TableParagraph"/>
              <w:jc w:val="center"/>
              <w:rPr>
                <w:lang w:val="es-419"/>
              </w:rPr>
            </w:pPr>
            <w:r w:rsidRPr="00F87F5B">
              <w:rPr>
                <w:lang w:val="es-419"/>
              </w:rPr>
              <w:t>X</w:t>
            </w:r>
          </w:p>
        </w:tc>
        <w:tc>
          <w:tcPr>
            <w:tcW w:w="851" w:type="dxa"/>
            <w:tcBorders>
              <w:top w:val="single" w:sz="4" w:space="0" w:color="auto"/>
              <w:left w:val="single" w:sz="8" w:space="0" w:color="FFFFFF"/>
              <w:right w:val="nil"/>
            </w:tcBorders>
            <w:shd w:val="clear" w:color="auto" w:fill="D9D9D9" w:themeFill="background1" w:themeFillShade="D9"/>
          </w:tcPr>
          <w:p w14:paraId="59C33929" w14:textId="77777777" w:rsidR="00E1606D" w:rsidRPr="00F87F5B" w:rsidRDefault="00E1606D" w:rsidP="00EF2254">
            <w:pPr>
              <w:pStyle w:val="TableParagraph"/>
              <w:jc w:val="center"/>
              <w:rPr>
                <w:lang w:val="es-419"/>
              </w:rPr>
            </w:pPr>
          </w:p>
        </w:tc>
        <w:tc>
          <w:tcPr>
            <w:tcW w:w="850" w:type="dxa"/>
            <w:tcBorders>
              <w:top w:val="single" w:sz="4" w:space="0" w:color="auto"/>
              <w:left w:val="single" w:sz="8" w:space="0" w:color="FFFFFF"/>
              <w:right w:val="nil"/>
            </w:tcBorders>
            <w:shd w:val="clear" w:color="auto" w:fill="D9D9D9" w:themeFill="background1" w:themeFillShade="D9"/>
          </w:tcPr>
          <w:p w14:paraId="3174C831" w14:textId="77777777" w:rsidR="00E1606D" w:rsidRPr="00F87F5B" w:rsidRDefault="00E1606D" w:rsidP="00EF2254">
            <w:pPr>
              <w:pStyle w:val="TableParagraph"/>
              <w:jc w:val="center"/>
              <w:rPr>
                <w:lang w:val="es-419"/>
              </w:rPr>
            </w:pPr>
          </w:p>
        </w:tc>
        <w:tc>
          <w:tcPr>
            <w:tcW w:w="851" w:type="dxa"/>
            <w:tcBorders>
              <w:top w:val="single" w:sz="4" w:space="0" w:color="auto"/>
              <w:left w:val="single" w:sz="8" w:space="0" w:color="FFFFFF"/>
              <w:right w:val="single" w:sz="12" w:space="0" w:color="FFFFFF" w:themeColor="background1"/>
            </w:tcBorders>
            <w:shd w:val="clear" w:color="auto" w:fill="D9D9D9" w:themeFill="background1" w:themeFillShade="D9"/>
          </w:tcPr>
          <w:p w14:paraId="6830C1A9" w14:textId="77777777" w:rsidR="00E1606D" w:rsidRPr="00F87F5B" w:rsidRDefault="00E1606D" w:rsidP="00EF2254">
            <w:pPr>
              <w:pStyle w:val="TableParagraph"/>
              <w:jc w:val="center"/>
              <w:rPr>
                <w:lang w:val="es-419"/>
              </w:rPr>
            </w:pPr>
          </w:p>
        </w:tc>
      </w:tr>
      <w:tr w:rsidR="00E1606D" w:rsidRPr="00F87F5B" w14:paraId="2FDD7F81" w14:textId="77777777" w:rsidTr="00EF2254">
        <w:trPr>
          <w:trHeight w:val="384"/>
        </w:trPr>
        <w:tc>
          <w:tcPr>
            <w:tcW w:w="5245" w:type="dxa"/>
            <w:tcBorders>
              <w:top w:val="single" w:sz="8" w:space="0" w:color="FFFFFF"/>
              <w:left w:val="nil"/>
              <w:right w:val="single" w:sz="8" w:space="0" w:color="FFFFFF"/>
            </w:tcBorders>
            <w:shd w:val="clear" w:color="auto" w:fill="F1F1F1"/>
          </w:tcPr>
          <w:p w14:paraId="723525A0" w14:textId="77777777" w:rsidR="00E1606D" w:rsidRPr="00F87F5B" w:rsidRDefault="00E1606D" w:rsidP="00EF2254">
            <w:pPr>
              <w:pStyle w:val="TableParagraph"/>
              <w:spacing w:line="267" w:lineRule="exact"/>
              <w:ind w:left="98"/>
              <w:rPr>
                <w:lang w:val="es-419"/>
              </w:rPr>
            </w:pPr>
            <w:r w:rsidRPr="00F87F5B">
              <w:rPr>
                <w:lang w:val="es-419"/>
              </w:rPr>
              <w:t>2. Cuatro herramientas de PI para aplicaciones móviles de música, edición, videojuegos y contenidos audiovisuales</w:t>
            </w:r>
          </w:p>
        </w:tc>
        <w:tc>
          <w:tcPr>
            <w:tcW w:w="851" w:type="dxa"/>
            <w:tcBorders>
              <w:left w:val="single" w:sz="8" w:space="0" w:color="FFFFFF"/>
              <w:right w:val="nil"/>
            </w:tcBorders>
            <w:shd w:val="clear" w:color="auto" w:fill="D9D9D9" w:themeFill="background1" w:themeFillShade="D9"/>
          </w:tcPr>
          <w:p w14:paraId="7BF15AEA" w14:textId="77777777" w:rsidR="00E1606D" w:rsidRPr="00F87F5B" w:rsidRDefault="00E1606D" w:rsidP="00EF2254">
            <w:pPr>
              <w:pStyle w:val="TableParagraph"/>
              <w:jc w:val="center"/>
              <w:rPr>
                <w:lang w:val="es-419"/>
              </w:rPr>
            </w:pPr>
          </w:p>
        </w:tc>
        <w:tc>
          <w:tcPr>
            <w:tcW w:w="850" w:type="dxa"/>
            <w:tcBorders>
              <w:left w:val="single" w:sz="8" w:space="0" w:color="FFFFFF"/>
              <w:right w:val="nil"/>
            </w:tcBorders>
            <w:shd w:val="clear" w:color="auto" w:fill="68E089"/>
          </w:tcPr>
          <w:p w14:paraId="7539C382" w14:textId="77777777" w:rsidR="00E1606D" w:rsidRPr="00F87F5B" w:rsidRDefault="00E1606D" w:rsidP="00EF2254">
            <w:pPr>
              <w:pStyle w:val="TableParagraph"/>
              <w:jc w:val="center"/>
              <w:rPr>
                <w:lang w:val="es-419"/>
              </w:rPr>
            </w:pPr>
            <w:r w:rsidRPr="00F87F5B">
              <w:rPr>
                <w:lang w:val="es-419"/>
              </w:rPr>
              <w:t>X</w:t>
            </w:r>
          </w:p>
        </w:tc>
        <w:tc>
          <w:tcPr>
            <w:tcW w:w="851" w:type="dxa"/>
            <w:tcBorders>
              <w:left w:val="single" w:sz="8" w:space="0" w:color="FFFFFF"/>
              <w:right w:val="nil"/>
            </w:tcBorders>
            <w:shd w:val="clear" w:color="auto" w:fill="68E089"/>
          </w:tcPr>
          <w:p w14:paraId="440E3FD9" w14:textId="77777777" w:rsidR="00E1606D" w:rsidRPr="00F87F5B" w:rsidRDefault="00E1606D" w:rsidP="00EF2254">
            <w:pPr>
              <w:pStyle w:val="TableParagraph"/>
              <w:jc w:val="center"/>
              <w:rPr>
                <w:lang w:val="es-419"/>
              </w:rPr>
            </w:pPr>
            <w:r w:rsidRPr="00F87F5B">
              <w:rPr>
                <w:lang w:val="es-419"/>
              </w:rPr>
              <w:t>X</w:t>
            </w:r>
          </w:p>
        </w:tc>
        <w:tc>
          <w:tcPr>
            <w:tcW w:w="850" w:type="dxa"/>
            <w:tcBorders>
              <w:left w:val="single" w:sz="8" w:space="0" w:color="FFFFFF"/>
              <w:right w:val="nil"/>
            </w:tcBorders>
            <w:shd w:val="clear" w:color="auto" w:fill="D9D9D9" w:themeFill="background1" w:themeFillShade="D9"/>
          </w:tcPr>
          <w:p w14:paraId="71B437C7" w14:textId="77777777" w:rsidR="00E1606D" w:rsidRPr="00F87F5B" w:rsidRDefault="00E1606D" w:rsidP="00EF2254">
            <w:pPr>
              <w:pStyle w:val="TableParagraph"/>
              <w:jc w:val="center"/>
              <w:rPr>
                <w:lang w:val="es-419"/>
              </w:rPr>
            </w:pPr>
          </w:p>
        </w:tc>
        <w:tc>
          <w:tcPr>
            <w:tcW w:w="851" w:type="dxa"/>
            <w:tcBorders>
              <w:left w:val="single" w:sz="8" w:space="0" w:color="FFFFFF"/>
              <w:right w:val="single" w:sz="12" w:space="0" w:color="FFFFFF" w:themeColor="background1"/>
            </w:tcBorders>
            <w:shd w:val="clear" w:color="auto" w:fill="D9D9D9" w:themeFill="background1" w:themeFillShade="D9"/>
          </w:tcPr>
          <w:p w14:paraId="29CCC63B" w14:textId="77777777" w:rsidR="00E1606D" w:rsidRPr="00F87F5B" w:rsidRDefault="00E1606D" w:rsidP="00EF2254">
            <w:pPr>
              <w:pStyle w:val="TableParagraph"/>
              <w:jc w:val="center"/>
              <w:rPr>
                <w:lang w:val="es-419"/>
              </w:rPr>
            </w:pPr>
          </w:p>
        </w:tc>
      </w:tr>
      <w:tr w:rsidR="00E1606D" w:rsidRPr="00F87F5B" w14:paraId="35C0AF90" w14:textId="77777777" w:rsidTr="00EF2254">
        <w:trPr>
          <w:trHeight w:val="384"/>
        </w:trPr>
        <w:tc>
          <w:tcPr>
            <w:tcW w:w="5245" w:type="dxa"/>
            <w:tcBorders>
              <w:top w:val="single" w:sz="8" w:space="0" w:color="FFFFFF"/>
              <w:left w:val="nil"/>
              <w:right w:val="single" w:sz="8" w:space="0" w:color="FFFFFF"/>
            </w:tcBorders>
            <w:shd w:val="clear" w:color="auto" w:fill="F1F1F1"/>
          </w:tcPr>
          <w:p w14:paraId="5F7148EF" w14:textId="77777777" w:rsidR="00E1606D" w:rsidRPr="00F87F5B" w:rsidRDefault="00E1606D" w:rsidP="00EF2254">
            <w:pPr>
              <w:pStyle w:val="TableParagraph"/>
              <w:spacing w:line="267" w:lineRule="exact"/>
              <w:ind w:left="98"/>
              <w:rPr>
                <w:lang w:val="es-419"/>
              </w:rPr>
            </w:pPr>
            <w:r w:rsidRPr="00F87F5B">
              <w:rPr>
                <w:lang w:val="es-419"/>
              </w:rPr>
              <w:t>3. Tres eventos (uno en cada país beneficiario) para presentar los materiales creados a las partes interesadas en cada país beneficiario y recabar sus opiniones</w:t>
            </w:r>
          </w:p>
        </w:tc>
        <w:tc>
          <w:tcPr>
            <w:tcW w:w="851" w:type="dxa"/>
            <w:tcBorders>
              <w:left w:val="single" w:sz="8" w:space="0" w:color="FFFFFF"/>
              <w:right w:val="nil"/>
            </w:tcBorders>
            <w:shd w:val="clear" w:color="auto" w:fill="D9D9D9" w:themeFill="background1" w:themeFillShade="D9"/>
          </w:tcPr>
          <w:p w14:paraId="1807E732" w14:textId="77777777" w:rsidR="00E1606D" w:rsidRPr="00F87F5B" w:rsidRDefault="00E1606D" w:rsidP="00EF2254">
            <w:pPr>
              <w:pStyle w:val="TableParagraph"/>
              <w:jc w:val="center"/>
              <w:rPr>
                <w:lang w:val="es-419"/>
              </w:rPr>
            </w:pPr>
          </w:p>
        </w:tc>
        <w:tc>
          <w:tcPr>
            <w:tcW w:w="850" w:type="dxa"/>
            <w:tcBorders>
              <w:left w:val="single" w:sz="8" w:space="0" w:color="FFFFFF"/>
              <w:right w:val="nil"/>
            </w:tcBorders>
            <w:shd w:val="clear" w:color="auto" w:fill="D9D9D9" w:themeFill="background1" w:themeFillShade="D9"/>
          </w:tcPr>
          <w:p w14:paraId="023D3200" w14:textId="77777777" w:rsidR="00E1606D" w:rsidRPr="00F87F5B" w:rsidRDefault="00E1606D" w:rsidP="00EF2254">
            <w:pPr>
              <w:pStyle w:val="TableParagraph"/>
              <w:jc w:val="center"/>
              <w:rPr>
                <w:lang w:val="es-419"/>
              </w:rPr>
            </w:pPr>
          </w:p>
        </w:tc>
        <w:tc>
          <w:tcPr>
            <w:tcW w:w="851" w:type="dxa"/>
            <w:tcBorders>
              <w:left w:val="single" w:sz="8" w:space="0" w:color="FFFFFF"/>
              <w:right w:val="nil"/>
            </w:tcBorders>
            <w:shd w:val="clear" w:color="auto" w:fill="68E089"/>
          </w:tcPr>
          <w:p w14:paraId="00B3CC65" w14:textId="77777777" w:rsidR="00E1606D" w:rsidRPr="00F87F5B" w:rsidRDefault="00E1606D" w:rsidP="00EF2254">
            <w:pPr>
              <w:pStyle w:val="TableParagraph"/>
              <w:jc w:val="center"/>
              <w:rPr>
                <w:lang w:val="es-419"/>
              </w:rPr>
            </w:pPr>
            <w:r w:rsidRPr="00F87F5B">
              <w:rPr>
                <w:lang w:val="es-419"/>
              </w:rPr>
              <w:t>X</w:t>
            </w:r>
          </w:p>
        </w:tc>
        <w:tc>
          <w:tcPr>
            <w:tcW w:w="850" w:type="dxa"/>
            <w:tcBorders>
              <w:left w:val="single" w:sz="8" w:space="0" w:color="FFFFFF"/>
              <w:right w:val="nil"/>
            </w:tcBorders>
            <w:shd w:val="clear" w:color="auto" w:fill="68E089"/>
          </w:tcPr>
          <w:p w14:paraId="0CB5007C" w14:textId="77777777" w:rsidR="00E1606D" w:rsidRPr="00F87F5B" w:rsidRDefault="00E1606D" w:rsidP="00EF2254">
            <w:pPr>
              <w:pStyle w:val="TableParagraph"/>
              <w:jc w:val="center"/>
              <w:rPr>
                <w:lang w:val="es-419"/>
              </w:rPr>
            </w:pPr>
            <w:r w:rsidRPr="00F87F5B">
              <w:rPr>
                <w:lang w:val="es-419"/>
              </w:rPr>
              <w:t>X</w:t>
            </w:r>
          </w:p>
        </w:tc>
        <w:tc>
          <w:tcPr>
            <w:tcW w:w="851" w:type="dxa"/>
            <w:tcBorders>
              <w:left w:val="single" w:sz="8" w:space="0" w:color="FFFFFF"/>
              <w:right w:val="single" w:sz="12" w:space="0" w:color="FFFFFF" w:themeColor="background1"/>
            </w:tcBorders>
            <w:shd w:val="clear" w:color="auto" w:fill="D9D9D9" w:themeFill="background1" w:themeFillShade="D9"/>
          </w:tcPr>
          <w:p w14:paraId="16E04B97" w14:textId="77777777" w:rsidR="00E1606D" w:rsidRPr="00F87F5B" w:rsidRDefault="00E1606D" w:rsidP="00EF2254">
            <w:pPr>
              <w:pStyle w:val="TableParagraph"/>
              <w:jc w:val="center"/>
              <w:rPr>
                <w:lang w:val="es-419"/>
              </w:rPr>
            </w:pPr>
          </w:p>
        </w:tc>
      </w:tr>
      <w:tr w:rsidR="00E1606D" w:rsidRPr="00F87F5B" w14:paraId="3DAB9FAB" w14:textId="77777777" w:rsidTr="00EF2254">
        <w:trPr>
          <w:trHeight w:val="387"/>
        </w:trPr>
        <w:tc>
          <w:tcPr>
            <w:tcW w:w="5245" w:type="dxa"/>
            <w:tcBorders>
              <w:top w:val="single" w:sz="8" w:space="0" w:color="FFFFFF"/>
              <w:left w:val="nil"/>
              <w:bottom w:val="single" w:sz="8" w:space="0" w:color="FFFFFF"/>
              <w:right w:val="single" w:sz="8" w:space="0" w:color="FFFFFF"/>
            </w:tcBorders>
            <w:shd w:val="clear" w:color="auto" w:fill="F1F1F1"/>
          </w:tcPr>
          <w:p w14:paraId="3C1BECD4" w14:textId="77777777" w:rsidR="00E1606D" w:rsidRPr="00F87F5B" w:rsidRDefault="00E1606D" w:rsidP="00EF2254">
            <w:pPr>
              <w:pStyle w:val="TableParagraph"/>
              <w:spacing w:line="267" w:lineRule="exact"/>
              <w:ind w:left="98"/>
              <w:rPr>
                <w:lang w:val="es-419"/>
              </w:rPr>
            </w:pPr>
            <w:r w:rsidRPr="00F87F5B">
              <w:rPr>
                <w:lang w:val="es-419"/>
              </w:rPr>
              <w:t xml:space="preserve">4. Conclusión del proyecto y autoevaluación final </w:t>
            </w:r>
          </w:p>
        </w:tc>
        <w:tc>
          <w:tcPr>
            <w:tcW w:w="851" w:type="dxa"/>
            <w:tcBorders>
              <w:left w:val="single" w:sz="8" w:space="0" w:color="FFFFFF"/>
              <w:right w:val="nil"/>
            </w:tcBorders>
            <w:shd w:val="clear" w:color="auto" w:fill="D9D9D9" w:themeFill="background1" w:themeFillShade="D9"/>
          </w:tcPr>
          <w:p w14:paraId="165951F1" w14:textId="77777777" w:rsidR="00E1606D" w:rsidRPr="00F87F5B" w:rsidRDefault="00E1606D" w:rsidP="00EF2254">
            <w:pPr>
              <w:pStyle w:val="TableParagraph"/>
              <w:jc w:val="center"/>
              <w:rPr>
                <w:lang w:val="es-419"/>
              </w:rPr>
            </w:pPr>
          </w:p>
        </w:tc>
        <w:tc>
          <w:tcPr>
            <w:tcW w:w="850" w:type="dxa"/>
            <w:tcBorders>
              <w:left w:val="single" w:sz="8" w:space="0" w:color="FFFFFF"/>
              <w:right w:val="nil"/>
            </w:tcBorders>
            <w:shd w:val="clear" w:color="auto" w:fill="D9D9D9" w:themeFill="background1" w:themeFillShade="D9"/>
          </w:tcPr>
          <w:p w14:paraId="7BA9449E" w14:textId="77777777" w:rsidR="00E1606D" w:rsidRPr="00F87F5B" w:rsidRDefault="00E1606D" w:rsidP="00EF2254">
            <w:pPr>
              <w:pStyle w:val="TableParagraph"/>
              <w:jc w:val="center"/>
              <w:rPr>
                <w:lang w:val="es-419"/>
              </w:rPr>
            </w:pPr>
          </w:p>
        </w:tc>
        <w:tc>
          <w:tcPr>
            <w:tcW w:w="851" w:type="dxa"/>
            <w:tcBorders>
              <w:left w:val="single" w:sz="8" w:space="0" w:color="FFFFFF"/>
              <w:right w:val="nil"/>
            </w:tcBorders>
            <w:shd w:val="clear" w:color="auto" w:fill="D9D9D9" w:themeFill="background1" w:themeFillShade="D9"/>
          </w:tcPr>
          <w:p w14:paraId="27BA58D6" w14:textId="77777777" w:rsidR="00E1606D" w:rsidRPr="00F87F5B" w:rsidRDefault="00E1606D" w:rsidP="00EF2254">
            <w:pPr>
              <w:pStyle w:val="TableParagraph"/>
              <w:jc w:val="center"/>
              <w:rPr>
                <w:lang w:val="es-419"/>
              </w:rPr>
            </w:pPr>
          </w:p>
        </w:tc>
        <w:tc>
          <w:tcPr>
            <w:tcW w:w="850" w:type="dxa"/>
            <w:tcBorders>
              <w:left w:val="single" w:sz="8" w:space="0" w:color="FFFFFF"/>
              <w:right w:val="nil"/>
            </w:tcBorders>
            <w:shd w:val="clear" w:color="auto" w:fill="D9D9D9" w:themeFill="background1" w:themeFillShade="D9"/>
          </w:tcPr>
          <w:p w14:paraId="32EED1E6" w14:textId="77777777" w:rsidR="00E1606D" w:rsidRPr="00F87F5B" w:rsidRDefault="00E1606D" w:rsidP="00EF2254">
            <w:pPr>
              <w:pStyle w:val="TableParagraph"/>
              <w:jc w:val="center"/>
              <w:rPr>
                <w:lang w:val="es-419"/>
              </w:rPr>
            </w:pPr>
          </w:p>
        </w:tc>
        <w:tc>
          <w:tcPr>
            <w:tcW w:w="851" w:type="dxa"/>
            <w:tcBorders>
              <w:left w:val="single" w:sz="8" w:space="0" w:color="FFFFFF"/>
              <w:right w:val="single" w:sz="12" w:space="0" w:color="FFFFFF" w:themeColor="background1"/>
            </w:tcBorders>
            <w:shd w:val="clear" w:color="auto" w:fill="68E089"/>
          </w:tcPr>
          <w:p w14:paraId="0EF73B53" w14:textId="77777777" w:rsidR="00E1606D" w:rsidRPr="00F87F5B" w:rsidRDefault="00E1606D" w:rsidP="00EF2254">
            <w:pPr>
              <w:pStyle w:val="TableParagraph"/>
              <w:jc w:val="center"/>
              <w:rPr>
                <w:lang w:val="es-419"/>
              </w:rPr>
            </w:pPr>
            <w:r w:rsidRPr="00F87F5B">
              <w:rPr>
                <w:lang w:val="es-419"/>
              </w:rPr>
              <w:t>X</w:t>
            </w:r>
          </w:p>
        </w:tc>
      </w:tr>
    </w:tbl>
    <w:p w14:paraId="6BB4842D" w14:textId="77777777" w:rsidR="00423826" w:rsidRPr="00F87F5B" w:rsidRDefault="00423826" w:rsidP="00423826">
      <w:pPr>
        <w:spacing w:after="220"/>
        <w:rPr>
          <w:rFonts w:eastAsia="Times New Roman"/>
          <w:b/>
          <w:bCs/>
          <w:szCs w:val="22"/>
          <w:lang w:val="es-419" w:eastAsia="en-US"/>
        </w:rPr>
      </w:pPr>
    </w:p>
    <w:p w14:paraId="073F9DA6" w14:textId="07FB8189" w:rsidR="00423826" w:rsidRPr="00F87F5B" w:rsidRDefault="00423826" w:rsidP="00541D4E">
      <w:pPr>
        <w:keepNext/>
        <w:spacing w:after="220"/>
        <w:rPr>
          <w:rFonts w:eastAsia="Times New Roman"/>
          <w:b/>
          <w:bCs/>
          <w:szCs w:val="22"/>
          <w:lang w:val="es-419" w:eastAsia="en-US"/>
        </w:rPr>
      </w:pPr>
      <w:r w:rsidRPr="00F87F5B">
        <w:rPr>
          <w:rFonts w:eastAsia="Times New Roman"/>
          <w:b/>
          <w:bCs/>
          <w:szCs w:val="22"/>
          <w:lang w:val="es-419" w:eastAsia="en-US"/>
        </w:rPr>
        <w:t xml:space="preserve">4. </w:t>
      </w:r>
      <w:r w:rsidR="00E1606D" w:rsidRPr="00F87F5B">
        <w:rPr>
          <w:rFonts w:eastAsia="Arial"/>
          <w:b/>
          <w:bCs/>
          <w:szCs w:val="22"/>
          <w:lang w:val="es-419" w:eastAsia="en-US"/>
        </w:rPr>
        <w:t>Recursos totales por producto</w:t>
      </w:r>
      <w:r w:rsidRPr="00F87F5B">
        <w:rPr>
          <w:rFonts w:eastAsia="Times New Roman"/>
          <w:b/>
          <w:bCs/>
          <w:szCs w:val="22"/>
          <w:lang w:val="es-419" w:eastAsia="en-US"/>
        </w:rPr>
        <w:t xml:space="preserve"> </w:t>
      </w:r>
    </w:p>
    <w:tbl>
      <w:tblPr>
        <w:tblW w:w="9493" w:type="dxa"/>
        <w:tblLook w:val="04A0" w:firstRow="1" w:lastRow="0" w:firstColumn="1" w:lastColumn="0" w:noHBand="0" w:noVBand="1"/>
      </w:tblPr>
      <w:tblGrid>
        <w:gridCol w:w="4815"/>
        <w:gridCol w:w="1701"/>
        <w:gridCol w:w="1571"/>
        <w:gridCol w:w="1571"/>
      </w:tblGrid>
      <w:tr w:rsidR="00E1606D" w:rsidRPr="00F87F5B" w14:paraId="289384D2" w14:textId="77777777" w:rsidTr="00EF2254">
        <w:trPr>
          <w:trHeight w:val="705"/>
        </w:trPr>
        <w:tc>
          <w:tcPr>
            <w:tcW w:w="4815" w:type="dxa"/>
            <w:tcBorders>
              <w:top w:val="single" w:sz="4" w:space="0" w:color="BFBFBF"/>
              <w:left w:val="single" w:sz="4" w:space="0" w:color="BFBFBF"/>
              <w:bottom w:val="nil"/>
              <w:right w:val="single" w:sz="4" w:space="0" w:color="A6A6A6"/>
            </w:tcBorders>
            <w:shd w:val="clear" w:color="000000" w:fill="C7CFD8"/>
            <w:noWrap/>
            <w:vAlign w:val="bottom"/>
            <w:hideMark/>
          </w:tcPr>
          <w:p w14:paraId="1200A4D3" w14:textId="77777777" w:rsidR="00E1606D" w:rsidRPr="00F87F5B" w:rsidRDefault="00E1606D" w:rsidP="00541D4E">
            <w:pPr>
              <w:keepNext/>
              <w:rPr>
                <w:rFonts w:ascii="Arial Narrow" w:eastAsia="Times New Roman" w:hAnsi="Arial Narrow"/>
                <w:i/>
                <w:iCs/>
                <w:color w:val="002839"/>
                <w:szCs w:val="22"/>
                <w:lang w:val="es-419" w:eastAsia="en-US"/>
              </w:rPr>
            </w:pPr>
            <w:r w:rsidRPr="00F87F5B">
              <w:rPr>
                <w:rFonts w:ascii="Arial Narrow" w:eastAsia="Arial Narrow" w:hAnsi="Arial Narrow"/>
                <w:i/>
                <w:iCs/>
                <w:color w:val="002839"/>
                <w:szCs w:val="22"/>
                <w:lang w:val="es-419" w:eastAsia="en-US"/>
              </w:rPr>
              <w:t>(en francos suizos)</w:t>
            </w:r>
          </w:p>
        </w:tc>
        <w:tc>
          <w:tcPr>
            <w:tcW w:w="326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3DBFEC46" w14:textId="77777777" w:rsidR="00E1606D" w:rsidRPr="00F87F5B" w:rsidRDefault="00E1606D" w:rsidP="00541D4E">
            <w:pPr>
              <w:keepNext/>
              <w:jc w:val="cente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Año 1</w:t>
            </w:r>
          </w:p>
        </w:tc>
        <w:tc>
          <w:tcPr>
            <w:tcW w:w="1418"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06D8070F" w14:textId="77777777" w:rsidR="00E1606D" w:rsidRPr="00F87F5B" w:rsidRDefault="00E1606D" w:rsidP="00541D4E">
            <w:pPr>
              <w:keepNext/>
              <w:jc w:val="cente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Año 2</w:t>
            </w:r>
          </w:p>
        </w:tc>
      </w:tr>
      <w:tr w:rsidR="00E1606D" w:rsidRPr="00F87F5B" w14:paraId="0737A0E3" w14:textId="77777777" w:rsidTr="00EF2254">
        <w:trPr>
          <w:trHeight w:val="525"/>
        </w:trPr>
        <w:tc>
          <w:tcPr>
            <w:tcW w:w="4815" w:type="dxa"/>
            <w:tcBorders>
              <w:top w:val="nil"/>
              <w:left w:val="single" w:sz="4" w:space="0" w:color="BFBFBF"/>
              <w:bottom w:val="single" w:sz="4" w:space="0" w:color="BFBFBF"/>
              <w:right w:val="nil"/>
            </w:tcBorders>
            <w:shd w:val="clear" w:color="000000" w:fill="C7CFD8"/>
            <w:noWrap/>
            <w:vAlign w:val="bottom"/>
            <w:hideMark/>
          </w:tcPr>
          <w:p w14:paraId="3E5B32DF" w14:textId="77777777" w:rsidR="00E1606D" w:rsidRPr="00F87F5B" w:rsidRDefault="00E1606D" w:rsidP="00541D4E">
            <w:pPr>
              <w:keepNext/>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Productos del proyecto</w:t>
            </w:r>
          </w:p>
        </w:tc>
        <w:tc>
          <w:tcPr>
            <w:tcW w:w="1701" w:type="dxa"/>
            <w:tcBorders>
              <w:top w:val="nil"/>
              <w:left w:val="single" w:sz="4" w:space="0" w:color="A6A6A6"/>
              <w:bottom w:val="single" w:sz="4" w:space="0" w:color="BFBFBF"/>
              <w:right w:val="single" w:sz="4" w:space="0" w:color="A6A6A6"/>
            </w:tcBorders>
            <w:shd w:val="clear" w:color="000000" w:fill="C7CFD8"/>
            <w:vAlign w:val="bottom"/>
            <w:hideMark/>
          </w:tcPr>
          <w:p w14:paraId="4BBB72E5" w14:textId="77777777" w:rsidR="00E1606D" w:rsidRPr="00F87F5B" w:rsidRDefault="00E1606D" w:rsidP="00541D4E">
            <w:pPr>
              <w:keepNext/>
              <w:jc w:val="cente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Personal</w:t>
            </w:r>
          </w:p>
        </w:tc>
        <w:tc>
          <w:tcPr>
            <w:tcW w:w="1559" w:type="dxa"/>
            <w:tcBorders>
              <w:top w:val="nil"/>
              <w:left w:val="nil"/>
              <w:bottom w:val="single" w:sz="4" w:space="0" w:color="BFBFBF"/>
              <w:right w:val="single" w:sz="4" w:space="0" w:color="A6A6A6"/>
            </w:tcBorders>
            <w:shd w:val="clear" w:color="000000" w:fill="C7CFD8"/>
            <w:vAlign w:val="bottom"/>
            <w:hideMark/>
          </w:tcPr>
          <w:p w14:paraId="7133ABE2" w14:textId="77777777" w:rsidR="00E1606D" w:rsidRPr="00F87F5B" w:rsidRDefault="00E1606D" w:rsidP="00541D4E">
            <w:pPr>
              <w:keepNext/>
              <w:jc w:val="cente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No relativos al personal</w:t>
            </w:r>
          </w:p>
        </w:tc>
        <w:tc>
          <w:tcPr>
            <w:tcW w:w="1418" w:type="dxa"/>
            <w:vMerge/>
            <w:tcBorders>
              <w:top w:val="single" w:sz="4" w:space="0" w:color="BFBFBF"/>
              <w:left w:val="nil"/>
              <w:bottom w:val="single" w:sz="4" w:space="0" w:color="BFBFBF"/>
              <w:right w:val="single" w:sz="4" w:space="0" w:color="BFBFBF"/>
            </w:tcBorders>
            <w:vAlign w:val="center"/>
            <w:hideMark/>
          </w:tcPr>
          <w:p w14:paraId="6655DE22" w14:textId="77777777" w:rsidR="00E1606D" w:rsidRPr="00F87F5B" w:rsidRDefault="00E1606D" w:rsidP="00541D4E">
            <w:pPr>
              <w:keepNext/>
              <w:rPr>
                <w:rFonts w:ascii="Arial Narrow" w:eastAsia="Times New Roman" w:hAnsi="Arial Narrow"/>
                <w:b/>
                <w:bCs/>
                <w:color w:val="002839"/>
                <w:szCs w:val="22"/>
                <w:lang w:val="es-419" w:eastAsia="en-US"/>
              </w:rPr>
            </w:pPr>
          </w:p>
        </w:tc>
      </w:tr>
      <w:tr w:rsidR="00E1606D" w:rsidRPr="00F87F5B" w14:paraId="7E829167" w14:textId="77777777" w:rsidTr="00EF2254">
        <w:trPr>
          <w:trHeight w:val="78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14:paraId="7C23D278" w14:textId="77777777" w:rsidR="00E1606D" w:rsidRPr="00F87F5B" w:rsidRDefault="00E1606D" w:rsidP="00541D4E">
            <w:pPr>
              <w:keepNext/>
              <w:rPr>
                <w:rFonts w:ascii="Arial Narrow" w:eastAsia="Times New Roman" w:hAnsi="Arial Narrow"/>
                <w:color w:val="002839"/>
                <w:szCs w:val="22"/>
                <w:lang w:val="es-419" w:eastAsia="en-US"/>
              </w:rPr>
            </w:pPr>
            <w:r w:rsidRPr="00F87F5B">
              <w:rPr>
                <w:rFonts w:ascii="Arial Narrow" w:eastAsia="Arial Narrow" w:hAnsi="Arial Narrow"/>
                <w:color w:val="002839"/>
                <w:szCs w:val="22"/>
                <w:lang w:val="es-419" w:eastAsia="en-US"/>
              </w:rPr>
              <w:t xml:space="preserve"> Materiales para un curso de formación sobre la PI para las aplicaciones móviles</w:t>
            </w:r>
          </w:p>
        </w:tc>
        <w:tc>
          <w:tcPr>
            <w:tcW w:w="1701" w:type="dxa"/>
            <w:tcBorders>
              <w:top w:val="nil"/>
              <w:left w:val="nil"/>
              <w:bottom w:val="single" w:sz="4" w:space="0" w:color="BFBFBF"/>
              <w:right w:val="single" w:sz="4" w:space="0" w:color="BFBFBF"/>
            </w:tcBorders>
            <w:shd w:val="clear" w:color="auto" w:fill="auto"/>
            <w:noWrap/>
            <w:vAlign w:val="center"/>
            <w:hideMark/>
          </w:tcPr>
          <w:p w14:paraId="054E33AB" w14:textId="77777777" w:rsidR="00E1606D" w:rsidRPr="00F87F5B" w:rsidRDefault="00E1606D" w:rsidP="00541D4E">
            <w:pPr>
              <w:keepNext/>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559" w:type="dxa"/>
            <w:tcBorders>
              <w:top w:val="nil"/>
              <w:left w:val="nil"/>
              <w:bottom w:val="single" w:sz="4" w:space="0" w:color="BFBFBF"/>
              <w:right w:val="single" w:sz="4" w:space="0" w:color="BFBFBF"/>
            </w:tcBorders>
            <w:shd w:val="clear" w:color="auto" w:fill="auto"/>
            <w:vAlign w:val="center"/>
            <w:hideMark/>
          </w:tcPr>
          <w:p w14:paraId="2420D428" w14:textId="77777777" w:rsidR="00E1606D" w:rsidRPr="00F87F5B" w:rsidRDefault="00E1606D" w:rsidP="00541D4E">
            <w:pPr>
              <w:keepNext/>
              <w:jc w:val="right"/>
              <w:rPr>
                <w:rFonts w:ascii="Arial Narrow" w:eastAsia="Times New Roman" w:hAnsi="Arial Narrow"/>
                <w:color w:val="000000"/>
                <w:szCs w:val="22"/>
                <w:lang w:val="es-419" w:eastAsia="en-US"/>
              </w:rPr>
            </w:pPr>
            <w:r w:rsidRPr="00F87F5B">
              <w:rPr>
                <w:rFonts w:ascii="Arial Narrow" w:eastAsia="Arial Narrow" w:hAnsi="Arial Narrow"/>
                <w:color w:val="000000"/>
                <w:szCs w:val="22"/>
                <w:lang w:val="es-419" w:eastAsia="en-US"/>
              </w:rPr>
              <w:t xml:space="preserve">                40.000 </w:t>
            </w:r>
          </w:p>
        </w:tc>
        <w:tc>
          <w:tcPr>
            <w:tcW w:w="1418" w:type="dxa"/>
            <w:tcBorders>
              <w:top w:val="nil"/>
              <w:left w:val="nil"/>
              <w:bottom w:val="single" w:sz="4" w:space="0" w:color="BFBFBF"/>
              <w:right w:val="single" w:sz="4" w:space="0" w:color="BFBFBF"/>
            </w:tcBorders>
            <w:shd w:val="clear" w:color="auto" w:fill="auto"/>
            <w:noWrap/>
            <w:vAlign w:val="center"/>
            <w:hideMark/>
          </w:tcPr>
          <w:p w14:paraId="1A77BC61" w14:textId="77777777" w:rsidR="00E1606D" w:rsidRPr="00F87F5B" w:rsidRDefault="00E1606D" w:rsidP="00541D4E">
            <w:pPr>
              <w:keepNext/>
              <w:jc w:val="right"/>
              <w:rPr>
                <w:rFonts w:ascii="Arial Narrow" w:eastAsia="Times New Roman" w:hAnsi="Arial Narrow"/>
                <w:color w:val="002839"/>
                <w:szCs w:val="22"/>
                <w:lang w:val="es-419" w:eastAsia="en-US"/>
              </w:rPr>
            </w:pPr>
            <w:r w:rsidRPr="00F87F5B">
              <w:rPr>
                <w:rFonts w:ascii="Arial Narrow" w:eastAsia="Arial Narrow" w:hAnsi="Arial Narrow"/>
                <w:color w:val="002839"/>
                <w:szCs w:val="22"/>
                <w:lang w:val="es-419" w:eastAsia="en-US"/>
              </w:rPr>
              <w:t xml:space="preserve">                40.000 </w:t>
            </w:r>
          </w:p>
        </w:tc>
      </w:tr>
      <w:tr w:rsidR="00E1606D" w:rsidRPr="00F87F5B" w14:paraId="7F3245DD" w14:textId="77777777" w:rsidTr="00EF2254">
        <w:trPr>
          <w:trHeight w:val="915"/>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14:paraId="72111726" w14:textId="77777777" w:rsidR="00E1606D" w:rsidRPr="00F87F5B" w:rsidRDefault="00E1606D" w:rsidP="00541D4E">
            <w:pPr>
              <w:keepNext/>
              <w:rPr>
                <w:rFonts w:ascii="Arial Narrow" w:eastAsia="Times New Roman" w:hAnsi="Arial Narrow"/>
                <w:color w:val="002839"/>
                <w:szCs w:val="22"/>
                <w:lang w:val="es-419" w:eastAsia="en-US"/>
              </w:rPr>
            </w:pPr>
            <w:r w:rsidRPr="00F87F5B">
              <w:rPr>
                <w:rFonts w:ascii="Arial Narrow" w:eastAsia="Arial Narrow" w:hAnsi="Arial Narrow"/>
                <w:color w:val="002839"/>
                <w:szCs w:val="22"/>
                <w:lang w:val="es-419" w:eastAsia="en-US"/>
              </w:rPr>
              <w:t>Cuatro herramientas de PI para aplicaciones móviles de música, edición, videojuegos y contenidos audiovisuales</w:t>
            </w:r>
          </w:p>
        </w:tc>
        <w:tc>
          <w:tcPr>
            <w:tcW w:w="1701" w:type="dxa"/>
            <w:tcBorders>
              <w:top w:val="nil"/>
              <w:left w:val="nil"/>
              <w:bottom w:val="single" w:sz="4" w:space="0" w:color="BFBFBF"/>
              <w:right w:val="single" w:sz="4" w:space="0" w:color="BFBFBF"/>
            </w:tcBorders>
            <w:shd w:val="clear" w:color="auto" w:fill="auto"/>
            <w:noWrap/>
            <w:vAlign w:val="center"/>
            <w:hideMark/>
          </w:tcPr>
          <w:p w14:paraId="14B1FB07" w14:textId="77777777" w:rsidR="00E1606D" w:rsidRPr="00F87F5B" w:rsidRDefault="00E1606D" w:rsidP="00541D4E">
            <w:pPr>
              <w:keepNext/>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559" w:type="dxa"/>
            <w:tcBorders>
              <w:top w:val="nil"/>
              <w:left w:val="nil"/>
              <w:bottom w:val="single" w:sz="4" w:space="0" w:color="BFBFBF"/>
              <w:right w:val="single" w:sz="4" w:space="0" w:color="BFBFBF"/>
            </w:tcBorders>
            <w:shd w:val="clear" w:color="auto" w:fill="auto"/>
            <w:vAlign w:val="center"/>
            <w:hideMark/>
          </w:tcPr>
          <w:p w14:paraId="0AF7F684" w14:textId="77777777" w:rsidR="00E1606D" w:rsidRPr="00F87F5B" w:rsidRDefault="00E1606D" w:rsidP="00541D4E">
            <w:pPr>
              <w:keepNext/>
              <w:jc w:val="right"/>
              <w:rPr>
                <w:rFonts w:ascii="Arial Narrow" w:eastAsia="Times New Roman" w:hAnsi="Arial Narrow"/>
                <w:color w:val="000000"/>
                <w:szCs w:val="22"/>
                <w:lang w:val="es-419" w:eastAsia="en-US"/>
              </w:rPr>
            </w:pPr>
            <w:r w:rsidRPr="00F87F5B">
              <w:rPr>
                <w:rFonts w:ascii="Arial Narrow" w:eastAsia="Arial Narrow" w:hAnsi="Arial Narrow"/>
                <w:color w:val="000000"/>
                <w:szCs w:val="22"/>
                <w:lang w:val="es-419" w:eastAsia="en-US"/>
              </w:rPr>
              <w:t xml:space="preserve">                60.000 </w:t>
            </w:r>
          </w:p>
        </w:tc>
        <w:tc>
          <w:tcPr>
            <w:tcW w:w="1418" w:type="dxa"/>
            <w:tcBorders>
              <w:top w:val="nil"/>
              <w:left w:val="nil"/>
              <w:bottom w:val="single" w:sz="4" w:space="0" w:color="BFBFBF"/>
              <w:right w:val="single" w:sz="4" w:space="0" w:color="BFBFBF"/>
            </w:tcBorders>
            <w:shd w:val="clear" w:color="auto" w:fill="auto"/>
            <w:noWrap/>
            <w:vAlign w:val="center"/>
            <w:hideMark/>
          </w:tcPr>
          <w:p w14:paraId="65B8D78E" w14:textId="77777777" w:rsidR="00E1606D" w:rsidRPr="00F87F5B" w:rsidRDefault="00E1606D" w:rsidP="00541D4E">
            <w:pPr>
              <w:keepNext/>
              <w:jc w:val="right"/>
              <w:rPr>
                <w:rFonts w:ascii="Arial Narrow" w:eastAsia="Times New Roman" w:hAnsi="Arial Narrow"/>
                <w:color w:val="002839"/>
                <w:szCs w:val="22"/>
                <w:lang w:val="es-419" w:eastAsia="en-US"/>
              </w:rPr>
            </w:pPr>
            <w:r w:rsidRPr="00F87F5B">
              <w:rPr>
                <w:rFonts w:ascii="Arial Narrow" w:eastAsia="Arial Narrow" w:hAnsi="Arial Narrow"/>
                <w:color w:val="002839"/>
                <w:szCs w:val="22"/>
                <w:lang w:val="es-419" w:eastAsia="en-US"/>
              </w:rPr>
              <w:t xml:space="preserve">                60.000 </w:t>
            </w:r>
          </w:p>
        </w:tc>
      </w:tr>
      <w:tr w:rsidR="00E1606D" w:rsidRPr="00F87F5B" w14:paraId="64A8E020" w14:textId="77777777" w:rsidTr="00EF2254">
        <w:trPr>
          <w:trHeight w:val="93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14:paraId="46AF22F9" w14:textId="77777777" w:rsidR="00E1606D" w:rsidRPr="00F87F5B" w:rsidRDefault="00E1606D" w:rsidP="00541D4E">
            <w:pPr>
              <w:keepNext/>
              <w:rPr>
                <w:rFonts w:ascii="Arial Narrow" w:eastAsia="Times New Roman" w:hAnsi="Arial Narrow"/>
                <w:color w:val="002839"/>
                <w:szCs w:val="22"/>
                <w:lang w:val="es-419" w:eastAsia="en-US"/>
              </w:rPr>
            </w:pPr>
            <w:r w:rsidRPr="00F87F5B">
              <w:rPr>
                <w:rFonts w:ascii="Arial Narrow" w:eastAsia="Arial Narrow" w:hAnsi="Arial Narrow"/>
                <w:color w:val="002839"/>
                <w:szCs w:val="22"/>
                <w:lang w:val="es-419" w:eastAsia="en-US"/>
              </w:rPr>
              <w:t>Tres eventos (uno en cada país beneficiario) para presentar los materiales creados a las partes interesadas en cada país beneficiario y recabar sus opiniones</w:t>
            </w:r>
          </w:p>
        </w:tc>
        <w:tc>
          <w:tcPr>
            <w:tcW w:w="1701" w:type="dxa"/>
            <w:tcBorders>
              <w:top w:val="nil"/>
              <w:left w:val="nil"/>
              <w:bottom w:val="single" w:sz="4" w:space="0" w:color="BFBFBF"/>
              <w:right w:val="single" w:sz="4" w:space="0" w:color="BFBFBF"/>
            </w:tcBorders>
            <w:shd w:val="clear" w:color="auto" w:fill="auto"/>
            <w:noWrap/>
            <w:vAlign w:val="center"/>
            <w:hideMark/>
          </w:tcPr>
          <w:p w14:paraId="47DD95AE" w14:textId="77777777" w:rsidR="00E1606D" w:rsidRPr="00F87F5B" w:rsidRDefault="00E1606D" w:rsidP="00541D4E">
            <w:pPr>
              <w:keepNext/>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559" w:type="dxa"/>
            <w:tcBorders>
              <w:top w:val="nil"/>
              <w:left w:val="nil"/>
              <w:bottom w:val="single" w:sz="4" w:space="0" w:color="BFBFBF"/>
              <w:right w:val="single" w:sz="4" w:space="0" w:color="BFBFBF"/>
            </w:tcBorders>
            <w:shd w:val="clear" w:color="auto" w:fill="auto"/>
            <w:vAlign w:val="center"/>
            <w:hideMark/>
          </w:tcPr>
          <w:p w14:paraId="1AC40B48" w14:textId="77777777" w:rsidR="00E1606D" w:rsidRPr="00F87F5B" w:rsidRDefault="00E1606D" w:rsidP="00541D4E">
            <w:pPr>
              <w:keepNext/>
              <w:jc w:val="right"/>
              <w:rPr>
                <w:rFonts w:ascii="Arial Narrow" w:eastAsia="Times New Roman" w:hAnsi="Arial Narrow"/>
                <w:color w:val="000000"/>
                <w:szCs w:val="22"/>
                <w:lang w:val="es-419" w:eastAsia="en-US"/>
              </w:rPr>
            </w:pPr>
            <w:r w:rsidRPr="00F87F5B">
              <w:rPr>
                <w:rFonts w:ascii="Arial Narrow" w:eastAsia="Arial Narrow" w:hAnsi="Arial Narrow"/>
                <w:color w:val="000000"/>
                <w:szCs w:val="22"/>
                <w:lang w:val="es-419" w:eastAsia="en-US"/>
              </w:rPr>
              <w:t xml:space="preserve">                50.000 </w:t>
            </w:r>
          </w:p>
        </w:tc>
        <w:tc>
          <w:tcPr>
            <w:tcW w:w="1418" w:type="dxa"/>
            <w:tcBorders>
              <w:top w:val="nil"/>
              <w:left w:val="nil"/>
              <w:bottom w:val="single" w:sz="4" w:space="0" w:color="BFBFBF"/>
              <w:right w:val="single" w:sz="4" w:space="0" w:color="BFBFBF"/>
            </w:tcBorders>
            <w:shd w:val="clear" w:color="auto" w:fill="auto"/>
            <w:noWrap/>
            <w:vAlign w:val="center"/>
            <w:hideMark/>
          </w:tcPr>
          <w:p w14:paraId="6DF17F2D" w14:textId="77777777" w:rsidR="00E1606D" w:rsidRPr="00F87F5B" w:rsidRDefault="00E1606D" w:rsidP="00541D4E">
            <w:pPr>
              <w:keepNext/>
              <w:jc w:val="right"/>
              <w:rPr>
                <w:rFonts w:ascii="Arial Narrow" w:eastAsia="Times New Roman" w:hAnsi="Arial Narrow"/>
                <w:color w:val="002839"/>
                <w:szCs w:val="22"/>
                <w:lang w:val="es-419" w:eastAsia="en-US"/>
              </w:rPr>
            </w:pPr>
            <w:r w:rsidRPr="00F87F5B">
              <w:rPr>
                <w:rFonts w:ascii="Arial Narrow" w:eastAsia="Arial Narrow" w:hAnsi="Arial Narrow"/>
                <w:color w:val="002839"/>
                <w:szCs w:val="22"/>
                <w:lang w:val="es-419" w:eastAsia="en-US"/>
              </w:rPr>
              <w:t xml:space="preserve">                50.000 </w:t>
            </w:r>
          </w:p>
        </w:tc>
      </w:tr>
      <w:tr w:rsidR="00E1606D" w:rsidRPr="00F87F5B" w14:paraId="4E975952" w14:textId="77777777" w:rsidTr="00EF2254">
        <w:trPr>
          <w:trHeight w:val="66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14:paraId="3DAB125A" w14:textId="77777777" w:rsidR="00E1606D" w:rsidRPr="00F87F5B" w:rsidRDefault="00E1606D" w:rsidP="00EF2254">
            <w:pPr>
              <w:rPr>
                <w:rFonts w:ascii="Arial Narrow" w:eastAsia="Times New Roman" w:hAnsi="Arial Narrow"/>
                <w:color w:val="002839"/>
                <w:szCs w:val="22"/>
                <w:lang w:val="es-419" w:eastAsia="en-US"/>
              </w:rPr>
            </w:pPr>
            <w:r w:rsidRPr="00F87F5B">
              <w:rPr>
                <w:rFonts w:ascii="Arial Narrow" w:eastAsia="Arial Narrow" w:hAnsi="Arial Narrow"/>
                <w:color w:val="002839"/>
                <w:szCs w:val="22"/>
                <w:lang w:val="es-419" w:eastAsia="en-US"/>
              </w:rPr>
              <w:t xml:space="preserve"> Conclusión del proyecto y autoevaluación final</w:t>
            </w:r>
          </w:p>
        </w:tc>
        <w:tc>
          <w:tcPr>
            <w:tcW w:w="1701" w:type="dxa"/>
            <w:tcBorders>
              <w:top w:val="nil"/>
              <w:left w:val="nil"/>
              <w:bottom w:val="single" w:sz="4" w:space="0" w:color="BFBFBF"/>
              <w:right w:val="single" w:sz="4" w:space="0" w:color="BFBFBF"/>
            </w:tcBorders>
            <w:shd w:val="clear" w:color="auto" w:fill="auto"/>
            <w:noWrap/>
            <w:vAlign w:val="center"/>
            <w:hideMark/>
          </w:tcPr>
          <w:p w14:paraId="66EBE1A8"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xml:space="preserve">                          -   </w:t>
            </w:r>
          </w:p>
        </w:tc>
        <w:tc>
          <w:tcPr>
            <w:tcW w:w="1559" w:type="dxa"/>
            <w:tcBorders>
              <w:top w:val="nil"/>
              <w:left w:val="nil"/>
              <w:bottom w:val="single" w:sz="4" w:space="0" w:color="BFBFBF"/>
              <w:right w:val="single" w:sz="4" w:space="0" w:color="BFBFBF"/>
            </w:tcBorders>
            <w:shd w:val="clear" w:color="auto" w:fill="auto"/>
            <w:vAlign w:val="center"/>
            <w:hideMark/>
          </w:tcPr>
          <w:p w14:paraId="023CD781"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xml:space="preserve">                         -   </w:t>
            </w:r>
          </w:p>
        </w:tc>
        <w:tc>
          <w:tcPr>
            <w:tcW w:w="1418" w:type="dxa"/>
            <w:tcBorders>
              <w:top w:val="nil"/>
              <w:left w:val="nil"/>
              <w:bottom w:val="single" w:sz="4" w:space="0" w:color="BFBFBF"/>
              <w:right w:val="single" w:sz="4" w:space="0" w:color="BFBFBF"/>
            </w:tcBorders>
            <w:shd w:val="clear" w:color="auto" w:fill="auto"/>
            <w:noWrap/>
            <w:vAlign w:val="center"/>
            <w:hideMark/>
          </w:tcPr>
          <w:p w14:paraId="732431CC" w14:textId="77777777" w:rsidR="00E1606D" w:rsidRPr="00F87F5B" w:rsidRDefault="00E1606D" w:rsidP="00EF2254">
            <w:pPr>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xml:space="preserve">                      -   </w:t>
            </w:r>
          </w:p>
        </w:tc>
      </w:tr>
      <w:tr w:rsidR="00E1606D" w:rsidRPr="00F87F5B" w14:paraId="34CB4FD6" w14:textId="77777777" w:rsidTr="00EF2254">
        <w:trPr>
          <w:trHeight w:val="330"/>
        </w:trPr>
        <w:tc>
          <w:tcPr>
            <w:tcW w:w="4815" w:type="dxa"/>
            <w:tcBorders>
              <w:top w:val="nil"/>
              <w:left w:val="single" w:sz="4" w:space="0" w:color="BFBFBF"/>
              <w:bottom w:val="single" w:sz="4" w:space="0" w:color="BFBFBF"/>
              <w:right w:val="single" w:sz="4" w:space="0" w:color="BFBFBF"/>
            </w:tcBorders>
            <w:shd w:val="clear" w:color="000000" w:fill="EDF0F3"/>
            <w:vAlign w:val="center"/>
            <w:hideMark/>
          </w:tcPr>
          <w:p w14:paraId="1F4A7316" w14:textId="77777777" w:rsidR="00E1606D" w:rsidRPr="00F87F5B" w:rsidRDefault="00E1606D" w:rsidP="00EF2254">
            <w:pP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Total</w:t>
            </w:r>
          </w:p>
        </w:tc>
        <w:tc>
          <w:tcPr>
            <w:tcW w:w="1701" w:type="dxa"/>
            <w:tcBorders>
              <w:top w:val="nil"/>
              <w:left w:val="nil"/>
              <w:bottom w:val="single" w:sz="4" w:space="0" w:color="BFBFBF"/>
              <w:right w:val="single" w:sz="4" w:space="0" w:color="BFBFBF"/>
            </w:tcBorders>
            <w:shd w:val="clear" w:color="000000" w:fill="EDF0F3"/>
            <w:noWrap/>
            <w:vAlign w:val="center"/>
            <w:hideMark/>
          </w:tcPr>
          <w:p w14:paraId="062DD3BC" w14:textId="77777777" w:rsidR="00E1606D" w:rsidRPr="00F87F5B" w:rsidRDefault="00E1606D" w:rsidP="00EF2254">
            <w:pPr>
              <w:rPr>
                <w:rFonts w:ascii="Arial Narrow" w:eastAsia="Times New Roman" w:hAnsi="Arial Narrow"/>
                <w:b/>
                <w:bCs/>
                <w:color w:val="002839"/>
                <w:szCs w:val="22"/>
                <w:lang w:val="es-419" w:eastAsia="en-US"/>
              </w:rPr>
            </w:pPr>
            <w:r w:rsidRPr="00F87F5B">
              <w:rPr>
                <w:rFonts w:ascii="Arial Narrow" w:eastAsia="Times New Roman" w:hAnsi="Arial Narrow"/>
                <w:b/>
                <w:bCs/>
                <w:color w:val="002839"/>
                <w:szCs w:val="22"/>
                <w:lang w:val="es-419" w:eastAsia="en-US"/>
              </w:rPr>
              <w:t xml:space="preserve">                          -   </w:t>
            </w:r>
          </w:p>
        </w:tc>
        <w:tc>
          <w:tcPr>
            <w:tcW w:w="1559" w:type="dxa"/>
            <w:tcBorders>
              <w:top w:val="nil"/>
              <w:left w:val="nil"/>
              <w:bottom w:val="single" w:sz="4" w:space="0" w:color="BFBFBF"/>
              <w:right w:val="single" w:sz="4" w:space="0" w:color="BFBFBF"/>
            </w:tcBorders>
            <w:shd w:val="clear" w:color="000000" w:fill="EDF0F3"/>
            <w:noWrap/>
            <w:vAlign w:val="center"/>
            <w:hideMark/>
          </w:tcPr>
          <w:p w14:paraId="27208460" w14:textId="77777777" w:rsidR="00E1606D" w:rsidRPr="00F87F5B" w:rsidRDefault="00E1606D" w:rsidP="00EF2254">
            <w:pP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 xml:space="preserve">             150.000 </w:t>
            </w:r>
          </w:p>
        </w:tc>
        <w:tc>
          <w:tcPr>
            <w:tcW w:w="1418" w:type="dxa"/>
            <w:tcBorders>
              <w:top w:val="nil"/>
              <w:left w:val="nil"/>
              <w:bottom w:val="single" w:sz="4" w:space="0" w:color="BFBFBF"/>
              <w:right w:val="single" w:sz="4" w:space="0" w:color="BFBFBF"/>
            </w:tcBorders>
            <w:shd w:val="clear" w:color="000000" w:fill="EDF0F3"/>
            <w:noWrap/>
            <w:vAlign w:val="center"/>
            <w:hideMark/>
          </w:tcPr>
          <w:p w14:paraId="25832FBE" w14:textId="77777777" w:rsidR="00E1606D" w:rsidRPr="00F87F5B" w:rsidRDefault="00E1606D" w:rsidP="00EF2254">
            <w:pP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 xml:space="preserve">          150.000 </w:t>
            </w:r>
          </w:p>
        </w:tc>
      </w:tr>
    </w:tbl>
    <w:p w14:paraId="4129297F" w14:textId="77777777" w:rsidR="00423826" w:rsidRPr="00F87F5B" w:rsidRDefault="00423826" w:rsidP="00423826">
      <w:pPr>
        <w:rPr>
          <w:rFonts w:eastAsia="Times New Roman"/>
          <w:szCs w:val="22"/>
          <w:lang w:val="es-419" w:eastAsia="en-US"/>
        </w:rPr>
        <w:sectPr w:rsidR="00423826" w:rsidRPr="00F87F5B" w:rsidSect="00E61FAB">
          <w:headerReference w:type="default" r:id="rId16"/>
          <w:headerReference w:type="first" r:id="rId17"/>
          <w:endnotePr>
            <w:numFmt w:val="decimal"/>
          </w:endnotePr>
          <w:pgSz w:w="11907" w:h="16840" w:code="9"/>
          <w:pgMar w:top="567" w:right="1134" w:bottom="1418" w:left="1418" w:header="510" w:footer="1021" w:gutter="0"/>
          <w:pgNumType w:start="1" w:chapStyle="1"/>
          <w:cols w:space="720"/>
          <w:titlePg/>
          <w:docGrid w:linePitch="299"/>
        </w:sectPr>
      </w:pPr>
    </w:p>
    <w:p w14:paraId="6329B90A" w14:textId="0458633A" w:rsidR="00423826" w:rsidRPr="00F87F5B" w:rsidRDefault="00423826" w:rsidP="00423826">
      <w:pPr>
        <w:rPr>
          <w:rFonts w:eastAsia="Times New Roman"/>
          <w:b/>
          <w:bCs/>
          <w:szCs w:val="22"/>
          <w:lang w:val="es-419" w:eastAsia="en-US"/>
        </w:rPr>
      </w:pPr>
      <w:r w:rsidRPr="00F87F5B">
        <w:rPr>
          <w:rFonts w:eastAsia="Times New Roman"/>
          <w:b/>
          <w:bCs/>
          <w:szCs w:val="22"/>
          <w:lang w:val="es-419" w:eastAsia="en-US"/>
        </w:rPr>
        <w:t xml:space="preserve">5. </w:t>
      </w:r>
      <w:r w:rsidR="00E1606D" w:rsidRPr="00F87F5B">
        <w:rPr>
          <w:rFonts w:eastAsia="Arial"/>
          <w:b/>
          <w:bCs/>
          <w:szCs w:val="22"/>
          <w:lang w:val="es-419" w:eastAsia="en-US"/>
        </w:rPr>
        <w:t>Recursos no relativos al personal, por categoría de gasto</w:t>
      </w:r>
    </w:p>
    <w:p w14:paraId="52AC8E8C" w14:textId="77777777" w:rsidR="00423826" w:rsidRPr="00F87F5B" w:rsidRDefault="00423826" w:rsidP="00423826">
      <w:pPr>
        <w:rPr>
          <w:rFonts w:eastAsia="Times New Roman"/>
          <w:b/>
          <w:bCs/>
          <w:szCs w:val="22"/>
          <w:lang w:val="es-419" w:eastAsia="en-US"/>
        </w:rPr>
      </w:pPr>
    </w:p>
    <w:tbl>
      <w:tblPr>
        <w:tblW w:w="13475" w:type="dxa"/>
        <w:tblLook w:val="04A0" w:firstRow="1" w:lastRow="0" w:firstColumn="1" w:lastColumn="0" w:noHBand="0" w:noVBand="1"/>
      </w:tblPr>
      <w:tblGrid>
        <w:gridCol w:w="2263"/>
        <w:gridCol w:w="1571"/>
        <w:gridCol w:w="993"/>
        <w:gridCol w:w="1217"/>
        <w:gridCol w:w="1571"/>
        <w:gridCol w:w="1430"/>
        <w:gridCol w:w="1571"/>
        <w:gridCol w:w="1249"/>
        <w:gridCol w:w="1219"/>
        <w:gridCol w:w="1571"/>
      </w:tblGrid>
      <w:tr w:rsidR="00E1606D" w:rsidRPr="00F87F5B" w14:paraId="0B6C55E4" w14:textId="77777777" w:rsidTr="00EF2254">
        <w:trPr>
          <w:trHeight w:val="705"/>
        </w:trPr>
        <w:tc>
          <w:tcPr>
            <w:tcW w:w="2263" w:type="dxa"/>
            <w:tcBorders>
              <w:top w:val="single" w:sz="4" w:space="0" w:color="BFBFBF"/>
              <w:left w:val="single" w:sz="4" w:space="0" w:color="BFBFBF"/>
              <w:bottom w:val="nil"/>
              <w:right w:val="single" w:sz="4" w:space="0" w:color="A6A6A6"/>
            </w:tcBorders>
            <w:shd w:val="clear" w:color="000000" w:fill="C7CFD8"/>
            <w:noWrap/>
            <w:vAlign w:val="bottom"/>
            <w:hideMark/>
          </w:tcPr>
          <w:p w14:paraId="15E43148" w14:textId="77777777" w:rsidR="00E1606D" w:rsidRPr="00F87F5B" w:rsidRDefault="00E1606D" w:rsidP="00EF2254">
            <w:pPr>
              <w:rPr>
                <w:rFonts w:ascii="Arial Narrow" w:eastAsia="Times New Roman" w:hAnsi="Arial Narrow"/>
                <w:i/>
                <w:iCs/>
                <w:color w:val="002839"/>
                <w:szCs w:val="22"/>
                <w:lang w:val="es-419" w:eastAsia="en-US"/>
              </w:rPr>
            </w:pPr>
            <w:r w:rsidRPr="00F87F5B">
              <w:rPr>
                <w:rFonts w:ascii="Arial Narrow" w:eastAsia="Arial Narrow" w:hAnsi="Arial Narrow"/>
                <w:i/>
                <w:iCs/>
                <w:color w:val="002839"/>
                <w:szCs w:val="22"/>
                <w:lang w:val="es-419" w:eastAsia="en-US"/>
              </w:rPr>
              <w:t>(en francos suizos)</w:t>
            </w:r>
          </w:p>
        </w:tc>
        <w:tc>
          <w:tcPr>
            <w:tcW w:w="3261"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6E435E43" w14:textId="77777777" w:rsidR="00E1606D" w:rsidRPr="00F87F5B" w:rsidRDefault="00E1606D" w:rsidP="00EF2254">
            <w:pPr>
              <w:jc w:val="cente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Viajes, formación y subvenciones conexas</w:t>
            </w:r>
          </w:p>
        </w:tc>
        <w:tc>
          <w:tcPr>
            <w:tcW w:w="6380"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298418A4" w14:textId="77777777" w:rsidR="00E1606D" w:rsidRPr="00F87F5B" w:rsidRDefault="00E1606D" w:rsidP="00EF2254">
            <w:pPr>
              <w:jc w:val="cente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Servicios contractuales</w:t>
            </w:r>
          </w:p>
        </w:tc>
        <w:tc>
          <w:tcPr>
            <w:tcW w:w="1571"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4BB21F6C" w14:textId="77777777" w:rsidR="00E1606D" w:rsidRPr="00F87F5B" w:rsidRDefault="00E1606D" w:rsidP="00EF2254">
            <w:pPr>
              <w:jc w:val="cente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Año 2</w:t>
            </w:r>
          </w:p>
        </w:tc>
      </w:tr>
      <w:tr w:rsidR="00A02C6F" w:rsidRPr="00F87F5B" w14:paraId="6113382B" w14:textId="77777777" w:rsidTr="00EF2254">
        <w:trPr>
          <w:trHeight w:val="990"/>
        </w:trPr>
        <w:tc>
          <w:tcPr>
            <w:tcW w:w="2263" w:type="dxa"/>
            <w:tcBorders>
              <w:top w:val="nil"/>
              <w:left w:val="single" w:sz="4" w:space="0" w:color="BFBFBF"/>
              <w:bottom w:val="single" w:sz="4" w:space="0" w:color="BFBFBF"/>
              <w:right w:val="single" w:sz="4" w:space="0" w:color="A6A6A6"/>
            </w:tcBorders>
            <w:shd w:val="clear" w:color="000000" w:fill="C7CFD8"/>
            <w:noWrap/>
            <w:vAlign w:val="bottom"/>
            <w:hideMark/>
          </w:tcPr>
          <w:p w14:paraId="5627D5A2" w14:textId="77777777" w:rsidR="00E1606D" w:rsidRPr="00F87F5B" w:rsidRDefault="00E1606D" w:rsidP="00EF2254">
            <w:pP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Actividades</w:t>
            </w:r>
          </w:p>
        </w:tc>
        <w:tc>
          <w:tcPr>
            <w:tcW w:w="1134" w:type="dxa"/>
            <w:tcBorders>
              <w:top w:val="nil"/>
              <w:left w:val="nil"/>
              <w:bottom w:val="single" w:sz="4" w:space="0" w:color="BFBFBF"/>
              <w:right w:val="single" w:sz="4" w:space="0" w:color="A6A6A6"/>
            </w:tcBorders>
            <w:shd w:val="clear" w:color="000000" w:fill="C7CFD8"/>
            <w:vAlign w:val="center"/>
            <w:hideMark/>
          </w:tcPr>
          <w:p w14:paraId="513B7E78" w14:textId="77777777" w:rsidR="00E1606D" w:rsidRPr="00F87F5B" w:rsidRDefault="00E1606D" w:rsidP="00EF2254">
            <w:pPr>
              <w:jc w:val="cente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Misiones del personal</w:t>
            </w:r>
          </w:p>
        </w:tc>
        <w:tc>
          <w:tcPr>
            <w:tcW w:w="993" w:type="dxa"/>
            <w:tcBorders>
              <w:top w:val="nil"/>
              <w:left w:val="nil"/>
              <w:bottom w:val="single" w:sz="4" w:space="0" w:color="BFBFBF"/>
              <w:right w:val="single" w:sz="4" w:space="0" w:color="A6A6A6"/>
            </w:tcBorders>
            <w:shd w:val="clear" w:color="000000" w:fill="C7CFD8"/>
            <w:vAlign w:val="center"/>
            <w:hideMark/>
          </w:tcPr>
          <w:p w14:paraId="726F9A88" w14:textId="77777777" w:rsidR="00E1606D" w:rsidRPr="00F87F5B" w:rsidRDefault="00E1606D" w:rsidP="00EF2254">
            <w:pPr>
              <w:jc w:val="cente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Viajes de terceros</w:t>
            </w:r>
          </w:p>
        </w:tc>
        <w:tc>
          <w:tcPr>
            <w:tcW w:w="1134" w:type="dxa"/>
            <w:tcBorders>
              <w:top w:val="nil"/>
              <w:left w:val="nil"/>
              <w:bottom w:val="single" w:sz="4" w:space="0" w:color="BFBFBF"/>
              <w:right w:val="single" w:sz="4" w:space="0" w:color="A6A6A6"/>
            </w:tcBorders>
            <w:shd w:val="clear" w:color="000000" w:fill="C7CFD8"/>
            <w:vAlign w:val="center"/>
            <w:hideMark/>
          </w:tcPr>
          <w:p w14:paraId="3E88448C" w14:textId="77777777" w:rsidR="00E1606D" w:rsidRPr="00F87F5B" w:rsidRDefault="00E1606D" w:rsidP="00EF2254">
            <w:pPr>
              <w:jc w:val="center"/>
              <w:rPr>
                <w:rFonts w:ascii="Arial Narrow" w:eastAsia="Times New Roman" w:hAnsi="Arial Narrow"/>
                <w:b/>
                <w:bCs/>
                <w:color w:val="002839"/>
                <w:sz w:val="18"/>
                <w:szCs w:val="18"/>
                <w:lang w:val="es-419" w:eastAsia="en-US"/>
              </w:rPr>
            </w:pPr>
            <w:r w:rsidRPr="00F87F5B">
              <w:rPr>
                <w:rFonts w:ascii="Arial Narrow" w:eastAsia="Arial Narrow" w:hAnsi="Arial Narrow"/>
                <w:b/>
                <w:bCs/>
                <w:color w:val="002839"/>
                <w:sz w:val="18"/>
                <w:szCs w:val="18"/>
                <w:lang w:val="es-419" w:eastAsia="en-US"/>
              </w:rPr>
              <w:t>Subvenciones para formación y viajes</w:t>
            </w:r>
          </w:p>
        </w:tc>
        <w:tc>
          <w:tcPr>
            <w:tcW w:w="1309" w:type="dxa"/>
            <w:tcBorders>
              <w:top w:val="nil"/>
              <w:left w:val="nil"/>
              <w:bottom w:val="single" w:sz="4" w:space="0" w:color="BFBFBF"/>
              <w:right w:val="single" w:sz="4" w:space="0" w:color="A6A6A6"/>
            </w:tcBorders>
            <w:shd w:val="clear" w:color="000000" w:fill="C7CFD8"/>
            <w:noWrap/>
            <w:vAlign w:val="center"/>
            <w:hideMark/>
          </w:tcPr>
          <w:p w14:paraId="0CBA937E" w14:textId="77777777" w:rsidR="00E1606D" w:rsidRPr="00F87F5B" w:rsidRDefault="00E1606D" w:rsidP="00EF2254">
            <w:pPr>
              <w:jc w:val="cente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Conferencias</w:t>
            </w:r>
          </w:p>
        </w:tc>
        <w:tc>
          <w:tcPr>
            <w:tcW w:w="1384" w:type="dxa"/>
            <w:tcBorders>
              <w:top w:val="nil"/>
              <w:left w:val="nil"/>
              <w:bottom w:val="single" w:sz="4" w:space="0" w:color="BFBFBF"/>
              <w:right w:val="single" w:sz="4" w:space="0" w:color="A6A6A6"/>
            </w:tcBorders>
            <w:shd w:val="clear" w:color="000000" w:fill="C7CFD8"/>
            <w:noWrap/>
            <w:vAlign w:val="center"/>
            <w:hideMark/>
          </w:tcPr>
          <w:p w14:paraId="6CB8FA13" w14:textId="77777777" w:rsidR="00E1606D" w:rsidRPr="00F87F5B" w:rsidRDefault="00E1606D" w:rsidP="00EF2254">
            <w:pPr>
              <w:jc w:val="cente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Publicaciones</w:t>
            </w:r>
          </w:p>
        </w:tc>
        <w:tc>
          <w:tcPr>
            <w:tcW w:w="1219" w:type="dxa"/>
            <w:tcBorders>
              <w:top w:val="nil"/>
              <w:left w:val="nil"/>
              <w:bottom w:val="single" w:sz="4" w:space="0" w:color="BFBFBF"/>
              <w:right w:val="single" w:sz="4" w:space="0" w:color="A6A6A6"/>
            </w:tcBorders>
            <w:shd w:val="clear" w:color="000000" w:fill="C7CFD8"/>
            <w:vAlign w:val="center"/>
            <w:hideMark/>
          </w:tcPr>
          <w:p w14:paraId="0F5E98AD" w14:textId="26E0DF3E" w:rsidR="00E1606D" w:rsidRPr="00F87F5B" w:rsidRDefault="00E1606D" w:rsidP="00EF2254">
            <w:pPr>
              <w:jc w:val="cente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 xml:space="preserve">Servicios </w:t>
            </w:r>
            <w:r w:rsidR="005C1865" w:rsidRPr="00F87F5B">
              <w:rPr>
                <w:rFonts w:ascii="Arial Narrow" w:eastAsia="Arial Narrow" w:hAnsi="Arial Narrow"/>
                <w:b/>
                <w:bCs/>
                <w:color w:val="002839"/>
                <w:szCs w:val="22"/>
                <w:lang w:val="es-419" w:eastAsia="en-US"/>
              </w:rPr>
              <w:t>de contratistas individuales</w:t>
            </w:r>
            <w:r w:rsidRPr="00F87F5B">
              <w:rPr>
                <w:rStyle w:val="FootnoteReference"/>
                <w:rFonts w:ascii="Arial Narrow" w:eastAsia="Times New Roman" w:hAnsi="Arial Narrow"/>
                <w:b/>
                <w:bCs/>
                <w:color w:val="002839"/>
                <w:szCs w:val="22"/>
                <w:lang w:val="es-419" w:eastAsia="en-US"/>
              </w:rPr>
              <w:footnoteReference w:id="4"/>
            </w:r>
          </w:p>
        </w:tc>
        <w:tc>
          <w:tcPr>
            <w:tcW w:w="1249" w:type="dxa"/>
            <w:tcBorders>
              <w:top w:val="nil"/>
              <w:left w:val="nil"/>
              <w:bottom w:val="single" w:sz="4" w:space="0" w:color="BFBFBF"/>
              <w:right w:val="single" w:sz="4" w:space="0" w:color="A6A6A6"/>
            </w:tcBorders>
            <w:shd w:val="clear" w:color="000000" w:fill="C7CFD8"/>
            <w:vAlign w:val="center"/>
            <w:hideMark/>
          </w:tcPr>
          <w:p w14:paraId="3B13DC5F" w14:textId="77777777" w:rsidR="00E1606D" w:rsidRPr="00F87F5B" w:rsidRDefault="00E1606D" w:rsidP="00EF2254">
            <w:pPr>
              <w:jc w:val="cente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Becas de la OMPI</w:t>
            </w:r>
          </w:p>
        </w:tc>
        <w:tc>
          <w:tcPr>
            <w:tcW w:w="1219" w:type="dxa"/>
            <w:tcBorders>
              <w:top w:val="nil"/>
              <w:left w:val="nil"/>
              <w:bottom w:val="single" w:sz="4" w:space="0" w:color="BFBFBF"/>
              <w:right w:val="nil"/>
            </w:tcBorders>
            <w:shd w:val="clear" w:color="000000" w:fill="C7CFD8"/>
            <w:vAlign w:val="center"/>
            <w:hideMark/>
          </w:tcPr>
          <w:p w14:paraId="03F9F2D8" w14:textId="77777777" w:rsidR="00E1606D" w:rsidRPr="00F87F5B" w:rsidRDefault="00E1606D" w:rsidP="00EF2254">
            <w:pPr>
              <w:jc w:val="center"/>
              <w:rPr>
                <w:rFonts w:ascii="Arial Narrow" w:eastAsia="Times New Roman" w:hAnsi="Arial Narrow"/>
                <w:b/>
                <w:bCs/>
                <w:color w:val="002839"/>
                <w:sz w:val="18"/>
                <w:szCs w:val="18"/>
                <w:lang w:val="es-419" w:eastAsia="en-US"/>
              </w:rPr>
            </w:pPr>
            <w:r w:rsidRPr="00F87F5B">
              <w:rPr>
                <w:rFonts w:ascii="Arial Narrow" w:eastAsia="Arial Narrow" w:hAnsi="Arial Narrow"/>
                <w:b/>
                <w:bCs/>
                <w:color w:val="002839"/>
                <w:sz w:val="18"/>
                <w:szCs w:val="18"/>
                <w:lang w:val="es-419" w:eastAsia="en-US"/>
              </w:rPr>
              <w:t>Otros servicios contractuales</w:t>
            </w:r>
          </w:p>
        </w:tc>
        <w:tc>
          <w:tcPr>
            <w:tcW w:w="1571" w:type="dxa"/>
            <w:vMerge/>
            <w:tcBorders>
              <w:top w:val="single" w:sz="4" w:space="0" w:color="BFBFBF"/>
              <w:left w:val="single" w:sz="4" w:space="0" w:color="A6A6A6"/>
              <w:bottom w:val="single" w:sz="4" w:space="0" w:color="BFBFBF"/>
              <w:right w:val="single" w:sz="4" w:space="0" w:color="BFBFBF"/>
            </w:tcBorders>
            <w:vAlign w:val="center"/>
            <w:hideMark/>
          </w:tcPr>
          <w:p w14:paraId="26E60324" w14:textId="77777777" w:rsidR="00E1606D" w:rsidRPr="00F87F5B" w:rsidRDefault="00E1606D" w:rsidP="00EF2254">
            <w:pPr>
              <w:rPr>
                <w:rFonts w:ascii="Arial Narrow" w:eastAsia="Times New Roman" w:hAnsi="Arial Narrow"/>
                <w:b/>
                <w:bCs/>
                <w:color w:val="002839"/>
                <w:szCs w:val="22"/>
                <w:lang w:val="es-419" w:eastAsia="en-US"/>
              </w:rPr>
            </w:pPr>
          </w:p>
        </w:tc>
      </w:tr>
      <w:tr w:rsidR="002C17A2" w:rsidRPr="00F87F5B" w14:paraId="36F613C7" w14:textId="77777777" w:rsidTr="00EF2254">
        <w:trPr>
          <w:trHeight w:val="66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14:paraId="395EBD63" w14:textId="77777777" w:rsidR="00E1606D" w:rsidRPr="00F87F5B" w:rsidRDefault="00E1606D" w:rsidP="00EF2254">
            <w:pPr>
              <w:rPr>
                <w:rFonts w:ascii="Arial Narrow" w:eastAsia="Times New Roman" w:hAnsi="Arial Narrow"/>
                <w:color w:val="002839"/>
                <w:szCs w:val="22"/>
                <w:lang w:val="es-419" w:eastAsia="en-US"/>
              </w:rPr>
            </w:pPr>
            <w:r w:rsidRPr="00F87F5B">
              <w:rPr>
                <w:rFonts w:ascii="Arial Narrow" w:eastAsia="Arial Narrow" w:hAnsi="Arial Narrow"/>
                <w:color w:val="002839"/>
                <w:szCs w:val="22"/>
                <w:lang w:val="es-419" w:eastAsia="en-US"/>
              </w:rPr>
              <w:t>Materiales para un curso de formación sobre la PI para las aplicaciones móviles</w:t>
            </w:r>
          </w:p>
        </w:tc>
        <w:tc>
          <w:tcPr>
            <w:tcW w:w="1134" w:type="dxa"/>
            <w:tcBorders>
              <w:top w:val="nil"/>
              <w:left w:val="nil"/>
              <w:bottom w:val="single" w:sz="4" w:space="0" w:color="BFBFBF"/>
              <w:right w:val="single" w:sz="4" w:space="0" w:color="BFBFBF"/>
            </w:tcBorders>
            <w:shd w:val="clear" w:color="auto" w:fill="auto"/>
            <w:noWrap/>
            <w:vAlign w:val="center"/>
            <w:hideMark/>
          </w:tcPr>
          <w:p w14:paraId="02944ACC"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993" w:type="dxa"/>
            <w:tcBorders>
              <w:top w:val="nil"/>
              <w:left w:val="nil"/>
              <w:bottom w:val="single" w:sz="4" w:space="0" w:color="BFBFBF"/>
              <w:right w:val="single" w:sz="4" w:space="0" w:color="BFBFBF"/>
            </w:tcBorders>
            <w:shd w:val="clear" w:color="auto" w:fill="auto"/>
            <w:noWrap/>
            <w:vAlign w:val="center"/>
            <w:hideMark/>
          </w:tcPr>
          <w:p w14:paraId="0E0620B2"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1C210311"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397F68B6"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384" w:type="dxa"/>
            <w:tcBorders>
              <w:top w:val="nil"/>
              <w:left w:val="nil"/>
              <w:bottom w:val="single" w:sz="4" w:space="0" w:color="BFBFBF"/>
              <w:right w:val="single" w:sz="4" w:space="0" w:color="BFBFBF"/>
            </w:tcBorders>
            <w:shd w:val="clear" w:color="auto" w:fill="auto"/>
            <w:noWrap/>
            <w:vAlign w:val="center"/>
            <w:hideMark/>
          </w:tcPr>
          <w:p w14:paraId="67E0D72C"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37AB90A5"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Arial Narrow" w:hAnsi="Arial Narrow"/>
                <w:color w:val="002839"/>
                <w:szCs w:val="22"/>
                <w:lang w:val="es-419" w:eastAsia="en-US"/>
              </w:rPr>
              <w:t xml:space="preserve">                40.000 </w:t>
            </w:r>
          </w:p>
        </w:tc>
        <w:tc>
          <w:tcPr>
            <w:tcW w:w="1249" w:type="dxa"/>
            <w:tcBorders>
              <w:top w:val="nil"/>
              <w:left w:val="nil"/>
              <w:bottom w:val="single" w:sz="4" w:space="0" w:color="BFBFBF"/>
              <w:right w:val="single" w:sz="4" w:space="0" w:color="BFBFBF"/>
            </w:tcBorders>
            <w:shd w:val="clear" w:color="auto" w:fill="auto"/>
            <w:noWrap/>
            <w:vAlign w:val="center"/>
            <w:hideMark/>
          </w:tcPr>
          <w:p w14:paraId="4BD8E5BA"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5AF1FDF7"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571" w:type="dxa"/>
            <w:tcBorders>
              <w:top w:val="nil"/>
              <w:left w:val="nil"/>
              <w:bottom w:val="single" w:sz="4" w:space="0" w:color="BFBFBF"/>
              <w:right w:val="single" w:sz="4" w:space="0" w:color="BFBFBF"/>
            </w:tcBorders>
            <w:shd w:val="clear" w:color="auto" w:fill="auto"/>
            <w:noWrap/>
            <w:vAlign w:val="center"/>
            <w:hideMark/>
          </w:tcPr>
          <w:p w14:paraId="10A8CE11" w14:textId="77777777" w:rsidR="00E1606D" w:rsidRPr="00F87F5B" w:rsidRDefault="00E1606D" w:rsidP="00EF2254">
            <w:pPr>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r>
      <w:tr w:rsidR="002C17A2" w:rsidRPr="00F87F5B" w14:paraId="59C7C657" w14:textId="77777777" w:rsidTr="00EF2254">
        <w:trPr>
          <w:trHeight w:val="99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14:paraId="19619C93" w14:textId="77777777" w:rsidR="00E1606D" w:rsidRPr="00F87F5B" w:rsidRDefault="00E1606D" w:rsidP="00EF2254">
            <w:pPr>
              <w:rPr>
                <w:rFonts w:ascii="Arial Narrow" w:eastAsia="Times New Roman" w:hAnsi="Arial Narrow"/>
                <w:color w:val="002839"/>
                <w:szCs w:val="22"/>
                <w:lang w:val="es-419" w:eastAsia="en-US"/>
              </w:rPr>
            </w:pPr>
            <w:r w:rsidRPr="00F87F5B">
              <w:rPr>
                <w:rFonts w:ascii="Arial Narrow" w:eastAsia="Arial Narrow" w:hAnsi="Arial Narrow"/>
                <w:color w:val="002839"/>
                <w:szCs w:val="22"/>
                <w:lang w:val="es-419" w:eastAsia="en-US"/>
              </w:rPr>
              <w:t>Cuatro herramientas de PI para aplicaciones móviles de música, edición, videojuegos y contenidos audiovisuales</w:t>
            </w:r>
          </w:p>
        </w:tc>
        <w:tc>
          <w:tcPr>
            <w:tcW w:w="1134" w:type="dxa"/>
            <w:tcBorders>
              <w:top w:val="nil"/>
              <w:left w:val="nil"/>
              <w:bottom w:val="single" w:sz="4" w:space="0" w:color="BFBFBF"/>
              <w:right w:val="single" w:sz="4" w:space="0" w:color="BFBFBF"/>
            </w:tcBorders>
            <w:shd w:val="clear" w:color="auto" w:fill="auto"/>
            <w:noWrap/>
            <w:vAlign w:val="center"/>
            <w:hideMark/>
          </w:tcPr>
          <w:p w14:paraId="50C080BA"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993" w:type="dxa"/>
            <w:tcBorders>
              <w:top w:val="nil"/>
              <w:left w:val="nil"/>
              <w:bottom w:val="single" w:sz="4" w:space="0" w:color="BFBFBF"/>
              <w:right w:val="single" w:sz="4" w:space="0" w:color="BFBFBF"/>
            </w:tcBorders>
            <w:shd w:val="clear" w:color="auto" w:fill="auto"/>
            <w:noWrap/>
            <w:vAlign w:val="center"/>
            <w:hideMark/>
          </w:tcPr>
          <w:p w14:paraId="04174ACC"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0C9D24D1"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039A1BF4"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384" w:type="dxa"/>
            <w:tcBorders>
              <w:top w:val="nil"/>
              <w:left w:val="nil"/>
              <w:bottom w:val="single" w:sz="4" w:space="0" w:color="BFBFBF"/>
              <w:right w:val="single" w:sz="4" w:space="0" w:color="BFBFBF"/>
            </w:tcBorders>
            <w:shd w:val="clear" w:color="auto" w:fill="auto"/>
            <w:noWrap/>
            <w:vAlign w:val="center"/>
            <w:hideMark/>
          </w:tcPr>
          <w:p w14:paraId="4A2F11B1"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0AC69A08"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Arial Narrow" w:hAnsi="Arial Narrow"/>
                <w:color w:val="002839"/>
                <w:szCs w:val="22"/>
                <w:lang w:val="es-419" w:eastAsia="en-US"/>
              </w:rPr>
              <w:t xml:space="preserve">                60.000 </w:t>
            </w:r>
          </w:p>
        </w:tc>
        <w:tc>
          <w:tcPr>
            <w:tcW w:w="1249" w:type="dxa"/>
            <w:tcBorders>
              <w:top w:val="nil"/>
              <w:left w:val="nil"/>
              <w:bottom w:val="single" w:sz="4" w:space="0" w:color="BFBFBF"/>
              <w:right w:val="single" w:sz="4" w:space="0" w:color="BFBFBF"/>
            </w:tcBorders>
            <w:shd w:val="clear" w:color="auto" w:fill="auto"/>
            <w:noWrap/>
            <w:vAlign w:val="center"/>
            <w:hideMark/>
          </w:tcPr>
          <w:p w14:paraId="000FD983"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7B181755"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571" w:type="dxa"/>
            <w:tcBorders>
              <w:top w:val="nil"/>
              <w:left w:val="nil"/>
              <w:bottom w:val="single" w:sz="4" w:space="0" w:color="BFBFBF"/>
              <w:right w:val="single" w:sz="4" w:space="0" w:color="BFBFBF"/>
            </w:tcBorders>
            <w:shd w:val="clear" w:color="auto" w:fill="auto"/>
            <w:noWrap/>
            <w:vAlign w:val="center"/>
            <w:hideMark/>
          </w:tcPr>
          <w:p w14:paraId="6644002E" w14:textId="77777777" w:rsidR="00E1606D" w:rsidRPr="00F87F5B" w:rsidRDefault="00E1606D" w:rsidP="00EF2254">
            <w:pPr>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r>
      <w:tr w:rsidR="002C17A2" w:rsidRPr="00F87F5B" w14:paraId="36A20DBA" w14:textId="77777777" w:rsidTr="00EF2254">
        <w:trPr>
          <w:trHeight w:val="99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14:paraId="6010EB71" w14:textId="77777777" w:rsidR="00E1606D" w:rsidRPr="00F87F5B" w:rsidRDefault="00E1606D" w:rsidP="00EF2254">
            <w:pPr>
              <w:rPr>
                <w:rFonts w:ascii="Arial Narrow" w:eastAsia="Times New Roman" w:hAnsi="Arial Narrow"/>
                <w:color w:val="002839"/>
                <w:szCs w:val="22"/>
                <w:lang w:val="es-419" w:eastAsia="en-US"/>
              </w:rPr>
            </w:pPr>
            <w:r w:rsidRPr="00F87F5B">
              <w:rPr>
                <w:rFonts w:ascii="Arial Narrow" w:eastAsia="Arial Narrow" w:hAnsi="Arial Narrow"/>
                <w:color w:val="002839"/>
                <w:szCs w:val="22"/>
                <w:lang w:val="es-419" w:eastAsia="en-US"/>
              </w:rPr>
              <w:t>Tres eventos (uno en cada país beneficiario) para presentar los materiales creados a las partes interesadas en cada país beneficiario y recabar sus opiniones</w:t>
            </w:r>
          </w:p>
        </w:tc>
        <w:tc>
          <w:tcPr>
            <w:tcW w:w="1134" w:type="dxa"/>
            <w:tcBorders>
              <w:top w:val="nil"/>
              <w:left w:val="nil"/>
              <w:bottom w:val="single" w:sz="4" w:space="0" w:color="BFBFBF"/>
              <w:right w:val="single" w:sz="4" w:space="0" w:color="BFBFBF"/>
            </w:tcBorders>
            <w:shd w:val="clear" w:color="auto" w:fill="auto"/>
            <w:noWrap/>
            <w:vAlign w:val="center"/>
            <w:hideMark/>
          </w:tcPr>
          <w:p w14:paraId="04254737"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Arial Narrow" w:hAnsi="Arial Narrow"/>
                <w:color w:val="002839"/>
                <w:szCs w:val="22"/>
                <w:lang w:val="es-419" w:eastAsia="en-US"/>
              </w:rPr>
              <w:t xml:space="preserve">                20.000 </w:t>
            </w:r>
          </w:p>
        </w:tc>
        <w:tc>
          <w:tcPr>
            <w:tcW w:w="993" w:type="dxa"/>
            <w:tcBorders>
              <w:top w:val="nil"/>
              <w:left w:val="nil"/>
              <w:bottom w:val="single" w:sz="4" w:space="0" w:color="BFBFBF"/>
              <w:right w:val="single" w:sz="4" w:space="0" w:color="BFBFBF"/>
            </w:tcBorders>
            <w:shd w:val="clear" w:color="auto" w:fill="auto"/>
            <w:noWrap/>
            <w:vAlign w:val="center"/>
            <w:hideMark/>
          </w:tcPr>
          <w:p w14:paraId="2529B172"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4B891930"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659817CF"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Arial Narrow" w:hAnsi="Arial Narrow"/>
                <w:color w:val="002839"/>
                <w:szCs w:val="22"/>
                <w:lang w:val="es-419" w:eastAsia="en-US"/>
              </w:rPr>
              <w:t xml:space="preserve">                12.000 </w:t>
            </w:r>
          </w:p>
        </w:tc>
        <w:tc>
          <w:tcPr>
            <w:tcW w:w="1384" w:type="dxa"/>
            <w:tcBorders>
              <w:top w:val="nil"/>
              <w:left w:val="nil"/>
              <w:bottom w:val="single" w:sz="4" w:space="0" w:color="BFBFBF"/>
              <w:right w:val="single" w:sz="4" w:space="0" w:color="BFBFBF"/>
            </w:tcBorders>
            <w:shd w:val="clear" w:color="auto" w:fill="auto"/>
            <w:noWrap/>
            <w:vAlign w:val="center"/>
            <w:hideMark/>
          </w:tcPr>
          <w:p w14:paraId="16D64415"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34FE91FA"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Arial Narrow" w:hAnsi="Arial Narrow"/>
                <w:color w:val="002839"/>
                <w:szCs w:val="22"/>
                <w:lang w:val="es-419" w:eastAsia="en-US"/>
              </w:rPr>
              <w:t xml:space="preserve">                18.000 </w:t>
            </w:r>
          </w:p>
        </w:tc>
        <w:tc>
          <w:tcPr>
            <w:tcW w:w="1249" w:type="dxa"/>
            <w:tcBorders>
              <w:top w:val="nil"/>
              <w:left w:val="nil"/>
              <w:bottom w:val="single" w:sz="4" w:space="0" w:color="BFBFBF"/>
              <w:right w:val="single" w:sz="4" w:space="0" w:color="BFBFBF"/>
            </w:tcBorders>
            <w:shd w:val="clear" w:color="auto" w:fill="auto"/>
            <w:noWrap/>
            <w:vAlign w:val="center"/>
            <w:hideMark/>
          </w:tcPr>
          <w:p w14:paraId="2532EE14"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2DE428F8"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571" w:type="dxa"/>
            <w:tcBorders>
              <w:top w:val="nil"/>
              <w:left w:val="nil"/>
              <w:bottom w:val="single" w:sz="4" w:space="0" w:color="BFBFBF"/>
              <w:right w:val="single" w:sz="4" w:space="0" w:color="BFBFBF"/>
            </w:tcBorders>
            <w:shd w:val="clear" w:color="auto" w:fill="auto"/>
            <w:noWrap/>
            <w:vAlign w:val="center"/>
            <w:hideMark/>
          </w:tcPr>
          <w:p w14:paraId="2504724F" w14:textId="77777777" w:rsidR="00E1606D" w:rsidRPr="00F87F5B" w:rsidRDefault="00E1606D" w:rsidP="00EF2254">
            <w:pPr>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r>
      <w:tr w:rsidR="002C17A2" w:rsidRPr="00F87F5B" w14:paraId="563113B0" w14:textId="77777777" w:rsidTr="00EF2254">
        <w:trPr>
          <w:trHeight w:val="66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14:paraId="01F567EC" w14:textId="77777777" w:rsidR="00E1606D" w:rsidRPr="00F87F5B" w:rsidRDefault="00E1606D" w:rsidP="00EF2254">
            <w:pPr>
              <w:rPr>
                <w:rFonts w:ascii="Arial Narrow" w:eastAsia="Times New Roman" w:hAnsi="Arial Narrow"/>
                <w:color w:val="002839"/>
                <w:szCs w:val="22"/>
                <w:lang w:val="es-419" w:eastAsia="en-US"/>
              </w:rPr>
            </w:pPr>
            <w:r w:rsidRPr="00F87F5B">
              <w:rPr>
                <w:rFonts w:ascii="Arial Narrow" w:eastAsia="Arial Narrow" w:hAnsi="Arial Narrow"/>
                <w:color w:val="002839"/>
                <w:szCs w:val="22"/>
                <w:lang w:val="es-419" w:eastAsia="en-US"/>
              </w:rPr>
              <w:t>Conclusión del proyecto y autoevaluación final</w:t>
            </w:r>
          </w:p>
        </w:tc>
        <w:tc>
          <w:tcPr>
            <w:tcW w:w="1134" w:type="dxa"/>
            <w:tcBorders>
              <w:top w:val="nil"/>
              <w:left w:val="nil"/>
              <w:bottom w:val="single" w:sz="4" w:space="0" w:color="BFBFBF"/>
              <w:right w:val="single" w:sz="4" w:space="0" w:color="BFBFBF"/>
            </w:tcBorders>
            <w:shd w:val="clear" w:color="auto" w:fill="auto"/>
            <w:noWrap/>
            <w:vAlign w:val="center"/>
            <w:hideMark/>
          </w:tcPr>
          <w:p w14:paraId="3EA089EC"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993" w:type="dxa"/>
            <w:tcBorders>
              <w:top w:val="nil"/>
              <w:left w:val="nil"/>
              <w:bottom w:val="single" w:sz="4" w:space="0" w:color="BFBFBF"/>
              <w:right w:val="single" w:sz="4" w:space="0" w:color="BFBFBF"/>
            </w:tcBorders>
            <w:shd w:val="clear" w:color="auto" w:fill="auto"/>
            <w:noWrap/>
            <w:vAlign w:val="center"/>
            <w:hideMark/>
          </w:tcPr>
          <w:p w14:paraId="2FD7FDA0"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0C29BA45"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37DBA60F"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384" w:type="dxa"/>
            <w:tcBorders>
              <w:top w:val="nil"/>
              <w:left w:val="nil"/>
              <w:bottom w:val="single" w:sz="4" w:space="0" w:color="BFBFBF"/>
              <w:right w:val="single" w:sz="4" w:space="0" w:color="BFBFBF"/>
            </w:tcBorders>
            <w:shd w:val="clear" w:color="auto" w:fill="auto"/>
            <w:noWrap/>
            <w:vAlign w:val="center"/>
            <w:hideMark/>
          </w:tcPr>
          <w:p w14:paraId="007E61BF"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0B789D21"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249" w:type="dxa"/>
            <w:tcBorders>
              <w:top w:val="nil"/>
              <w:left w:val="nil"/>
              <w:bottom w:val="single" w:sz="4" w:space="0" w:color="BFBFBF"/>
              <w:right w:val="single" w:sz="4" w:space="0" w:color="BFBFBF"/>
            </w:tcBorders>
            <w:shd w:val="clear" w:color="auto" w:fill="auto"/>
            <w:noWrap/>
            <w:vAlign w:val="center"/>
            <w:hideMark/>
          </w:tcPr>
          <w:p w14:paraId="2D30AC12"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3F45EC8B" w14:textId="77777777" w:rsidR="00E1606D" w:rsidRPr="00F87F5B" w:rsidRDefault="00E1606D" w:rsidP="00EF2254">
            <w:pPr>
              <w:jc w:val="right"/>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c>
          <w:tcPr>
            <w:tcW w:w="1571" w:type="dxa"/>
            <w:tcBorders>
              <w:top w:val="nil"/>
              <w:left w:val="nil"/>
              <w:bottom w:val="single" w:sz="4" w:space="0" w:color="BFBFBF"/>
              <w:right w:val="single" w:sz="4" w:space="0" w:color="BFBFBF"/>
            </w:tcBorders>
            <w:shd w:val="clear" w:color="auto" w:fill="auto"/>
            <w:noWrap/>
            <w:vAlign w:val="center"/>
            <w:hideMark/>
          </w:tcPr>
          <w:p w14:paraId="789062F4" w14:textId="77777777" w:rsidR="00E1606D" w:rsidRPr="00F87F5B" w:rsidRDefault="00E1606D" w:rsidP="00EF2254">
            <w:pPr>
              <w:rPr>
                <w:rFonts w:ascii="Arial Narrow" w:eastAsia="Times New Roman" w:hAnsi="Arial Narrow"/>
                <w:color w:val="002839"/>
                <w:szCs w:val="22"/>
                <w:lang w:val="es-419" w:eastAsia="en-US"/>
              </w:rPr>
            </w:pPr>
            <w:r w:rsidRPr="00F87F5B">
              <w:rPr>
                <w:rFonts w:ascii="Arial Narrow" w:eastAsia="Times New Roman" w:hAnsi="Arial Narrow"/>
                <w:color w:val="002839"/>
                <w:szCs w:val="22"/>
                <w:lang w:val="es-419" w:eastAsia="en-US"/>
              </w:rPr>
              <w:t> -</w:t>
            </w:r>
          </w:p>
        </w:tc>
      </w:tr>
      <w:tr w:rsidR="00A02C6F" w:rsidRPr="00F87F5B" w14:paraId="0ACF91A5" w14:textId="77777777" w:rsidTr="00EF2254">
        <w:trPr>
          <w:trHeight w:val="330"/>
        </w:trPr>
        <w:tc>
          <w:tcPr>
            <w:tcW w:w="2263" w:type="dxa"/>
            <w:tcBorders>
              <w:top w:val="nil"/>
              <w:left w:val="single" w:sz="4" w:space="0" w:color="BFBFBF"/>
              <w:bottom w:val="single" w:sz="4" w:space="0" w:color="BFBFBF"/>
              <w:right w:val="single" w:sz="4" w:space="0" w:color="BFBFBF"/>
            </w:tcBorders>
            <w:shd w:val="clear" w:color="000000" w:fill="EDF0F3"/>
            <w:vAlign w:val="center"/>
            <w:hideMark/>
          </w:tcPr>
          <w:p w14:paraId="33CD3A41" w14:textId="77777777" w:rsidR="00E1606D" w:rsidRPr="00F87F5B" w:rsidRDefault="00E1606D" w:rsidP="00EF2254">
            <w:pPr>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Total</w:t>
            </w:r>
          </w:p>
        </w:tc>
        <w:tc>
          <w:tcPr>
            <w:tcW w:w="1134" w:type="dxa"/>
            <w:tcBorders>
              <w:top w:val="nil"/>
              <w:left w:val="nil"/>
              <w:bottom w:val="single" w:sz="4" w:space="0" w:color="BFBFBF"/>
              <w:right w:val="single" w:sz="4" w:space="0" w:color="BFBFBF"/>
            </w:tcBorders>
            <w:shd w:val="clear" w:color="000000" w:fill="EDF0F3"/>
            <w:noWrap/>
            <w:vAlign w:val="center"/>
            <w:hideMark/>
          </w:tcPr>
          <w:p w14:paraId="634097FE" w14:textId="77777777" w:rsidR="00E1606D" w:rsidRPr="00F87F5B" w:rsidRDefault="00E1606D" w:rsidP="00EF2254">
            <w:pPr>
              <w:jc w:val="right"/>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 xml:space="preserve">      20.000 </w:t>
            </w:r>
          </w:p>
        </w:tc>
        <w:tc>
          <w:tcPr>
            <w:tcW w:w="993" w:type="dxa"/>
            <w:tcBorders>
              <w:top w:val="nil"/>
              <w:left w:val="nil"/>
              <w:bottom w:val="single" w:sz="4" w:space="0" w:color="BFBFBF"/>
              <w:right w:val="single" w:sz="4" w:space="0" w:color="BFBFBF"/>
            </w:tcBorders>
            <w:shd w:val="clear" w:color="000000" w:fill="EDF0F3"/>
            <w:noWrap/>
            <w:vAlign w:val="center"/>
            <w:hideMark/>
          </w:tcPr>
          <w:p w14:paraId="4013D6F2" w14:textId="77777777" w:rsidR="00E1606D" w:rsidRPr="00F87F5B" w:rsidRDefault="00E1606D" w:rsidP="00EF2254">
            <w:pPr>
              <w:rPr>
                <w:rFonts w:ascii="Arial Narrow" w:eastAsia="Times New Roman" w:hAnsi="Arial Narrow"/>
                <w:b/>
                <w:bCs/>
                <w:color w:val="002839"/>
                <w:szCs w:val="22"/>
                <w:lang w:val="es-419" w:eastAsia="en-US"/>
              </w:rPr>
            </w:pPr>
            <w:r w:rsidRPr="00F87F5B">
              <w:rPr>
                <w:rFonts w:ascii="Arial Narrow" w:eastAsia="Times New Roman" w:hAnsi="Arial Narrow"/>
                <w:b/>
                <w:bCs/>
                <w:color w:val="002839"/>
                <w:szCs w:val="22"/>
                <w:lang w:val="es-419" w:eastAsia="en-US"/>
              </w:rPr>
              <w:t xml:space="preserve">              -   </w:t>
            </w:r>
          </w:p>
        </w:tc>
        <w:tc>
          <w:tcPr>
            <w:tcW w:w="1134" w:type="dxa"/>
            <w:tcBorders>
              <w:top w:val="nil"/>
              <w:left w:val="nil"/>
              <w:bottom w:val="single" w:sz="4" w:space="0" w:color="BFBFBF"/>
              <w:right w:val="single" w:sz="4" w:space="0" w:color="BFBFBF"/>
            </w:tcBorders>
            <w:shd w:val="clear" w:color="000000" w:fill="EDF0F3"/>
            <w:noWrap/>
            <w:vAlign w:val="center"/>
            <w:hideMark/>
          </w:tcPr>
          <w:p w14:paraId="5429DC6D" w14:textId="77777777" w:rsidR="00E1606D" w:rsidRPr="00F87F5B" w:rsidRDefault="00E1606D" w:rsidP="00EF2254">
            <w:pPr>
              <w:rPr>
                <w:rFonts w:ascii="Arial Narrow" w:eastAsia="Times New Roman" w:hAnsi="Arial Narrow"/>
                <w:b/>
                <w:bCs/>
                <w:color w:val="002839"/>
                <w:szCs w:val="22"/>
                <w:lang w:val="es-419" w:eastAsia="en-US"/>
              </w:rPr>
            </w:pPr>
            <w:r w:rsidRPr="00F87F5B">
              <w:rPr>
                <w:rFonts w:ascii="Arial Narrow" w:eastAsia="Times New Roman" w:hAnsi="Arial Narrow"/>
                <w:b/>
                <w:bCs/>
                <w:color w:val="002839"/>
                <w:szCs w:val="22"/>
                <w:lang w:val="es-419" w:eastAsia="en-US"/>
              </w:rPr>
              <w:t xml:space="preserve">                 -   </w:t>
            </w:r>
          </w:p>
        </w:tc>
        <w:tc>
          <w:tcPr>
            <w:tcW w:w="1309" w:type="dxa"/>
            <w:tcBorders>
              <w:top w:val="nil"/>
              <w:left w:val="nil"/>
              <w:bottom w:val="single" w:sz="4" w:space="0" w:color="BFBFBF"/>
              <w:right w:val="single" w:sz="4" w:space="0" w:color="BFBFBF"/>
            </w:tcBorders>
            <w:shd w:val="clear" w:color="000000" w:fill="EDF0F3"/>
            <w:noWrap/>
            <w:vAlign w:val="center"/>
            <w:hideMark/>
          </w:tcPr>
          <w:p w14:paraId="64FA2B9F" w14:textId="77777777" w:rsidR="00E1606D" w:rsidRPr="00F87F5B" w:rsidRDefault="00E1606D" w:rsidP="00EF2254">
            <w:pPr>
              <w:jc w:val="right"/>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 xml:space="preserve">     12.000 </w:t>
            </w:r>
          </w:p>
        </w:tc>
        <w:tc>
          <w:tcPr>
            <w:tcW w:w="1384" w:type="dxa"/>
            <w:tcBorders>
              <w:top w:val="nil"/>
              <w:left w:val="nil"/>
              <w:bottom w:val="single" w:sz="4" w:space="0" w:color="BFBFBF"/>
              <w:right w:val="single" w:sz="4" w:space="0" w:color="BFBFBF"/>
            </w:tcBorders>
            <w:shd w:val="clear" w:color="000000" w:fill="EDF0F3"/>
            <w:noWrap/>
            <w:vAlign w:val="center"/>
            <w:hideMark/>
          </w:tcPr>
          <w:p w14:paraId="6C684D6C" w14:textId="77777777" w:rsidR="00E1606D" w:rsidRPr="00F87F5B" w:rsidRDefault="00E1606D" w:rsidP="00EF2254">
            <w:pPr>
              <w:rPr>
                <w:rFonts w:ascii="Arial Narrow" w:eastAsia="Times New Roman" w:hAnsi="Arial Narrow"/>
                <w:b/>
                <w:bCs/>
                <w:color w:val="002839"/>
                <w:szCs w:val="22"/>
                <w:lang w:val="es-419" w:eastAsia="en-US"/>
              </w:rPr>
            </w:pPr>
            <w:r w:rsidRPr="00F87F5B">
              <w:rPr>
                <w:rFonts w:ascii="Arial Narrow" w:eastAsia="Times New Roman" w:hAnsi="Arial Narrow"/>
                <w:b/>
                <w:bCs/>
                <w:color w:val="002839"/>
                <w:szCs w:val="22"/>
                <w:lang w:val="es-419" w:eastAsia="en-US"/>
              </w:rPr>
              <w:t xml:space="preserve">                      -   </w:t>
            </w:r>
          </w:p>
        </w:tc>
        <w:tc>
          <w:tcPr>
            <w:tcW w:w="1219" w:type="dxa"/>
            <w:tcBorders>
              <w:top w:val="nil"/>
              <w:left w:val="nil"/>
              <w:bottom w:val="single" w:sz="4" w:space="0" w:color="BFBFBF"/>
              <w:right w:val="single" w:sz="4" w:space="0" w:color="BFBFBF"/>
            </w:tcBorders>
            <w:shd w:val="clear" w:color="000000" w:fill="EDF0F3"/>
            <w:noWrap/>
            <w:vAlign w:val="center"/>
            <w:hideMark/>
          </w:tcPr>
          <w:p w14:paraId="786F2031" w14:textId="77777777" w:rsidR="00E1606D" w:rsidRPr="00F87F5B" w:rsidRDefault="00E1606D" w:rsidP="00EF2254">
            <w:pPr>
              <w:jc w:val="right"/>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 xml:space="preserve">      118.000 </w:t>
            </w:r>
          </w:p>
        </w:tc>
        <w:tc>
          <w:tcPr>
            <w:tcW w:w="1249" w:type="dxa"/>
            <w:tcBorders>
              <w:top w:val="nil"/>
              <w:left w:val="nil"/>
              <w:bottom w:val="single" w:sz="4" w:space="0" w:color="BFBFBF"/>
              <w:right w:val="single" w:sz="4" w:space="0" w:color="BFBFBF"/>
            </w:tcBorders>
            <w:shd w:val="clear" w:color="000000" w:fill="EDF0F3"/>
            <w:noWrap/>
            <w:vAlign w:val="center"/>
            <w:hideMark/>
          </w:tcPr>
          <w:p w14:paraId="5A32F0A9" w14:textId="77777777" w:rsidR="00E1606D" w:rsidRPr="00F87F5B" w:rsidRDefault="00E1606D" w:rsidP="00EF2254">
            <w:pPr>
              <w:rPr>
                <w:rFonts w:ascii="Arial Narrow" w:eastAsia="Times New Roman" w:hAnsi="Arial Narrow"/>
                <w:b/>
                <w:bCs/>
                <w:color w:val="002839"/>
                <w:szCs w:val="22"/>
                <w:lang w:val="es-419" w:eastAsia="en-US"/>
              </w:rPr>
            </w:pPr>
            <w:r w:rsidRPr="00F87F5B">
              <w:rPr>
                <w:rFonts w:ascii="Arial Narrow" w:eastAsia="Times New Roman" w:hAnsi="Arial Narrow"/>
                <w:b/>
                <w:bCs/>
                <w:color w:val="002839"/>
                <w:szCs w:val="22"/>
                <w:lang w:val="es-419" w:eastAsia="en-US"/>
              </w:rPr>
              <w:t xml:space="preserve">                   -   </w:t>
            </w:r>
          </w:p>
        </w:tc>
        <w:tc>
          <w:tcPr>
            <w:tcW w:w="1219" w:type="dxa"/>
            <w:tcBorders>
              <w:top w:val="nil"/>
              <w:left w:val="nil"/>
              <w:bottom w:val="single" w:sz="4" w:space="0" w:color="BFBFBF"/>
              <w:right w:val="single" w:sz="4" w:space="0" w:color="BFBFBF"/>
            </w:tcBorders>
            <w:shd w:val="clear" w:color="000000" w:fill="EDF0F3"/>
            <w:noWrap/>
            <w:vAlign w:val="center"/>
            <w:hideMark/>
          </w:tcPr>
          <w:p w14:paraId="6F475CC8" w14:textId="77777777" w:rsidR="00E1606D" w:rsidRPr="00F87F5B" w:rsidRDefault="00E1606D" w:rsidP="00EF2254">
            <w:pPr>
              <w:rPr>
                <w:rFonts w:ascii="Arial Narrow" w:eastAsia="Times New Roman" w:hAnsi="Arial Narrow"/>
                <w:b/>
                <w:bCs/>
                <w:color w:val="002839"/>
                <w:szCs w:val="22"/>
                <w:lang w:val="es-419" w:eastAsia="en-US"/>
              </w:rPr>
            </w:pPr>
            <w:r w:rsidRPr="00F87F5B">
              <w:rPr>
                <w:rFonts w:ascii="Arial Narrow" w:eastAsia="Times New Roman" w:hAnsi="Arial Narrow"/>
                <w:b/>
                <w:bCs/>
                <w:color w:val="002839"/>
                <w:szCs w:val="22"/>
                <w:lang w:val="es-419" w:eastAsia="en-US"/>
              </w:rPr>
              <w:t xml:space="preserve">                  -   </w:t>
            </w:r>
          </w:p>
        </w:tc>
        <w:tc>
          <w:tcPr>
            <w:tcW w:w="1571" w:type="dxa"/>
            <w:tcBorders>
              <w:top w:val="nil"/>
              <w:left w:val="nil"/>
              <w:bottom w:val="single" w:sz="4" w:space="0" w:color="BFBFBF"/>
              <w:right w:val="single" w:sz="4" w:space="0" w:color="BFBFBF"/>
            </w:tcBorders>
            <w:shd w:val="clear" w:color="000000" w:fill="EDF0F3"/>
            <w:noWrap/>
            <w:vAlign w:val="center"/>
            <w:hideMark/>
          </w:tcPr>
          <w:p w14:paraId="1FBF593F" w14:textId="77777777" w:rsidR="00E1606D" w:rsidRPr="00F87F5B" w:rsidRDefault="00E1606D" w:rsidP="00EF2254">
            <w:pPr>
              <w:jc w:val="right"/>
              <w:rPr>
                <w:rFonts w:ascii="Arial Narrow" w:eastAsia="Times New Roman" w:hAnsi="Arial Narrow"/>
                <w:b/>
                <w:bCs/>
                <w:color w:val="002839"/>
                <w:szCs w:val="22"/>
                <w:lang w:val="es-419" w:eastAsia="en-US"/>
              </w:rPr>
            </w:pPr>
            <w:r w:rsidRPr="00F87F5B">
              <w:rPr>
                <w:rFonts w:ascii="Arial Narrow" w:eastAsia="Arial Narrow" w:hAnsi="Arial Narrow"/>
                <w:b/>
                <w:bCs/>
                <w:color w:val="002839"/>
                <w:szCs w:val="22"/>
                <w:lang w:val="es-419" w:eastAsia="en-US"/>
              </w:rPr>
              <w:t xml:space="preserve">           150.000 </w:t>
            </w:r>
          </w:p>
        </w:tc>
      </w:tr>
    </w:tbl>
    <w:p w14:paraId="3B225646" w14:textId="77777777" w:rsidR="00423826" w:rsidRPr="00F87F5B" w:rsidRDefault="00423826" w:rsidP="00423826">
      <w:pPr>
        <w:rPr>
          <w:rFonts w:eastAsia="Times New Roman"/>
          <w:b/>
          <w:bCs/>
          <w:szCs w:val="22"/>
          <w:lang w:val="es-419" w:eastAsia="en-US"/>
        </w:rPr>
      </w:pPr>
    </w:p>
    <w:p w14:paraId="2F549C2A" w14:textId="77777777" w:rsidR="00423826" w:rsidRPr="00F87F5B" w:rsidRDefault="00423826" w:rsidP="00423826">
      <w:pPr>
        <w:spacing w:after="220"/>
        <w:rPr>
          <w:rFonts w:eastAsia="Times New Roman"/>
          <w:szCs w:val="22"/>
          <w:lang w:val="es-419" w:eastAsia="en-US"/>
        </w:rPr>
      </w:pPr>
    </w:p>
    <w:p w14:paraId="4A3ABEFE" w14:textId="28DBEAD1" w:rsidR="00152CEA" w:rsidRPr="00F87F5B" w:rsidRDefault="00B14165" w:rsidP="00B14165">
      <w:pPr>
        <w:ind w:left="8368" w:firstLine="137"/>
        <w:rPr>
          <w:lang w:val="es-419"/>
        </w:rPr>
      </w:pPr>
      <w:r w:rsidRPr="00F87F5B">
        <w:rPr>
          <w:rFonts w:eastAsia="Arial"/>
          <w:szCs w:val="22"/>
          <w:lang w:val="es-419"/>
        </w:rPr>
        <w:t>[</w:t>
      </w:r>
      <w:r w:rsidR="00E1606D" w:rsidRPr="00F87F5B">
        <w:rPr>
          <w:rFonts w:eastAsia="Arial"/>
          <w:szCs w:val="22"/>
          <w:lang w:val="es-419"/>
        </w:rPr>
        <w:t>Fin del Anexo y del documento]</w:t>
      </w:r>
    </w:p>
    <w:sectPr w:rsidR="00152CEA" w:rsidRPr="00F87F5B" w:rsidSect="00423826">
      <w:headerReference w:type="default" r:id="rId18"/>
      <w:headerReference w:type="first" r:id="rId19"/>
      <w:pgSz w:w="16840" w:h="11907" w:orient="landscape" w:code="9"/>
      <w:pgMar w:top="1134" w:right="1418" w:bottom="1418" w:left="567"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FFDED" w16cex:dateUtc="2022-09-17T06:03:00Z"/>
  <w16cex:commentExtensible w16cex:durableId="26D002A6" w16cex:dateUtc="2022-09-17T06:24:00Z"/>
  <w16cex:commentExtensible w16cex:durableId="26D00408" w16cex:dateUtc="2022-09-17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7A07BF" w16cid:durableId="26CFFDED"/>
  <w16cid:commentId w16cid:paraId="0A1DEBCE" w16cid:durableId="26D002A6"/>
  <w16cid:commentId w16cid:paraId="3DE48F6E" w16cid:durableId="26D004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74B4C" w14:textId="77777777" w:rsidR="00907CC8" w:rsidRDefault="00907CC8">
      <w:r>
        <w:separator/>
      </w:r>
    </w:p>
  </w:endnote>
  <w:endnote w:type="continuationSeparator" w:id="0">
    <w:p w14:paraId="4AC63B89" w14:textId="77777777" w:rsidR="00907CC8" w:rsidRPr="009D30E6" w:rsidRDefault="00907CC8" w:rsidP="007E663E">
      <w:pPr>
        <w:rPr>
          <w:sz w:val="17"/>
          <w:szCs w:val="17"/>
        </w:rPr>
      </w:pPr>
      <w:r w:rsidRPr="009D30E6">
        <w:rPr>
          <w:sz w:val="17"/>
          <w:szCs w:val="17"/>
        </w:rPr>
        <w:separator/>
      </w:r>
    </w:p>
    <w:p w14:paraId="31E6CC0A" w14:textId="77777777" w:rsidR="00907CC8" w:rsidRPr="007E663E" w:rsidRDefault="00907CC8" w:rsidP="007E663E">
      <w:pPr>
        <w:spacing w:after="60"/>
        <w:rPr>
          <w:sz w:val="17"/>
          <w:szCs w:val="17"/>
        </w:rPr>
      </w:pPr>
      <w:r>
        <w:rPr>
          <w:sz w:val="17"/>
        </w:rPr>
        <w:t>[Continuación de la nota de la página anterior]</w:t>
      </w:r>
    </w:p>
  </w:endnote>
  <w:endnote w:type="continuationNotice" w:id="1">
    <w:p w14:paraId="55AE4807" w14:textId="77777777" w:rsidR="00907CC8" w:rsidRPr="007E663E" w:rsidRDefault="00907CC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3F154" w14:textId="77777777" w:rsidR="004B4CBA" w:rsidRDefault="004B4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8DD36" w14:textId="77777777" w:rsidR="004B4CBA" w:rsidRDefault="004B4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161E0" w14:textId="77777777" w:rsidR="004B4CBA" w:rsidRDefault="004B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D9F41" w14:textId="77777777" w:rsidR="00907CC8" w:rsidRDefault="00907CC8">
      <w:r>
        <w:separator/>
      </w:r>
    </w:p>
  </w:footnote>
  <w:footnote w:type="continuationSeparator" w:id="0">
    <w:p w14:paraId="2D54BF89" w14:textId="77777777" w:rsidR="00907CC8" w:rsidRPr="009D30E6" w:rsidRDefault="00907CC8" w:rsidP="007E663E">
      <w:pPr>
        <w:rPr>
          <w:sz w:val="17"/>
          <w:szCs w:val="17"/>
        </w:rPr>
      </w:pPr>
      <w:r w:rsidRPr="009D30E6">
        <w:rPr>
          <w:sz w:val="17"/>
          <w:szCs w:val="17"/>
        </w:rPr>
        <w:separator/>
      </w:r>
    </w:p>
    <w:p w14:paraId="2744A597" w14:textId="77777777" w:rsidR="00907CC8" w:rsidRPr="007E663E" w:rsidRDefault="00907CC8" w:rsidP="007E663E">
      <w:pPr>
        <w:spacing w:after="60"/>
        <w:rPr>
          <w:sz w:val="17"/>
          <w:szCs w:val="17"/>
        </w:rPr>
      </w:pPr>
      <w:r>
        <w:rPr>
          <w:sz w:val="17"/>
        </w:rPr>
        <w:t>[Continuación de la nota de la página anterior]</w:t>
      </w:r>
    </w:p>
  </w:footnote>
  <w:footnote w:type="continuationNotice" w:id="1">
    <w:p w14:paraId="567ED89F" w14:textId="77777777" w:rsidR="00907CC8" w:rsidRPr="007E663E" w:rsidRDefault="00907CC8" w:rsidP="007E663E">
      <w:pPr>
        <w:spacing w:before="60"/>
        <w:jc w:val="right"/>
        <w:rPr>
          <w:sz w:val="17"/>
          <w:szCs w:val="17"/>
        </w:rPr>
      </w:pPr>
      <w:r w:rsidRPr="007E663E">
        <w:rPr>
          <w:sz w:val="17"/>
          <w:szCs w:val="17"/>
        </w:rPr>
        <w:t>[Sigue la nota en la página siguiente]</w:t>
      </w:r>
    </w:p>
  </w:footnote>
  <w:footnote w:id="2">
    <w:p w14:paraId="01A91E63" w14:textId="225BD740" w:rsidR="00E1606D" w:rsidRDefault="00E1606D" w:rsidP="00E1606D">
      <w:pPr>
        <w:pStyle w:val="FootnoteText"/>
      </w:pPr>
      <w:r>
        <w:rPr>
          <w:rStyle w:val="FootnoteReference"/>
        </w:rPr>
        <w:footnoteRef/>
      </w:r>
      <w:r>
        <w:rPr>
          <w:rFonts w:eastAsia="Arial"/>
          <w:szCs w:val="18"/>
        </w:rPr>
        <w:t xml:space="preserve"> Párrafo 4.3 del </w:t>
      </w:r>
      <w:hyperlink r:id="rId1" w:history="1">
        <w:r>
          <w:rPr>
            <w:rFonts w:eastAsia="Arial"/>
            <w:color w:val="0000FF"/>
            <w:szCs w:val="18"/>
            <w:u w:val="single"/>
          </w:rPr>
          <w:t>resumen de la presidencia</w:t>
        </w:r>
      </w:hyperlink>
      <w:r>
        <w:rPr>
          <w:rFonts w:eastAsia="Arial"/>
          <w:szCs w:val="18"/>
        </w:rPr>
        <w:t>,</w:t>
      </w:r>
      <w:r w:rsidR="00E24E2B">
        <w:rPr>
          <w:rFonts w:eastAsia="Arial"/>
          <w:szCs w:val="18"/>
        </w:rPr>
        <w:t xml:space="preserve"> </w:t>
      </w:r>
      <w:r w:rsidR="004D798A">
        <w:rPr>
          <w:rFonts w:eastAsia="Arial"/>
          <w:szCs w:val="18"/>
        </w:rPr>
        <w:t>vigesimoctava</w:t>
      </w:r>
      <w:r>
        <w:rPr>
          <w:rFonts w:eastAsia="Arial"/>
          <w:szCs w:val="18"/>
        </w:rPr>
        <w:t xml:space="preserve"> sesión del CDIP. </w:t>
      </w:r>
    </w:p>
  </w:footnote>
  <w:footnote w:id="3">
    <w:p w14:paraId="4FFF6DF1" w14:textId="4F3F3765" w:rsidR="00E1606D" w:rsidRDefault="00E1606D" w:rsidP="00E1606D">
      <w:pPr>
        <w:pStyle w:val="FootnoteText"/>
      </w:pPr>
      <w:r>
        <w:rPr>
          <w:rStyle w:val="FootnoteReference"/>
        </w:rPr>
        <w:footnoteRef/>
      </w:r>
      <w:r>
        <w:rPr>
          <w:rFonts w:eastAsia="Arial"/>
          <w:szCs w:val="18"/>
        </w:rPr>
        <w:t xml:space="preserve"> Párrafo 4.3 del </w:t>
      </w:r>
      <w:hyperlink r:id="rId2" w:history="1">
        <w:r>
          <w:rPr>
            <w:rFonts w:eastAsia="Arial"/>
            <w:color w:val="0000FF"/>
            <w:szCs w:val="18"/>
            <w:u w:val="single"/>
          </w:rPr>
          <w:t>resumen de la presidencia</w:t>
        </w:r>
      </w:hyperlink>
      <w:r>
        <w:rPr>
          <w:rFonts w:eastAsia="Arial"/>
          <w:szCs w:val="18"/>
        </w:rPr>
        <w:t>,</w:t>
      </w:r>
      <w:r w:rsidR="00E24E2B">
        <w:rPr>
          <w:rFonts w:eastAsia="Arial"/>
          <w:szCs w:val="18"/>
        </w:rPr>
        <w:t xml:space="preserve"> vigesimoctava</w:t>
      </w:r>
      <w:r>
        <w:rPr>
          <w:rFonts w:eastAsia="Arial"/>
          <w:szCs w:val="18"/>
        </w:rPr>
        <w:t xml:space="preserve"> sesión del CDIP.</w:t>
      </w:r>
    </w:p>
  </w:footnote>
  <w:footnote w:id="4">
    <w:p w14:paraId="58130C8E" w14:textId="1517DCEE" w:rsidR="00E1606D" w:rsidRDefault="00E1606D" w:rsidP="00E1606D">
      <w:pPr>
        <w:pStyle w:val="FootnoteText"/>
      </w:pPr>
      <w:r>
        <w:rPr>
          <w:rStyle w:val="FootnoteReference"/>
        </w:rPr>
        <w:footnoteRef/>
      </w:r>
      <w:r>
        <w:rPr>
          <w:rFonts w:eastAsia="Arial"/>
          <w:szCs w:val="18"/>
        </w:rPr>
        <w:t xml:space="preserve"> Este gasto se refiere a la utilización de varios servicios contractuales individuales que se encargarán de la obtención de </w:t>
      </w:r>
      <w:r w:rsidR="009079FE">
        <w:rPr>
          <w:rFonts w:eastAsia="Arial"/>
          <w:szCs w:val="18"/>
        </w:rPr>
        <w:t>algunos</w:t>
      </w:r>
      <w:r>
        <w:rPr>
          <w:rFonts w:eastAsia="Arial"/>
          <w:szCs w:val="18"/>
        </w:rPr>
        <w:t xml:space="preserve"> productos del proyecto.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AB9CD" w14:textId="77777777" w:rsidR="004B4CBA" w:rsidRDefault="004B4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1A6C6" w14:textId="77777777" w:rsidR="00423826" w:rsidRDefault="00423826" w:rsidP="000A5A02">
    <w:pPr>
      <w:jc w:val="right"/>
    </w:pPr>
    <w:r>
      <w:t>CDIP/29/CDIP/29/7</w:t>
    </w:r>
  </w:p>
  <w:p w14:paraId="5FF7AC0E" w14:textId="77777777" w:rsidR="00423826" w:rsidRDefault="00423826" w:rsidP="00F27143">
    <w:pPr>
      <w:jc w:val="right"/>
    </w:pPr>
    <w:r>
      <w:t>Annex, page 2</w:t>
    </w:r>
  </w:p>
  <w:p w14:paraId="3B9082C8" w14:textId="77777777" w:rsidR="00423826" w:rsidRDefault="00423826" w:rsidP="00477D6B">
    <w:pPr>
      <w:jc w:val="right"/>
    </w:pPr>
  </w:p>
  <w:p w14:paraId="31F60980" w14:textId="77777777" w:rsidR="00423826" w:rsidRDefault="0042382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48730" w14:textId="77777777" w:rsidR="004B4CBA" w:rsidRDefault="004B4C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E93F6" w14:textId="77777777" w:rsidR="00423826" w:rsidRDefault="00423826" w:rsidP="000A5A02">
    <w:pPr>
      <w:jc w:val="right"/>
    </w:pPr>
    <w:r>
      <w:t>CDIP/29/8</w:t>
    </w:r>
  </w:p>
  <w:p w14:paraId="467F29F8" w14:textId="3ABF8497" w:rsidR="00423826" w:rsidRDefault="00A83B00" w:rsidP="00477D6B">
    <w:pPr>
      <w:jc w:val="right"/>
    </w:pPr>
    <w:r>
      <w:t>Anexo</w:t>
    </w:r>
    <w:r w:rsidR="00423826">
      <w:t xml:space="preserve">, </w:t>
    </w:r>
    <w:r>
      <w:t>página</w:t>
    </w:r>
    <w:r w:rsidR="00423826">
      <w:t xml:space="preserve"> </w:t>
    </w:r>
    <w:r w:rsidR="00423826">
      <w:rPr>
        <w:rStyle w:val="PageNumber"/>
      </w:rPr>
      <w:fldChar w:fldCharType="begin"/>
    </w:r>
    <w:r w:rsidR="00423826">
      <w:rPr>
        <w:rStyle w:val="PageNumber"/>
      </w:rPr>
      <w:instrText xml:space="preserve"> PAGE </w:instrText>
    </w:r>
    <w:r w:rsidR="00423826">
      <w:rPr>
        <w:rStyle w:val="PageNumber"/>
      </w:rPr>
      <w:fldChar w:fldCharType="separate"/>
    </w:r>
    <w:r w:rsidR="004B4CBA">
      <w:rPr>
        <w:rStyle w:val="PageNumber"/>
        <w:noProof/>
      </w:rPr>
      <w:t>6</w:t>
    </w:r>
    <w:r w:rsidR="00423826">
      <w:rPr>
        <w:rStyle w:val="PageNumber"/>
      </w:rPr>
      <w:fldChar w:fldCharType="end"/>
    </w:r>
  </w:p>
  <w:p w14:paraId="1779F4A0" w14:textId="77777777" w:rsidR="00423826" w:rsidRDefault="0042382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E6A78" w14:textId="77777777" w:rsidR="00423826" w:rsidRPr="002326AB" w:rsidRDefault="00423826" w:rsidP="002066C3">
    <w:pPr>
      <w:jc w:val="right"/>
      <w:rPr>
        <w:caps/>
      </w:rPr>
    </w:pPr>
    <w:r>
      <w:rPr>
        <w:caps/>
      </w:rPr>
      <w:t>CDIP/29/8</w:t>
    </w:r>
  </w:p>
  <w:p w14:paraId="3D075FE6" w14:textId="77777777" w:rsidR="00423826" w:rsidRDefault="00A83B00" w:rsidP="00E61FAB">
    <w:pPr>
      <w:pStyle w:val="Header"/>
      <w:jc w:val="right"/>
    </w:pPr>
    <w:r>
      <w:t>ANEXO</w:t>
    </w:r>
  </w:p>
  <w:p w14:paraId="5EF6E061" w14:textId="77777777" w:rsidR="00423826" w:rsidRDefault="004238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0FAD" w14:textId="77777777" w:rsidR="00F84474" w:rsidRDefault="00423826" w:rsidP="00477D6B">
    <w:pPr>
      <w:jc w:val="right"/>
    </w:pPr>
    <w:bookmarkStart w:id="6" w:name="Code2"/>
    <w:bookmarkEnd w:id="6"/>
    <w:r>
      <w:t>CDIP/29/8</w:t>
    </w:r>
  </w:p>
  <w:p w14:paraId="61DF6A04" w14:textId="77777777" w:rsidR="00F84474" w:rsidRDefault="00F84474" w:rsidP="00477D6B">
    <w:pPr>
      <w:jc w:val="right"/>
    </w:pPr>
    <w:r>
      <w:t xml:space="preserve">página </w:t>
    </w:r>
    <w:r>
      <w:fldChar w:fldCharType="begin"/>
    </w:r>
    <w:r>
      <w:instrText xml:space="preserve"> PAGE  \* MERGEFORMAT </w:instrText>
    </w:r>
    <w:r>
      <w:fldChar w:fldCharType="separate"/>
    </w:r>
    <w:r w:rsidR="00A83B00">
      <w:rPr>
        <w:noProof/>
      </w:rPr>
      <w:t>7</w:t>
    </w:r>
    <w:r>
      <w:fldChar w:fldCharType="end"/>
    </w:r>
  </w:p>
  <w:p w14:paraId="52F2F331" w14:textId="77777777" w:rsidR="00F84474" w:rsidRDefault="00F84474" w:rsidP="00477D6B">
    <w:pPr>
      <w:jc w:val="right"/>
    </w:pPr>
  </w:p>
  <w:p w14:paraId="4D68938A" w14:textId="77777777" w:rsidR="004F7418" w:rsidRDefault="004F7418"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6D864" w14:textId="77777777" w:rsidR="00A83B00" w:rsidRPr="002326AB" w:rsidRDefault="00A83B00" w:rsidP="002066C3">
    <w:pPr>
      <w:jc w:val="right"/>
      <w:rPr>
        <w:caps/>
      </w:rPr>
    </w:pPr>
    <w:r>
      <w:rPr>
        <w:caps/>
      </w:rPr>
      <w:t>CDIP/29/8</w:t>
    </w:r>
  </w:p>
  <w:p w14:paraId="36A82F99" w14:textId="77F69F79" w:rsidR="00A83B00" w:rsidRDefault="00A83B00" w:rsidP="00E61FAB">
    <w:pPr>
      <w:pStyle w:val="Header"/>
      <w:jc w:val="right"/>
    </w:pPr>
    <w:r>
      <w:t xml:space="preserve">Anexo, página </w:t>
    </w:r>
    <w:r>
      <w:fldChar w:fldCharType="begin"/>
    </w:r>
    <w:r>
      <w:instrText>PAGE   \* MERGEFORMAT</w:instrText>
    </w:r>
    <w:r>
      <w:fldChar w:fldCharType="separate"/>
    </w:r>
    <w:r w:rsidR="004B4CBA">
      <w:rPr>
        <w:noProof/>
      </w:rPr>
      <w:t>7</w:t>
    </w:r>
    <w:r>
      <w:fldChar w:fldCharType="end"/>
    </w:r>
  </w:p>
  <w:p w14:paraId="6D36CE0E" w14:textId="77777777" w:rsidR="00A83B00" w:rsidRDefault="00A8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33609D"/>
    <w:multiLevelType w:val="hybridMultilevel"/>
    <w:tmpl w:val="946A45E6"/>
    <w:lvl w:ilvl="0" w:tplc="E16690F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FA4963"/>
    <w:multiLevelType w:val="hybridMultilevel"/>
    <w:tmpl w:val="33747632"/>
    <w:lvl w:ilvl="0" w:tplc="E16690F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0831C2"/>
    <w:multiLevelType w:val="hybridMultilevel"/>
    <w:tmpl w:val="00A406EC"/>
    <w:lvl w:ilvl="0" w:tplc="E16690F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066AD2"/>
    <w:multiLevelType w:val="hybridMultilevel"/>
    <w:tmpl w:val="26AE5320"/>
    <w:lvl w:ilvl="0" w:tplc="E16690F2">
      <w:start w:val="1"/>
      <w:numFmt w:val="lowerRoman"/>
      <w:lvlText w:val="%1)"/>
      <w:lvlJc w:val="left"/>
      <w:pPr>
        <w:ind w:left="72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26"/>
    <w:rsid w:val="00034BB6"/>
    <w:rsid w:val="000E3BB3"/>
    <w:rsid w:val="000F5E56"/>
    <w:rsid w:val="00133C06"/>
    <w:rsid w:val="001362EE"/>
    <w:rsid w:val="00152CEA"/>
    <w:rsid w:val="001832A6"/>
    <w:rsid w:val="001C4DD3"/>
    <w:rsid w:val="001C57BD"/>
    <w:rsid w:val="001D1AE9"/>
    <w:rsid w:val="001D50D1"/>
    <w:rsid w:val="00204918"/>
    <w:rsid w:val="00225C6E"/>
    <w:rsid w:val="00234B29"/>
    <w:rsid w:val="002634C4"/>
    <w:rsid w:val="00277519"/>
    <w:rsid w:val="002A349D"/>
    <w:rsid w:val="002C17A2"/>
    <w:rsid w:val="002E7ACB"/>
    <w:rsid w:val="002F4E68"/>
    <w:rsid w:val="00301B8D"/>
    <w:rsid w:val="00307787"/>
    <w:rsid w:val="00343345"/>
    <w:rsid w:val="00354647"/>
    <w:rsid w:val="00377273"/>
    <w:rsid w:val="003845C1"/>
    <w:rsid w:val="00387287"/>
    <w:rsid w:val="00397D43"/>
    <w:rsid w:val="003D1DB2"/>
    <w:rsid w:val="003D41D4"/>
    <w:rsid w:val="004021D0"/>
    <w:rsid w:val="00423826"/>
    <w:rsid w:val="00423E3E"/>
    <w:rsid w:val="00427AF4"/>
    <w:rsid w:val="0045231F"/>
    <w:rsid w:val="004647DA"/>
    <w:rsid w:val="00477D6B"/>
    <w:rsid w:val="004913B2"/>
    <w:rsid w:val="004A650F"/>
    <w:rsid w:val="004A6C37"/>
    <w:rsid w:val="004B4CBA"/>
    <w:rsid w:val="004D798A"/>
    <w:rsid w:val="004F7418"/>
    <w:rsid w:val="005050B1"/>
    <w:rsid w:val="00511D0C"/>
    <w:rsid w:val="00541D4E"/>
    <w:rsid w:val="0055013B"/>
    <w:rsid w:val="0056224D"/>
    <w:rsid w:val="00571B99"/>
    <w:rsid w:val="005C1865"/>
    <w:rsid w:val="005D64EC"/>
    <w:rsid w:val="00605827"/>
    <w:rsid w:val="006314B6"/>
    <w:rsid w:val="00675021"/>
    <w:rsid w:val="006A06C6"/>
    <w:rsid w:val="00713E48"/>
    <w:rsid w:val="00731313"/>
    <w:rsid w:val="007B541F"/>
    <w:rsid w:val="007D00E5"/>
    <w:rsid w:val="007E63AC"/>
    <w:rsid w:val="007E663E"/>
    <w:rsid w:val="007E7B27"/>
    <w:rsid w:val="00815082"/>
    <w:rsid w:val="00843582"/>
    <w:rsid w:val="00847813"/>
    <w:rsid w:val="00881A53"/>
    <w:rsid w:val="008B14EA"/>
    <w:rsid w:val="008B2085"/>
    <w:rsid w:val="008B2CC1"/>
    <w:rsid w:val="008C4D79"/>
    <w:rsid w:val="008E5075"/>
    <w:rsid w:val="008F6ED9"/>
    <w:rsid w:val="008F6EFA"/>
    <w:rsid w:val="0090731E"/>
    <w:rsid w:val="009079FE"/>
    <w:rsid w:val="00907CC8"/>
    <w:rsid w:val="00966A22"/>
    <w:rsid w:val="00972F03"/>
    <w:rsid w:val="009A0C8B"/>
    <w:rsid w:val="009B6241"/>
    <w:rsid w:val="00A02C6F"/>
    <w:rsid w:val="00A16FC0"/>
    <w:rsid w:val="00A32C9E"/>
    <w:rsid w:val="00A7453D"/>
    <w:rsid w:val="00A83B00"/>
    <w:rsid w:val="00AB246C"/>
    <w:rsid w:val="00AB613D"/>
    <w:rsid w:val="00B14165"/>
    <w:rsid w:val="00B65A0A"/>
    <w:rsid w:val="00B72D36"/>
    <w:rsid w:val="00BA063E"/>
    <w:rsid w:val="00BC4164"/>
    <w:rsid w:val="00BD2C53"/>
    <w:rsid w:val="00BD2DCC"/>
    <w:rsid w:val="00BE1A8C"/>
    <w:rsid w:val="00C06472"/>
    <w:rsid w:val="00C708A5"/>
    <w:rsid w:val="00C90559"/>
    <w:rsid w:val="00C92F16"/>
    <w:rsid w:val="00CA3AC1"/>
    <w:rsid w:val="00D36B79"/>
    <w:rsid w:val="00D40CF0"/>
    <w:rsid w:val="00D56C7C"/>
    <w:rsid w:val="00D71B4D"/>
    <w:rsid w:val="00D82642"/>
    <w:rsid w:val="00D90289"/>
    <w:rsid w:val="00D93D55"/>
    <w:rsid w:val="00E1606D"/>
    <w:rsid w:val="00E24E2B"/>
    <w:rsid w:val="00E45C84"/>
    <w:rsid w:val="00E504E5"/>
    <w:rsid w:val="00E62752"/>
    <w:rsid w:val="00E73ABF"/>
    <w:rsid w:val="00EA1B93"/>
    <w:rsid w:val="00EB7A3E"/>
    <w:rsid w:val="00EC401A"/>
    <w:rsid w:val="00ED60ED"/>
    <w:rsid w:val="00ED68AB"/>
    <w:rsid w:val="00EF530A"/>
    <w:rsid w:val="00EF6622"/>
    <w:rsid w:val="00F2251A"/>
    <w:rsid w:val="00F51A49"/>
    <w:rsid w:val="00F55408"/>
    <w:rsid w:val="00F66152"/>
    <w:rsid w:val="00F80845"/>
    <w:rsid w:val="00F84474"/>
    <w:rsid w:val="00F87F5B"/>
    <w:rsid w:val="00FC5F12"/>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98C5BB"/>
  <w15:docId w15:val="{B925FDCA-B703-4A2C-8380-FCFFE256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semiHidden/>
    <w:rsid w:val="00423826"/>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423826"/>
    <w:rPr>
      <w:rFonts w:ascii="Arial" w:eastAsia="SimSun" w:hAnsi="Arial" w:cs="Arial"/>
      <w:sz w:val="18"/>
      <w:lang w:val="es-ES" w:eastAsia="zh-CN"/>
    </w:rPr>
  </w:style>
  <w:style w:type="character" w:customStyle="1" w:styleId="HeaderChar">
    <w:name w:val="Header Char"/>
    <w:basedOn w:val="DefaultParagraphFont"/>
    <w:link w:val="Header"/>
    <w:uiPriority w:val="99"/>
    <w:rsid w:val="00423826"/>
    <w:rPr>
      <w:rFonts w:ascii="Arial" w:eastAsia="SimSun" w:hAnsi="Arial" w:cs="Arial"/>
      <w:sz w:val="22"/>
      <w:lang w:val="es-ES" w:eastAsia="zh-CN"/>
    </w:rPr>
  </w:style>
  <w:style w:type="character" w:styleId="FootnoteReference">
    <w:name w:val="footnote reference"/>
    <w:rsid w:val="00423826"/>
    <w:rPr>
      <w:vertAlign w:val="superscript"/>
    </w:rPr>
  </w:style>
  <w:style w:type="character" w:styleId="Hyperlink">
    <w:name w:val="Hyperlink"/>
    <w:basedOn w:val="DefaultParagraphFont"/>
    <w:uiPriority w:val="99"/>
    <w:unhideWhenUsed/>
    <w:rsid w:val="00423826"/>
    <w:rPr>
      <w:color w:val="0000FF" w:themeColor="hyperlink"/>
      <w:u w:val="single"/>
    </w:rPr>
  </w:style>
  <w:style w:type="paragraph" w:customStyle="1" w:styleId="TableParagraph">
    <w:name w:val="Table Paragraph"/>
    <w:basedOn w:val="Normal"/>
    <w:uiPriority w:val="1"/>
    <w:qFormat/>
    <w:rsid w:val="00423826"/>
    <w:pPr>
      <w:widowControl w:val="0"/>
      <w:autoSpaceDE w:val="0"/>
      <w:autoSpaceDN w:val="0"/>
    </w:pPr>
    <w:rPr>
      <w:rFonts w:eastAsia="Arial"/>
      <w:szCs w:val="22"/>
      <w:lang w:val="en-US" w:eastAsia="en-US"/>
    </w:rPr>
  </w:style>
  <w:style w:type="character" w:styleId="PageNumber">
    <w:name w:val="page number"/>
    <w:basedOn w:val="DefaultParagraphFont"/>
    <w:rsid w:val="00423826"/>
  </w:style>
  <w:style w:type="character" w:styleId="CommentReference">
    <w:name w:val="annotation reference"/>
    <w:basedOn w:val="DefaultParagraphFont"/>
    <w:semiHidden/>
    <w:unhideWhenUsed/>
    <w:rsid w:val="00713E48"/>
    <w:rPr>
      <w:sz w:val="16"/>
      <w:szCs w:val="16"/>
    </w:rPr>
  </w:style>
  <w:style w:type="paragraph" w:styleId="CommentSubject">
    <w:name w:val="annotation subject"/>
    <w:basedOn w:val="CommentText"/>
    <w:next w:val="CommentText"/>
    <w:link w:val="CommentSubjectChar"/>
    <w:semiHidden/>
    <w:unhideWhenUsed/>
    <w:rsid w:val="00713E48"/>
    <w:rPr>
      <w:b/>
      <w:bCs/>
      <w:sz w:val="20"/>
    </w:rPr>
  </w:style>
  <w:style w:type="character" w:customStyle="1" w:styleId="CommentTextChar">
    <w:name w:val="Comment Text Char"/>
    <w:basedOn w:val="DefaultParagraphFont"/>
    <w:link w:val="CommentText"/>
    <w:semiHidden/>
    <w:rsid w:val="00713E48"/>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713E48"/>
    <w:rPr>
      <w:rFonts w:ascii="Arial" w:eastAsia="SimSun" w:hAnsi="Arial" w:cs="Arial"/>
      <w:b/>
      <w:bCs/>
      <w:sz w:val="18"/>
      <w:lang w:val="es-ES" w:eastAsia="zh-CN"/>
    </w:rPr>
  </w:style>
  <w:style w:type="character" w:customStyle="1" w:styleId="UnresolvedMention">
    <w:name w:val="Unresolved Mention"/>
    <w:basedOn w:val="DefaultParagraphFont"/>
    <w:uiPriority w:val="99"/>
    <w:semiHidden/>
    <w:unhideWhenUsed/>
    <w:rsid w:val="00713E48"/>
    <w:rPr>
      <w:color w:val="605E5C"/>
      <w:shd w:val="clear" w:color="auto" w:fill="E1DFDD"/>
    </w:rPr>
  </w:style>
  <w:style w:type="paragraph" w:styleId="Revision">
    <w:name w:val="Revision"/>
    <w:hidden/>
    <w:uiPriority w:val="99"/>
    <w:semiHidden/>
    <w:rsid w:val="002A349D"/>
    <w:rPr>
      <w:rFonts w:ascii="Arial" w:eastAsia="SimSun" w:hAnsi="Arial" w:cs="Arial"/>
      <w:sz w:val="22"/>
      <w:lang w:val="es-ES" w:eastAsia="zh-CN"/>
    </w:rPr>
  </w:style>
  <w:style w:type="paragraph" w:styleId="BalloonText">
    <w:name w:val="Balloon Text"/>
    <w:basedOn w:val="Normal"/>
    <w:link w:val="BalloonTextChar"/>
    <w:semiHidden/>
    <w:unhideWhenUsed/>
    <w:rsid w:val="003D1DB2"/>
    <w:rPr>
      <w:rFonts w:ascii="Segoe UI" w:hAnsi="Segoe UI" w:cs="Segoe UI"/>
      <w:sz w:val="18"/>
      <w:szCs w:val="18"/>
    </w:rPr>
  </w:style>
  <w:style w:type="character" w:customStyle="1" w:styleId="BalloonTextChar">
    <w:name w:val="Balloon Text Char"/>
    <w:basedOn w:val="DefaultParagraphFont"/>
    <w:link w:val="BalloonText"/>
    <w:semiHidden/>
    <w:rsid w:val="003D1DB2"/>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wipo.int/meetings/es/doc_details.jsp?doc_id=416005%20" TargetMode="Externa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wipo.int/ip-development/es/agenda/recommendations.html" TargetMode="Externa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doc_details.jsp?doc_id=573792" TargetMode="External"/><Relationship Id="rId1" Type="http://schemas.openxmlformats.org/officeDocument/2006/relationships/hyperlink" Target="https://www.wipo.int/meetings/en/doc_details.jsp?doc_id=5737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2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CDIP_29 (S)</Template>
  <TotalTime>3</TotalTime>
  <Pages>8</Pages>
  <Words>2591</Words>
  <Characters>13942</Characters>
  <Application>Microsoft Office Word</Application>
  <DocSecurity>0</DocSecurity>
  <Lines>436</Lines>
  <Paragraphs>196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CDIP/29/8</vt:lpstr>
      <vt:lpstr>CDIP/29/8</vt:lpstr>
    </vt:vector>
  </TitlesOfParts>
  <Company>WIPO</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CDIP/29/8</dc:title>
  <dc:creator>CEVALLOS DUQUE Nilo</dc:creator>
  <cp:keywords>FOR OFFICIAL USE ONLY</cp:keywords>
  <cp:lastModifiedBy>ESTEVES DOS SANTOS Anabela</cp:lastModifiedBy>
  <cp:revision>4</cp:revision>
  <dcterms:created xsi:type="dcterms:W3CDTF">2022-09-20T14:52:00Z</dcterms:created>
  <dcterms:modified xsi:type="dcterms:W3CDTF">2022-09-21T12:35:00Z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