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E04720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E04720" w:rsidRDefault="00EC4E49" w:rsidP="00916EE2">
            <w:pPr>
              <w:rPr>
                <w:lang w:val="es-ES_tradnl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E04720" w:rsidRDefault="00E04720" w:rsidP="00916EE2">
            <w:pPr>
              <w:rPr>
                <w:lang w:val="es-ES_tradnl"/>
              </w:rPr>
            </w:pPr>
            <w:r w:rsidRPr="00E04720">
              <w:rPr>
                <w:noProof/>
                <w:color w:val="00B050"/>
                <w:lang w:val="en-US" w:eastAsia="en-US"/>
              </w:rPr>
              <w:drawing>
                <wp:inline distT="0" distB="0" distL="0" distR="0" wp14:anchorId="60F99241" wp14:editId="616C9F47">
                  <wp:extent cx="1809750" cy="1323975"/>
                  <wp:effectExtent l="0" t="0" r="0" b="9525"/>
                  <wp:docPr id="2" name="Picture 2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E04720" w:rsidRDefault="00EA7492" w:rsidP="00916EE2">
            <w:pPr>
              <w:jc w:val="right"/>
              <w:rPr>
                <w:lang w:val="es-ES_tradnl"/>
              </w:rPr>
            </w:pPr>
            <w:r w:rsidRPr="00E04720">
              <w:rPr>
                <w:b/>
                <w:sz w:val="40"/>
                <w:szCs w:val="40"/>
                <w:lang w:val="es-ES_tradnl"/>
              </w:rPr>
              <w:t>S</w:t>
            </w:r>
          </w:p>
        </w:tc>
      </w:tr>
      <w:tr w:rsidR="008B2CC1" w:rsidRPr="00E04720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E04720" w:rsidRDefault="00801E1B" w:rsidP="007157EA">
            <w:pPr>
              <w:jc w:val="right"/>
              <w:rPr>
                <w:rFonts w:ascii="Arial Black" w:hAnsi="Arial Black"/>
                <w:caps/>
                <w:sz w:val="15"/>
                <w:lang w:val="es-ES_tradnl"/>
              </w:rPr>
            </w:pPr>
            <w:r w:rsidRPr="00E04720">
              <w:rPr>
                <w:rFonts w:ascii="Arial Black" w:hAnsi="Arial Black"/>
                <w:caps/>
                <w:sz w:val="15"/>
                <w:lang w:val="es-ES_tradnl"/>
              </w:rPr>
              <w:t>WIPO/ACE/9/</w:t>
            </w:r>
            <w:bookmarkStart w:id="0" w:name="Code"/>
            <w:bookmarkEnd w:id="0"/>
            <w:r w:rsidR="007157EA">
              <w:rPr>
                <w:rFonts w:ascii="Arial Black" w:hAnsi="Arial Black"/>
                <w:caps/>
                <w:sz w:val="15"/>
                <w:lang w:val="es-ES_tradnl"/>
              </w:rPr>
              <w:t>7</w:t>
            </w:r>
            <w:r w:rsidR="008B2CC1" w:rsidRPr="00E04720">
              <w:rPr>
                <w:rFonts w:ascii="Arial Black" w:hAnsi="Arial Black"/>
                <w:caps/>
                <w:sz w:val="15"/>
                <w:lang w:val="es-ES_tradnl"/>
              </w:rPr>
              <w:t xml:space="preserve"> </w:t>
            </w:r>
          </w:p>
        </w:tc>
      </w:tr>
      <w:tr w:rsidR="008B2CC1" w:rsidRPr="00E04720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E04720" w:rsidRDefault="008B2CC1" w:rsidP="00D64C82">
            <w:pPr>
              <w:jc w:val="right"/>
              <w:rPr>
                <w:rFonts w:ascii="Arial Black" w:hAnsi="Arial Black"/>
                <w:caps/>
                <w:sz w:val="15"/>
                <w:lang w:val="es-ES_tradnl"/>
              </w:rPr>
            </w:pPr>
            <w:r w:rsidRPr="00E04720">
              <w:rPr>
                <w:rFonts w:ascii="Arial Black" w:hAnsi="Arial Black"/>
                <w:caps/>
                <w:sz w:val="15"/>
                <w:lang w:val="es-ES_tradnl"/>
              </w:rPr>
              <w:t>ORIGINAL:</w:t>
            </w:r>
            <w:r w:rsidR="00F14686" w:rsidRPr="00E04720">
              <w:rPr>
                <w:rFonts w:ascii="Arial Black" w:hAnsi="Arial Black"/>
                <w:caps/>
                <w:sz w:val="15"/>
                <w:lang w:val="es-ES_tradnl"/>
              </w:rPr>
              <w:t xml:space="preserve">  </w:t>
            </w:r>
            <w:r w:rsidR="006612EE" w:rsidRPr="00E04720">
              <w:rPr>
                <w:rFonts w:ascii="Arial Black" w:hAnsi="Arial Black"/>
                <w:caps/>
                <w:sz w:val="15"/>
                <w:lang w:val="es-ES_tradnl"/>
              </w:rPr>
              <w:t>Ingl</w:t>
            </w:r>
            <w:r w:rsidR="00D64C82" w:rsidRPr="00E04720">
              <w:rPr>
                <w:rFonts w:ascii="Arial Black" w:hAnsi="Arial Black"/>
                <w:caps/>
                <w:sz w:val="15"/>
                <w:lang w:val="es-ES_tradnl"/>
              </w:rPr>
              <w:t>és</w:t>
            </w:r>
            <w:r w:rsidR="00A42DAF" w:rsidRPr="00E04720">
              <w:rPr>
                <w:rFonts w:ascii="Arial Black" w:hAnsi="Arial Black"/>
                <w:caps/>
                <w:sz w:val="15"/>
                <w:lang w:val="es-ES_tradnl"/>
              </w:rPr>
              <w:t xml:space="preserve"> </w:t>
            </w:r>
            <w:r w:rsidRPr="00E04720">
              <w:rPr>
                <w:rFonts w:ascii="Arial Black" w:hAnsi="Arial Black"/>
                <w:caps/>
                <w:sz w:val="15"/>
                <w:lang w:val="es-ES_tradnl"/>
              </w:rPr>
              <w:t xml:space="preserve"> </w:t>
            </w:r>
            <w:bookmarkStart w:id="1" w:name="Original"/>
            <w:bookmarkEnd w:id="1"/>
          </w:p>
        </w:tc>
      </w:tr>
      <w:tr w:rsidR="008B2CC1" w:rsidRPr="00E04720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E04720" w:rsidRDefault="00D64C82" w:rsidP="00BD4A83">
            <w:pPr>
              <w:jc w:val="right"/>
              <w:rPr>
                <w:rFonts w:ascii="Arial Black" w:hAnsi="Arial Black"/>
                <w:caps/>
                <w:sz w:val="15"/>
                <w:lang w:val="es-ES_tradnl"/>
              </w:rPr>
            </w:pPr>
            <w:r w:rsidRPr="00E04720">
              <w:rPr>
                <w:rFonts w:ascii="Arial Black" w:hAnsi="Arial Black"/>
                <w:caps/>
                <w:sz w:val="15"/>
                <w:lang w:val="es-ES_tradnl"/>
              </w:rPr>
              <w:t>fecha</w:t>
            </w:r>
            <w:r w:rsidR="008B2CC1" w:rsidRPr="00E04720">
              <w:rPr>
                <w:rFonts w:ascii="Arial Black" w:hAnsi="Arial Black"/>
                <w:caps/>
                <w:sz w:val="15"/>
                <w:lang w:val="es-ES_tradnl"/>
              </w:rPr>
              <w:t>:</w:t>
            </w:r>
            <w:r w:rsidR="00F14686" w:rsidRPr="00E04720">
              <w:rPr>
                <w:rFonts w:ascii="Arial Black" w:hAnsi="Arial Black"/>
                <w:caps/>
                <w:sz w:val="15"/>
                <w:lang w:val="es-ES_tradnl"/>
              </w:rPr>
              <w:t xml:space="preserve">  </w:t>
            </w:r>
            <w:r w:rsidR="00BD4A83">
              <w:rPr>
                <w:rFonts w:ascii="Arial Black" w:hAnsi="Arial Black"/>
                <w:caps/>
                <w:sz w:val="15"/>
                <w:lang w:val="es-ES_tradnl"/>
              </w:rPr>
              <w:t>28</w:t>
            </w:r>
            <w:r w:rsidR="006612EE" w:rsidRPr="00E04720">
              <w:rPr>
                <w:rFonts w:ascii="Arial Black" w:hAnsi="Arial Black"/>
                <w:caps/>
                <w:sz w:val="15"/>
                <w:lang w:val="es-ES_tradnl"/>
              </w:rPr>
              <w:t xml:space="preserve"> de </w:t>
            </w:r>
            <w:r w:rsidR="00BD4A83">
              <w:rPr>
                <w:rFonts w:ascii="Arial Black" w:hAnsi="Arial Black"/>
                <w:caps/>
                <w:sz w:val="15"/>
                <w:lang w:val="es-ES_tradnl"/>
              </w:rPr>
              <w:t>enero</w:t>
            </w:r>
            <w:r w:rsidR="006612EE" w:rsidRPr="00E04720">
              <w:rPr>
                <w:rFonts w:ascii="Arial Black" w:hAnsi="Arial Black"/>
                <w:caps/>
                <w:sz w:val="15"/>
                <w:lang w:val="es-ES_tradnl"/>
              </w:rPr>
              <w:t xml:space="preserve"> de</w:t>
            </w:r>
            <w:r w:rsidR="00F14686" w:rsidRPr="00E04720">
              <w:rPr>
                <w:rFonts w:ascii="Arial Black" w:hAnsi="Arial Black"/>
                <w:caps/>
                <w:sz w:val="15"/>
                <w:lang w:val="es-ES_tradnl"/>
              </w:rPr>
              <w:t xml:space="preserve"> 2014</w:t>
            </w:r>
            <w:r w:rsidR="00A42DAF" w:rsidRPr="00E04720">
              <w:rPr>
                <w:rFonts w:ascii="Arial Black" w:hAnsi="Arial Black"/>
                <w:caps/>
                <w:sz w:val="15"/>
                <w:lang w:val="es-ES_tradnl"/>
              </w:rPr>
              <w:t xml:space="preserve"> </w:t>
            </w:r>
            <w:r w:rsidR="008B2CC1" w:rsidRPr="00E04720">
              <w:rPr>
                <w:rFonts w:ascii="Arial Black" w:hAnsi="Arial Black"/>
                <w:caps/>
                <w:sz w:val="15"/>
                <w:lang w:val="es-ES_tradnl"/>
              </w:rPr>
              <w:t xml:space="preserve"> </w:t>
            </w:r>
            <w:bookmarkStart w:id="2" w:name="Date"/>
            <w:bookmarkEnd w:id="2"/>
          </w:p>
        </w:tc>
      </w:tr>
    </w:tbl>
    <w:p w:rsidR="008B2CC1" w:rsidRPr="00E04720" w:rsidRDefault="008B2CC1" w:rsidP="008B2CC1">
      <w:pPr>
        <w:rPr>
          <w:lang w:val="es-ES_tradnl"/>
        </w:rPr>
      </w:pPr>
    </w:p>
    <w:p w:rsidR="008B2CC1" w:rsidRPr="00E04720" w:rsidRDefault="008B2CC1" w:rsidP="008B2CC1">
      <w:pPr>
        <w:rPr>
          <w:lang w:val="es-ES_tradnl"/>
        </w:rPr>
      </w:pPr>
    </w:p>
    <w:p w:rsidR="008B2CC1" w:rsidRPr="00E04720" w:rsidRDefault="008B2CC1" w:rsidP="008B2CC1">
      <w:pPr>
        <w:rPr>
          <w:lang w:val="es-ES_tradnl"/>
        </w:rPr>
      </w:pPr>
    </w:p>
    <w:p w:rsidR="008B2CC1" w:rsidRPr="00E04720" w:rsidRDefault="008B2CC1" w:rsidP="008B2CC1">
      <w:pPr>
        <w:rPr>
          <w:lang w:val="es-ES_tradnl"/>
        </w:rPr>
      </w:pPr>
    </w:p>
    <w:p w:rsidR="008B2CC1" w:rsidRPr="00E04720" w:rsidRDefault="008B2CC1" w:rsidP="008B2CC1">
      <w:pPr>
        <w:rPr>
          <w:lang w:val="es-ES_tradnl"/>
        </w:rPr>
      </w:pPr>
    </w:p>
    <w:p w:rsidR="00061D47" w:rsidRPr="00E04720" w:rsidRDefault="006612EE" w:rsidP="00061D47">
      <w:pPr>
        <w:pStyle w:val="Meetingtitle"/>
        <w:ind w:left="0"/>
        <w:rPr>
          <w:lang w:val="es-ES_tradnl"/>
        </w:rPr>
      </w:pPr>
      <w:r w:rsidRPr="00E04720">
        <w:rPr>
          <w:lang w:val="es-ES_tradnl"/>
        </w:rPr>
        <w:t>Comité Asesor sobre Observancia</w:t>
      </w:r>
    </w:p>
    <w:p w:rsidR="00061D47" w:rsidRPr="00E04720" w:rsidRDefault="00061D47" w:rsidP="00061D47">
      <w:pPr>
        <w:pStyle w:val="Sessiontitle"/>
        <w:ind w:left="0"/>
        <w:rPr>
          <w:lang w:val="es-ES_tradnl"/>
        </w:rPr>
      </w:pPr>
      <w:r w:rsidRPr="00E04720">
        <w:rPr>
          <w:lang w:val="es-ES_tradnl" w:eastAsia="ko-KR"/>
        </w:rPr>
        <w:t>N</w:t>
      </w:r>
      <w:r w:rsidR="006612EE" w:rsidRPr="00E04720">
        <w:rPr>
          <w:lang w:val="es-ES_tradnl" w:eastAsia="ko-KR"/>
        </w:rPr>
        <w:t xml:space="preserve">ovena </w:t>
      </w:r>
      <w:r w:rsidR="00202A5F" w:rsidRPr="00E04720">
        <w:rPr>
          <w:lang w:val="es-ES_tradnl" w:eastAsia="ko-KR"/>
        </w:rPr>
        <w:t>sesión</w:t>
      </w:r>
    </w:p>
    <w:p w:rsidR="00061D47" w:rsidRPr="00E04720" w:rsidRDefault="00061D47" w:rsidP="00061D47">
      <w:pPr>
        <w:pStyle w:val="Meetingplacedate"/>
        <w:ind w:left="0"/>
        <w:rPr>
          <w:lang w:val="es-ES_tradnl"/>
        </w:rPr>
      </w:pPr>
      <w:r w:rsidRPr="00E04720">
        <w:rPr>
          <w:lang w:val="es-ES_tradnl"/>
        </w:rPr>
        <w:t>G</w:t>
      </w:r>
      <w:r w:rsidR="006612EE" w:rsidRPr="00E04720">
        <w:rPr>
          <w:lang w:val="es-ES_tradnl"/>
        </w:rPr>
        <w:t xml:space="preserve">inebra, 3 a 5 de marzo de </w:t>
      </w:r>
      <w:r w:rsidRPr="00E04720">
        <w:rPr>
          <w:lang w:val="es-ES_tradnl"/>
        </w:rPr>
        <w:t>201</w:t>
      </w:r>
      <w:r w:rsidRPr="00E04720">
        <w:rPr>
          <w:lang w:val="es-ES_tradnl" w:eastAsia="ko-KR"/>
        </w:rPr>
        <w:t>4</w:t>
      </w:r>
    </w:p>
    <w:p w:rsidR="008B2CC1" w:rsidRPr="00E04720" w:rsidRDefault="008B2CC1" w:rsidP="008B2CC1">
      <w:pPr>
        <w:rPr>
          <w:lang w:val="es-ES_tradnl"/>
        </w:rPr>
      </w:pPr>
    </w:p>
    <w:p w:rsidR="008B2CC1" w:rsidRPr="00E04720" w:rsidRDefault="008B2CC1" w:rsidP="008B2CC1">
      <w:pPr>
        <w:rPr>
          <w:lang w:val="es-ES_tradnl"/>
        </w:rPr>
      </w:pPr>
    </w:p>
    <w:p w:rsidR="008B2CC1" w:rsidRPr="00E04720" w:rsidRDefault="008B2CC1" w:rsidP="008B2CC1">
      <w:pPr>
        <w:rPr>
          <w:lang w:val="es-ES_tradnl"/>
        </w:rPr>
      </w:pPr>
    </w:p>
    <w:p w:rsidR="006612EE" w:rsidRPr="00E04720" w:rsidRDefault="00130E91" w:rsidP="008B2CC1">
      <w:pPr>
        <w:rPr>
          <w:caps/>
          <w:sz w:val="24"/>
          <w:lang w:val="es-ES_tradnl"/>
        </w:rPr>
      </w:pPr>
      <w:bookmarkStart w:id="3" w:name="TitleOfDoc"/>
      <w:bookmarkEnd w:id="3"/>
      <w:r>
        <w:rPr>
          <w:caps/>
          <w:sz w:val="24"/>
          <w:lang w:val="es-ES_tradnl"/>
        </w:rPr>
        <w:t>SOLUCI</w:t>
      </w:r>
      <w:r w:rsidRPr="007157EA">
        <w:rPr>
          <w:caps/>
          <w:sz w:val="24"/>
          <w:lang w:val="es-ES_tradnl"/>
        </w:rPr>
        <w:t xml:space="preserve">ÓN EXTRAJUDICIAL DE CONTROVERSIAS </w:t>
      </w:r>
      <w:r w:rsidR="003C6733" w:rsidRPr="007157EA">
        <w:rPr>
          <w:caps/>
          <w:sz w:val="24"/>
          <w:lang w:val="es-ES_tradnl"/>
        </w:rPr>
        <w:t xml:space="preserve">en materia </w:t>
      </w:r>
      <w:r w:rsidR="002B5DE9" w:rsidRPr="007157EA">
        <w:rPr>
          <w:caps/>
          <w:sz w:val="24"/>
          <w:lang w:val="es-ES_tradnl"/>
        </w:rPr>
        <w:t>DE PROPIEDAD IN</w:t>
      </w:r>
      <w:r w:rsidR="003C6733" w:rsidRPr="007157EA">
        <w:rPr>
          <w:caps/>
          <w:sz w:val="24"/>
          <w:lang w:val="es-ES_tradnl"/>
        </w:rPr>
        <w:t xml:space="preserve">telectual </w:t>
      </w:r>
      <w:r w:rsidR="00623941" w:rsidRPr="007157EA">
        <w:rPr>
          <w:caps/>
          <w:sz w:val="24"/>
          <w:lang w:val="es-ES_tradnl"/>
        </w:rPr>
        <w:t>EN LA REPÚBLICA DE COREA</w:t>
      </w:r>
    </w:p>
    <w:p w:rsidR="008B2CC1" w:rsidRPr="00E04720" w:rsidRDefault="008B2CC1" w:rsidP="008B2CC1">
      <w:pPr>
        <w:rPr>
          <w:lang w:val="es-ES_tradnl"/>
        </w:rPr>
      </w:pPr>
    </w:p>
    <w:p w:rsidR="00D44012" w:rsidRPr="00F219FB" w:rsidRDefault="00F219FB" w:rsidP="00D64FF3">
      <w:pPr>
        <w:rPr>
          <w:i/>
          <w:color w:val="000000"/>
          <w:szCs w:val="22"/>
          <w:lang w:val="es-ES_tradnl"/>
        </w:rPr>
      </w:pPr>
      <w:bookmarkStart w:id="4" w:name="Prepared"/>
      <w:bookmarkEnd w:id="4"/>
      <w:r w:rsidRPr="00F219FB">
        <w:rPr>
          <w:rFonts w:eastAsia="Times New Roman"/>
          <w:i/>
          <w:iCs/>
          <w:szCs w:val="22"/>
          <w:lang w:eastAsia="en-US"/>
        </w:rPr>
        <w:t>Documento preparado por la Sra. Yang Jeonghwa, Directora Adjunta, División de Asuntos Multilaterales, Oficina Surcoreana de Propiedad Intelectual (KIPO), República de Corea</w:t>
      </w:r>
    </w:p>
    <w:p w:rsidR="00D44012" w:rsidRDefault="00D44012" w:rsidP="00D44012">
      <w:pPr>
        <w:rPr>
          <w:rFonts w:eastAsia="Times New Roman"/>
          <w:iCs/>
          <w:szCs w:val="22"/>
          <w:lang w:eastAsia="en-US"/>
        </w:rPr>
      </w:pPr>
    </w:p>
    <w:p w:rsidR="00D44012" w:rsidRDefault="00D44012" w:rsidP="00D44012"/>
    <w:p w:rsidR="00D44012" w:rsidRPr="000F1490" w:rsidRDefault="00803E43" w:rsidP="00512EA7">
      <w:pPr>
        <w:pStyle w:val="Heading1"/>
        <w:keepNext w:val="0"/>
        <w:numPr>
          <w:ilvl w:val="0"/>
          <w:numId w:val="7"/>
        </w:numPr>
        <w:tabs>
          <w:tab w:val="left" w:pos="567"/>
        </w:tabs>
        <w:ind w:left="567" w:hanging="567"/>
      </w:pPr>
      <w:r>
        <w:t xml:space="preserve">panorama general </w:t>
      </w:r>
      <w:r w:rsidR="00B03257">
        <w:t>DE LA SOLUCIÓN EXTRAJUDICIAL DE CONTROVERSIAS EN LA REPÚBLICA DE COREA</w:t>
      </w:r>
    </w:p>
    <w:p w:rsidR="00D44012" w:rsidRPr="000F1490" w:rsidRDefault="00D44012" w:rsidP="00D44012"/>
    <w:p w:rsidR="00D44012" w:rsidRPr="000F1490" w:rsidRDefault="00D44012" w:rsidP="00D44012"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9A644F">
        <w:t xml:space="preserve">La solución extrajudicial de controversias </w:t>
      </w:r>
      <w:r w:rsidR="00CC73C0">
        <w:t xml:space="preserve">es un término que </w:t>
      </w:r>
      <w:r w:rsidR="00974628">
        <w:t>abarca una serie de procedimientos</w:t>
      </w:r>
      <w:r w:rsidR="00803E43">
        <w:t xml:space="preserve"> ajenos a </w:t>
      </w:r>
      <w:r w:rsidR="00CC73C0">
        <w:t>la vía judicial</w:t>
      </w:r>
      <w:r w:rsidR="00F136A8">
        <w:t xml:space="preserve"> en los </w:t>
      </w:r>
      <w:r w:rsidR="002C78F6">
        <w:t xml:space="preserve">que </w:t>
      </w:r>
      <w:r w:rsidR="00F136A8">
        <w:t>una persona imparcial</w:t>
      </w:r>
      <w:r w:rsidRPr="000F1490">
        <w:t xml:space="preserve"> (</w:t>
      </w:r>
      <w:r w:rsidR="00F136A8">
        <w:t xml:space="preserve">un experto en </w:t>
      </w:r>
      <w:r w:rsidR="008C17B5">
        <w:t xml:space="preserve">la </w:t>
      </w:r>
      <w:r w:rsidR="00F136A8">
        <w:t>solución extrajudicial de controversias</w:t>
      </w:r>
      <w:r w:rsidRPr="000F1490">
        <w:t>) a</w:t>
      </w:r>
      <w:r w:rsidR="00EF5B3A">
        <w:t xml:space="preserve">yuda a las partes </w:t>
      </w:r>
      <w:r w:rsidR="008C17B5">
        <w:t>e</w:t>
      </w:r>
      <w:r w:rsidR="00EF5B3A">
        <w:t>n</w:t>
      </w:r>
      <w:r w:rsidR="008C17B5">
        <w:t xml:space="preserve"> una controversia a resolver sus diferencias</w:t>
      </w:r>
      <w:r w:rsidRPr="000F1490">
        <w:t xml:space="preserve">. </w:t>
      </w:r>
      <w:r>
        <w:t xml:space="preserve"> </w:t>
      </w:r>
      <w:r w:rsidR="00FE6778">
        <w:t xml:space="preserve">Los principales </w:t>
      </w:r>
      <w:r w:rsidR="00803E43" w:rsidRPr="00803E43">
        <w:t xml:space="preserve">procedimientos </w:t>
      </w:r>
      <w:r w:rsidR="00FE6778">
        <w:t>para la solución extrajudicial de controversias son la mediación, el arbitraje y la conciliación</w:t>
      </w:r>
      <w:r w:rsidR="000569BC">
        <w:t>.</w:t>
      </w:r>
    </w:p>
    <w:p w:rsidR="00D44012" w:rsidRPr="000F1490" w:rsidRDefault="00D44012" w:rsidP="00D44012"/>
    <w:p w:rsidR="00D44012" w:rsidRPr="000F1490" w:rsidRDefault="001728FE" w:rsidP="00512EA7">
      <w:pPr>
        <w:pStyle w:val="Heading2"/>
        <w:keepNext w:val="0"/>
      </w:pPr>
      <w:r>
        <w:rPr>
          <w:rFonts w:hint="eastAsia"/>
        </w:rPr>
        <w:t>MediaCi</w:t>
      </w:r>
      <w:r>
        <w:t>Ó</w:t>
      </w:r>
      <w:r w:rsidR="00D44012" w:rsidRPr="000F1490">
        <w:rPr>
          <w:rFonts w:hint="eastAsia"/>
        </w:rPr>
        <w:t>n</w:t>
      </w:r>
    </w:p>
    <w:p w:rsidR="00D44012" w:rsidRDefault="00D44012" w:rsidP="00D44012"/>
    <w:p w:rsidR="00D44012" w:rsidRPr="000F1490" w:rsidRDefault="00D44012" w:rsidP="00D44012"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AUTONUM </w:instrText>
      </w:r>
      <w:r>
        <w:instrText xml:space="preserve"> </w:instrText>
      </w:r>
      <w:r>
        <w:fldChar w:fldCharType="end"/>
      </w:r>
      <w:r>
        <w:tab/>
      </w:r>
      <w:r w:rsidR="00EF6437">
        <w:rPr>
          <w:rFonts w:hint="eastAsia"/>
        </w:rPr>
        <w:t>En la mediaci</w:t>
      </w:r>
      <w:r w:rsidR="00EF6437">
        <w:t xml:space="preserve">ón una </w:t>
      </w:r>
      <w:r w:rsidR="00E961C7">
        <w:t>o ambas</w:t>
      </w:r>
      <w:r w:rsidR="00EF6437">
        <w:t xml:space="preserve"> partes solicitan a un mediador </w:t>
      </w:r>
      <w:r w:rsidR="00472D1F">
        <w:t xml:space="preserve">que les </w:t>
      </w:r>
      <w:r w:rsidR="00803E43">
        <w:t xml:space="preserve">preste asistencia en forma </w:t>
      </w:r>
      <w:r w:rsidR="00803E43" w:rsidRPr="00803E43">
        <w:t xml:space="preserve">imparcial e independiente </w:t>
      </w:r>
      <w:r w:rsidR="00472D1F">
        <w:t>para solucionar</w:t>
      </w:r>
      <w:r w:rsidR="00803E43">
        <w:t xml:space="preserve"> la controversia</w:t>
      </w:r>
      <w:r w:rsidRPr="000F1490">
        <w:rPr>
          <w:rFonts w:hint="eastAsia"/>
        </w:rPr>
        <w:t xml:space="preserve">. </w:t>
      </w:r>
      <w:r>
        <w:t xml:space="preserve"> </w:t>
      </w:r>
      <w:r w:rsidR="00394561">
        <w:rPr>
          <w:rFonts w:hint="eastAsia"/>
        </w:rPr>
        <w:t xml:space="preserve">La controversia se </w:t>
      </w:r>
      <w:r w:rsidR="00803E43">
        <w:t xml:space="preserve">resuelve </w:t>
      </w:r>
      <w:r w:rsidR="00394561">
        <w:t xml:space="preserve">cuando la mediación </w:t>
      </w:r>
      <w:r w:rsidR="002C78F6">
        <w:t>cul</w:t>
      </w:r>
      <w:r w:rsidR="00803E43">
        <w:t xml:space="preserve">mina en </w:t>
      </w:r>
      <w:r w:rsidR="00D5173C">
        <w:t xml:space="preserve">un acuerdo </w:t>
      </w:r>
      <w:r w:rsidR="00803E43">
        <w:t xml:space="preserve">viable </w:t>
      </w:r>
      <w:r w:rsidR="009613D6">
        <w:t xml:space="preserve">en </w:t>
      </w:r>
      <w:r w:rsidR="002C78F6">
        <w:t xml:space="preserve">el </w:t>
      </w:r>
      <w:r w:rsidR="009577A7">
        <w:t>que ambas partes esté</w:t>
      </w:r>
      <w:r w:rsidR="00611D81">
        <w:t>n de acuerdo</w:t>
      </w:r>
      <w:r w:rsidRPr="000F1490">
        <w:rPr>
          <w:rFonts w:hint="eastAsia"/>
        </w:rPr>
        <w:t xml:space="preserve">. </w:t>
      </w:r>
      <w:r>
        <w:t xml:space="preserve"> </w:t>
      </w:r>
      <w:r w:rsidR="00803E43">
        <w:t>Dado q</w:t>
      </w:r>
      <w:r w:rsidR="00CD0C0E">
        <w:rPr>
          <w:rFonts w:hint="eastAsia"/>
        </w:rPr>
        <w:t>ue la mediaci</w:t>
      </w:r>
      <w:r w:rsidR="00CD0C0E">
        <w:t xml:space="preserve">ón no es vinculante, si las partes no están de acuerdo con el resultado, </w:t>
      </w:r>
      <w:r w:rsidR="0079096F">
        <w:t xml:space="preserve">el procedimiento </w:t>
      </w:r>
      <w:r w:rsidR="009577A7">
        <w:t>se da por finalizado</w:t>
      </w:r>
      <w:r w:rsidRPr="000F1490">
        <w:rPr>
          <w:rFonts w:hint="eastAsia"/>
        </w:rPr>
        <w:t xml:space="preserve">. </w:t>
      </w:r>
      <w:r>
        <w:t xml:space="preserve"> </w:t>
      </w:r>
      <w:r w:rsidR="00E056EC">
        <w:t>Es interesante</w:t>
      </w:r>
      <w:r w:rsidR="002C78F6">
        <w:t xml:space="preserve"> observar</w:t>
      </w:r>
      <w:r w:rsidR="00E056EC">
        <w:t xml:space="preserve"> que </w:t>
      </w:r>
      <w:r w:rsidR="007106B9">
        <w:t>la legislación c</w:t>
      </w:r>
      <w:r w:rsidR="00803E43">
        <w:t>oreana prevé la creación de un comité de solución de co</w:t>
      </w:r>
      <w:r w:rsidR="007106B9">
        <w:t>ntroversias en casi todos los organismos del gobierno</w:t>
      </w:r>
      <w:r w:rsidRPr="000F1490">
        <w:rPr>
          <w:rFonts w:hint="eastAsia"/>
        </w:rPr>
        <w:t xml:space="preserve">. </w:t>
      </w:r>
      <w:r>
        <w:t xml:space="preserve"> </w:t>
      </w:r>
      <w:r w:rsidR="007106B9">
        <w:rPr>
          <w:rFonts w:hint="eastAsia"/>
        </w:rPr>
        <w:t>P</w:t>
      </w:r>
      <w:r w:rsidRPr="000F1490">
        <w:rPr>
          <w:rFonts w:hint="eastAsia"/>
        </w:rPr>
        <w:t>or e</w:t>
      </w:r>
      <w:r w:rsidR="007106B9">
        <w:t xml:space="preserve">jemplo, </w:t>
      </w:r>
      <w:r w:rsidR="008D73E9">
        <w:t xml:space="preserve">la Ley de </w:t>
      </w:r>
      <w:r w:rsidR="009732EA">
        <w:t xml:space="preserve">Fomento </w:t>
      </w:r>
      <w:r w:rsidR="008D73E9">
        <w:t xml:space="preserve">de Invenciones creó </w:t>
      </w:r>
      <w:r w:rsidR="007106B9">
        <w:t>el Co</w:t>
      </w:r>
      <w:r w:rsidR="00803E43">
        <w:t xml:space="preserve">mité </w:t>
      </w:r>
      <w:r w:rsidR="007106B9">
        <w:t xml:space="preserve">de </w:t>
      </w:r>
      <w:r w:rsidR="00803E43">
        <w:t>m</w:t>
      </w:r>
      <w:r w:rsidR="007106B9">
        <w:t>ediación para las controversias de prop</w:t>
      </w:r>
      <w:r w:rsidR="00803E43">
        <w:t xml:space="preserve">iedad industrial de la Oficina </w:t>
      </w:r>
      <w:r w:rsidR="00EF5B3A">
        <w:t>Surcoreana de P</w:t>
      </w:r>
      <w:r w:rsidR="00803E43">
        <w:t xml:space="preserve">ropiedad </w:t>
      </w:r>
      <w:r w:rsidR="00EF5B3A">
        <w:t>I</w:t>
      </w:r>
      <w:r w:rsidR="007106B9">
        <w:t>n</w:t>
      </w:r>
      <w:r w:rsidR="00803E43">
        <w:t xml:space="preserve">telectual </w:t>
      </w:r>
      <w:r w:rsidR="007106B9">
        <w:t xml:space="preserve"> (KIPO)</w:t>
      </w:r>
      <w:r w:rsidRPr="000F1490">
        <w:rPr>
          <w:rFonts w:hint="eastAsia"/>
        </w:rPr>
        <w:t xml:space="preserve">. </w:t>
      </w:r>
      <w:r>
        <w:t xml:space="preserve"> </w:t>
      </w:r>
      <w:r w:rsidR="000B78F0">
        <w:rPr>
          <w:rFonts w:hint="eastAsia"/>
        </w:rPr>
        <w:t>De la misma forma</w:t>
      </w:r>
      <w:r w:rsidRPr="000F1490">
        <w:rPr>
          <w:rFonts w:hint="eastAsia"/>
        </w:rPr>
        <w:t xml:space="preserve">, </w:t>
      </w:r>
      <w:r w:rsidR="007247E3">
        <w:t>el Co</w:t>
      </w:r>
      <w:r w:rsidR="00803E43">
        <w:t xml:space="preserve">mité </w:t>
      </w:r>
      <w:r w:rsidR="007247E3">
        <w:t xml:space="preserve">de </w:t>
      </w:r>
      <w:r w:rsidR="00803E43">
        <w:t xml:space="preserve">solución </w:t>
      </w:r>
      <w:r w:rsidR="002E6EA1">
        <w:t>de controversias del sector de l</w:t>
      </w:r>
      <w:r w:rsidR="002C78F6">
        <w:t>a c</w:t>
      </w:r>
      <w:r w:rsidR="007247E3">
        <w:t xml:space="preserve">onstrucción del Ministerio de </w:t>
      </w:r>
      <w:r w:rsidR="00055789">
        <w:t>Asuntos Territoriales</w:t>
      </w:r>
      <w:r w:rsidR="002750E2">
        <w:t xml:space="preserve">, </w:t>
      </w:r>
      <w:r w:rsidR="00EF5B3A">
        <w:t xml:space="preserve">de </w:t>
      </w:r>
      <w:r w:rsidR="002750E2">
        <w:t xml:space="preserve">Transporte </w:t>
      </w:r>
      <w:r w:rsidR="00055789">
        <w:t>y Marítimos fue creado por la Ley de la Industria de la Construcción</w:t>
      </w:r>
      <w:r w:rsidRPr="000F1490">
        <w:rPr>
          <w:rFonts w:hint="eastAsia"/>
        </w:rPr>
        <w:t xml:space="preserve">. </w:t>
      </w:r>
      <w:r>
        <w:t xml:space="preserve"> </w:t>
      </w:r>
      <w:r w:rsidR="002E6EA1">
        <w:t xml:space="preserve">Existen numerosos comités de mediación </w:t>
      </w:r>
      <w:r w:rsidR="008F103A">
        <w:t>similares</w:t>
      </w:r>
      <w:r w:rsidR="00055789">
        <w:t xml:space="preserve"> en el gobierno coreano</w:t>
      </w:r>
      <w:r w:rsidRPr="000F1490">
        <w:rPr>
          <w:rFonts w:hint="eastAsia"/>
        </w:rPr>
        <w:t>.</w:t>
      </w:r>
    </w:p>
    <w:p w:rsidR="00D44012" w:rsidRPr="000F1490" w:rsidRDefault="00D44012" w:rsidP="00D44012"/>
    <w:p w:rsidR="00D44012" w:rsidRPr="000F1490" w:rsidRDefault="00152153" w:rsidP="00512EA7">
      <w:pPr>
        <w:pStyle w:val="Heading2"/>
        <w:keepNext w:val="0"/>
      </w:pPr>
      <w:r>
        <w:rPr>
          <w:rFonts w:hint="eastAsia"/>
        </w:rPr>
        <w:t>ArbitraJE</w:t>
      </w:r>
    </w:p>
    <w:p w:rsidR="00D44012" w:rsidRDefault="00D44012" w:rsidP="00D44012"/>
    <w:p w:rsidR="00D44012" w:rsidRDefault="00D44012" w:rsidP="00D44012"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AUTONUM </w:instrText>
      </w:r>
      <w:r>
        <w:instrText xml:space="preserve"> </w:instrText>
      </w:r>
      <w:r>
        <w:fldChar w:fldCharType="end"/>
      </w:r>
      <w:r>
        <w:tab/>
      </w:r>
      <w:r w:rsidR="00E631EE">
        <w:rPr>
          <w:rFonts w:hint="eastAsia"/>
        </w:rPr>
        <w:t xml:space="preserve">El arbitraje es un procedimiento </w:t>
      </w:r>
      <w:r w:rsidR="002C78F6">
        <w:t xml:space="preserve">en el que </w:t>
      </w:r>
      <w:r w:rsidR="00E631EE">
        <w:rPr>
          <w:rFonts w:hint="eastAsia"/>
        </w:rPr>
        <w:t xml:space="preserve">un </w:t>
      </w:r>
      <w:r w:rsidR="00E631EE">
        <w:t>árbitro decide la controversia en cuestión fuera del ámbito judicial</w:t>
      </w:r>
      <w:r w:rsidR="005C6E65">
        <w:rPr>
          <w:rFonts w:hint="eastAsia"/>
        </w:rPr>
        <w:t>.  E</w:t>
      </w:r>
      <w:r w:rsidRPr="000F1490">
        <w:rPr>
          <w:rFonts w:hint="eastAsia"/>
        </w:rPr>
        <w:t>n</w:t>
      </w:r>
      <w:r w:rsidR="005C6E65">
        <w:t xml:space="preserve"> la República de Corea, contamos con la </w:t>
      </w:r>
      <w:r w:rsidRPr="000F1490">
        <w:rPr>
          <w:rFonts w:hint="eastAsia"/>
        </w:rPr>
        <w:t xml:space="preserve"> </w:t>
      </w:r>
      <w:r w:rsidRPr="000F1490">
        <w:t>“</w:t>
      </w:r>
      <w:r w:rsidR="005C6E65">
        <w:rPr>
          <w:rFonts w:hint="eastAsia"/>
        </w:rPr>
        <w:t>Ley de Arbitraje</w:t>
      </w:r>
      <w:r w:rsidRPr="000F1490">
        <w:t>”</w:t>
      </w:r>
      <w:r w:rsidRPr="000F1490">
        <w:rPr>
          <w:rFonts w:hint="eastAsia"/>
        </w:rPr>
        <w:t xml:space="preserve">. </w:t>
      </w:r>
      <w:r>
        <w:t xml:space="preserve"> </w:t>
      </w:r>
      <w:r w:rsidR="00C32197">
        <w:t>El Ministerio de Justicia es la autoridad competente en la materia</w:t>
      </w:r>
      <w:r w:rsidRPr="000F1490">
        <w:rPr>
          <w:rFonts w:hint="eastAsia"/>
        </w:rPr>
        <w:t xml:space="preserve">. </w:t>
      </w:r>
      <w:r>
        <w:t xml:space="preserve"> </w:t>
      </w:r>
      <w:r w:rsidR="008A3845">
        <w:rPr>
          <w:rFonts w:hint="eastAsia"/>
        </w:rPr>
        <w:t>La mayor</w:t>
      </w:r>
      <w:r w:rsidR="008A3845">
        <w:t xml:space="preserve">ía de los casos de arbitraje, especialmente las controversias </w:t>
      </w:r>
      <w:r w:rsidR="002C78F6">
        <w:t xml:space="preserve">del </w:t>
      </w:r>
      <w:r w:rsidR="00104922">
        <w:t>ámbito privado</w:t>
      </w:r>
      <w:r w:rsidRPr="000F1490">
        <w:rPr>
          <w:rFonts w:hint="eastAsia"/>
        </w:rPr>
        <w:t xml:space="preserve">, </w:t>
      </w:r>
      <w:r w:rsidR="008A3845">
        <w:t xml:space="preserve">se someten a la Junta </w:t>
      </w:r>
      <w:r w:rsidR="002E6EA1">
        <w:t>c</w:t>
      </w:r>
      <w:r w:rsidR="008A3845">
        <w:t xml:space="preserve">oreana de </w:t>
      </w:r>
      <w:r w:rsidR="002E6EA1">
        <w:t>a</w:t>
      </w:r>
      <w:r w:rsidR="008A3845">
        <w:t xml:space="preserve">rbitraje </w:t>
      </w:r>
      <w:r w:rsidR="002E6EA1">
        <w:t>c</w:t>
      </w:r>
      <w:r w:rsidR="008A3845">
        <w:t>omercial</w:t>
      </w:r>
      <w:r>
        <w:t xml:space="preserve"> </w:t>
      </w:r>
      <w:r w:rsidRPr="000F1490">
        <w:t xml:space="preserve">(KCAB). </w:t>
      </w:r>
      <w:r>
        <w:t xml:space="preserve"> </w:t>
      </w:r>
      <w:r w:rsidR="008A3845">
        <w:t>La Junta</w:t>
      </w:r>
      <w:r w:rsidR="004155BB">
        <w:t xml:space="preserve"> se rige por la Ley de Arbitraje</w:t>
      </w:r>
      <w:r w:rsidRPr="000F1490">
        <w:t xml:space="preserve">. </w:t>
      </w:r>
      <w:r w:rsidR="00104922">
        <w:t xml:space="preserve"> También ofrece servicios de mediació</w:t>
      </w:r>
      <w:r w:rsidR="00A36BCF">
        <w:t xml:space="preserve">n </w:t>
      </w:r>
      <w:r w:rsidR="00102603">
        <w:t>p</w:t>
      </w:r>
      <w:r w:rsidR="00A36BCF">
        <w:t>a</w:t>
      </w:r>
      <w:r w:rsidR="00102603">
        <w:t>ra</w:t>
      </w:r>
      <w:r w:rsidR="00A36BCF">
        <w:t xml:space="preserve"> </w:t>
      </w:r>
      <w:r w:rsidR="00102603">
        <w:t>partes del ámbito privado</w:t>
      </w:r>
      <w:r w:rsidRPr="000F1490">
        <w:t xml:space="preserve">. </w:t>
      </w:r>
      <w:r>
        <w:t xml:space="preserve"> </w:t>
      </w:r>
      <w:r w:rsidR="005B676F">
        <w:t xml:space="preserve">Algunos arbitrajes para dirimir cuestiones que son materia de leyes específicas se </w:t>
      </w:r>
      <w:r w:rsidR="00A36BCF">
        <w:t>pueden llevar</w:t>
      </w:r>
      <w:r w:rsidR="005B676F">
        <w:t xml:space="preserve"> a cabo en </w:t>
      </w:r>
      <w:r w:rsidR="00606133">
        <w:t>comisiones de ar</w:t>
      </w:r>
      <w:r w:rsidR="002E6EA1">
        <w:t>b</w:t>
      </w:r>
      <w:r w:rsidR="00606133">
        <w:t>it</w:t>
      </w:r>
      <w:r w:rsidR="002E6EA1">
        <w:t xml:space="preserve">raje </w:t>
      </w:r>
      <w:r>
        <w:t>(</w:t>
      </w:r>
      <w:r w:rsidR="005B676F" w:rsidRPr="002C78F6">
        <w:t>por ejemplo</w:t>
      </w:r>
      <w:r w:rsidRPr="002C78F6">
        <w:t>,</w:t>
      </w:r>
      <w:r>
        <w:t xml:space="preserve"> </w:t>
      </w:r>
      <w:r w:rsidR="002E6EA1">
        <w:t xml:space="preserve">la Comisión de </w:t>
      </w:r>
      <w:r w:rsidR="005B676F">
        <w:t>Arbitraje de la Prensa</w:t>
      </w:r>
      <w:r w:rsidR="002C78F6">
        <w:t xml:space="preserve"> y</w:t>
      </w:r>
      <w:r w:rsidR="005B676F">
        <w:t xml:space="preserve"> la </w:t>
      </w:r>
      <w:r w:rsidR="002E6EA1">
        <w:t xml:space="preserve">Oficina </w:t>
      </w:r>
      <w:r w:rsidR="00606133">
        <w:t>Sur</w:t>
      </w:r>
      <w:r w:rsidR="002E6EA1">
        <w:t>c</w:t>
      </w:r>
      <w:r w:rsidR="005B676F">
        <w:t xml:space="preserve">oreana de </w:t>
      </w:r>
      <w:r w:rsidR="00606133">
        <w:t>M</w:t>
      </w:r>
      <w:r w:rsidR="005B676F">
        <w:t xml:space="preserve">ediación y </w:t>
      </w:r>
      <w:r w:rsidR="00606133">
        <w:t>A</w:t>
      </w:r>
      <w:r w:rsidR="002E6EA1">
        <w:t xml:space="preserve">rbitraje de </w:t>
      </w:r>
      <w:r w:rsidR="00606133">
        <w:t>C</w:t>
      </w:r>
      <w:r w:rsidR="002E6EA1">
        <w:t xml:space="preserve">ontroversias </w:t>
      </w:r>
      <w:r w:rsidR="00606133">
        <w:t>M</w:t>
      </w:r>
      <w:r w:rsidR="005B676F">
        <w:t>édicas</w:t>
      </w:r>
      <w:r w:rsidRPr="000F1490">
        <w:t xml:space="preserve">). </w:t>
      </w:r>
    </w:p>
    <w:p w:rsidR="00D44012" w:rsidRPr="000F1490" w:rsidRDefault="00DA77C5" w:rsidP="00D44012">
      <w:r>
        <w:t xml:space="preserve">Se puede encontrar más información </w:t>
      </w:r>
      <w:r w:rsidR="00A95B5E">
        <w:t>sobre KCAB en</w:t>
      </w:r>
      <w:r w:rsidR="004D1EF3">
        <w:t xml:space="preserve"> </w:t>
      </w:r>
      <w:hyperlink r:id="rId10" w:history="1">
        <w:r w:rsidR="00D44012" w:rsidRPr="002B3C8F">
          <w:rPr>
            <w:rStyle w:val="Hyperlink"/>
            <w:i/>
          </w:rPr>
          <w:t>http://www.kcab.or.kr/jsp/kcab_eng/index.jsp</w:t>
        </w:r>
      </w:hyperlink>
      <w:r w:rsidR="00D44012" w:rsidRPr="002B3C8F">
        <w:rPr>
          <w:rStyle w:val="Hyperlink"/>
          <w:i/>
        </w:rPr>
        <w:t>.</w:t>
      </w:r>
    </w:p>
    <w:p w:rsidR="00D44012" w:rsidRPr="000F1490" w:rsidRDefault="00D44012" w:rsidP="00D44012"/>
    <w:p w:rsidR="00D44012" w:rsidRPr="000F1490" w:rsidRDefault="00750851" w:rsidP="00512EA7">
      <w:pPr>
        <w:pStyle w:val="Heading2"/>
        <w:keepNext w:val="0"/>
      </w:pPr>
      <w:r>
        <w:t>ConciliaCiÓ</w:t>
      </w:r>
      <w:r w:rsidR="00D44012" w:rsidRPr="000F1490">
        <w:t>n</w:t>
      </w:r>
    </w:p>
    <w:p w:rsidR="00D44012" w:rsidRDefault="00D44012" w:rsidP="00D44012"/>
    <w:p w:rsidR="00D44012" w:rsidRPr="000F1490" w:rsidRDefault="00D44012" w:rsidP="00D44012"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9971F4">
        <w:t xml:space="preserve">La conciliación </w:t>
      </w:r>
      <w:r w:rsidR="002E6EA1">
        <w:t xml:space="preserve">tiene lugar </w:t>
      </w:r>
      <w:r w:rsidR="00D344E0">
        <w:t>cuando las partes solucionan sus diferencias y celebran un acuerdo para concluir la controversia</w:t>
      </w:r>
      <w:r w:rsidRPr="000F1490">
        <w:t xml:space="preserve">. </w:t>
      </w:r>
      <w:r>
        <w:t xml:space="preserve"> </w:t>
      </w:r>
      <w:r w:rsidR="0061612D">
        <w:t>Existen tres modalidades de conciliación</w:t>
      </w:r>
      <w:r w:rsidRPr="000F1490">
        <w:t>:</w:t>
      </w:r>
      <w:r>
        <w:t xml:space="preserve"> </w:t>
      </w:r>
      <w:r w:rsidR="000743FF">
        <w:t xml:space="preserve"> i) las partes </w:t>
      </w:r>
      <w:r w:rsidR="00606133">
        <w:t>en</w:t>
      </w:r>
      <w:r w:rsidR="002E6EA1">
        <w:t xml:space="preserve"> la diferencia p</w:t>
      </w:r>
      <w:r w:rsidR="000743FF">
        <w:t xml:space="preserve">ueden </w:t>
      </w:r>
      <w:r w:rsidR="002E6EA1">
        <w:t xml:space="preserve">celebrar </w:t>
      </w:r>
      <w:r w:rsidR="000743FF">
        <w:t xml:space="preserve">la conciliación conforme a la </w:t>
      </w:r>
      <w:r w:rsidR="002E6EA1">
        <w:t>r</w:t>
      </w:r>
      <w:r w:rsidR="000743FF">
        <w:t>egla</w:t>
      </w:r>
      <w:r>
        <w:t xml:space="preserve"> </w:t>
      </w:r>
      <w:r w:rsidR="000743FF">
        <w:t>731 del Código de Procedimiento</w:t>
      </w:r>
      <w:r w:rsidRPr="000F1490">
        <w:t xml:space="preserve"> Civil</w:t>
      </w:r>
      <w:r w:rsidR="000743FF">
        <w:t xml:space="preserve">, ii) una de las partes puede solicitar la conciliación </w:t>
      </w:r>
      <w:r w:rsidR="002C78F6">
        <w:t xml:space="preserve">ante </w:t>
      </w:r>
      <w:r w:rsidR="001C29C7">
        <w:t xml:space="preserve">un juzgado civil antes de </w:t>
      </w:r>
      <w:r w:rsidR="002E6EA1">
        <w:t xml:space="preserve">entablar </w:t>
      </w:r>
      <w:r w:rsidR="001C29C7">
        <w:t>una demanda judicial de conformidad con la</w:t>
      </w:r>
      <w:r w:rsidR="002C78F6">
        <w:t xml:space="preserve"> r</w:t>
      </w:r>
      <w:r w:rsidR="001C29C7">
        <w:t>egla</w:t>
      </w:r>
      <w:r>
        <w:t xml:space="preserve"> </w:t>
      </w:r>
      <w:r w:rsidR="001C29C7">
        <w:t>385 del Código de Procedimiento Civil</w:t>
      </w:r>
      <w:r w:rsidR="009E27F1">
        <w:t xml:space="preserve">, iii) aunque se </w:t>
      </w:r>
      <w:r w:rsidR="002E6EA1">
        <w:t xml:space="preserve">entable una acción </w:t>
      </w:r>
      <w:r w:rsidR="009E27F1">
        <w:t xml:space="preserve">judicial, el juzgado puede ordenar </w:t>
      </w:r>
      <w:r w:rsidR="002E6EA1">
        <w:t xml:space="preserve">la celebración de </w:t>
      </w:r>
      <w:r w:rsidR="009E27F1">
        <w:t xml:space="preserve">una conciliación con arreglo a la </w:t>
      </w:r>
      <w:r w:rsidR="002C78F6">
        <w:t>r</w:t>
      </w:r>
      <w:r w:rsidR="009E27F1">
        <w:t>egla 225 del Código de Procedimiento Civil</w:t>
      </w:r>
      <w:r w:rsidRPr="000F1490">
        <w:t>.</w:t>
      </w:r>
    </w:p>
    <w:p w:rsidR="00D44012" w:rsidRPr="000F1490" w:rsidRDefault="00D44012" w:rsidP="00D44012"/>
    <w:p w:rsidR="00D44012" w:rsidRPr="000F1490" w:rsidRDefault="002E6EA1" w:rsidP="00512EA7">
      <w:pPr>
        <w:pStyle w:val="Heading1"/>
        <w:keepNext w:val="0"/>
        <w:numPr>
          <w:ilvl w:val="0"/>
          <w:numId w:val="7"/>
        </w:numPr>
        <w:tabs>
          <w:tab w:val="left" w:pos="567"/>
        </w:tabs>
        <w:ind w:left="567" w:hanging="567"/>
      </w:pPr>
      <w:r>
        <w:t xml:space="preserve">PANORAMA GENERAL </w:t>
      </w:r>
      <w:r w:rsidR="000A21AF">
        <w:rPr>
          <w:rFonts w:hint="eastAsia"/>
        </w:rPr>
        <w:t>DEL CO</w:t>
      </w:r>
      <w:r>
        <w:t xml:space="preserve">MITÉ </w:t>
      </w:r>
      <w:r w:rsidR="000A21AF">
        <w:rPr>
          <w:rFonts w:hint="eastAsia"/>
        </w:rPr>
        <w:t>DE MEDIACI</w:t>
      </w:r>
      <w:r w:rsidR="000A21AF">
        <w:t xml:space="preserve">ÓN </w:t>
      </w:r>
      <w:r w:rsidR="00DC2076">
        <w:t xml:space="preserve">PARA LAS CONTROVERSIAS </w:t>
      </w:r>
      <w:r w:rsidR="002C78F6">
        <w:t xml:space="preserve">en materia </w:t>
      </w:r>
      <w:r w:rsidR="00DC2076">
        <w:t>DE PROPIEDAD INDUSTRIAL</w:t>
      </w:r>
    </w:p>
    <w:p w:rsidR="00D44012" w:rsidRPr="000F1490" w:rsidRDefault="00D44012" w:rsidP="00D44012"/>
    <w:p w:rsidR="00D44012" w:rsidRPr="000F1490" w:rsidRDefault="00D44012" w:rsidP="00D44012"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AUTONUM </w:instrText>
      </w:r>
      <w:r>
        <w:instrText xml:space="preserve"> </w:instrText>
      </w:r>
      <w:r>
        <w:fldChar w:fldCharType="end"/>
      </w:r>
      <w:r>
        <w:tab/>
      </w:r>
      <w:r w:rsidR="002E6EA1">
        <w:t xml:space="preserve">La evolución </w:t>
      </w:r>
      <w:r w:rsidR="003462DA">
        <w:rPr>
          <w:rFonts w:hint="eastAsia"/>
        </w:rPr>
        <w:t xml:space="preserve">actual de la industria </w:t>
      </w:r>
      <w:r w:rsidR="000C21A1">
        <w:t xml:space="preserve">exige </w:t>
      </w:r>
      <w:r w:rsidR="00B66E9E">
        <w:t>sistemas de solución de controversias</w:t>
      </w:r>
      <w:r w:rsidR="000C21A1">
        <w:t xml:space="preserve"> diferentes</w:t>
      </w:r>
      <w:r w:rsidR="00B66E9E">
        <w:rPr>
          <w:rFonts w:hint="eastAsia"/>
        </w:rPr>
        <w:t>.  Los</w:t>
      </w:r>
      <w:r w:rsidR="002E6EA1">
        <w:t xml:space="preserve"> tribunales </w:t>
      </w:r>
      <w:r w:rsidR="00B66E9E">
        <w:rPr>
          <w:rFonts w:hint="eastAsia"/>
        </w:rPr>
        <w:t>tradicionales pueden no ser apropiados para entender en cuestiones cada vez m</w:t>
      </w:r>
      <w:r w:rsidR="00B66E9E">
        <w:t>ás complejas</w:t>
      </w:r>
      <w:r w:rsidRPr="000F1490">
        <w:rPr>
          <w:rFonts w:hint="eastAsia"/>
        </w:rPr>
        <w:t xml:space="preserve">. </w:t>
      </w:r>
      <w:r>
        <w:t xml:space="preserve"> </w:t>
      </w:r>
      <w:r w:rsidR="00B66E9E">
        <w:rPr>
          <w:rFonts w:hint="eastAsia"/>
        </w:rPr>
        <w:t>Por esta raz</w:t>
      </w:r>
      <w:r w:rsidR="00B66E9E">
        <w:t xml:space="preserve">ón, </w:t>
      </w:r>
      <w:r w:rsidR="002E6EA1">
        <w:t xml:space="preserve">en 1995 </w:t>
      </w:r>
      <w:r w:rsidR="00B66E9E">
        <w:t>se creó el Co</w:t>
      </w:r>
      <w:r w:rsidR="002E6EA1">
        <w:t>mité de m</w:t>
      </w:r>
      <w:r w:rsidR="00B66E9E">
        <w:t xml:space="preserve">ediación para las controversias </w:t>
      </w:r>
      <w:r w:rsidR="002C78F6">
        <w:t xml:space="preserve">en materia de </w:t>
      </w:r>
      <w:r w:rsidR="00B66E9E">
        <w:t xml:space="preserve">propiedad industrial </w:t>
      </w:r>
      <w:r w:rsidRPr="000F1490">
        <w:rPr>
          <w:rFonts w:hint="eastAsia"/>
        </w:rPr>
        <w:t xml:space="preserve">(IPRDMC) </w:t>
      </w:r>
      <w:r w:rsidR="00B66E9E">
        <w:t xml:space="preserve">de la </w:t>
      </w:r>
      <w:r w:rsidR="002E6EA1">
        <w:t>KIPO</w:t>
      </w:r>
      <w:r w:rsidRPr="000F1490">
        <w:rPr>
          <w:rFonts w:hint="eastAsia"/>
        </w:rPr>
        <w:t xml:space="preserve">. </w:t>
      </w:r>
      <w:r>
        <w:t xml:space="preserve"> </w:t>
      </w:r>
      <w:r w:rsidR="002A0F39">
        <w:rPr>
          <w:rFonts w:hint="eastAsia"/>
        </w:rPr>
        <w:t>El Subdirector de</w:t>
      </w:r>
      <w:r w:rsidR="002A0F39">
        <w:t xml:space="preserve"> </w:t>
      </w:r>
      <w:r w:rsidR="002E6EA1">
        <w:t xml:space="preserve">la </w:t>
      </w:r>
      <w:r w:rsidR="002A0F39">
        <w:rPr>
          <w:rFonts w:hint="eastAsia"/>
        </w:rPr>
        <w:t>KIPO e</w:t>
      </w:r>
      <w:r w:rsidRPr="000F1490">
        <w:rPr>
          <w:rFonts w:hint="eastAsia"/>
        </w:rPr>
        <w:t>s</w:t>
      </w:r>
      <w:r w:rsidR="002A0F39">
        <w:t xml:space="preserve"> Presidente de</w:t>
      </w:r>
      <w:r w:rsidR="002E6EA1">
        <w:t>l</w:t>
      </w:r>
      <w:r w:rsidRPr="000F1490">
        <w:rPr>
          <w:rFonts w:hint="eastAsia"/>
        </w:rPr>
        <w:t xml:space="preserve"> IPRDMC. </w:t>
      </w:r>
      <w:r>
        <w:t xml:space="preserve"> </w:t>
      </w:r>
      <w:r w:rsidR="002A0F39">
        <w:rPr>
          <w:rFonts w:hint="eastAsia"/>
        </w:rPr>
        <w:t>El Co</w:t>
      </w:r>
      <w:r w:rsidR="002E6EA1">
        <w:t xml:space="preserve">mité </w:t>
      </w:r>
      <w:r w:rsidR="002A0F39">
        <w:rPr>
          <w:rFonts w:hint="eastAsia"/>
        </w:rPr>
        <w:t xml:space="preserve">se compone de </w:t>
      </w:r>
      <w:r w:rsidR="002E6EA1">
        <w:t>20</w:t>
      </w:r>
      <w:r w:rsidR="002A0F39">
        <w:rPr>
          <w:rFonts w:hint="eastAsia"/>
        </w:rPr>
        <w:t xml:space="preserve"> miembros, inclu</w:t>
      </w:r>
      <w:r w:rsidR="002C78F6">
        <w:t>ido</w:t>
      </w:r>
      <w:r w:rsidR="002E5613">
        <w:t xml:space="preserve"> e</w:t>
      </w:r>
      <w:r w:rsidR="002A0F39">
        <w:rPr>
          <w:rFonts w:hint="eastAsia"/>
        </w:rPr>
        <w:t>l Presidente</w:t>
      </w:r>
      <w:r w:rsidRPr="000F1490">
        <w:rPr>
          <w:rFonts w:hint="eastAsia"/>
        </w:rPr>
        <w:t xml:space="preserve">. </w:t>
      </w:r>
      <w:r>
        <w:t xml:space="preserve"> </w:t>
      </w:r>
      <w:r w:rsidR="00BF068D">
        <w:rPr>
          <w:rFonts w:hint="eastAsia"/>
        </w:rPr>
        <w:t>Los miembros del Co</w:t>
      </w:r>
      <w:r w:rsidR="002E5613">
        <w:t xml:space="preserve">mité </w:t>
      </w:r>
      <w:r w:rsidR="00B10FB7">
        <w:t>son abogados de patente</w:t>
      </w:r>
      <w:r w:rsidR="00606133">
        <w:t>s</w:t>
      </w:r>
      <w:r w:rsidR="00B10FB7">
        <w:t xml:space="preserve"> especializados en</w:t>
      </w:r>
      <w:r w:rsidR="002E5613">
        <w:t xml:space="preserve"> esferas </w:t>
      </w:r>
      <w:r w:rsidR="00B10FB7">
        <w:t>específicas</w:t>
      </w:r>
      <w:r>
        <w:t xml:space="preserve"> </w:t>
      </w:r>
      <w:r w:rsidRPr="000F1490">
        <w:rPr>
          <w:rFonts w:hint="eastAsia"/>
        </w:rPr>
        <w:t>(</w:t>
      </w:r>
      <w:r w:rsidR="00B10FB7" w:rsidRPr="00677370">
        <w:t>por ejemplo,</w:t>
      </w:r>
      <w:r w:rsidR="00B10FB7" w:rsidRPr="00677370">
        <w:rPr>
          <w:rFonts w:hint="eastAsia"/>
        </w:rPr>
        <w:t xml:space="preserve"> </w:t>
      </w:r>
      <w:r w:rsidR="00B10FB7">
        <w:rPr>
          <w:rFonts w:hint="eastAsia"/>
        </w:rPr>
        <w:t>marcas</w:t>
      </w:r>
      <w:r w:rsidR="00F63446">
        <w:t xml:space="preserve">, </w:t>
      </w:r>
      <w:r w:rsidR="00F63446" w:rsidRPr="00384065">
        <w:rPr>
          <w:lang w:val="es-ES_tradnl"/>
        </w:rPr>
        <w:t>diseño</w:t>
      </w:r>
      <w:r w:rsidR="00606133">
        <w:rPr>
          <w:lang w:val="es-ES_tradnl"/>
        </w:rPr>
        <w:t>s</w:t>
      </w:r>
      <w:r w:rsidR="00F63446">
        <w:rPr>
          <w:lang w:val="es-ES_tradnl"/>
        </w:rPr>
        <w:t>, mecánica, química, biología, electrónica</w:t>
      </w:r>
      <w:r w:rsidRPr="000F1490">
        <w:rPr>
          <w:rFonts w:hint="eastAsia"/>
        </w:rPr>
        <w:t xml:space="preserve">, </w:t>
      </w:r>
      <w:r w:rsidRPr="00677370">
        <w:rPr>
          <w:rFonts w:hint="eastAsia"/>
        </w:rPr>
        <w:t>etc</w:t>
      </w:r>
      <w:r w:rsidRPr="00677370">
        <w:t>.</w:t>
      </w:r>
      <w:r w:rsidRPr="000F1490">
        <w:rPr>
          <w:rFonts w:hint="eastAsia"/>
        </w:rPr>
        <w:t xml:space="preserve">), </w:t>
      </w:r>
      <w:r w:rsidR="00563CBB">
        <w:t xml:space="preserve">abogados y profesores </w:t>
      </w:r>
      <w:r w:rsidR="00677370">
        <w:t xml:space="preserve">en materia </w:t>
      </w:r>
      <w:r w:rsidR="00563CBB">
        <w:t>de propiedad intelectual</w:t>
      </w:r>
      <w:r w:rsidR="00563CBB">
        <w:rPr>
          <w:rFonts w:hint="eastAsia"/>
        </w:rPr>
        <w:t xml:space="preserve">, </w:t>
      </w:r>
      <w:r w:rsidR="00563CBB">
        <w:t>y</w:t>
      </w:r>
      <w:r w:rsidRPr="000F1490">
        <w:rPr>
          <w:rFonts w:hint="eastAsia"/>
        </w:rPr>
        <w:t xml:space="preserve"> </w:t>
      </w:r>
      <w:r w:rsidR="00046437">
        <w:t xml:space="preserve">examinadores de la </w:t>
      </w:r>
      <w:r w:rsidRPr="000F1490">
        <w:rPr>
          <w:rFonts w:hint="eastAsia"/>
        </w:rPr>
        <w:t xml:space="preserve">KIPO. </w:t>
      </w:r>
      <w:r>
        <w:t xml:space="preserve"> </w:t>
      </w:r>
      <w:r w:rsidR="003C21DA">
        <w:rPr>
          <w:rFonts w:hint="eastAsia"/>
        </w:rPr>
        <w:t xml:space="preserve">Los miembros permanecen </w:t>
      </w:r>
      <w:r w:rsidR="002E5613">
        <w:t xml:space="preserve">tres años </w:t>
      </w:r>
      <w:r w:rsidR="003C21DA">
        <w:rPr>
          <w:rFonts w:hint="eastAsia"/>
        </w:rPr>
        <w:t>en sus cargos</w:t>
      </w:r>
      <w:r w:rsidRPr="000F1490">
        <w:rPr>
          <w:rFonts w:hint="eastAsia"/>
        </w:rPr>
        <w:t>.</w:t>
      </w:r>
    </w:p>
    <w:p w:rsidR="00D44012" w:rsidRPr="000F1490" w:rsidRDefault="00D44012" w:rsidP="00D44012"/>
    <w:p w:rsidR="00D44012" w:rsidRPr="000F1490" w:rsidRDefault="00D44012" w:rsidP="000569BC"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AUTONUM </w:instrText>
      </w:r>
      <w:r>
        <w:instrText xml:space="preserve"> </w:instrText>
      </w:r>
      <w:r>
        <w:fldChar w:fldCharType="end"/>
      </w:r>
      <w:r w:rsidR="000569BC">
        <w:tab/>
      </w:r>
      <w:r w:rsidR="003C21DA">
        <w:t xml:space="preserve">El </w:t>
      </w:r>
      <w:r w:rsidRPr="000F1490">
        <w:rPr>
          <w:rFonts w:hint="eastAsia"/>
        </w:rPr>
        <w:t xml:space="preserve">IPRDMC </w:t>
      </w:r>
      <w:r w:rsidR="003C21DA">
        <w:t>entiende en controversias relativas a derechos de propiedad industrial</w:t>
      </w:r>
      <w:r>
        <w:t xml:space="preserve"> </w:t>
      </w:r>
      <w:r w:rsidR="003C21DA">
        <w:rPr>
          <w:rFonts w:hint="eastAsia"/>
        </w:rPr>
        <w:t>(como patentes, modelos de utilidad, diseño</w:t>
      </w:r>
      <w:r w:rsidR="00F922D2">
        <w:t>s</w:t>
      </w:r>
      <w:r w:rsidR="003C21DA">
        <w:rPr>
          <w:rFonts w:hint="eastAsia"/>
        </w:rPr>
        <w:t xml:space="preserve"> industrial</w:t>
      </w:r>
      <w:r w:rsidR="00F922D2">
        <w:t>es</w:t>
      </w:r>
      <w:r w:rsidR="003C21DA">
        <w:t xml:space="preserve"> y marcas</w:t>
      </w:r>
      <w:r w:rsidR="003C21DA">
        <w:rPr>
          <w:rFonts w:hint="eastAsia"/>
        </w:rPr>
        <w:t>) e invenciones de empleados</w:t>
      </w:r>
      <w:r w:rsidRPr="000F1490">
        <w:rPr>
          <w:rFonts w:hint="eastAsia"/>
        </w:rPr>
        <w:t xml:space="preserve">. </w:t>
      </w:r>
      <w:r>
        <w:t xml:space="preserve"> </w:t>
      </w:r>
      <w:r w:rsidR="002E5613">
        <w:t xml:space="preserve">Dado que </w:t>
      </w:r>
      <w:r w:rsidR="00833D2C">
        <w:t>el fallo declaratorio de invalidez</w:t>
      </w:r>
      <w:r w:rsidR="00E82A4F">
        <w:t>, no infracción</w:t>
      </w:r>
      <w:r w:rsidR="006B1843">
        <w:t xml:space="preserve"> y no aplicabilidad </w:t>
      </w:r>
      <w:r w:rsidR="00F922D2">
        <w:t>es</w:t>
      </w:r>
      <w:r w:rsidR="007B2C28">
        <w:t xml:space="preserve"> </w:t>
      </w:r>
      <w:r w:rsidR="00F922D2">
        <w:t xml:space="preserve">competencia </w:t>
      </w:r>
      <w:r w:rsidR="007B2C28">
        <w:t xml:space="preserve">del Tribunal </w:t>
      </w:r>
      <w:r w:rsidR="00996CFE">
        <w:t>de Patentes</w:t>
      </w:r>
      <w:r w:rsidR="004961A5">
        <w:rPr>
          <w:rFonts w:hint="eastAsia"/>
        </w:rPr>
        <w:t>, estas demandas no se someten a mediaci</w:t>
      </w:r>
      <w:r w:rsidR="004961A5">
        <w:t>ón</w:t>
      </w:r>
      <w:r w:rsidRPr="000F1490">
        <w:rPr>
          <w:rFonts w:hint="eastAsia"/>
        </w:rPr>
        <w:t xml:space="preserve">. </w:t>
      </w:r>
      <w:r w:rsidR="004961A5">
        <w:t xml:space="preserve"> Las controversias relativas al derecho de autor, otro aspecto de la propiedad intelectual</w:t>
      </w:r>
      <w:r w:rsidR="002E5613">
        <w:t xml:space="preserve">, </w:t>
      </w:r>
      <w:r w:rsidR="00EB575D">
        <w:t>se someten a</w:t>
      </w:r>
      <w:r w:rsidR="002E5613">
        <w:t xml:space="preserve"> la Comisión </w:t>
      </w:r>
      <w:r w:rsidR="00F922D2">
        <w:t>Sur</w:t>
      </w:r>
      <w:r w:rsidR="002E5613">
        <w:t>corean</w:t>
      </w:r>
      <w:r w:rsidR="00677370">
        <w:t>a</w:t>
      </w:r>
      <w:r w:rsidR="002E5613">
        <w:t xml:space="preserve"> de derecho de a</w:t>
      </w:r>
      <w:r w:rsidR="00EB575D">
        <w:t>utor</w:t>
      </w:r>
      <w:r w:rsidR="00677370">
        <w:t>, de la órbita</w:t>
      </w:r>
      <w:r w:rsidR="00EB575D">
        <w:t xml:space="preserve"> del Ministerio de Cultura, Deporte y Turismo</w:t>
      </w:r>
      <w:r w:rsidRPr="000F1490">
        <w:rPr>
          <w:rFonts w:hint="eastAsia"/>
        </w:rPr>
        <w:t>.</w:t>
      </w:r>
    </w:p>
    <w:p w:rsidR="00D44012" w:rsidRPr="000F1490" w:rsidRDefault="00D44012" w:rsidP="00D44012"/>
    <w:p w:rsidR="00D44012" w:rsidRPr="000F1490" w:rsidRDefault="00D44012" w:rsidP="00D44012"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AUTONUM </w:instrText>
      </w:r>
      <w:r>
        <w:instrText xml:space="preserve"> </w:instrText>
      </w:r>
      <w:r>
        <w:fldChar w:fldCharType="end"/>
      </w:r>
      <w:r w:rsidR="00565847">
        <w:tab/>
        <w:t>El procedimiento de mediación del</w:t>
      </w:r>
      <w:r>
        <w:t xml:space="preserve"> IPRMDC </w:t>
      </w:r>
      <w:r w:rsidR="00565847">
        <w:t>es el siguiente</w:t>
      </w:r>
      <w:r w:rsidRPr="000F1490">
        <w:rPr>
          <w:rFonts w:hint="eastAsia"/>
        </w:rPr>
        <w:t>:</w:t>
      </w:r>
    </w:p>
    <w:p w:rsidR="00D44012" w:rsidRPr="000F1490" w:rsidRDefault="00D44012" w:rsidP="00D44012"/>
    <w:p w:rsidR="00D44012" w:rsidRPr="00384065" w:rsidRDefault="003A1C65" w:rsidP="00D44012">
      <w:pPr>
        <w:pStyle w:val="ListParagraph"/>
        <w:rPr>
          <w:lang w:val="es-ES_tradnl"/>
        </w:rPr>
      </w:pPr>
      <w:r>
        <w:rPr>
          <w:lang w:val="es-ES_tradnl"/>
        </w:rPr>
        <w:t>Etapa</w:t>
      </w:r>
      <w:r w:rsidR="00326AA2" w:rsidRPr="00384065">
        <w:rPr>
          <w:rFonts w:hint="eastAsia"/>
          <w:lang w:val="es-ES_tradnl"/>
        </w:rPr>
        <w:t xml:space="preserve"> 1) una </w:t>
      </w:r>
      <w:r w:rsidR="00326AA2" w:rsidRPr="00384065">
        <w:rPr>
          <w:lang w:val="es-ES_tradnl"/>
        </w:rPr>
        <w:t xml:space="preserve">de las </w:t>
      </w:r>
      <w:r w:rsidR="00326AA2" w:rsidRPr="00384065">
        <w:rPr>
          <w:rFonts w:hint="eastAsia"/>
          <w:lang w:val="es-ES_tradnl"/>
        </w:rPr>
        <w:t>parte</w:t>
      </w:r>
      <w:r w:rsidR="00326AA2" w:rsidRPr="00384065">
        <w:rPr>
          <w:lang w:val="es-ES_tradnl"/>
        </w:rPr>
        <w:t xml:space="preserve">s </w:t>
      </w:r>
      <w:r w:rsidR="002E5613">
        <w:rPr>
          <w:lang w:val="es-ES_tradnl"/>
        </w:rPr>
        <w:t>e</w:t>
      </w:r>
      <w:r>
        <w:rPr>
          <w:lang w:val="es-ES_tradnl"/>
        </w:rPr>
        <w:t>n</w:t>
      </w:r>
      <w:r w:rsidR="002E5613">
        <w:rPr>
          <w:lang w:val="es-ES_tradnl"/>
        </w:rPr>
        <w:t xml:space="preserve"> </w:t>
      </w:r>
      <w:r w:rsidR="00C57E44" w:rsidRPr="00384065">
        <w:rPr>
          <w:lang w:val="es-ES_tradnl"/>
        </w:rPr>
        <w:t>una controversia solicita la mediación</w:t>
      </w:r>
      <w:r w:rsidR="00D44012" w:rsidRPr="00384065">
        <w:rPr>
          <w:rFonts w:hint="eastAsia"/>
          <w:lang w:val="es-ES_tradnl"/>
        </w:rPr>
        <w:t>,</w:t>
      </w:r>
    </w:p>
    <w:p w:rsidR="00D44012" w:rsidRPr="00384065" w:rsidRDefault="003A1C65" w:rsidP="00D44012">
      <w:pPr>
        <w:pStyle w:val="ListParagraph"/>
        <w:rPr>
          <w:lang w:val="es-ES_tradnl"/>
        </w:rPr>
      </w:pPr>
      <w:r>
        <w:rPr>
          <w:lang w:val="es-ES_tradnl"/>
        </w:rPr>
        <w:t xml:space="preserve">Etapa </w:t>
      </w:r>
      <w:r w:rsidR="00D44012" w:rsidRPr="00384065">
        <w:rPr>
          <w:rFonts w:hint="eastAsia"/>
          <w:lang w:val="es-ES_tradnl"/>
        </w:rPr>
        <w:t xml:space="preserve">2) </w:t>
      </w:r>
      <w:r w:rsidR="000268FF" w:rsidRPr="00384065">
        <w:rPr>
          <w:lang w:val="es-ES_tradnl"/>
        </w:rPr>
        <w:t xml:space="preserve">el </w:t>
      </w:r>
      <w:r w:rsidR="00D44012" w:rsidRPr="00384065">
        <w:rPr>
          <w:rFonts w:hint="eastAsia"/>
          <w:lang w:val="es-ES_tradnl"/>
        </w:rPr>
        <w:t xml:space="preserve">IPRDMC </w:t>
      </w:r>
      <w:r w:rsidR="000268FF" w:rsidRPr="00384065">
        <w:rPr>
          <w:lang w:val="es-ES_tradnl"/>
        </w:rPr>
        <w:t>designa tres mediadores</w:t>
      </w:r>
      <w:r w:rsidR="00D44012" w:rsidRPr="00384065">
        <w:rPr>
          <w:rFonts w:hint="eastAsia"/>
          <w:lang w:val="es-ES_tradnl"/>
        </w:rPr>
        <w:t>,</w:t>
      </w:r>
    </w:p>
    <w:p w:rsidR="00D44012" w:rsidRPr="00384065" w:rsidRDefault="003A1C65" w:rsidP="00512EA7">
      <w:pPr>
        <w:pStyle w:val="ListParagraph"/>
        <w:ind w:left="1560" w:hanging="840"/>
        <w:rPr>
          <w:lang w:val="es-ES_tradnl"/>
        </w:rPr>
      </w:pPr>
      <w:r>
        <w:rPr>
          <w:lang w:val="es-ES_tradnl"/>
        </w:rPr>
        <w:t xml:space="preserve">Etapa </w:t>
      </w:r>
      <w:r w:rsidR="00D44012" w:rsidRPr="00384065">
        <w:rPr>
          <w:rFonts w:hint="eastAsia"/>
          <w:lang w:val="es-ES_tradnl"/>
        </w:rPr>
        <w:t xml:space="preserve">3) </w:t>
      </w:r>
      <w:r w:rsidR="00B71C77" w:rsidRPr="00384065">
        <w:rPr>
          <w:lang w:val="es-ES_tradnl"/>
        </w:rPr>
        <w:t xml:space="preserve">el </w:t>
      </w:r>
      <w:r w:rsidR="00D44012" w:rsidRPr="00384065">
        <w:rPr>
          <w:rFonts w:hint="eastAsia"/>
          <w:lang w:val="es-ES_tradnl"/>
        </w:rPr>
        <w:t xml:space="preserve">IPRDMC </w:t>
      </w:r>
      <w:r w:rsidR="00D44012" w:rsidRPr="00384065">
        <w:rPr>
          <w:lang w:val="es-ES_tradnl"/>
        </w:rPr>
        <w:t>notifi</w:t>
      </w:r>
      <w:r w:rsidR="00B71C77" w:rsidRPr="00384065">
        <w:rPr>
          <w:lang w:val="es-ES_tradnl"/>
        </w:rPr>
        <w:t>ca la solicitud de mediación a la otra parte</w:t>
      </w:r>
      <w:r w:rsidR="00D44012" w:rsidRPr="00384065">
        <w:rPr>
          <w:lang w:val="es-ES_tradnl"/>
        </w:rPr>
        <w:t>,</w:t>
      </w:r>
      <w:r w:rsidR="00D44012" w:rsidRPr="00384065">
        <w:rPr>
          <w:rFonts w:hint="eastAsia"/>
          <w:lang w:val="es-ES_tradnl"/>
        </w:rPr>
        <w:t xml:space="preserve"> </w:t>
      </w:r>
      <w:r w:rsidR="00856C45" w:rsidRPr="00384065">
        <w:rPr>
          <w:rFonts w:hint="eastAsia"/>
          <w:lang w:val="es-ES_tradnl"/>
        </w:rPr>
        <w:t>(el demandado puede responder o no</w:t>
      </w:r>
      <w:r w:rsidR="00D44012" w:rsidRPr="00384065">
        <w:rPr>
          <w:rFonts w:hint="eastAsia"/>
          <w:lang w:val="es-ES_tradnl"/>
        </w:rPr>
        <w:t>)</w:t>
      </w:r>
      <w:r w:rsidR="00D44012" w:rsidRPr="00384065">
        <w:rPr>
          <w:lang w:val="es-ES_tradnl"/>
        </w:rPr>
        <w:t>,</w:t>
      </w:r>
    </w:p>
    <w:p w:rsidR="00D44012" w:rsidRPr="00512EA7" w:rsidRDefault="003A1C65" w:rsidP="00512EA7">
      <w:pPr>
        <w:pStyle w:val="ListParagraph"/>
        <w:ind w:left="1560" w:hanging="840"/>
        <w:rPr>
          <w:lang w:val="es-ES_tradnl"/>
        </w:rPr>
      </w:pPr>
      <w:r>
        <w:rPr>
          <w:lang w:val="es-ES_tradnl"/>
        </w:rPr>
        <w:t xml:space="preserve">Etapa </w:t>
      </w:r>
      <w:r w:rsidR="00E955F5" w:rsidRPr="00384065">
        <w:rPr>
          <w:rFonts w:hint="eastAsia"/>
          <w:lang w:val="es-ES_tradnl"/>
        </w:rPr>
        <w:t>4) si el demandado acepta participar</w:t>
      </w:r>
      <w:r w:rsidR="00D44012" w:rsidRPr="00384065">
        <w:rPr>
          <w:rFonts w:hint="eastAsia"/>
          <w:lang w:val="es-ES_tradnl"/>
        </w:rPr>
        <w:t xml:space="preserve">, </w:t>
      </w:r>
      <w:r w:rsidR="0092323C" w:rsidRPr="00384065">
        <w:rPr>
          <w:lang w:val="es-ES_tradnl"/>
        </w:rPr>
        <w:t xml:space="preserve">el </w:t>
      </w:r>
      <w:r w:rsidR="00D44012" w:rsidRPr="00384065">
        <w:rPr>
          <w:rFonts w:hint="eastAsia"/>
          <w:lang w:val="es-ES_tradnl"/>
        </w:rPr>
        <w:t>IPRDMC investiga</w:t>
      </w:r>
      <w:r w:rsidR="0092323C" w:rsidRPr="00384065">
        <w:rPr>
          <w:lang w:val="es-ES_tradnl"/>
        </w:rPr>
        <w:t xml:space="preserve"> la controversia</w:t>
      </w:r>
      <w:r w:rsidR="00D44012" w:rsidRPr="00384065">
        <w:rPr>
          <w:rFonts w:hint="eastAsia"/>
          <w:lang w:val="es-ES_tradnl"/>
        </w:rPr>
        <w:t xml:space="preserve"> </w:t>
      </w:r>
      <w:r w:rsidR="0092323C" w:rsidRPr="00512EA7">
        <w:rPr>
          <w:rFonts w:hint="eastAsia"/>
          <w:lang w:val="es-ES_tradnl"/>
        </w:rPr>
        <w:t>y</w:t>
      </w:r>
      <w:r w:rsidR="00D44012" w:rsidRPr="00512EA7">
        <w:rPr>
          <w:rFonts w:hint="eastAsia"/>
          <w:lang w:val="es-ES_tradnl"/>
        </w:rPr>
        <w:t xml:space="preserve"> prepar</w:t>
      </w:r>
      <w:r w:rsidR="0092323C" w:rsidRPr="00512EA7">
        <w:rPr>
          <w:lang w:val="es-ES_tradnl"/>
        </w:rPr>
        <w:t>a una</w:t>
      </w:r>
      <w:r w:rsidR="00D44012" w:rsidRPr="00512EA7">
        <w:rPr>
          <w:rFonts w:hint="eastAsia"/>
          <w:lang w:val="es-ES_tradnl"/>
        </w:rPr>
        <w:t xml:space="preserve"> prop</w:t>
      </w:r>
      <w:r w:rsidR="0092323C" w:rsidRPr="00512EA7">
        <w:rPr>
          <w:lang w:val="es-ES_tradnl"/>
        </w:rPr>
        <w:t>uesta</w:t>
      </w:r>
      <w:r w:rsidR="00D44012" w:rsidRPr="00512EA7">
        <w:rPr>
          <w:rFonts w:hint="eastAsia"/>
          <w:lang w:val="es-ES_tradnl"/>
        </w:rPr>
        <w:t>,</w:t>
      </w:r>
    </w:p>
    <w:p w:rsidR="00D44012" w:rsidRPr="00384065" w:rsidRDefault="003A1C65" w:rsidP="00D44012">
      <w:pPr>
        <w:pStyle w:val="ListParagraph"/>
        <w:rPr>
          <w:lang w:val="es-ES_tradnl"/>
        </w:rPr>
      </w:pPr>
      <w:r>
        <w:rPr>
          <w:lang w:val="es-ES_tradnl"/>
        </w:rPr>
        <w:t xml:space="preserve">Etapa </w:t>
      </w:r>
      <w:r w:rsidR="00D44012" w:rsidRPr="00384065">
        <w:rPr>
          <w:rFonts w:hint="eastAsia"/>
          <w:lang w:val="es-ES_tradnl"/>
        </w:rPr>
        <w:t xml:space="preserve">5) </w:t>
      </w:r>
      <w:r w:rsidR="009D4D15" w:rsidRPr="00384065">
        <w:rPr>
          <w:lang w:val="es-ES_tradnl"/>
        </w:rPr>
        <w:t xml:space="preserve">el </w:t>
      </w:r>
      <w:r w:rsidR="00D44012" w:rsidRPr="00384065">
        <w:rPr>
          <w:rFonts w:hint="eastAsia"/>
          <w:lang w:val="es-ES_tradnl"/>
        </w:rPr>
        <w:t xml:space="preserve">IPRDMC </w:t>
      </w:r>
      <w:r w:rsidR="009D4D15" w:rsidRPr="00384065">
        <w:rPr>
          <w:lang w:val="es-ES_tradnl"/>
        </w:rPr>
        <w:t>co</w:t>
      </w:r>
      <w:r w:rsidR="00D44012" w:rsidRPr="00384065">
        <w:rPr>
          <w:lang w:val="es-ES_tradnl"/>
        </w:rPr>
        <w:t>munica</w:t>
      </w:r>
      <w:r w:rsidR="009D4D15" w:rsidRPr="00384065">
        <w:rPr>
          <w:lang w:val="es-ES_tradnl"/>
        </w:rPr>
        <w:t xml:space="preserve"> la propuesta a ambas partes</w:t>
      </w:r>
      <w:r w:rsidR="00D44012" w:rsidRPr="00384065">
        <w:rPr>
          <w:rFonts w:hint="eastAsia"/>
          <w:lang w:val="es-ES_tradnl"/>
        </w:rPr>
        <w:t>,</w:t>
      </w:r>
    </w:p>
    <w:p w:rsidR="003A1C65" w:rsidRDefault="003A1C65" w:rsidP="00512EA7">
      <w:pPr>
        <w:pStyle w:val="ListParagraph"/>
        <w:ind w:left="1560" w:hanging="840"/>
        <w:rPr>
          <w:lang w:val="es-ES_tradnl"/>
        </w:rPr>
      </w:pPr>
      <w:r>
        <w:rPr>
          <w:lang w:val="es-ES_tradnl"/>
        </w:rPr>
        <w:t xml:space="preserve">Etapa </w:t>
      </w:r>
      <w:r w:rsidR="009D4D15" w:rsidRPr="00384065">
        <w:rPr>
          <w:lang w:val="es-ES_tradnl"/>
        </w:rPr>
        <w:t>6) si las partes aceptan la propuesta</w:t>
      </w:r>
      <w:r w:rsidR="00D44012" w:rsidRPr="00384065">
        <w:rPr>
          <w:lang w:val="es-ES_tradnl"/>
        </w:rPr>
        <w:t xml:space="preserve">, </w:t>
      </w:r>
      <w:r w:rsidR="009D4D15" w:rsidRPr="00384065">
        <w:rPr>
          <w:lang w:val="es-ES_tradnl"/>
        </w:rPr>
        <w:t xml:space="preserve">el </w:t>
      </w:r>
      <w:r w:rsidR="00D44012" w:rsidRPr="00384065">
        <w:rPr>
          <w:lang w:val="es-ES_tradnl"/>
        </w:rPr>
        <w:t xml:space="preserve">IPRDMC </w:t>
      </w:r>
      <w:r w:rsidR="009D4D15" w:rsidRPr="00384065">
        <w:rPr>
          <w:lang w:val="es-ES_tradnl"/>
        </w:rPr>
        <w:t>elabora un protocolo de conciliación</w:t>
      </w:r>
      <w:r w:rsidR="00D44012" w:rsidRPr="00384065">
        <w:rPr>
          <w:rFonts w:hint="eastAsia"/>
          <w:lang w:val="es-ES_tradnl"/>
        </w:rPr>
        <w:t>,</w:t>
      </w:r>
      <w:r w:rsidR="00D44012" w:rsidRPr="00384065">
        <w:rPr>
          <w:lang w:val="es-ES_tradnl"/>
        </w:rPr>
        <w:t xml:space="preserve"> </w:t>
      </w:r>
      <w:r w:rsidR="009D4D15" w:rsidRPr="00384065">
        <w:rPr>
          <w:lang w:val="es-ES_tradnl"/>
        </w:rPr>
        <w:t>y</w:t>
      </w:r>
    </w:p>
    <w:p w:rsidR="00D44012" w:rsidRPr="00384065" w:rsidRDefault="003A1C65" w:rsidP="00512EA7">
      <w:pPr>
        <w:pStyle w:val="ListParagraph"/>
        <w:ind w:left="1560" w:hanging="840"/>
        <w:rPr>
          <w:lang w:val="es-ES_tradnl"/>
        </w:rPr>
      </w:pPr>
      <w:r>
        <w:rPr>
          <w:lang w:val="es-ES_tradnl"/>
        </w:rPr>
        <w:t xml:space="preserve">Etapa </w:t>
      </w:r>
      <w:r w:rsidR="009D4D15" w:rsidRPr="00384065">
        <w:rPr>
          <w:rFonts w:hint="eastAsia"/>
          <w:lang w:val="es-ES_tradnl"/>
        </w:rPr>
        <w:t xml:space="preserve">7) si una de las partes </w:t>
      </w:r>
      <w:r w:rsidR="009D4D15" w:rsidRPr="00384065">
        <w:rPr>
          <w:lang w:val="es-ES_tradnl"/>
        </w:rPr>
        <w:t>no acepta la propuesta</w:t>
      </w:r>
      <w:r w:rsidR="009D4D15" w:rsidRPr="00384065">
        <w:rPr>
          <w:rFonts w:hint="eastAsia"/>
          <w:lang w:val="es-ES_tradnl"/>
        </w:rPr>
        <w:t xml:space="preserve"> o</w:t>
      </w:r>
      <w:r w:rsidR="00D44012" w:rsidRPr="00384065">
        <w:rPr>
          <w:rFonts w:hint="eastAsia"/>
          <w:lang w:val="es-ES_tradnl"/>
        </w:rPr>
        <w:t xml:space="preserve"> decide</w:t>
      </w:r>
      <w:r w:rsidR="009D4D15" w:rsidRPr="00384065">
        <w:rPr>
          <w:lang w:val="es-ES_tradnl"/>
        </w:rPr>
        <w:t xml:space="preserve"> no participar en la mediación (Paso 3), el procedimiento se da por terminado.</w:t>
      </w:r>
    </w:p>
    <w:p w:rsidR="00D44012" w:rsidRPr="00384065" w:rsidRDefault="00D44012" w:rsidP="00D44012">
      <w:pPr>
        <w:rPr>
          <w:lang w:val="es-ES_tradnl"/>
        </w:rPr>
      </w:pPr>
    </w:p>
    <w:p w:rsidR="00D44012" w:rsidRPr="00384065" w:rsidRDefault="00D44012" w:rsidP="00D44012">
      <w:pPr>
        <w:rPr>
          <w:lang w:val="es-ES_tradnl"/>
        </w:rPr>
      </w:pPr>
    </w:p>
    <w:p w:rsidR="00D44012" w:rsidRPr="00384065" w:rsidRDefault="00D44012" w:rsidP="00D44012">
      <w:pPr>
        <w:rPr>
          <w:lang w:val="es-ES_tradnl"/>
        </w:rPr>
      </w:pPr>
      <w:r w:rsidRPr="00384065">
        <w:rPr>
          <w:noProof/>
          <w:lang w:val="en-US" w:eastAsia="en-US"/>
        </w:rPr>
        <w:drawing>
          <wp:inline distT="0" distB="0" distL="0" distR="0" wp14:anchorId="6C27F165" wp14:editId="53649BD0">
            <wp:extent cx="5724525" cy="6105525"/>
            <wp:effectExtent l="0" t="0" r="9525" b="9525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610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012" w:rsidRPr="00384065" w:rsidRDefault="00D44012" w:rsidP="00D44012">
      <w:pPr>
        <w:rPr>
          <w:lang w:val="es-ES_tradnl"/>
        </w:rPr>
      </w:pPr>
    </w:p>
    <w:p w:rsidR="00D44012" w:rsidRPr="000F1490" w:rsidRDefault="00D44012" w:rsidP="00D44012">
      <w:r w:rsidRPr="00384065">
        <w:rPr>
          <w:lang w:val="es-ES_tradnl"/>
        </w:rPr>
        <w:fldChar w:fldCharType="begin"/>
      </w:r>
      <w:r w:rsidRPr="00384065">
        <w:rPr>
          <w:lang w:val="es-ES_tradnl"/>
        </w:rPr>
        <w:instrText xml:space="preserve"> </w:instrText>
      </w:r>
      <w:r w:rsidRPr="00384065">
        <w:rPr>
          <w:rFonts w:hint="eastAsia"/>
          <w:lang w:val="es-ES_tradnl"/>
        </w:rPr>
        <w:instrText xml:space="preserve">AUTONUM </w:instrText>
      </w:r>
      <w:r w:rsidRPr="00384065">
        <w:rPr>
          <w:lang w:val="es-ES_tradnl"/>
        </w:rPr>
        <w:instrText xml:space="preserve"> </w:instrText>
      </w:r>
      <w:r w:rsidRPr="00384065">
        <w:rPr>
          <w:lang w:val="es-ES_tradnl"/>
        </w:rPr>
        <w:fldChar w:fldCharType="end"/>
      </w:r>
      <w:r w:rsidRPr="00384065">
        <w:rPr>
          <w:lang w:val="es-ES_tradnl"/>
        </w:rPr>
        <w:tab/>
      </w:r>
      <w:r w:rsidR="00FB47F2" w:rsidRPr="00384065">
        <w:rPr>
          <w:rFonts w:hint="eastAsia"/>
          <w:lang w:val="es-ES_tradnl"/>
        </w:rPr>
        <w:t>Cuando la mediaci</w:t>
      </w:r>
      <w:r w:rsidR="00FB47F2" w:rsidRPr="00384065">
        <w:rPr>
          <w:lang w:val="es-ES_tradnl"/>
        </w:rPr>
        <w:t xml:space="preserve">ón </w:t>
      </w:r>
      <w:r w:rsidR="002E5613">
        <w:rPr>
          <w:lang w:val="es-ES_tradnl"/>
        </w:rPr>
        <w:t>llega a buen fin</w:t>
      </w:r>
      <w:r w:rsidR="00FB47F2" w:rsidRPr="00384065">
        <w:rPr>
          <w:lang w:val="es-ES_tradnl"/>
        </w:rPr>
        <w:t xml:space="preserve">, su resultado es vinculante conforme a la </w:t>
      </w:r>
      <w:r w:rsidR="00677370">
        <w:rPr>
          <w:lang w:val="es-ES_tradnl"/>
        </w:rPr>
        <w:t>r</w:t>
      </w:r>
      <w:r w:rsidR="00FB47F2" w:rsidRPr="00384065">
        <w:rPr>
          <w:lang w:val="es-ES_tradnl"/>
        </w:rPr>
        <w:t>egla</w:t>
      </w:r>
      <w:r w:rsidRPr="00384065">
        <w:rPr>
          <w:rFonts w:hint="eastAsia"/>
          <w:lang w:val="es-ES_tradnl"/>
        </w:rPr>
        <w:t xml:space="preserve"> 4</w:t>
      </w:r>
      <w:r w:rsidRPr="000F1490">
        <w:rPr>
          <w:rFonts w:hint="eastAsia"/>
        </w:rPr>
        <w:t xml:space="preserve">6 </w:t>
      </w:r>
      <w:r w:rsidR="00FB47F2">
        <w:t xml:space="preserve">de la Ley de </w:t>
      </w:r>
      <w:r w:rsidR="002E5613">
        <w:t xml:space="preserve">Fomento de </w:t>
      </w:r>
      <w:r w:rsidR="00FB47F2">
        <w:t>Invenciones</w:t>
      </w:r>
      <w:r w:rsidRPr="000F1490">
        <w:rPr>
          <w:rFonts w:hint="eastAsia"/>
        </w:rPr>
        <w:t xml:space="preserve">. </w:t>
      </w:r>
      <w:r>
        <w:t xml:space="preserve"> </w:t>
      </w:r>
      <w:r w:rsidR="00FB47F2">
        <w:rPr>
          <w:rFonts w:hint="eastAsia"/>
        </w:rPr>
        <w:t xml:space="preserve">Surte el mismo efecto </w:t>
      </w:r>
      <w:r w:rsidR="00FB47F2">
        <w:t>que una orden judicial de conciliación</w:t>
      </w:r>
      <w:r w:rsidRPr="000F1490">
        <w:rPr>
          <w:rFonts w:hint="eastAsia"/>
        </w:rPr>
        <w:t xml:space="preserve">. </w:t>
      </w:r>
    </w:p>
    <w:p w:rsidR="00D44012" w:rsidRPr="000F1490" w:rsidRDefault="00D44012" w:rsidP="00D44012"/>
    <w:p w:rsidR="00D44012" w:rsidRPr="000F1490" w:rsidRDefault="00D44012" w:rsidP="00512EA7"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5937D7">
        <w:t xml:space="preserve">El proceso de solicitud </w:t>
      </w:r>
      <w:r w:rsidR="002E5613">
        <w:t>de</w:t>
      </w:r>
      <w:r w:rsidR="005937D7">
        <w:t xml:space="preserve"> mediación en materia de</w:t>
      </w:r>
      <w:r w:rsidR="002E5613">
        <w:t xml:space="preserve"> derechos de</w:t>
      </w:r>
      <w:r w:rsidR="005937D7">
        <w:t xml:space="preserve"> propiedad industrial es sencillo y </w:t>
      </w:r>
      <w:r w:rsidR="00C92984">
        <w:t>gratuito</w:t>
      </w:r>
      <w:r w:rsidRPr="000F1490">
        <w:t xml:space="preserve">. </w:t>
      </w:r>
      <w:r>
        <w:t xml:space="preserve"> </w:t>
      </w:r>
      <w:r w:rsidRPr="000F1490">
        <w:t>A</w:t>
      </w:r>
      <w:r w:rsidR="00BA3C35">
        <w:t xml:space="preserve">demás, si la mediación </w:t>
      </w:r>
      <w:r w:rsidR="002E1985">
        <w:t xml:space="preserve">da buen resultado, </w:t>
      </w:r>
      <w:r w:rsidR="006C59D2">
        <w:t xml:space="preserve">la controversia se puede </w:t>
      </w:r>
      <w:r w:rsidR="002E1985">
        <w:t xml:space="preserve">resolver </w:t>
      </w:r>
      <w:r w:rsidR="006C59D2">
        <w:t>en tres meses</w:t>
      </w:r>
      <w:r w:rsidRPr="000F1490">
        <w:t xml:space="preserve">. </w:t>
      </w:r>
      <w:r>
        <w:t xml:space="preserve"> </w:t>
      </w:r>
      <w:r w:rsidR="009862DA">
        <w:t>Como el proceso es confidencial</w:t>
      </w:r>
      <w:r w:rsidR="009D23EE">
        <w:t xml:space="preserve">, </w:t>
      </w:r>
      <w:r w:rsidRPr="000F1490">
        <w:t>h</w:t>
      </w:r>
      <w:r w:rsidR="009D23EE">
        <w:t xml:space="preserve">ay menos probabilidades de </w:t>
      </w:r>
      <w:r w:rsidR="00A3451B">
        <w:t>divulgación de secretos industriales</w:t>
      </w:r>
      <w:r w:rsidR="00716BDF">
        <w:t xml:space="preserve">, </w:t>
      </w:r>
      <w:r w:rsidR="002E1985">
        <w:t xml:space="preserve">inclusive en materia de </w:t>
      </w:r>
      <w:r w:rsidR="00A3451B">
        <w:t>tecnología</w:t>
      </w:r>
      <w:r w:rsidRPr="000F1490">
        <w:t xml:space="preserve">. </w:t>
      </w:r>
      <w:r>
        <w:t xml:space="preserve"> </w:t>
      </w:r>
      <w:r w:rsidR="000C1F51">
        <w:t xml:space="preserve">También es favorable en el sentido de que </w:t>
      </w:r>
      <w:r w:rsidR="00677370" w:rsidRPr="00677370">
        <w:t xml:space="preserve">durante el proceso de mediación </w:t>
      </w:r>
      <w:r w:rsidR="00677370">
        <w:t xml:space="preserve">las partes pueden poner en marcha una </w:t>
      </w:r>
      <w:r w:rsidR="000C1F51">
        <w:t>cooperación estratégica</w:t>
      </w:r>
      <w:r w:rsidR="00677370">
        <w:t xml:space="preserve">, a través por ejemplo de la </w:t>
      </w:r>
      <w:r w:rsidR="00716BDF">
        <w:t xml:space="preserve">concesión </w:t>
      </w:r>
      <w:r w:rsidR="00677370">
        <w:t>recíproca d</w:t>
      </w:r>
      <w:r w:rsidR="00716BDF">
        <w:t xml:space="preserve">e licencias y </w:t>
      </w:r>
      <w:r w:rsidR="00677370">
        <w:t xml:space="preserve">la </w:t>
      </w:r>
      <w:r w:rsidR="00716BDF">
        <w:t>cooperación tecnológica</w:t>
      </w:r>
      <w:r w:rsidRPr="000F1490">
        <w:t>.</w:t>
      </w:r>
    </w:p>
    <w:p w:rsidR="00D44012" w:rsidRPr="000F1490" w:rsidRDefault="00D44012" w:rsidP="00D44012"/>
    <w:p w:rsidR="00D44012" w:rsidRDefault="00D44012" w:rsidP="00D44012"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AUTONUM </w:instrText>
      </w:r>
      <w:r>
        <w:instrText xml:space="preserve"> </w:instrText>
      </w:r>
      <w:r>
        <w:fldChar w:fldCharType="end"/>
      </w:r>
      <w:r>
        <w:tab/>
      </w:r>
      <w:r w:rsidR="00A734CB">
        <w:rPr>
          <w:rFonts w:hint="eastAsia"/>
        </w:rPr>
        <w:t>La siguiente tabla mue</w:t>
      </w:r>
      <w:r w:rsidR="00A734CB">
        <w:t xml:space="preserve">stra los </w:t>
      </w:r>
      <w:r w:rsidR="00C92984">
        <w:t>procedimientos</w:t>
      </w:r>
      <w:r w:rsidR="00A734CB">
        <w:t xml:space="preserve"> </w:t>
      </w:r>
      <w:r w:rsidR="006F3883">
        <w:t xml:space="preserve">en los que participa </w:t>
      </w:r>
      <w:r w:rsidR="00A734CB">
        <w:t>el</w:t>
      </w:r>
      <w:r w:rsidRPr="000F1490">
        <w:rPr>
          <w:rFonts w:hint="eastAsia"/>
        </w:rPr>
        <w:t xml:space="preserve"> IPRDMC</w:t>
      </w:r>
      <w:r w:rsidRPr="000F1490">
        <w:t>.</w:t>
      </w:r>
      <w:r w:rsidRPr="000F1490">
        <w:rPr>
          <w:rFonts w:hint="eastAsia"/>
        </w:rPr>
        <w:t xml:space="preserve"> </w:t>
      </w:r>
    </w:p>
    <w:p w:rsidR="00D44012" w:rsidRDefault="00D44012" w:rsidP="00D44012"/>
    <w:p w:rsidR="00D44012" w:rsidRDefault="00D44012" w:rsidP="00512EA7">
      <w:pPr>
        <w:ind w:left="3402"/>
      </w:pPr>
      <w:r w:rsidRPr="000F1490">
        <w:rPr>
          <w:rFonts w:hint="eastAsia"/>
        </w:rPr>
        <w:t>(N</w:t>
      </w:r>
      <w:r w:rsidR="00F812BA">
        <w:t xml:space="preserve">úmero de </w:t>
      </w:r>
      <w:r w:rsidR="00C92984">
        <w:t>procedimientos</w:t>
      </w:r>
      <w:r w:rsidR="00F812BA">
        <w:t xml:space="preserve"> y resultado</w:t>
      </w:r>
      <w:r w:rsidRPr="000F1490">
        <w:rPr>
          <w:rFonts w:hint="eastAsia"/>
        </w:rPr>
        <w:t>)</w:t>
      </w:r>
    </w:p>
    <w:p w:rsidR="00D44012" w:rsidRPr="000F1490" w:rsidRDefault="00D44012" w:rsidP="00D44012"/>
    <w:tbl>
      <w:tblPr>
        <w:tblW w:w="0" w:type="auto"/>
        <w:jc w:val="center"/>
        <w:tblBorders>
          <w:top w:val="single" w:sz="8" w:space="0" w:color="4BACC6"/>
          <w:bottom w:val="single" w:sz="8" w:space="0" w:color="4BACC6"/>
        </w:tblBorders>
        <w:tblLook w:val="04A0" w:firstRow="1" w:lastRow="0" w:firstColumn="1" w:lastColumn="0" w:noHBand="0" w:noVBand="1"/>
      </w:tblPr>
      <w:tblGrid>
        <w:gridCol w:w="1871"/>
        <w:gridCol w:w="1984"/>
        <w:gridCol w:w="1984"/>
        <w:gridCol w:w="1984"/>
      </w:tblGrid>
      <w:tr w:rsidR="00D44012" w:rsidRPr="000F1490" w:rsidTr="00974628">
        <w:trPr>
          <w:trHeight w:val="283"/>
          <w:jc w:val="center"/>
        </w:trPr>
        <w:tc>
          <w:tcPr>
            <w:tcW w:w="1871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hideMark/>
          </w:tcPr>
          <w:p w:rsidR="00D44012" w:rsidRPr="000F1490" w:rsidRDefault="006F3883" w:rsidP="006F3883">
            <w:pPr>
              <w:jc w:val="center"/>
            </w:pPr>
            <w:r>
              <w:rPr>
                <w:rFonts w:hint="eastAsia"/>
              </w:rPr>
              <w:t>Año</w:t>
            </w:r>
          </w:p>
        </w:tc>
        <w:tc>
          <w:tcPr>
            <w:tcW w:w="1984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hideMark/>
          </w:tcPr>
          <w:p w:rsidR="00D44012" w:rsidRPr="000F1490" w:rsidRDefault="006F3883" w:rsidP="006F3883">
            <w:pPr>
              <w:tabs>
                <w:tab w:val="right" w:pos="1768"/>
              </w:tabs>
              <w:jc w:val="center"/>
            </w:pPr>
            <w:r>
              <w:rPr>
                <w:rFonts w:hint="eastAsia"/>
              </w:rPr>
              <w:t>Solicitudes</w:t>
            </w:r>
          </w:p>
        </w:tc>
        <w:tc>
          <w:tcPr>
            <w:tcW w:w="1984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hideMark/>
          </w:tcPr>
          <w:p w:rsidR="00D44012" w:rsidRPr="000F1490" w:rsidRDefault="00A945E0" w:rsidP="00A945E0">
            <w:pPr>
              <w:jc w:val="center"/>
            </w:pPr>
            <w:r>
              <w:rPr>
                <w:rFonts w:hint="eastAsia"/>
              </w:rPr>
              <w:t>Resultado favorable</w:t>
            </w:r>
          </w:p>
        </w:tc>
        <w:tc>
          <w:tcPr>
            <w:tcW w:w="1984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hideMark/>
          </w:tcPr>
          <w:p w:rsidR="00D44012" w:rsidRPr="000F1490" w:rsidRDefault="00A945E0" w:rsidP="00A945E0">
            <w:pPr>
              <w:jc w:val="center"/>
            </w:pPr>
            <w:r>
              <w:rPr>
                <w:rFonts w:hint="eastAsia"/>
              </w:rPr>
              <w:t>Resultado negativo</w:t>
            </w:r>
          </w:p>
        </w:tc>
      </w:tr>
      <w:tr w:rsidR="00D44012" w:rsidRPr="000F1490" w:rsidTr="00974628">
        <w:trPr>
          <w:trHeight w:val="20"/>
          <w:jc w:val="center"/>
        </w:trPr>
        <w:tc>
          <w:tcPr>
            <w:tcW w:w="1871" w:type="dxa"/>
            <w:tcBorders>
              <w:left w:val="nil"/>
              <w:right w:val="nil"/>
            </w:tcBorders>
            <w:shd w:val="clear" w:color="auto" w:fill="D2EAF1"/>
            <w:hideMark/>
          </w:tcPr>
          <w:p w:rsidR="00D44012" w:rsidRPr="000F1490" w:rsidRDefault="00ED10FC" w:rsidP="00974628">
            <w:pPr>
              <w:jc w:val="center"/>
            </w:pPr>
            <w:r>
              <w:t>19</w:t>
            </w:r>
            <w:r w:rsidR="00D44012" w:rsidRPr="000F1490">
              <w:t>95</w:t>
            </w: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D2EAF1"/>
            <w:hideMark/>
          </w:tcPr>
          <w:p w:rsidR="00D44012" w:rsidRPr="000F1490" w:rsidRDefault="00D44012" w:rsidP="00974628">
            <w:pPr>
              <w:jc w:val="center"/>
            </w:pPr>
            <w:r w:rsidRPr="000F1490">
              <w:t>4</w:t>
            </w: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D2EAF1"/>
            <w:hideMark/>
          </w:tcPr>
          <w:p w:rsidR="00D44012" w:rsidRPr="000F1490" w:rsidRDefault="00D44012" w:rsidP="00974628">
            <w:pPr>
              <w:jc w:val="center"/>
            </w:pPr>
            <w:r w:rsidRPr="000F1490">
              <w:t>2</w:t>
            </w: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D2EAF1"/>
            <w:hideMark/>
          </w:tcPr>
          <w:p w:rsidR="00D44012" w:rsidRPr="000F1490" w:rsidRDefault="00D44012" w:rsidP="00974628">
            <w:pPr>
              <w:jc w:val="center"/>
            </w:pPr>
            <w:r w:rsidRPr="000F1490">
              <w:t>2</w:t>
            </w:r>
          </w:p>
        </w:tc>
      </w:tr>
      <w:tr w:rsidR="00D44012" w:rsidRPr="000F1490" w:rsidTr="00974628">
        <w:trPr>
          <w:trHeight w:val="57"/>
          <w:jc w:val="center"/>
        </w:trPr>
        <w:tc>
          <w:tcPr>
            <w:tcW w:w="1871" w:type="dxa"/>
            <w:hideMark/>
          </w:tcPr>
          <w:p w:rsidR="00D44012" w:rsidRPr="000F1490" w:rsidRDefault="00ED10FC" w:rsidP="00974628">
            <w:pPr>
              <w:jc w:val="center"/>
            </w:pPr>
            <w:r>
              <w:t>19</w:t>
            </w:r>
            <w:r w:rsidR="00D44012" w:rsidRPr="000F1490">
              <w:t>96</w:t>
            </w:r>
          </w:p>
        </w:tc>
        <w:tc>
          <w:tcPr>
            <w:tcW w:w="1984" w:type="dxa"/>
            <w:hideMark/>
          </w:tcPr>
          <w:p w:rsidR="00D44012" w:rsidRPr="000F1490" w:rsidRDefault="00D44012" w:rsidP="00974628">
            <w:pPr>
              <w:jc w:val="center"/>
            </w:pPr>
            <w:r w:rsidRPr="000F1490">
              <w:t>2</w:t>
            </w:r>
          </w:p>
        </w:tc>
        <w:tc>
          <w:tcPr>
            <w:tcW w:w="1984" w:type="dxa"/>
            <w:hideMark/>
          </w:tcPr>
          <w:p w:rsidR="00D44012" w:rsidRPr="000F1490" w:rsidRDefault="00D44012" w:rsidP="00974628">
            <w:pPr>
              <w:jc w:val="center"/>
            </w:pPr>
            <w:r w:rsidRPr="000F1490">
              <w:t>0</w:t>
            </w:r>
          </w:p>
        </w:tc>
        <w:tc>
          <w:tcPr>
            <w:tcW w:w="1984" w:type="dxa"/>
            <w:hideMark/>
          </w:tcPr>
          <w:p w:rsidR="00D44012" w:rsidRPr="000F1490" w:rsidRDefault="00D44012" w:rsidP="00974628">
            <w:pPr>
              <w:jc w:val="center"/>
            </w:pPr>
            <w:r w:rsidRPr="000F1490">
              <w:t>2</w:t>
            </w:r>
          </w:p>
        </w:tc>
      </w:tr>
      <w:tr w:rsidR="00D44012" w:rsidRPr="000F1490" w:rsidTr="00974628">
        <w:trPr>
          <w:trHeight w:val="57"/>
          <w:jc w:val="center"/>
        </w:trPr>
        <w:tc>
          <w:tcPr>
            <w:tcW w:w="1871" w:type="dxa"/>
            <w:tcBorders>
              <w:left w:val="nil"/>
              <w:right w:val="nil"/>
            </w:tcBorders>
            <w:shd w:val="clear" w:color="auto" w:fill="D2EAF1"/>
            <w:hideMark/>
          </w:tcPr>
          <w:p w:rsidR="00D44012" w:rsidRPr="000F1490" w:rsidRDefault="00ED10FC" w:rsidP="00974628">
            <w:pPr>
              <w:jc w:val="center"/>
            </w:pPr>
            <w:r>
              <w:t>19</w:t>
            </w:r>
            <w:r w:rsidR="00D44012" w:rsidRPr="000F1490">
              <w:t>97</w:t>
            </w: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D2EAF1"/>
            <w:hideMark/>
          </w:tcPr>
          <w:p w:rsidR="00D44012" w:rsidRPr="000F1490" w:rsidRDefault="00D44012" w:rsidP="00974628">
            <w:pPr>
              <w:jc w:val="center"/>
            </w:pPr>
            <w:r w:rsidRPr="000F1490">
              <w:t>13</w:t>
            </w: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D2EAF1"/>
            <w:hideMark/>
          </w:tcPr>
          <w:p w:rsidR="00D44012" w:rsidRPr="000F1490" w:rsidRDefault="00D44012" w:rsidP="00974628">
            <w:pPr>
              <w:jc w:val="center"/>
            </w:pPr>
            <w:r w:rsidRPr="000F1490">
              <w:t>7</w:t>
            </w: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D2EAF1"/>
            <w:hideMark/>
          </w:tcPr>
          <w:p w:rsidR="00D44012" w:rsidRPr="000F1490" w:rsidRDefault="00D44012" w:rsidP="00974628">
            <w:pPr>
              <w:jc w:val="center"/>
            </w:pPr>
            <w:r w:rsidRPr="000F1490">
              <w:t>6</w:t>
            </w:r>
          </w:p>
        </w:tc>
      </w:tr>
      <w:tr w:rsidR="00D44012" w:rsidRPr="000F1490" w:rsidTr="00974628">
        <w:trPr>
          <w:trHeight w:val="57"/>
          <w:jc w:val="center"/>
        </w:trPr>
        <w:tc>
          <w:tcPr>
            <w:tcW w:w="1871" w:type="dxa"/>
            <w:hideMark/>
          </w:tcPr>
          <w:p w:rsidR="00D44012" w:rsidRPr="000F1490" w:rsidRDefault="00ED10FC" w:rsidP="00974628">
            <w:pPr>
              <w:jc w:val="center"/>
            </w:pPr>
            <w:r>
              <w:t>19</w:t>
            </w:r>
            <w:r w:rsidR="00D44012" w:rsidRPr="000F1490">
              <w:t>98</w:t>
            </w:r>
          </w:p>
        </w:tc>
        <w:tc>
          <w:tcPr>
            <w:tcW w:w="1984" w:type="dxa"/>
            <w:hideMark/>
          </w:tcPr>
          <w:p w:rsidR="00D44012" w:rsidRPr="000F1490" w:rsidRDefault="00D44012" w:rsidP="00974628">
            <w:pPr>
              <w:jc w:val="center"/>
            </w:pPr>
            <w:r w:rsidRPr="000F1490">
              <w:t>15</w:t>
            </w:r>
          </w:p>
        </w:tc>
        <w:tc>
          <w:tcPr>
            <w:tcW w:w="1984" w:type="dxa"/>
            <w:hideMark/>
          </w:tcPr>
          <w:p w:rsidR="00D44012" w:rsidRPr="000F1490" w:rsidRDefault="00D44012" w:rsidP="00974628">
            <w:pPr>
              <w:jc w:val="center"/>
            </w:pPr>
            <w:r w:rsidRPr="000F1490">
              <w:t>4</w:t>
            </w:r>
          </w:p>
        </w:tc>
        <w:tc>
          <w:tcPr>
            <w:tcW w:w="1984" w:type="dxa"/>
            <w:hideMark/>
          </w:tcPr>
          <w:p w:rsidR="00D44012" w:rsidRPr="000F1490" w:rsidRDefault="00D44012" w:rsidP="00974628">
            <w:pPr>
              <w:jc w:val="center"/>
            </w:pPr>
            <w:r w:rsidRPr="000F1490">
              <w:t>11</w:t>
            </w:r>
          </w:p>
        </w:tc>
      </w:tr>
      <w:tr w:rsidR="00D44012" w:rsidRPr="000F1490" w:rsidTr="00974628">
        <w:trPr>
          <w:trHeight w:val="57"/>
          <w:jc w:val="center"/>
        </w:trPr>
        <w:tc>
          <w:tcPr>
            <w:tcW w:w="1871" w:type="dxa"/>
            <w:tcBorders>
              <w:left w:val="nil"/>
              <w:right w:val="nil"/>
            </w:tcBorders>
            <w:shd w:val="clear" w:color="auto" w:fill="D2EAF1"/>
            <w:hideMark/>
          </w:tcPr>
          <w:p w:rsidR="00D44012" w:rsidRPr="000F1490" w:rsidRDefault="00ED10FC" w:rsidP="00974628">
            <w:pPr>
              <w:jc w:val="center"/>
            </w:pPr>
            <w:r>
              <w:t>19</w:t>
            </w:r>
            <w:r w:rsidR="00D44012" w:rsidRPr="000F1490">
              <w:t>99</w:t>
            </w: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D2EAF1"/>
            <w:hideMark/>
          </w:tcPr>
          <w:p w:rsidR="00D44012" w:rsidRPr="000F1490" w:rsidRDefault="00D44012" w:rsidP="00974628">
            <w:pPr>
              <w:jc w:val="center"/>
            </w:pPr>
            <w:r w:rsidRPr="000F1490">
              <w:t>7</w:t>
            </w: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D2EAF1"/>
            <w:hideMark/>
          </w:tcPr>
          <w:p w:rsidR="00D44012" w:rsidRPr="000F1490" w:rsidRDefault="00D44012" w:rsidP="00974628">
            <w:pPr>
              <w:jc w:val="center"/>
            </w:pPr>
            <w:r w:rsidRPr="000F1490">
              <w:t>3</w:t>
            </w: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D2EAF1"/>
            <w:hideMark/>
          </w:tcPr>
          <w:p w:rsidR="00D44012" w:rsidRPr="000F1490" w:rsidRDefault="00D44012" w:rsidP="00974628">
            <w:pPr>
              <w:jc w:val="center"/>
            </w:pPr>
            <w:r w:rsidRPr="000F1490">
              <w:t>4</w:t>
            </w:r>
          </w:p>
        </w:tc>
      </w:tr>
      <w:tr w:rsidR="00D44012" w:rsidRPr="000F1490" w:rsidTr="00974628">
        <w:trPr>
          <w:trHeight w:val="57"/>
          <w:jc w:val="center"/>
        </w:trPr>
        <w:tc>
          <w:tcPr>
            <w:tcW w:w="1871" w:type="dxa"/>
            <w:hideMark/>
          </w:tcPr>
          <w:p w:rsidR="00D44012" w:rsidRPr="000F1490" w:rsidRDefault="00ED10FC" w:rsidP="00974628">
            <w:pPr>
              <w:jc w:val="center"/>
            </w:pPr>
            <w:r>
              <w:t>20</w:t>
            </w:r>
            <w:r w:rsidR="00D44012" w:rsidRPr="000F1490">
              <w:t>00</w:t>
            </w:r>
          </w:p>
        </w:tc>
        <w:tc>
          <w:tcPr>
            <w:tcW w:w="1984" w:type="dxa"/>
            <w:hideMark/>
          </w:tcPr>
          <w:p w:rsidR="00D44012" w:rsidRPr="000F1490" w:rsidRDefault="00D44012" w:rsidP="00974628">
            <w:pPr>
              <w:jc w:val="center"/>
            </w:pPr>
            <w:r w:rsidRPr="000F1490">
              <w:t>5</w:t>
            </w:r>
          </w:p>
        </w:tc>
        <w:tc>
          <w:tcPr>
            <w:tcW w:w="1984" w:type="dxa"/>
            <w:hideMark/>
          </w:tcPr>
          <w:p w:rsidR="00D44012" w:rsidRPr="000F1490" w:rsidRDefault="00D44012" w:rsidP="00974628">
            <w:pPr>
              <w:jc w:val="center"/>
            </w:pPr>
            <w:r w:rsidRPr="000F1490">
              <w:t>0</w:t>
            </w:r>
          </w:p>
        </w:tc>
        <w:tc>
          <w:tcPr>
            <w:tcW w:w="1984" w:type="dxa"/>
            <w:hideMark/>
          </w:tcPr>
          <w:p w:rsidR="00D44012" w:rsidRPr="000F1490" w:rsidRDefault="00D44012" w:rsidP="00974628">
            <w:pPr>
              <w:jc w:val="center"/>
            </w:pPr>
            <w:r w:rsidRPr="000F1490">
              <w:t>5</w:t>
            </w:r>
          </w:p>
        </w:tc>
      </w:tr>
      <w:tr w:rsidR="00D44012" w:rsidRPr="000F1490" w:rsidTr="00974628">
        <w:trPr>
          <w:trHeight w:val="57"/>
          <w:jc w:val="center"/>
        </w:trPr>
        <w:tc>
          <w:tcPr>
            <w:tcW w:w="1871" w:type="dxa"/>
            <w:tcBorders>
              <w:left w:val="nil"/>
              <w:right w:val="nil"/>
            </w:tcBorders>
            <w:shd w:val="clear" w:color="auto" w:fill="D2EAF1"/>
            <w:hideMark/>
          </w:tcPr>
          <w:p w:rsidR="00D44012" w:rsidRPr="000F1490" w:rsidRDefault="00ED10FC" w:rsidP="00974628">
            <w:pPr>
              <w:jc w:val="center"/>
            </w:pPr>
            <w:r>
              <w:t>20</w:t>
            </w:r>
            <w:r w:rsidR="00D44012" w:rsidRPr="000F1490">
              <w:t>01</w:t>
            </w: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D2EAF1"/>
            <w:hideMark/>
          </w:tcPr>
          <w:p w:rsidR="00D44012" w:rsidRPr="000F1490" w:rsidRDefault="00D44012" w:rsidP="00974628">
            <w:pPr>
              <w:jc w:val="center"/>
            </w:pPr>
            <w:r w:rsidRPr="000F1490">
              <w:t>3</w:t>
            </w: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D2EAF1"/>
            <w:hideMark/>
          </w:tcPr>
          <w:p w:rsidR="00D44012" w:rsidRPr="000F1490" w:rsidRDefault="00D44012" w:rsidP="00974628">
            <w:pPr>
              <w:jc w:val="center"/>
            </w:pPr>
            <w:r w:rsidRPr="000F1490">
              <w:t>0</w:t>
            </w: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D2EAF1"/>
            <w:hideMark/>
          </w:tcPr>
          <w:p w:rsidR="00D44012" w:rsidRPr="000F1490" w:rsidRDefault="00D44012" w:rsidP="00974628">
            <w:pPr>
              <w:jc w:val="center"/>
            </w:pPr>
            <w:r w:rsidRPr="000F1490">
              <w:t>3</w:t>
            </w:r>
          </w:p>
        </w:tc>
      </w:tr>
      <w:tr w:rsidR="00D44012" w:rsidRPr="000F1490" w:rsidTr="00974628">
        <w:trPr>
          <w:trHeight w:val="57"/>
          <w:jc w:val="center"/>
        </w:trPr>
        <w:tc>
          <w:tcPr>
            <w:tcW w:w="1871" w:type="dxa"/>
            <w:hideMark/>
          </w:tcPr>
          <w:p w:rsidR="00D44012" w:rsidRPr="000F1490" w:rsidRDefault="00ED10FC" w:rsidP="00974628">
            <w:pPr>
              <w:jc w:val="center"/>
            </w:pPr>
            <w:r>
              <w:t>20</w:t>
            </w:r>
            <w:r w:rsidR="00D44012" w:rsidRPr="000F1490">
              <w:t>02</w:t>
            </w:r>
          </w:p>
        </w:tc>
        <w:tc>
          <w:tcPr>
            <w:tcW w:w="1984" w:type="dxa"/>
            <w:hideMark/>
          </w:tcPr>
          <w:p w:rsidR="00D44012" w:rsidRPr="000F1490" w:rsidRDefault="00D44012" w:rsidP="00974628">
            <w:pPr>
              <w:jc w:val="center"/>
            </w:pPr>
            <w:r w:rsidRPr="000F1490">
              <w:t>15</w:t>
            </w:r>
          </w:p>
        </w:tc>
        <w:tc>
          <w:tcPr>
            <w:tcW w:w="1984" w:type="dxa"/>
            <w:hideMark/>
          </w:tcPr>
          <w:p w:rsidR="00D44012" w:rsidRPr="000F1490" w:rsidRDefault="00D44012" w:rsidP="00974628">
            <w:pPr>
              <w:jc w:val="center"/>
            </w:pPr>
            <w:r w:rsidRPr="000F1490">
              <w:t>2</w:t>
            </w:r>
          </w:p>
        </w:tc>
        <w:tc>
          <w:tcPr>
            <w:tcW w:w="1984" w:type="dxa"/>
            <w:hideMark/>
          </w:tcPr>
          <w:p w:rsidR="00D44012" w:rsidRPr="000F1490" w:rsidRDefault="00D44012" w:rsidP="00974628">
            <w:pPr>
              <w:jc w:val="center"/>
            </w:pPr>
            <w:r w:rsidRPr="000F1490">
              <w:t>13</w:t>
            </w:r>
          </w:p>
        </w:tc>
      </w:tr>
      <w:tr w:rsidR="00D44012" w:rsidRPr="000F1490" w:rsidTr="00974628">
        <w:trPr>
          <w:trHeight w:val="57"/>
          <w:jc w:val="center"/>
        </w:trPr>
        <w:tc>
          <w:tcPr>
            <w:tcW w:w="1871" w:type="dxa"/>
            <w:tcBorders>
              <w:left w:val="nil"/>
              <w:right w:val="nil"/>
            </w:tcBorders>
            <w:shd w:val="clear" w:color="auto" w:fill="D2EAF1"/>
            <w:hideMark/>
          </w:tcPr>
          <w:p w:rsidR="00D44012" w:rsidRPr="000F1490" w:rsidRDefault="00ED10FC" w:rsidP="00974628">
            <w:pPr>
              <w:jc w:val="center"/>
            </w:pPr>
            <w:r>
              <w:t>20</w:t>
            </w:r>
            <w:r w:rsidR="00D44012" w:rsidRPr="000F1490">
              <w:t>03</w:t>
            </w: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D2EAF1"/>
            <w:hideMark/>
          </w:tcPr>
          <w:p w:rsidR="00D44012" w:rsidRPr="000F1490" w:rsidRDefault="00D44012" w:rsidP="00974628">
            <w:pPr>
              <w:jc w:val="center"/>
            </w:pPr>
            <w:r w:rsidRPr="000F1490">
              <w:t>5</w:t>
            </w: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D2EAF1"/>
            <w:hideMark/>
          </w:tcPr>
          <w:p w:rsidR="00D44012" w:rsidRPr="000F1490" w:rsidRDefault="00D44012" w:rsidP="00974628">
            <w:pPr>
              <w:jc w:val="center"/>
            </w:pPr>
            <w:r w:rsidRPr="000F1490">
              <w:t>1</w:t>
            </w: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D2EAF1"/>
            <w:hideMark/>
          </w:tcPr>
          <w:p w:rsidR="00D44012" w:rsidRPr="000F1490" w:rsidRDefault="00D44012" w:rsidP="00974628">
            <w:pPr>
              <w:jc w:val="center"/>
            </w:pPr>
            <w:r w:rsidRPr="000F1490">
              <w:t>4</w:t>
            </w:r>
          </w:p>
        </w:tc>
      </w:tr>
      <w:tr w:rsidR="00D44012" w:rsidRPr="000F1490" w:rsidTr="00974628">
        <w:trPr>
          <w:trHeight w:val="57"/>
          <w:jc w:val="center"/>
        </w:trPr>
        <w:tc>
          <w:tcPr>
            <w:tcW w:w="1871" w:type="dxa"/>
            <w:hideMark/>
          </w:tcPr>
          <w:p w:rsidR="00D44012" w:rsidRPr="000F1490" w:rsidRDefault="00ED10FC" w:rsidP="00974628">
            <w:pPr>
              <w:jc w:val="center"/>
            </w:pPr>
            <w:r>
              <w:t>20</w:t>
            </w:r>
            <w:r w:rsidR="00D44012" w:rsidRPr="000F1490">
              <w:t>04</w:t>
            </w:r>
          </w:p>
        </w:tc>
        <w:tc>
          <w:tcPr>
            <w:tcW w:w="1984" w:type="dxa"/>
            <w:hideMark/>
          </w:tcPr>
          <w:p w:rsidR="00D44012" w:rsidRPr="000F1490" w:rsidRDefault="00D44012" w:rsidP="00974628">
            <w:pPr>
              <w:jc w:val="center"/>
            </w:pPr>
            <w:r w:rsidRPr="000F1490">
              <w:t>5</w:t>
            </w:r>
          </w:p>
        </w:tc>
        <w:tc>
          <w:tcPr>
            <w:tcW w:w="1984" w:type="dxa"/>
            <w:hideMark/>
          </w:tcPr>
          <w:p w:rsidR="00D44012" w:rsidRPr="000F1490" w:rsidRDefault="00D44012" w:rsidP="00974628">
            <w:pPr>
              <w:jc w:val="center"/>
            </w:pPr>
            <w:r w:rsidRPr="000F1490">
              <w:t>1</w:t>
            </w:r>
          </w:p>
        </w:tc>
        <w:tc>
          <w:tcPr>
            <w:tcW w:w="1984" w:type="dxa"/>
            <w:hideMark/>
          </w:tcPr>
          <w:p w:rsidR="00D44012" w:rsidRPr="000F1490" w:rsidRDefault="00D44012" w:rsidP="00974628">
            <w:pPr>
              <w:jc w:val="center"/>
            </w:pPr>
            <w:r w:rsidRPr="000F1490">
              <w:t>4</w:t>
            </w:r>
          </w:p>
        </w:tc>
      </w:tr>
      <w:tr w:rsidR="00D44012" w:rsidRPr="000F1490" w:rsidTr="00974628">
        <w:trPr>
          <w:trHeight w:val="57"/>
          <w:jc w:val="center"/>
        </w:trPr>
        <w:tc>
          <w:tcPr>
            <w:tcW w:w="1871" w:type="dxa"/>
            <w:tcBorders>
              <w:left w:val="nil"/>
              <w:right w:val="nil"/>
            </w:tcBorders>
            <w:shd w:val="clear" w:color="auto" w:fill="D2EAF1"/>
            <w:hideMark/>
          </w:tcPr>
          <w:p w:rsidR="00D44012" w:rsidRPr="000F1490" w:rsidRDefault="00ED10FC" w:rsidP="00974628">
            <w:pPr>
              <w:jc w:val="center"/>
            </w:pPr>
            <w:r>
              <w:t>20</w:t>
            </w:r>
            <w:r w:rsidR="00D44012" w:rsidRPr="000F1490">
              <w:t>05</w:t>
            </w: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D2EAF1"/>
            <w:hideMark/>
          </w:tcPr>
          <w:p w:rsidR="00D44012" w:rsidRPr="000F1490" w:rsidRDefault="00D44012" w:rsidP="00974628">
            <w:pPr>
              <w:jc w:val="center"/>
            </w:pPr>
            <w:r w:rsidRPr="000F1490">
              <w:t>5</w:t>
            </w: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D2EAF1"/>
            <w:hideMark/>
          </w:tcPr>
          <w:p w:rsidR="00D44012" w:rsidRPr="000F1490" w:rsidRDefault="00D44012" w:rsidP="00974628">
            <w:pPr>
              <w:jc w:val="center"/>
            </w:pPr>
            <w:r w:rsidRPr="000F1490">
              <w:t>0</w:t>
            </w: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D2EAF1"/>
            <w:hideMark/>
          </w:tcPr>
          <w:p w:rsidR="00D44012" w:rsidRPr="000F1490" w:rsidRDefault="00D44012" w:rsidP="00974628">
            <w:pPr>
              <w:jc w:val="center"/>
            </w:pPr>
            <w:r w:rsidRPr="000F1490">
              <w:t>5</w:t>
            </w:r>
          </w:p>
        </w:tc>
      </w:tr>
      <w:tr w:rsidR="00D44012" w:rsidRPr="000F1490" w:rsidTr="00974628">
        <w:trPr>
          <w:trHeight w:val="57"/>
          <w:jc w:val="center"/>
        </w:trPr>
        <w:tc>
          <w:tcPr>
            <w:tcW w:w="1871" w:type="dxa"/>
            <w:hideMark/>
          </w:tcPr>
          <w:p w:rsidR="00D44012" w:rsidRPr="000F1490" w:rsidRDefault="00ED10FC" w:rsidP="00974628">
            <w:pPr>
              <w:jc w:val="center"/>
            </w:pPr>
            <w:r>
              <w:t>20</w:t>
            </w:r>
            <w:r w:rsidR="00D44012" w:rsidRPr="000F1490">
              <w:t>06</w:t>
            </w:r>
          </w:p>
        </w:tc>
        <w:tc>
          <w:tcPr>
            <w:tcW w:w="1984" w:type="dxa"/>
            <w:hideMark/>
          </w:tcPr>
          <w:p w:rsidR="00D44012" w:rsidRPr="000F1490" w:rsidRDefault="00D44012" w:rsidP="00974628">
            <w:pPr>
              <w:jc w:val="center"/>
            </w:pPr>
            <w:r w:rsidRPr="000F1490">
              <w:t>5</w:t>
            </w:r>
          </w:p>
        </w:tc>
        <w:tc>
          <w:tcPr>
            <w:tcW w:w="1984" w:type="dxa"/>
            <w:hideMark/>
          </w:tcPr>
          <w:p w:rsidR="00D44012" w:rsidRPr="000F1490" w:rsidRDefault="00D44012" w:rsidP="00974628">
            <w:pPr>
              <w:jc w:val="center"/>
            </w:pPr>
            <w:r w:rsidRPr="000F1490">
              <w:t>1</w:t>
            </w:r>
          </w:p>
        </w:tc>
        <w:tc>
          <w:tcPr>
            <w:tcW w:w="1984" w:type="dxa"/>
            <w:hideMark/>
          </w:tcPr>
          <w:p w:rsidR="00D44012" w:rsidRPr="000F1490" w:rsidRDefault="00D44012" w:rsidP="00974628">
            <w:pPr>
              <w:jc w:val="center"/>
            </w:pPr>
            <w:r w:rsidRPr="000F1490">
              <w:t>4</w:t>
            </w:r>
          </w:p>
        </w:tc>
      </w:tr>
      <w:tr w:rsidR="00D44012" w:rsidRPr="000F1490" w:rsidTr="00974628">
        <w:trPr>
          <w:trHeight w:val="57"/>
          <w:jc w:val="center"/>
        </w:trPr>
        <w:tc>
          <w:tcPr>
            <w:tcW w:w="1871" w:type="dxa"/>
            <w:tcBorders>
              <w:left w:val="nil"/>
              <w:right w:val="nil"/>
            </w:tcBorders>
            <w:shd w:val="clear" w:color="auto" w:fill="D2EAF1"/>
            <w:hideMark/>
          </w:tcPr>
          <w:p w:rsidR="00D44012" w:rsidRPr="000F1490" w:rsidRDefault="00ED10FC" w:rsidP="00974628">
            <w:pPr>
              <w:jc w:val="center"/>
            </w:pPr>
            <w:r>
              <w:t>20</w:t>
            </w:r>
            <w:r w:rsidR="00D44012" w:rsidRPr="000F1490">
              <w:t>07</w:t>
            </w: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D2EAF1"/>
            <w:hideMark/>
          </w:tcPr>
          <w:p w:rsidR="00D44012" w:rsidRPr="000F1490" w:rsidRDefault="00D44012" w:rsidP="00974628">
            <w:pPr>
              <w:jc w:val="center"/>
            </w:pPr>
            <w:r w:rsidRPr="000F1490">
              <w:t>5</w:t>
            </w: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D2EAF1"/>
            <w:hideMark/>
          </w:tcPr>
          <w:p w:rsidR="00D44012" w:rsidRPr="000F1490" w:rsidRDefault="00D44012" w:rsidP="00974628">
            <w:pPr>
              <w:jc w:val="center"/>
            </w:pPr>
            <w:r w:rsidRPr="000F1490">
              <w:t>1</w:t>
            </w: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D2EAF1"/>
            <w:hideMark/>
          </w:tcPr>
          <w:p w:rsidR="00D44012" w:rsidRPr="000F1490" w:rsidRDefault="00D44012" w:rsidP="00974628">
            <w:pPr>
              <w:jc w:val="center"/>
            </w:pPr>
            <w:r w:rsidRPr="000F1490">
              <w:t>4</w:t>
            </w:r>
          </w:p>
        </w:tc>
      </w:tr>
      <w:tr w:rsidR="00D44012" w:rsidRPr="000F1490" w:rsidTr="00974628">
        <w:trPr>
          <w:trHeight w:val="57"/>
          <w:jc w:val="center"/>
        </w:trPr>
        <w:tc>
          <w:tcPr>
            <w:tcW w:w="1871" w:type="dxa"/>
            <w:hideMark/>
          </w:tcPr>
          <w:p w:rsidR="00D44012" w:rsidRPr="000F1490" w:rsidRDefault="00ED10FC" w:rsidP="00974628">
            <w:pPr>
              <w:jc w:val="center"/>
            </w:pPr>
            <w:r>
              <w:t>20</w:t>
            </w:r>
            <w:r w:rsidR="00D44012" w:rsidRPr="000F1490">
              <w:t>08</w:t>
            </w:r>
          </w:p>
        </w:tc>
        <w:tc>
          <w:tcPr>
            <w:tcW w:w="1984" w:type="dxa"/>
            <w:hideMark/>
          </w:tcPr>
          <w:p w:rsidR="00D44012" w:rsidRPr="000F1490" w:rsidRDefault="00D44012" w:rsidP="00974628">
            <w:pPr>
              <w:jc w:val="center"/>
            </w:pPr>
            <w:r w:rsidRPr="000F1490">
              <w:t>4</w:t>
            </w:r>
          </w:p>
        </w:tc>
        <w:tc>
          <w:tcPr>
            <w:tcW w:w="1984" w:type="dxa"/>
            <w:hideMark/>
          </w:tcPr>
          <w:p w:rsidR="00D44012" w:rsidRPr="000F1490" w:rsidRDefault="00D44012" w:rsidP="00974628">
            <w:pPr>
              <w:jc w:val="center"/>
            </w:pPr>
            <w:r w:rsidRPr="000F1490">
              <w:t>0</w:t>
            </w:r>
          </w:p>
        </w:tc>
        <w:tc>
          <w:tcPr>
            <w:tcW w:w="1984" w:type="dxa"/>
            <w:hideMark/>
          </w:tcPr>
          <w:p w:rsidR="00D44012" w:rsidRPr="000F1490" w:rsidRDefault="00D44012" w:rsidP="00974628">
            <w:pPr>
              <w:jc w:val="center"/>
            </w:pPr>
            <w:r w:rsidRPr="000F1490">
              <w:t>4</w:t>
            </w:r>
          </w:p>
        </w:tc>
      </w:tr>
      <w:tr w:rsidR="00D44012" w:rsidRPr="000F1490" w:rsidTr="00974628">
        <w:trPr>
          <w:trHeight w:val="57"/>
          <w:jc w:val="center"/>
        </w:trPr>
        <w:tc>
          <w:tcPr>
            <w:tcW w:w="1871" w:type="dxa"/>
            <w:tcBorders>
              <w:left w:val="nil"/>
              <w:right w:val="nil"/>
            </w:tcBorders>
            <w:shd w:val="clear" w:color="auto" w:fill="D2EAF1"/>
            <w:hideMark/>
          </w:tcPr>
          <w:p w:rsidR="00D44012" w:rsidRPr="000F1490" w:rsidRDefault="00ED10FC" w:rsidP="00974628">
            <w:pPr>
              <w:jc w:val="center"/>
            </w:pPr>
            <w:r>
              <w:t>20</w:t>
            </w:r>
            <w:r w:rsidR="00D44012" w:rsidRPr="000F1490">
              <w:t>09</w:t>
            </w: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D2EAF1"/>
            <w:hideMark/>
          </w:tcPr>
          <w:p w:rsidR="00D44012" w:rsidRPr="000F1490" w:rsidRDefault="00D44012" w:rsidP="00974628">
            <w:pPr>
              <w:jc w:val="center"/>
            </w:pPr>
            <w:r w:rsidRPr="000F1490">
              <w:t>4</w:t>
            </w: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D2EAF1"/>
            <w:hideMark/>
          </w:tcPr>
          <w:p w:rsidR="00D44012" w:rsidRPr="000F1490" w:rsidRDefault="00D44012" w:rsidP="00974628">
            <w:pPr>
              <w:jc w:val="center"/>
            </w:pPr>
            <w:r w:rsidRPr="000F1490">
              <w:t>1</w:t>
            </w: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D2EAF1"/>
            <w:hideMark/>
          </w:tcPr>
          <w:p w:rsidR="00D44012" w:rsidRPr="000F1490" w:rsidRDefault="00D44012" w:rsidP="00974628">
            <w:pPr>
              <w:jc w:val="center"/>
            </w:pPr>
            <w:r w:rsidRPr="000F1490">
              <w:t>3</w:t>
            </w:r>
          </w:p>
        </w:tc>
      </w:tr>
      <w:tr w:rsidR="00D44012" w:rsidRPr="000F1490" w:rsidTr="00974628">
        <w:trPr>
          <w:trHeight w:val="57"/>
          <w:jc w:val="center"/>
        </w:trPr>
        <w:tc>
          <w:tcPr>
            <w:tcW w:w="1871" w:type="dxa"/>
            <w:hideMark/>
          </w:tcPr>
          <w:p w:rsidR="00D44012" w:rsidRPr="000F1490" w:rsidRDefault="00ED10FC" w:rsidP="00974628">
            <w:pPr>
              <w:jc w:val="center"/>
            </w:pPr>
            <w:r>
              <w:t>20</w:t>
            </w:r>
            <w:r w:rsidR="00D44012" w:rsidRPr="000F1490">
              <w:t>10</w:t>
            </w:r>
          </w:p>
        </w:tc>
        <w:tc>
          <w:tcPr>
            <w:tcW w:w="1984" w:type="dxa"/>
            <w:hideMark/>
          </w:tcPr>
          <w:p w:rsidR="00D44012" w:rsidRPr="000F1490" w:rsidRDefault="00D44012" w:rsidP="00974628">
            <w:pPr>
              <w:jc w:val="center"/>
            </w:pPr>
            <w:r w:rsidRPr="000F1490">
              <w:t>3</w:t>
            </w:r>
          </w:p>
        </w:tc>
        <w:tc>
          <w:tcPr>
            <w:tcW w:w="1984" w:type="dxa"/>
            <w:hideMark/>
          </w:tcPr>
          <w:p w:rsidR="00D44012" w:rsidRPr="000F1490" w:rsidRDefault="00D44012" w:rsidP="00974628">
            <w:pPr>
              <w:jc w:val="center"/>
            </w:pPr>
            <w:r w:rsidRPr="000F1490">
              <w:t>0</w:t>
            </w:r>
          </w:p>
        </w:tc>
        <w:tc>
          <w:tcPr>
            <w:tcW w:w="1984" w:type="dxa"/>
            <w:hideMark/>
          </w:tcPr>
          <w:p w:rsidR="00D44012" w:rsidRPr="000F1490" w:rsidRDefault="00D44012" w:rsidP="00974628">
            <w:pPr>
              <w:jc w:val="center"/>
            </w:pPr>
            <w:r w:rsidRPr="000F1490">
              <w:t>3</w:t>
            </w:r>
          </w:p>
        </w:tc>
      </w:tr>
      <w:tr w:rsidR="00D44012" w:rsidRPr="000F1490" w:rsidTr="00974628">
        <w:trPr>
          <w:trHeight w:val="57"/>
          <w:jc w:val="center"/>
        </w:trPr>
        <w:tc>
          <w:tcPr>
            <w:tcW w:w="1871" w:type="dxa"/>
            <w:tcBorders>
              <w:left w:val="nil"/>
              <w:right w:val="nil"/>
            </w:tcBorders>
            <w:shd w:val="clear" w:color="auto" w:fill="D2EAF1"/>
            <w:hideMark/>
          </w:tcPr>
          <w:p w:rsidR="00D44012" w:rsidRPr="000F1490" w:rsidRDefault="00ED10FC" w:rsidP="00974628">
            <w:pPr>
              <w:jc w:val="center"/>
            </w:pPr>
            <w:r>
              <w:t>20</w:t>
            </w:r>
            <w:r w:rsidR="00D44012" w:rsidRPr="000F1490">
              <w:t>11</w:t>
            </w: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D2EAF1"/>
            <w:hideMark/>
          </w:tcPr>
          <w:p w:rsidR="00D44012" w:rsidRPr="000F1490" w:rsidRDefault="00D44012" w:rsidP="00974628">
            <w:pPr>
              <w:jc w:val="center"/>
            </w:pPr>
            <w:r w:rsidRPr="000F1490">
              <w:t>2</w:t>
            </w: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D2EAF1"/>
            <w:hideMark/>
          </w:tcPr>
          <w:p w:rsidR="00D44012" w:rsidRPr="000F1490" w:rsidRDefault="00D44012" w:rsidP="00974628">
            <w:pPr>
              <w:jc w:val="center"/>
            </w:pPr>
            <w:r w:rsidRPr="000F1490">
              <w:t>0</w:t>
            </w: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D2EAF1"/>
            <w:hideMark/>
          </w:tcPr>
          <w:p w:rsidR="00D44012" w:rsidRPr="000F1490" w:rsidRDefault="00D44012" w:rsidP="00974628">
            <w:pPr>
              <w:jc w:val="center"/>
            </w:pPr>
            <w:r w:rsidRPr="000F1490">
              <w:t>2</w:t>
            </w:r>
          </w:p>
        </w:tc>
      </w:tr>
      <w:tr w:rsidR="00D44012" w:rsidRPr="000F1490" w:rsidTr="00974628">
        <w:trPr>
          <w:trHeight w:val="57"/>
          <w:jc w:val="center"/>
        </w:trPr>
        <w:tc>
          <w:tcPr>
            <w:tcW w:w="1871" w:type="dxa"/>
            <w:hideMark/>
          </w:tcPr>
          <w:p w:rsidR="00D44012" w:rsidRPr="000F1490" w:rsidRDefault="00ED10FC" w:rsidP="00974628">
            <w:pPr>
              <w:jc w:val="center"/>
            </w:pPr>
            <w:r>
              <w:t>20</w:t>
            </w:r>
            <w:r w:rsidR="00D44012" w:rsidRPr="000F1490">
              <w:t>12</w:t>
            </w:r>
          </w:p>
        </w:tc>
        <w:tc>
          <w:tcPr>
            <w:tcW w:w="1984" w:type="dxa"/>
            <w:hideMark/>
          </w:tcPr>
          <w:p w:rsidR="00D44012" w:rsidRPr="000F1490" w:rsidRDefault="00D44012" w:rsidP="00974628">
            <w:pPr>
              <w:jc w:val="center"/>
            </w:pPr>
            <w:r w:rsidRPr="000F1490">
              <w:t>2</w:t>
            </w:r>
          </w:p>
        </w:tc>
        <w:tc>
          <w:tcPr>
            <w:tcW w:w="1984" w:type="dxa"/>
            <w:hideMark/>
          </w:tcPr>
          <w:p w:rsidR="00D44012" w:rsidRPr="000F1490" w:rsidRDefault="00D44012" w:rsidP="00974628">
            <w:pPr>
              <w:jc w:val="center"/>
            </w:pPr>
            <w:r w:rsidRPr="000F1490">
              <w:t>2</w:t>
            </w:r>
          </w:p>
        </w:tc>
        <w:tc>
          <w:tcPr>
            <w:tcW w:w="1984" w:type="dxa"/>
            <w:hideMark/>
          </w:tcPr>
          <w:p w:rsidR="00D44012" w:rsidRPr="000F1490" w:rsidRDefault="00D44012" w:rsidP="00974628">
            <w:pPr>
              <w:jc w:val="center"/>
            </w:pPr>
            <w:r w:rsidRPr="000F1490">
              <w:t>0</w:t>
            </w:r>
          </w:p>
        </w:tc>
      </w:tr>
      <w:tr w:rsidR="00D44012" w:rsidRPr="000F1490" w:rsidTr="00974628">
        <w:trPr>
          <w:trHeight w:val="57"/>
          <w:jc w:val="center"/>
        </w:trPr>
        <w:tc>
          <w:tcPr>
            <w:tcW w:w="1871" w:type="dxa"/>
          </w:tcPr>
          <w:p w:rsidR="00D44012" w:rsidRPr="000F1490" w:rsidRDefault="00ED10FC" w:rsidP="00974628">
            <w:pPr>
              <w:jc w:val="center"/>
            </w:pPr>
            <w:r>
              <w:t>20</w:t>
            </w:r>
            <w:r w:rsidR="00D44012" w:rsidRPr="000F1490">
              <w:t>1</w:t>
            </w:r>
            <w:r w:rsidR="00D44012" w:rsidRPr="000F1490">
              <w:rPr>
                <w:rFonts w:hint="eastAsia"/>
              </w:rPr>
              <w:t>3</w:t>
            </w:r>
          </w:p>
        </w:tc>
        <w:tc>
          <w:tcPr>
            <w:tcW w:w="1984" w:type="dxa"/>
          </w:tcPr>
          <w:p w:rsidR="00D44012" w:rsidRPr="000F1490" w:rsidRDefault="00D44012" w:rsidP="00974628">
            <w:pPr>
              <w:jc w:val="center"/>
            </w:pPr>
            <w:r w:rsidRPr="000F1490">
              <w:rPr>
                <w:rFonts w:hint="eastAsia"/>
              </w:rPr>
              <w:t>3</w:t>
            </w:r>
          </w:p>
        </w:tc>
        <w:tc>
          <w:tcPr>
            <w:tcW w:w="1984" w:type="dxa"/>
          </w:tcPr>
          <w:p w:rsidR="00D44012" w:rsidRPr="000F1490" w:rsidRDefault="00D44012" w:rsidP="00974628">
            <w:pPr>
              <w:jc w:val="center"/>
            </w:pPr>
            <w:r w:rsidRPr="000F1490">
              <w:rPr>
                <w:rFonts w:hint="eastAsia"/>
              </w:rPr>
              <w:t>2</w:t>
            </w:r>
          </w:p>
        </w:tc>
        <w:tc>
          <w:tcPr>
            <w:tcW w:w="1984" w:type="dxa"/>
          </w:tcPr>
          <w:p w:rsidR="00D44012" w:rsidRPr="000F1490" w:rsidRDefault="00D44012" w:rsidP="00974628">
            <w:pPr>
              <w:jc w:val="center"/>
            </w:pPr>
            <w:r w:rsidRPr="000F1490">
              <w:rPr>
                <w:rFonts w:hint="eastAsia"/>
              </w:rPr>
              <w:t>1</w:t>
            </w:r>
          </w:p>
        </w:tc>
      </w:tr>
      <w:tr w:rsidR="00D44012" w:rsidRPr="000F1490" w:rsidTr="00974628">
        <w:trPr>
          <w:trHeight w:val="204"/>
          <w:jc w:val="center"/>
        </w:trPr>
        <w:tc>
          <w:tcPr>
            <w:tcW w:w="1871" w:type="dxa"/>
            <w:tcBorders>
              <w:left w:val="nil"/>
              <w:right w:val="nil"/>
            </w:tcBorders>
            <w:shd w:val="clear" w:color="auto" w:fill="D2EAF1"/>
            <w:hideMark/>
          </w:tcPr>
          <w:p w:rsidR="00D44012" w:rsidRPr="000F1490" w:rsidRDefault="00D44012" w:rsidP="00974628">
            <w:pPr>
              <w:jc w:val="center"/>
            </w:pPr>
            <w:r w:rsidRPr="000F1490">
              <w:rPr>
                <w:rFonts w:hint="eastAsia"/>
              </w:rPr>
              <w:t>Total</w:t>
            </w: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D2EAF1"/>
            <w:hideMark/>
          </w:tcPr>
          <w:p w:rsidR="00D44012" w:rsidRPr="000F1490" w:rsidRDefault="00D44012" w:rsidP="00974628">
            <w:pPr>
              <w:jc w:val="center"/>
            </w:pPr>
            <w:r w:rsidRPr="000F1490">
              <w:t>10</w:t>
            </w:r>
            <w:r w:rsidRPr="000F1490">
              <w:rPr>
                <w:rFonts w:hint="eastAsia"/>
              </w:rPr>
              <w:t>7</w:t>
            </w: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D2EAF1"/>
            <w:hideMark/>
          </w:tcPr>
          <w:p w:rsidR="00D44012" w:rsidRPr="000F1490" w:rsidRDefault="00D44012" w:rsidP="00974628">
            <w:pPr>
              <w:jc w:val="center"/>
            </w:pPr>
            <w:r w:rsidRPr="000F1490">
              <w:t>2</w:t>
            </w:r>
            <w:r w:rsidRPr="000F1490">
              <w:rPr>
                <w:rFonts w:hint="eastAsia"/>
              </w:rPr>
              <w:t>7</w:t>
            </w: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D2EAF1"/>
            <w:hideMark/>
          </w:tcPr>
          <w:p w:rsidR="00D44012" w:rsidRPr="000F1490" w:rsidRDefault="00D44012" w:rsidP="00974628">
            <w:pPr>
              <w:jc w:val="center"/>
            </w:pPr>
            <w:r w:rsidRPr="000F1490">
              <w:rPr>
                <w:rFonts w:hint="eastAsia"/>
              </w:rPr>
              <w:t>80</w:t>
            </w:r>
          </w:p>
        </w:tc>
      </w:tr>
    </w:tbl>
    <w:p w:rsidR="00D44012" w:rsidRPr="000F1490" w:rsidRDefault="00D44012" w:rsidP="00D44012"/>
    <w:p w:rsidR="00D44012" w:rsidRDefault="00D44012" w:rsidP="00D44012"/>
    <w:p w:rsidR="00D44012" w:rsidRPr="000F1490" w:rsidRDefault="00D44012" w:rsidP="00D44012"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C46D31">
        <w:t>El trabajo de mediació</w:t>
      </w:r>
      <w:r w:rsidRPr="000F1490">
        <w:t xml:space="preserve">n </w:t>
      </w:r>
      <w:r w:rsidR="00C46D31">
        <w:t>en el</w:t>
      </w:r>
      <w:r w:rsidRPr="000F1490">
        <w:t xml:space="preserve"> </w:t>
      </w:r>
      <w:r w:rsidRPr="000F1490">
        <w:rPr>
          <w:rFonts w:hint="eastAsia"/>
        </w:rPr>
        <w:t>IPRDMC</w:t>
      </w:r>
      <w:r w:rsidR="00C46D31">
        <w:t xml:space="preserve"> no es muy </w:t>
      </w:r>
      <w:r w:rsidR="009732EA">
        <w:t xml:space="preserve">dinámico.  Tras </w:t>
      </w:r>
      <w:r w:rsidR="00512EA7">
        <w:t>alcanzar la marca de </w:t>
      </w:r>
      <w:r w:rsidR="00C46D31">
        <w:t xml:space="preserve">15 </w:t>
      </w:r>
      <w:r w:rsidR="00C92984">
        <w:t>procedimientos</w:t>
      </w:r>
      <w:r w:rsidR="00C46D31">
        <w:t xml:space="preserve"> por año en 1998, comenzó a disminuir </w:t>
      </w:r>
      <w:r w:rsidR="009732EA">
        <w:t xml:space="preserve">a apenas </w:t>
      </w:r>
      <w:r w:rsidR="00C46D31">
        <w:t xml:space="preserve">dos o tres </w:t>
      </w:r>
      <w:r w:rsidR="00C92984">
        <w:t xml:space="preserve">procedimientos </w:t>
      </w:r>
      <w:r w:rsidR="00677370">
        <w:t>anuales</w:t>
      </w:r>
      <w:r w:rsidRPr="000F1490">
        <w:t xml:space="preserve">. </w:t>
      </w:r>
      <w:r>
        <w:t xml:space="preserve"> </w:t>
      </w:r>
      <w:r w:rsidR="007341B3">
        <w:t xml:space="preserve">En los últimos 19 años hubo </w:t>
      </w:r>
      <w:r w:rsidR="00403711">
        <w:t>sol</w:t>
      </w:r>
      <w:r w:rsidR="009732EA">
        <w:t>o</w:t>
      </w:r>
      <w:r w:rsidR="00403711">
        <w:t xml:space="preserve"> 27 </w:t>
      </w:r>
      <w:r w:rsidR="00C92984">
        <w:t>procedimientos de mediación</w:t>
      </w:r>
      <w:r w:rsidR="00403711">
        <w:t xml:space="preserve"> </w:t>
      </w:r>
      <w:r w:rsidR="007341B3">
        <w:t>que concluyeron con éxito</w:t>
      </w:r>
      <w:r w:rsidRPr="000F1490">
        <w:t xml:space="preserve">. </w:t>
      </w:r>
      <w:r>
        <w:t xml:space="preserve"> </w:t>
      </w:r>
      <w:r w:rsidR="007341B3">
        <w:t xml:space="preserve">Por ende, la </w:t>
      </w:r>
      <w:r>
        <w:t>KIPO</w:t>
      </w:r>
      <w:r w:rsidRPr="000F1490">
        <w:t xml:space="preserve"> </w:t>
      </w:r>
      <w:r w:rsidR="007341B3">
        <w:t xml:space="preserve">está interesada en </w:t>
      </w:r>
      <w:r w:rsidR="009732EA">
        <w:t>dar nuevo ímpetu a</w:t>
      </w:r>
      <w:r w:rsidR="007341B3">
        <w:t>l procedimiento de mediación</w:t>
      </w:r>
      <w:r w:rsidRPr="000F1490">
        <w:t>.</w:t>
      </w:r>
    </w:p>
    <w:p w:rsidR="00D44012" w:rsidRPr="000F1490" w:rsidRDefault="00D44012" w:rsidP="00D44012"/>
    <w:p w:rsidR="00D44012" w:rsidRPr="000F1490" w:rsidRDefault="00D44012" w:rsidP="00D44012"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AUTONUM </w:instrText>
      </w:r>
      <w:r>
        <w:instrText xml:space="preserve"> </w:instrText>
      </w:r>
      <w:r>
        <w:fldChar w:fldCharType="end"/>
      </w:r>
      <w:r>
        <w:tab/>
      </w:r>
      <w:r w:rsidR="00685280">
        <w:rPr>
          <w:rFonts w:hint="eastAsia"/>
        </w:rPr>
        <w:t>En primer lugar, la m</w:t>
      </w:r>
      <w:r w:rsidR="00685280">
        <w:t>ediación e</w:t>
      </w:r>
      <w:r w:rsidRPr="000F1490">
        <w:t>s voluntar</w:t>
      </w:r>
      <w:r w:rsidR="00685280">
        <w:t>ia, por lo que no puede llevar</w:t>
      </w:r>
      <w:r w:rsidR="009732EA">
        <w:t>se</w:t>
      </w:r>
      <w:r w:rsidR="00685280">
        <w:t xml:space="preserve"> adelante si alguna de las partes se niega a participar</w:t>
      </w:r>
      <w:r w:rsidRPr="000F1490">
        <w:t xml:space="preserve">. </w:t>
      </w:r>
      <w:r>
        <w:t xml:space="preserve"> </w:t>
      </w:r>
      <w:r w:rsidR="00B13532">
        <w:t>Asimismo, es posible que la propuesta de medi</w:t>
      </w:r>
      <w:r w:rsidR="00C92984">
        <w:t>a</w:t>
      </w:r>
      <w:r w:rsidR="00B13532">
        <w:t xml:space="preserve">ción no </w:t>
      </w:r>
      <w:r w:rsidR="009732EA">
        <w:t>se adopte</w:t>
      </w:r>
      <w:r w:rsidR="00B13532">
        <w:t xml:space="preserve"> si una de las partes no está de acuerdo con ella</w:t>
      </w:r>
      <w:r w:rsidRPr="000F1490">
        <w:t>.</w:t>
      </w:r>
    </w:p>
    <w:p w:rsidR="00D44012" w:rsidRPr="000F1490" w:rsidRDefault="00D44012" w:rsidP="00D44012"/>
    <w:p w:rsidR="00D44012" w:rsidRPr="000F1490" w:rsidRDefault="00D44012" w:rsidP="00D44012"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AUTONUM </w:instrText>
      </w:r>
      <w:r>
        <w:instrText xml:space="preserve"> </w:instrText>
      </w:r>
      <w:r>
        <w:fldChar w:fldCharType="end"/>
      </w:r>
      <w:r>
        <w:tab/>
      </w:r>
      <w:r w:rsidR="00C96F27">
        <w:rPr>
          <w:rFonts w:hint="eastAsia"/>
        </w:rPr>
        <w:t>En segundo lugar, es dif</w:t>
      </w:r>
      <w:r w:rsidR="00C96F27">
        <w:t xml:space="preserve">ícil probar </w:t>
      </w:r>
      <w:r w:rsidR="009732EA">
        <w:t>l</w:t>
      </w:r>
      <w:r w:rsidR="00C96F27">
        <w:t>a infracción del derecho de propiedad industrial, en comparación con otras infracciones</w:t>
      </w:r>
      <w:r w:rsidRPr="000F1490">
        <w:rPr>
          <w:rFonts w:hint="eastAsia"/>
        </w:rPr>
        <w:t xml:space="preserve">. </w:t>
      </w:r>
      <w:r>
        <w:t xml:space="preserve"> </w:t>
      </w:r>
      <w:r w:rsidR="00C96F27">
        <w:rPr>
          <w:rFonts w:hint="eastAsia"/>
        </w:rPr>
        <w:t>P</w:t>
      </w:r>
      <w:r w:rsidRPr="000F1490">
        <w:rPr>
          <w:rFonts w:hint="eastAsia"/>
        </w:rPr>
        <w:t>or e</w:t>
      </w:r>
      <w:r w:rsidR="00C96F27">
        <w:t>jemplo</w:t>
      </w:r>
      <w:r w:rsidR="00C96F27">
        <w:rPr>
          <w:rFonts w:hint="eastAsia"/>
        </w:rPr>
        <w:t>, una infracci</w:t>
      </w:r>
      <w:r w:rsidR="00C96F27">
        <w:t>ón del derecho de autor no es tan difícil de probar ya que descargar materiales en línea constituye, de por sí, una infracción</w:t>
      </w:r>
      <w:r w:rsidRPr="000F1490">
        <w:rPr>
          <w:rFonts w:hint="eastAsia"/>
        </w:rPr>
        <w:t xml:space="preserve">. </w:t>
      </w:r>
      <w:r>
        <w:t xml:space="preserve"> </w:t>
      </w:r>
      <w:r w:rsidR="003E35D3">
        <w:rPr>
          <w:rFonts w:hint="eastAsia"/>
        </w:rPr>
        <w:t>La mediaci</w:t>
      </w:r>
      <w:r w:rsidR="003E35D3">
        <w:t>ón se puede llevar a cabo si las partes están de acuerdo en los daños</w:t>
      </w:r>
      <w:r w:rsidRPr="000F1490">
        <w:rPr>
          <w:rFonts w:hint="eastAsia"/>
        </w:rPr>
        <w:t xml:space="preserve">. </w:t>
      </w:r>
      <w:r>
        <w:t xml:space="preserve"> </w:t>
      </w:r>
      <w:r w:rsidR="003E35D3">
        <w:rPr>
          <w:rFonts w:hint="eastAsia"/>
        </w:rPr>
        <w:t>No obstante, si una parte debe probar una infracci</w:t>
      </w:r>
      <w:r w:rsidR="003E35D3">
        <w:t>ón</w:t>
      </w:r>
      <w:r w:rsidR="003E35D3">
        <w:rPr>
          <w:rFonts w:hint="eastAsia"/>
        </w:rPr>
        <w:t>, no es f</w:t>
      </w:r>
      <w:r w:rsidR="003E35D3">
        <w:t xml:space="preserve">ácil lograr que la otra parte </w:t>
      </w:r>
      <w:r w:rsidR="00677370">
        <w:t xml:space="preserve">la </w:t>
      </w:r>
      <w:r w:rsidR="003E35D3">
        <w:t>admita y continúe con el proceso de mediación</w:t>
      </w:r>
      <w:r w:rsidRPr="000F1490">
        <w:rPr>
          <w:rFonts w:hint="eastAsia"/>
        </w:rPr>
        <w:t xml:space="preserve">. </w:t>
      </w:r>
    </w:p>
    <w:p w:rsidR="00D44012" w:rsidRPr="000F1490" w:rsidRDefault="00D44012" w:rsidP="00D44012"/>
    <w:p w:rsidR="00D44012" w:rsidRPr="000F1490" w:rsidRDefault="00D44012" w:rsidP="00512EA7"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AUTONUM </w:instrText>
      </w:r>
      <w:r>
        <w:instrText xml:space="preserve"> </w:instrText>
      </w:r>
      <w:r>
        <w:fldChar w:fldCharType="end"/>
      </w:r>
      <w:r>
        <w:tab/>
      </w:r>
      <w:r w:rsidR="008A2B02">
        <w:rPr>
          <w:rFonts w:hint="eastAsia"/>
        </w:rPr>
        <w:t>En tercer lugar</w:t>
      </w:r>
      <w:r w:rsidRPr="000F1490">
        <w:rPr>
          <w:rFonts w:hint="eastAsia"/>
        </w:rPr>
        <w:t xml:space="preserve">, </w:t>
      </w:r>
      <w:r w:rsidR="008A2B02">
        <w:t xml:space="preserve">el </w:t>
      </w:r>
      <w:r w:rsidR="008A2B02">
        <w:rPr>
          <w:rFonts w:hint="eastAsia"/>
        </w:rPr>
        <w:t xml:space="preserve">IPRDMC no entiende en controversias relativas a </w:t>
      </w:r>
      <w:r w:rsidR="008A2B02">
        <w:t>demandas</w:t>
      </w:r>
      <w:r w:rsidR="008A2B02">
        <w:rPr>
          <w:rFonts w:hint="eastAsia"/>
        </w:rPr>
        <w:t xml:space="preserve"> de invalidez, no infracci</w:t>
      </w:r>
      <w:r w:rsidR="00B514B3">
        <w:t>ón y no aplicabilidad</w:t>
      </w:r>
      <w:r w:rsidRPr="000F1490">
        <w:rPr>
          <w:rFonts w:hint="eastAsia"/>
        </w:rPr>
        <w:t xml:space="preserve">. </w:t>
      </w:r>
      <w:r>
        <w:t xml:space="preserve"> </w:t>
      </w:r>
      <w:r w:rsidR="009732EA">
        <w:t xml:space="preserve">Sin embargo, </w:t>
      </w:r>
      <w:r w:rsidR="00280B9A">
        <w:rPr>
          <w:rFonts w:hint="eastAsia"/>
        </w:rPr>
        <w:t xml:space="preserve">este tipo de </w:t>
      </w:r>
      <w:r w:rsidR="00677370">
        <w:t>reclamaciones suele</w:t>
      </w:r>
      <w:r w:rsidR="009732EA">
        <w:t xml:space="preserve"> </w:t>
      </w:r>
      <w:r w:rsidR="00677370">
        <w:t xml:space="preserve">ser objeto de diferencia </w:t>
      </w:r>
      <w:r w:rsidR="009732EA">
        <w:t xml:space="preserve">cuando hay una acción </w:t>
      </w:r>
      <w:r w:rsidR="00280B9A">
        <w:rPr>
          <w:rFonts w:hint="eastAsia"/>
        </w:rPr>
        <w:t>por infracci</w:t>
      </w:r>
      <w:r w:rsidR="00280B9A">
        <w:t>ón</w:t>
      </w:r>
      <w:r w:rsidRPr="000F1490">
        <w:rPr>
          <w:rFonts w:hint="eastAsia"/>
        </w:rPr>
        <w:t xml:space="preserve">. </w:t>
      </w:r>
      <w:r>
        <w:t xml:space="preserve"> </w:t>
      </w:r>
      <w:r w:rsidR="00280B9A">
        <w:rPr>
          <w:rFonts w:hint="eastAsia"/>
        </w:rPr>
        <w:t xml:space="preserve">De conformidad con la Ley de </w:t>
      </w:r>
      <w:r w:rsidR="009732EA">
        <w:t xml:space="preserve">Fomento </w:t>
      </w:r>
      <w:r w:rsidR="00280B9A">
        <w:t>de Invenciones</w:t>
      </w:r>
      <w:r w:rsidRPr="000F1490">
        <w:rPr>
          <w:rFonts w:hint="eastAsia"/>
        </w:rPr>
        <w:t xml:space="preserve">, </w:t>
      </w:r>
      <w:r w:rsidR="00280B9A">
        <w:t xml:space="preserve">el </w:t>
      </w:r>
      <w:r w:rsidR="007B2C28">
        <w:t>Tribunal de Patentes e</w:t>
      </w:r>
      <w:r w:rsidR="00280B9A">
        <w:t>s competente en estas controversias</w:t>
      </w:r>
      <w:r w:rsidR="004F77D4">
        <w:rPr>
          <w:rFonts w:hint="eastAsia"/>
        </w:rPr>
        <w:t>, porque atañen no sol</w:t>
      </w:r>
      <w:r w:rsidR="007B2C28">
        <w:t>o</w:t>
      </w:r>
      <w:r w:rsidR="004F77D4">
        <w:rPr>
          <w:rFonts w:hint="eastAsia"/>
        </w:rPr>
        <w:t xml:space="preserve"> a las </w:t>
      </w:r>
      <w:r w:rsidR="00B514B3">
        <w:t>partes en</w:t>
      </w:r>
      <w:r w:rsidR="004F77D4">
        <w:t xml:space="preserve"> la controversia, sino también</w:t>
      </w:r>
      <w:r w:rsidR="007B2C28">
        <w:t xml:space="preserve"> a un tercero que desea celebrar u</w:t>
      </w:r>
      <w:r w:rsidR="004F77D4">
        <w:t xml:space="preserve">n contrato de licencia </w:t>
      </w:r>
      <w:r w:rsidR="007B2C28">
        <w:t xml:space="preserve">sobre los </w:t>
      </w:r>
      <w:r w:rsidR="004F77D4">
        <w:t>derechos de propiedad industrial</w:t>
      </w:r>
      <w:r w:rsidRPr="000F1490">
        <w:rPr>
          <w:rFonts w:hint="eastAsia"/>
        </w:rPr>
        <w:t xml:space="preserve">. </w:t>
      </w:r>
      <w:r>
        <w:t xml:space="preserve"> </w:t>
      </w:r>
      <w:r w:rsidR="004F77D4">
        <w:rPr>
          <w:rFonts w:hint="eastAsia"/>
        </w:rPr>
        <w:t>Por esta raz</w:t>
      </w:r>
      <w:r w:rsidR="004F77D4">
        <w:t>ón, las demanda</w:t>
      </w:r>
      <w:r w:rsidR="00B514B3">
        <w:t xml:space="preserve">s de invalidez, no infracción y no aplicabilidad </w:t>
      </w:r>
      <w:r w:rsidR="004F77D4">
        <w:t>no pueden someterse a mediación</w:t>
      </w:r>
      <w:r w:rsidRPr="000F1490">
        <w:rPr>
          <w:rFonts w:hint="eastAsia"/>
        </w:rPr>
        <w:t>.</w:t>
      </w:r>
    </w:p>
    <w:p w:rsidR="00D44012" w:rsidRPr="000F1490" w:rsidRDefault="00D44012" w:rsidP="00D44012"/>
    <w:p w:rsidR="00D44012" w:rsidRPr="000F1490" w:rsidRDefault="00D44012" w:rsidP="00D44012"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AUTONUM </w:instrText>
      </w:r>
      <w:r>
        <w:instrText xml:space="preserve"> </w:instrText>
      </w:r>
      <w:r>
        <w:fldChar w:fldCharType="end"/>
      </w:r>
      <w:r>
        <w:tab/>
      </w:r>
      <w:r w:rsidR="00E10023">
        <w:rPr>
          <w:rFonts w:hint="eastAsia"/>
        </w:rPr>
        <w:t>En cuarto lugar</w:t>
      </w:r>
      <w:r w:rsidRPr="000F1490">
        <w:rPr>
          <w:rFonts w:hint="eastAsia"/>
        </w:rPr>
        <w:t xml:space="preserve">, </w:t>
      </w:r>
      <w:r w:rsidR="00E10023">
        <w:t>es posible que el</w:t>
      </w:r>
      <w:r w:rsidR="007B2C28">
        <w:t xml:space="preserve"> tribunal </w:t>
      </w:r>
      <w:r w:rsidR="00E10023">
        <w:t xml:space="preserve">disponga el pago de </w:t>
      </w:r>
      <w:r w:rsidR="007B2C28">
        <w:t xml:space="preserve">fuertes </w:t>
      </w:r>
      <w:r w:rsidR="00E10023">
        <w:t>sumas por daños y perjuicios</w:t>
      </w:r>
      <w:r w:rsidRPr="000F1490">
        <w:rPr>
          <w:rFonts w:hint="eastAsia"/>
        </w:rPr>
        <w:t xml:space="preserve">. </w:t>
      </w:r>
      <w:r>
        <w:t xml:space="preserve"> </w:t>
      </w:r>
      <w:r w:rsidR="00E10023">
        <w:rPr>
          <w:rFonts w:hint="eastAsia"/>
        </w:rPr>
        <w:t>Si se prueba la infracci</w:t>
      </w:r>
      <w:r w:rsidR="00E10023">
        <w:t>ón de los derechos de propiedad industrial</w:t>
      </w:r>
      <w:r w:rsidR="00E10023">
        <w:rPr>
          <w:rFonts w:hint="eastAsia"/>
        </w:rPr>
        <w:t xml:space="preserve">, </w:t>
      </w:r>
      <w:r w:rsidR="00E10023">
        <w:t xml:space="preserve">el monto de la reparación por </w:t>
      </w:r>
      <w:r w:rsidR="00E10023">
        <w:rPr>
          <w:rFonts w:hint="eastAsia"/>
        </w:rPr>
        <w:t xml:space="preserve">los daños y perjuicios puede </w:t>
      </w:r>
      <w:r w:rsidR="00677370">
        <w:t xml:space="preserve">ser </w:t>
      </w:r>
      <w:r w:rsidR="007B2C28">
        <w:t>cuantioso</w:t>
      </w:r>
      <w:r w:rsidRPr="000F1490">
        <w:rPr>
          <w:rFonts w:hint="eastAsia"/>
        </w:rPr>
        <w:t>.</w:t>
      </w:r>
      <w:r>
        <w:t xml:space="preserve"> </w:t>
      </w:r>
      <w:r w:rsidR="00E10023">
        <w:rPr>
          <w:rFonts w:hint="eastAsia"/>
        </w:rPr>
        <w:t xml:space="preserve"> E</w:t>
      </w:r>
      <w:r w:rsidRPr="000F1490">
        <w:rPr>
          <w:rFonts w:hint="eastAsia"/>
        </w:rPr>
        <w:t>n</w:t>
      </w:r>
      <w:r w:rsidR="00E10023">
        <w:t xml:space="preserve"> este caso, no es fácil que la parte ganadora acepte la propuesta de mediación</w:t>
      </w:r>
      <w:r w:rsidRPr="000F1490">
        <w:rPr>
          <w:rFonts w:hint="eastAsia"/>
        </w:rPr>
        <w:t xml:space="preserve">. </w:t>
      </w:r>
      <w:r>
        <w:t xml:space="preserve"> </w:t>
      </w:r>
      <w:r w:rsidR="00E10023">
        <w:rPr>
          <w:rFonts w:hint="eastAsia"/>
        </w:rPr>
        <w:t>L</w:t>
      </w:r>
      <w:r w:rsidR="00E10023">
        <w:t>os</w:t>
      </w:r>
      <w:r w:rsidR="00E10023">
        <w:rPr>
          <w:rFonts w:hint="eastAsia"/>
        </w:rPr>
        <w:t xml:space="preserve"> daños y perjuicios por una infracci</w:t>
      </w:r>
      <w:r w:rsidR="00E10023">
        <w:t>ón de derecho de autor, por otro lado</w:t>
      </w:r>
      <w:r w:rsidR="00E10023">
        <w:rPr>
          <w:rFonts w:hint="eastAsia"/>
        </w:rPr>
        <w:t>, son relativamente bajos, en comparaci</w:t>
      </w:r>
      <w:r w:rsidR="00E10023">
        <w:t>ón con los de propiedad industrial</w:t>
      </w:r>
      <w:r w:rsidRPr="000F1490">
        <w:rPr>
          <w:rFonts w:hint="eastAsia"/>
        </w:rPr>
        <w:t xml:space="preserve">. </w:t>
      </w:r>
      <w:r>
        <w:t xml:space="preserve"> </w:t>
      </w:r>
      <w:r w:rsidR="00E10023">
        <w:rPr>
          <w:rFonts w:hint="eastAsia"/>
        </w:rPr>
        <w:t>Esto tambi</w:t>
      </w:r>
      <w:r w:rsidR="00E10023">
        <w:t xml:space="preserve">én explica </w:t>
      </w:r>
      <w:r w:rsidR="007B2C28">
        <w:t xml:space="preserve">la gran cantidad de mediaciones celebradas en materia de </w:t>
      </w:r>
      <w:r w:rsidR="00E10023">
        <w:t>derecho de autor</w:t>
      </w:r>
      <w:r w:rsidRPr="000F1490">
        <w:rPr>
          <w:rFonts w:hint="eastAsia"/>
        </w:rPr>
        <w:t>.</w:t>
      </w:r>
    </w:p>
    <w:p w:rsidR="00D44012" w:rsidRDefault="00D44012" w:rsidP="00D44012"/>
    <w:p w:rsidR="00D44012" w:rsidRPr="000F1490" w:rsidRDefault="00D44012" w:rsidP="00512EA7">
      <w:pPr>
        <w:pStyle w:val="Heading1"/>
        <w:keepNext w:val="0"/>
        <w:numPr>
          <w:ilvl w:val="0"/>
          <w:numId w:val="7"/>
        </w:numPr>
        <w:ind w:left="567" w:hanging="567"/>
      </w:pPr>
      <w:r w:rsidRPr="000F1490">
        <w:t xml:space="preserve">Plan </w:t>
      </w:r>
      <w:r w:rsidR="0086217F">
        <w:t xml:space="preserve">PARA </w:t>
      </w:r>
      <w:r w:rsidR="007B2C28">
        <w:t xml:space="preserve">impulsar </w:t>
      </w:r>
      <w:r w:rsidR="0086217F">
        <w:t>LA MEDIACI</w:t>
      </w:r>
      <w:r w:rsidR="0086217F" w:rsidRPr="007157EA">
        <w:rPr>
          <w:lang w:val="es-ES_tradnl"/>
        </w:rPr>
        <w:t xml:space="preserve">ÓN EN LAS CONTROVERSIAS EN MATERIA DE </w:t>
      </w:r>
      <w:r w:rsidR="007B2C28" w:rsidRPr="007157EA">
        <w:rPr>
          <w:lang w:val="es-ES_tradnl"/>
        </w:rPr>
        <w:t xml:space="preserve">derechos de </w:t>
      </w:r>
      <w:r w:rsidR="0086217F" w:rsidRPr="007157EA">
        <w:rPr>
          <w:lang w:val="es-ES_tradnl"/>
        </w:rPr>
        <w:t>PROPIEDAD INDUSTRIAL</w:t>
      </w:r>
    </w:p>
    <w:p w:rsidR="00D44012" w:rsidRPr="000F1490" w:rsidRDefault="00D44012" w:rsidP="00D44012"/>
    <w:p w:rsidR="00D44012" w:rsidRPr="000F1490" w:rsidRDefault="00D44012" w:rsidP="00D44012"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7B2C28">
        <w:t xml:space="preserve">La </w:t>
      </w:r>
      <w:r w:rsidRPr="000F1490">
        <w:t xml:space="preserve">KIPO </w:t>
      </w:r>
      <w:r w:rsidR="00C82A6D">
        <w:t xml:space="preserve">aspira a </w:t>
      </w:r>
      <w:r w:rsidR="007B2C28">
        <w:t xml:space="preserve">dar impulso a </w:t>
      </w:r>
      <w:r w:rsidR="00C82A6D">
        <w:t xml:space="preserve">la mediación </w:t>
      </w:r>
      <w:r w:rsidR="009A4256">
        <w:t>en</w:t>
      </w:r>
      <w:r w:rsidR="00C82A6D">
        <w:t xml:space="preserve"> las controversias de propiedad industrial con el objeto de reducir los costos sociales, como los gastos excesivos que suponen los litigios, y promover </w:t>
      </w:r>
      <w:r w:rsidR="00677370">
        <w:t xml:space="preserve">una </w:t>
      </w:r>
      <w:r w:rsidR="00C82A6D">
        <w:t>solución de controversias entre las partes</w:t>
      </w:r>
      <w:r w:rsidR="006C038D" w:rsidRPr="006C038D">
        <w:t xml:space="preserve"> </w:t>
      </w:r>
      <w:r w:rsidR="006C038D">
        <w:t xml:space="preserve">de carácter </w:t>
      </w:r>
      <w:r w:rsidR="006C038D" w:rsidRPr="006C038D">
        <w:t xml:space="preserve">independiente y </w:t>
      </w:r>
      <w:r w:rsidR="006C038D">
        <w:t>fácil de tramitar</w:t>
      </w:r>
      <w:r w:rsidRPr="000F1490">
        <w:t>.</w:t>
      </w:r>
    </w:p>
    <w:p w:rsidR="00D44012" w:rsidRPr="000F1490" w:rsidRDefault="00D44012" w:rsidP="00D44012"/>
    <w:p w:rsidR="00D44012" w:rsidRPr="000F1490" w:rsidRDefault="00D44012" w:rsidP="00D44012"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7B2C28">
        <w:t xml:space="preserve">A </w:t>
      </w:r>
      <w:r w:rsidR="00407D6B">
        <w:t>este fin</w:t>
      </w:r>
      <w:r w:rsidR="00BA7F94">
        <w:t xml:space="preserve">, </w:t>
      </w:r>
      <w:r w:rsidR="007B2C28">
        <w:t xml:space="preserve">la </w:t>
      </w:r>
      <w:r w:rsidR="00BA7F94">
        <w:t xml:space="preserve">KIPO </w:t>
      </w:r>
      <w:r w:rsidR="007B2C28">
        <w:t xml:space="preserve">pretende </w:t>
      </w:r>
      <w:r w:rsidR="001775F8">
        <w:t xml:space="preserve">llevar adelante procedimientos de </w:t>
      </w:r>
      <w:r w:rsidR="007B2C28">
        <w:t>m</w:t>
      </w:r>
      <w:r w:rsidR="00BA7F94">
        <w:t xml:space="preserve">ediación </w:t>
      </w:r>
      <w:r w:rsidR="007B2C28">
        <w:t xml:space="preserve">con el </w:t>
      </w:r>
      <w:r w:rsidRPr="000F1490">
        <w:rPr>
          <w:rFonts w:hint="eastAsia"/>
        </w:rPr>
        <w:t>IPRDMC</w:t>
      </w:r>
      <w:r w:rsidR="00BA7F94">
        <w:t xml:space="preserve"> y l</w:t>
      </w:r>
      <w:r w:rsidR="007B2C28">
        <w:t>os tribunales</w:t>
      </w:r>
      <w:r w:rsidRPr="000F1490">
        <w:t>.</w:t>
      </w:r>
      <w:r w:rsidRPr="000F1490">
        <w:rPr>
          <w:rFonts w:hint="eastAsia"/>
        </w:rPr>
        <w:t xml:space="preserve"> </w:t>
      </w:r>
      <w:r>
        <w:t xml:space="preserve"> </w:t>
      </w:r>
      <w:r w:rsidR="007B2C28">
        <w:t xml:space="preserve">Conforme al sistema de </w:t>
      </w:r>
      <w:r w:rsidR="00BA7F94">
        <w:rPr>
          <w:rFonts w:hint="eastAsia"/>
        </w:rPr>
        <w:t>mediaci</w:t>
      </w:r>
      <w:r w:rsidR="007B2C28">
        <w:t>ón judicial, si un tribunal c</w:t>
      </w:r>
      <w:r w:rsidR="00BA7F94">
        <w:t xml:space="preserve">onsidera que entre las demandas </w:t>
      </w:r>
      <w:r w:rsidR="009A4256">
        <w:t xml:space="preserve">sometidas </w:t>
      </w:r>
      <w:r w:rsidR="007B2C28">
        <w:t xml:space="preserve">a su consideración hay asuntos </w:t>
      </w:r>
      <w:r w:rsidR="00BA7F94">
        <w:t xml:space="preserve">adecuados para </w:t>
      </w:r>
      <w:r w:rsidR="007B2C28">
        <w:t>someter</w:t>
      </w:r>
      <w:r w:rsidR="00BA7F94">
        <w:t xml:space="preserve"> a mediación, los</w:t>
      </w:r>
      <w:r w:rsidR="007B2C28">
        <w:t xml:space="preserve"> remite a un</w:t>
      </w:r>
      <w:r w:rsidR="00BA7F94">
        <w:t xml:space="preserve"> organismo exte</w:t>
      </w:r>
      <w:r w:rsidR="007B2C28">
        <w:t xml:space="preserve">rno para celebrar una </w:t>
      </w:r>
      <w:r w:rsidR="006C038D">
        <w:t xml:space="preserve">mediación antes de entablar </w:t>
      </w:r>
      <w:r w:rsidR="00BA7F94">
        <w:t>un juicio</w:t>
      </w:r>
      <w:r w:rsidRPr="000F1490">
        <w:t xml:space="preserve">. </w:t>
      </w:r>
      <w:r>
        <w:t xml:space="preserve"> </w:t>
      </w:r>
      <w:r w:rsidR="00BA7F94">
        <w:t xml:space="preserve">Si la mediación tiene éxito, la controversia se resuelve </w:t>
      </w:r>
      <w:r w:rsidR="009A4256">
        <w:t>de esa manera</w:t>
      </w:r>
      <w:r w:rsidR="001775F8">
        <w:t xml:space="preserve">, de lo contrario, el asunto pasa a litigio.  </w:t>
      </w:r>
      <w:r w:rsidR="0012696C">
        <w:t xml:space="preserve">Con el </w:t>
      </w:r>
      <w:r w:rsidR="001775F8">
        <w:t xml:space="preserve">fin </w:t>
      </w:r>
      <w:r w:rsidR="0012696C">
        <w:t>de promover la mediación</w:t>
      </w:r>
      <w:r w:rsidRPr="000F1490">
        <w:t xml:space="preserve">, </w:t>
      </w:r>
      <w:r w:rsidR="0012696C">
        <w:t xml:space="preserve">el </w:t>
      </w:r>
      <w:r w:rsidR="001775F8">
        <w:t>Tribunal del Distrito</w:t>
      </w:r>
      <w:r w:rsidR="006C038D">
        <w:t xml:space="preserve"> Central</w:t>
      </w:r>
      <w:r w:rsidR="001775F8">
        <w:t xml:space="preserve"> de </w:t>
      </w:r>
      <w:r w:rsidRPr="000F1490">
        <w:t>Se</w:t>
      </w:r>
      <w:r w:rsidR="009A4256">
        <w:t>úl</w:t>
      </w:r>
      <w:r w:rsidR="00384065">
        <w:t xml:space="preserve"> </w:t>
      </w:r>
      <w:r w:rsidR="009A4256">
        <w:t>(</w:t>
      </w:r>
      <w:r w:rsidR="00384065">
        <w:t>Corea</w:t>
      </w:r>
      <w:r w:rsidR="009A4256">
        <w:t>)</w:t>
      </w:r>
      <w:r w:rsidR="000B5446">
        <w:t xml:space="preserve"> actualmente</w:t>
      </w:r>
      <w:r w:rsidR="001775F8">
        <w:t xml:space="preserve"> celebra </w:t>
      </w:r>
      <w:r w:rsidR="000B5446">
        <w:t xml:space="preserve">mediaciones con más de 10 organismos externos de mediación </w:t>
      </w:r>
      <w:r w:rsidR="001775F8">
        <w:t>de</w:t>
      </w:r>
      <w:r w:rsidR="000B5446">
        <w:t xml:space="preserve"> controversias, como </w:t>
      </w:r>
      <w:r w:rsidR="001775F8">
        <w:t xml:space="preserve">la Comisión de </w:t>
      </w:r>
      <w:r w:rsidR="000B5446">
        <w:t xml:space="preserve">Derecho de Autor y </w:t>
      </w:r>
      <w:r w:rsidR="001775F8">
        <w:t xml:space="preserve">el </w:t>
      </w:r>
      <w:r w:rsidRPr="000F1490">
        <w:t>KCAB.</w:t>
      </w:r>
    </w:p>
    <w:p w:rsidR="00D44012" w:rsidRPr="000F1490" w:rsidRDefault="00D44012" w:rsidP="00D44012"/>
    <w:p w:rsidR="00D44012" w:rsidRPr="000F1490" w:rsidRDefault="00D44012" w:rsidP="00D44012"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7F72BB">
        <w:t>No obstante, como se explicó ante</w:t>
      </w:r>
      <w:r w:rsidR="001775F8">
        <w:t>s</w:t>
      </w:r>
      <w:r w:rsidR="007F72BB">
        <w:t xml:space="preserve">, a diferencia de otras </w:t>
      </w:r>
      <w:r w:rsidR="001775F8">
        <w:t xml:space="preserve">esferas </w:t>
      </w:r>
      <w:r w:rsidR="002A17B4">
        <w:t>de mediación, la mediación de</w:t>
      </w:r>
      <w:r w:rsidR="007F72BB">
        <w:t xml:space="preserve"> controversias </w:t>
      </w:r>
      <w:r w:rsidR="001775F8">
        <w:t xml:space="preserve">en materia de derechos </w:t>
      </w:r>
      <w:r w:rsidR="007F72BB">
        <w:t>de propiedad industrial</w:t>
      </w:r>
      <w:r w:rsidR="00806459">
        <w:t xml:space="preserve"> no es el mecanismo más apto para determinar </w:t>
      </w:r>
      <w:r w:rsidR="001775F8">
        <w:t xml:space="preserve">fácilmente </w:t>
      </w:r>
      <w:r w:rsidR="00806459">
        <w:t>infracciones que supongan grandes sumas de dinero.  Además, ciertos casos sencillamente no son adecuados para</w:t>
      </w:r>
      <w:r w:rsidR="001775F8">
        <w:t xml:space="preserve"> someter a </w:t>
      </w:r>
      <w:r w:rsidR="00806459">
        <w:t xml:space="preserve">mediación.  </w:t>
      </w:r>
      <w:r w:rsidR="001775F8">
        <w:t xml:space="preserve">En consecuencia, </w:t>
      </w:r>
      <w:r w:rsidR="00806459">
        <w:t>las partes prefieren zanjar sus diferencias por la vía judicial</w:t>
      </w:r>
      <w:r>
        <w:t xml:space="preserve">.  </w:t>
      </w:r>
      <w:r w:rsidR="001208AD">
        <w:t xml:space="preserve">Por lo tanto, es necesario ser cautelosos </w:t>
      </w:r>
      <w:r w:rsidR="006C038D">
        <w:t xml:space="preserve">al promover una </w:t>
      </w:r>
      <w:r w:rsidR="001208AD">
        <w:t>mediación por vía judicial</w:t>
      </w:r>
      <w:r w:rsidRPr="000F1490">
        <w:t xml:space="preserve">. </w:t>
      </w:r>
    </w:p>
    <w:p w:rsidR="00D44012" w:rsidRPr="000F1490" w:rsidRDefault="00D44012" w:rsidP="00D44012"/>
    <w:p w:rsidR="00D44012" w:rsidRPr="000F1490" w:rsidRDefault="00D44012" w:rsidP="00D44012">
      <w:r>
        <w:fldChar w:fldCharType="begin"/>
      </w:r>
      <w:r>
        <w:instrText xml:space="preserve"> AUTONUM  </w:instrText>
      </w:r>
      <w:r>
        <w:fldChar w:fldCharType="end"/>
      </w:r>
      <w:r>
        <w:tab/>
        <w:t>N</w:t>
      </w:r>
      <w:r w:rsidR="002A17B4">
        <w:t>o obstante, se ha ampliado la gama de opciones que tienen las partes al incluir como objeto de mediación no sol</w:t>
      </w:r>
      <w:r w:rsidR="00893522">
        <w:t>o las</w:t>
      </w:r>
      <w:r w:rsidR="002A17B4">
        <w:t xml:space="preserve"> controversias relativas a derechos de propiedad industrial ya inscritos, sino también </w:t>
      </w:r>
      <w:r w:rsidR="00893522">
        <w:t xml:space="preserve">a </w:t>
      </w:r>
      <w:r w:rsidR="006C038D">
        <w:t xml:space="preserve">los derechos de </w:t>
      </w:r>
      <w:r w:rsidR="00893522">
        <w:t xml:space="preserve">propiedad industrial y </w:t>
      </w:r>
      <w:r w:rsidR="006C038D">
        <w:t xml:space="preserve">los </w:t>
      </w:r>
      <w:r w:rsidR="00893522">
        <w:t>secretos comerciales en trámite</w:t>
      </w:r>
      <w:r w:rsidRPr="000F1490">
        <w:t>.</w:t>
      </w:r>
    </w:p>
    <w:p w:rsidR="00D44012" w:rsidRPr="000F1490" w:rsidRDefault="00D44012" w:rsidP="00D44012"/>
    <w:p w:rsidR="00D44012" w:rsidRPr="000F1490" w:rsidRDefault="00D44012" w:rsidP="00D44012"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0F1490">
        <w:t>Ad</w:t>
      </w:r>
      <w:r w:rsidR="00B977C5">
        <w:t>emás</w:t>
      </w:r>
      <w:r w:rsidRPr="000F1490">
        <w:t xml:space="preserve">, </w:t>
      </w:r>
      <w:r w:rsidR="00893522">
        <w:t xml:space="preserve">la </w:t>
      </w:r>
      <w:r>
        <w:t xml:space="preserve">KIPO </w:t>
      </w:r>
      <w:r w:rsidR="00893522">
        <w:t xml:space="preserve">proyecta </w:t>
      </w:r>
      <w:r w:rsidR="00B977C5">
        <w:t xml:space="preserve">fortalecer los conocimientos </w:t>
      </w:r>
      <w:r w:rsidR="00893522">
        <w:t xml:space="preserve">especializados </w:t>
      </w:r>
      <w:r w:rsidR="00B977C5">
        <w:t xml:space="preserve">sobre mediación y establecer y administrar una secretaría que brinde apoyo a la mediación de controversias, </w:t>
      </w:r>
      <w:r w:rsidR="006C038D">
        <w:t xml:space="preserve">y ofrezca por ejemplo servicios de </w:t>
      </w:r>
      <w:r w:rsidR="00B977C5">
        <w:t>consultas sobre controversias, investigación de controversias y redacción de propuestas de mediación</w:t>
      </w:r>
      <w:r w:rsidRPr="000F1490">
        <w:t>.</w:t>
      </w:r>
    </w:p>
    <w:p w:rsidR="00D44012" w:rsidRPr="000F1490" w:rsidRDefault="00D44012" w:rsidP="00D44012"/>
    <w:p w:rsidR="00D44012" w:rsidRPr="000F1490" w:rsidRDefault="00D44012" w:rsidP="00512EA7"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486A9D">
        <w:t xml:space="preserve">Asimismo, </w:t>
      </w:r>
      <w:r w:rsidR="00893522">
        <w:t xml:space="preserve">la </w:t>
      </w:r>
      <w:r w:rsidR="00486A9D">
        <w:t xml:space="preserve">KIPO </w:t>
      </w:r>
      <w:r w:rsidR="00893522">
        <w:t xml:space="preserve">se propone </w:t>
      </w:r>
      <w:r w:rsidR="00486A9D">
        <w:t>promover la solución de controversias de propiedad industrial a través de la mediación previa a</w:t>
      </w:r>
      <w:r w:rsidR="00893522">
        <w:t>l litigio m</w:t>
      </w:r>
      <w:r w:rsidR="00486A9D">
        <w:t xml:space="preserve">ediante la celebración de acuerdos de cooperación </w:t>
      </w:r>
      <w:r w:rsidR="00893522">
        <w:t xml:space="preserve">comercial </w:t>
      </w:r>
      <w:r w:rsidR="00486A9D">
        <w:t xml:space="preserve">con empresas y organizaciones que necesiten servicios de mediación, </w:t>
      </w:r>
      <w:r w:rsidR="00893522">
        <w:t xml:space="preserve">para </w:t>
      </w:r>
      <w:r w:rsidR="00433FB6">
        <w:t xml:space="preserve">que el público tenga mejor </w:t>
      </w:r>
      <w:r w:rsidR="00486A9D">
        <w:t xml:space="preserve">acceso </w:t>
      </w:r>
      <w:r w:rsidR="00433FB6">
        <w:t xml:space="preserve">a esos servicios </w:t>
      </w:r>
      <w:r w:rsidR="00486A9D">
        <w:t>y</w:t>
      </w:r>
      <w:r w:rsidR="00433FB6">
        <w:t xml:space="preserve"> comprenda su funcionamiento</w:t>
      </w:r>
      <w:r w:rsidRPr="000F1490">
        <w:t>.</w:t>
      </w:r>
    </w:p>
    <w:p w:rsidR="00D44012" w:rsidRDefault="00D44012" w:rsidP="00512EA7"/>
    <w:p w:rsidR="00D44012" w:rsidRDefault="00D44012" w:rsidP="00D44012"/>
    <w:p w:rsidR="00385AEB" w:rsidRPr="00FF41C3" w:rsidRDefault="0053603A" w:rsidP="00512EA7">
      <w:pPr>
        <w:pStyle w:val="Endofdocument-Annex"/>
        <w:rPr>
          <w:i/>
          <w:color w:val="000000"/>
          <w:szCs w:val="22"/>
          <w:lang w:val="es-ES_tradnl"/>
        </w:rPr>
      </w:pPr>
      <w:r>
        <w:t>[Fin del</w:t>
      </w:r>
      <w:r w:rsidR="00D44012">
        <w:t xml:space="preserve"> document</w:t>
      </w:r>
      <w:r>
        <w:t>o</w:t>
      </w:r>
      <w:r w:rsidR="00D44012">
        <w:t>]</w:t>
      </w:r>
      <w:r w:rsidR="00385AEB" w:rsidRPr="00FF41C3">
        <w:rPr>
          <w:i/>
          <w:color w:val="000000"/>
          <w:szCs w:val="22"/>
          <w:lang w:val="es-ES_tradnl"/>
        </w:rPr>
        <w:t xml:space="preserve"> </w:t>
      </w:r>
    </w:p>
    <w:p w:rsidR="008B2CC1" w:rsidRPr="0035027F" w:rsidRDefault="008B2CC1" w:rsidP="008B2CC1">
      <w:pPr>
        <w:rPr>
          <w:i/>
          <w:szCs w:val="22"/>
          <w:lang w:val="es-ES_tradnl"/>
        </w:rPr>
      </w:pPr>
    </w:p>
    <w:sectPr w:rsidR="008B2CC1" w:rsidRPr="0035027F" w:rsidSect="00512EA7">
      <w:headerReference w:type="default" r:id="rId12"/>
      <w:endnotePr>
        <w:numFmt w:val="decimal"/>
      </w:endnotePr>
      <w:pgSz w:w="11907" w:h="16840" w:code="9"/>
      <w:pgMar w:top="567" w:right="1134" w:bottom="1134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3B2" w:rsidRDefault="009053B2">
      <w:r>
        <w:separator/>
      </w:r>
    </w:p>
  </w:endnote>
  <w:endnote w:type="continuationSeparator" w:id="0">
    <w:p w:rsidR="009053B2" w:rsidRDefault="009053B2" w:rsidP="003B38C1">
      <w:r>
        <w:separator/>
      </w:r>
    </w:p>
    <w:p w:rsidR="009053B2" w:rsidRPr="00EA7492" w:rsidRDefault="009053B2" w:rsidP="003B38C1">
      <w:pPr>
        <w:spacing w:after="60"/>
        <w:rPr>
          <w:sz w:val="17"/>
          <w:lang w:val="en-US"/>
        </w:rPr>
      </w:pPr>
      <w:r w:rsidRPr="00EA7492">
        <w:rPr>
          <w:sz w:val="17"/>
          <w:lang w:val="en-US"/>
        </w:rPr>
        <w:t>[Endnote continued from previous page]</w:t>
      </w:r>
    </w:p>
  </w:endnote>
  <w:endnote w:type="continuationNotice" w:id="1">
    <w:p w:rsidR="009053B2" w:rsidRPr="00EA7492" w:rsidRDefault="009053B2" w:rsidP="003B38C1">
      <w:pPr>
        <w:spacing w:before="60"/>
        <w:jc w:val="right"/>
        <w:rPr>
          <w:sz w:val="17"/>
          <w:szCs w:val="17"/>
          <w:lang w:val="en-US"/>
        </w:rPr>
      </w:pPr>
      <w:r w:rsidRPr="00EA7492">
        <w:rPr>
          <w:sz w:val="17"/>
          <w:szCs w:val="17"/>
          <w:lang w:val="en-US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3B2" w:rsidRDefault="009053B2">
      <w:r>
        <w:separator/>
      </w:r>
    </w:p>
  </w:footnote>
  <w:footnote w:type="continuationSeparator" w:id="0">
    <w:p w:rsidR="009053B2" w:rsidRDefault="009053B2" w:rsidP="008B60B2">
      <w:r>
        <w:separator/>
      </w:r>
    </w:p>
    <w:p w:rsidR="009053B2" w:rsidRPr="00EA7492" w:rsidRDefault="009053B2" w:rsidP="008B60B2">
      <w:pPr>
        <w:spacing w:after="60"/>
        <w:rPr>
          <w:sz w:val="17"/>
          <w:szCs w:val="17"/>
          <w:lang w:val="en-US"/>
        </w:rPr>
      </w:pPr>
      <w:r w:rsidRPr="00EA7492">
        <w:rPr>
          <w:sz w:val="17"/>
          <w:szCs w:val="17"/>
          <w:lang w:val="en-US"/>
        </w:rPr>
        <w:t>[Footnote continued from previous page]</w:t>
      </w:r>
    </w:p>
  </w:footnote>
  <w:footnote w:type="continuationNotice" w:id="1">
    <w:p w:rsidR="009053B2" w:rsidRPr="00EA7492" w:rsidRDefault="009053B2" w:rsidP="008B60B2">
      <w:pPr>
        <w:spacing w:before="60"/>
        <w:jc w:val="right"/>
        <w:rPr>
          <w:sz w:val="17"/>
          <w:szCs w:val="17"/>
          <w:lang w:val="en-US"/>
        </w:rPr>
      </w:pPr>
      <w:r w:rsidRPr="00EA7492">
        <w:rPr>
          <w:sz w:val="17"/>
          <w:szCs w:val="17"/>
          <w:lang w:val="en-US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D8A" w:rsidRDefault="00824D8A" w:rsidP="00477D6B">
    <w:pPr>
      <w:jc w:val="right"/>
    </w:pPr>
    <w:bookmarkStart w:id="5" w:name="Code2"/>
    <w:bookmarkEnd w:id="5"/>
    <w:r>
      <w:t>WIPO/ACE/9/</w:t>
    </w:r>
    <w:r w:rsidR="007157EA">
      <w:t>7</w:t>
    </w:r>
  </w:p>
  <w:p w:rsidR="00824D8A" w:rsidRDefault="00824D8A" w:rsidP="00477D6B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0569BC">
      <w:rPr>
        <w:noProof/>
      </w:rPr>
      <w:t>5</w:t>
    </w:r>
    <w:r>
      <w:fldChar w:fldCharType="end"/>
    </w:r>
  </w:p>
  <w:p w:rsidR="00824D8A" w:rsidRDefault="00824D8A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0BA6D32"/>
    <w:multiLevelType w:val="hybridMultilevel"/>
    <w:tmpl w:val="4C06DB64"/>
    <w:lvl w:ilvl="0" w:tplc="8B22299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E9B"/>
    <w:rsid w:val="000163D9"/>
    <w:rsid w:val="00020C73"/>
    <w:rsid w:val="000268FF"/>
    <w:rsid w:val="000278A8"/>
    <w:rsid w:val="00027C92"/>
    <w:rsid w:val="00036386"/>
    <w:rsid w:val="000423B1"/>
    <w:rsid w:val="00043CAA"/>
    <w:rsid w:val="00046437"/>
    <w:rsid w:val="00055789"/>
    <w:rsid w:val="000569BC"/>
    <w:rsid w:val="00061D47"/>
    <w:rsid w:val="000635E6"/>
    <w:rsid w:val="00064B08"/>
    <w:rsid w:val="000743FF"/>
    <w:rsid w:val="00075432"/>
    <w:rsid w:val="0007796C"/>
    <w:rsid w:val="00091684"/>
    <w:rsid w:val="000968ED"/>
    <w:rsid w:val="00097BDE"/>
    <w:rsid w:val="000A21AF"/>
    <w:rsid w:val="000A65D4"/>
    <w:rsid w:val="000B5446"/>
    <w:rsid w:val="000B6EAB"/>
    <w:rsid w:val="000B78F0"/>
    <w:rsid w:val="000C1F51"/>
    <w:rsid w:val="000C21A1"/>
    <w:rsid w:val="000C5CBF"/>
    <w:rsid w:val="000E6A7D"/>
    <w:rsid w:val="000F5E56"/>
    <w:rsid w:val="00101E9E"/>
    <w:rsid w:val="00102603"/>
    <w:rsid w:val="001029A2"/>
    <w:rsid w:val="00104922"/>
    <w:rsid w:val="001208AD"/>
    <w:rsid w:val="00123F8B"/>
    <w:rsid w:val="0012696C"/>
    <w:rsid w:val="00130E91"/>
    <w:rsid w:val="001362EE"/>
    <w:rsid w:val="00136857"/>
    <w:rsid w:val="001437A6"/>
    <w:rsid w:val="00150342"/>
    <w:rsid w:val="00152153"/>
    <w:rsid w:val="001715DF"/>
    <w:rsid w:val="001728FE"/>
    <w:rsid w:val="001775F8"/>
    <w:rsid w:val="001832A6"/>
    <w:rsid w:val="00186995"/>
    <w:rsid w:val="001A38C2"/>
    <w:rsid w:val="001C29C7"/>
    <w:rsid w:val="001D30A1"/>
    <w:rsid w:val="001D4DCF"/>
    <w:rsid w:val="001E15B0"/>
    <w:rsid w:val="00202A5F"/>
    <w:rsid w:val="002032BC"/>
    <w:rsid w:val="00206F3F"/>
    <w:rsid w:val="002169EF"/>
    <w:rsid w:val="00217D81"/>
    <w:rsid w:val="002223BA"/>
    <w:rsid w:val="00230974"/>
    <w:rsid w:val="00234AC6"/>
    <w:rsid w:val="002429CB"/>
    <w:rsid w:val="002452CC"/>
    <w:rsid w:val="002552FB"/>
    <w:rsid w:val="002634C4"/>
    <w:rsid w:val="002750E2"/>
    <w:rsid w:val="00280B9A"/>
    <w:rsid w:val="002928D3"/>
    <w:rsid w:val="00295595"/>
    <w:rsid w:val="002A0F39"/>
    <w:rsid w:val="002A17B4"/>
    <w:rsid w:val="002B3029"/>
    <w:rsid w:val="002B59E9"/>
    <w:rsid w:val="002B5DE9"/>
    <w:rsid w:val="002C78F6"/>
    <w:rsid w:val="002D119E"/>
    <w:rsid w:val="002D3027"/>
    <w:rsid w:val="002D49FB"/>
    <w:rsid w:val="002E1985"/>
    <w:rsid w:val="002E2713"/>
    <w:rsid w:val="002E5613"/>
    <w:rsid w:val="002E6EA1"/>
    <w:rsid w:val="002F1FE6"/>
    <w:rsid w:val="002F4E68"/>
    <w:rsid w:val="002F66BB"/>
    <w:rsid w:val="002F7DF3"/>
    <w:rsid w:val="00303960"/>
    <w:rsid w:val="00304DB1"/>
    <w:rsid w:val="00312F7F"/>
    <w:rsid w:val="00320036"/>
    <w:rsid w:val="00326AA2"/>
    <w:rsid w:val="00332C35"/>
    <w:rsid w:val="003415F7"/>
    <w:rsid w:val="003462DA"/>
    <w:rsid w:val="0035027F"/>
    <w:rsid w:val="003533D7"/>
    <w:rsid w:val="0035539C"/>
    <w:rsid w:val="003557EA"/>
    <w:rsid w:val="00361450"/>
    <w:rsid w:val="003673CF"/>
    <w:rsid w:val="00377946"/>
    <w:rsid w:val="00383BBC"/>
    <w:rsid w:val="00384065"/>
    <w:rsid w:val="003845C1"/>
    <w:rsid w:val="00385AEB"/>
    <w:rsid w:val="00394561"/>
    <w:rsid w:val="003A1C65"/>
    <w:rsid w:val="003A32EB"/>
    <w:rsid w:val="003A6F89"/>
    <w:rsid w:val="003B38C1"/>
    <w:rsid w:val="003B621D"/>
    <w:rsid w:val="003B6FBB"/>
    <w:rsid w:val="003C1DE4"/>
    <w:rsid w:val="003C21DA"/>
    <w:rsid w:val="003C6733"/>
    <w:rsid w:val="003E35D3"/>
    <w:rsid w:val="00403711"/>
    <w:rsid w:val="00407D6B"/>
    <w:rsid w:val="00411089"/>
    <w:rsid w:val="004155BB"/>
    <w:rsid w:val="00415B99"/>
    <w:rsid w:val="00423E3E"/>
    <w:rsid w:val="00427AF4"/>
    <w:rsid w:val="00433FB6"/>
    <w:rsid w:val="004347D3"/>
    <w:rsid w:val="00446FD7"/>
    <w:rsid w:val="004546F3"/>
    <w:rsid w:val="0046143D"/>
    <w:rsid w:val="004647DA"/>
    <w:rsid w:val="0046658C"/>
    <w:rsid w:val="00472D1F"/>
    <w:rsid w:val="00474062"/>
    <w:rsid w:val="00477D6B"/>
    <w:rsid w:val="00486A9D"/>
    <w:rsid w:val="00494A50"/>
    <w:rsid w:val="004961A5"/>
    <w:rsid w:val="004975FD"/>
    <w:rsid w:val="004B5B33"/>
    <w:rsid w:val="004B6E6F"/>
    <w:rsid w:val="004C3858"/>
    <w:rsid w:val="004C39C6"/>
    <w:rsid w:val="004C6C50"/>
    <w:rsid w:val="004D0DF3"/>
    <w:rsid w:val="004D1EF3"/>
    <w:rsid w:val="004E1287"/>
    <w:rsid w:val="004F5A84"/>
    <w:rsid w:val="004F77D4"/>
    <w:rsid w:val="005019FF"/>
    <w:rsid w:val="00503B4E"/>
    <w:rsid w:val="00512698"/>
    <w:rsid w:val="00512CC9"/>
    <w:rsid w:val="00512EA7"/>
    <w:rsid w:val="00514BBD"/>
    <w:rsid w:val="005209F7"/>
    <w:rsid w:val="00522DE6"/>
    <w:rsid w:val="00523039"/>
    <w:rsid w:val="0053057A"/>
    <w:rsid w:val="00530B27"/>
    <w:rsid w:val="0053603A"/>
    <w:rsid w:val="00537F2D"/>
    <w:rsid w:val="00545FC5"/>
    <w:rsid w:val="00560041"/>
    <w:rsid w:val="00560A29"/>
    <w:rsid w:val="005610AA"/>
    <w:rsid w:val="00563CBB"/>
    <w:rsid w:val="00565847"/>
    <w:rsid w:val="005700E2"/>
    <w:rsid w:val="00573C03"/>
    <w:rsid w:val="005777CA"/>
    <w:rsid w:val="00580405"/>
    <w:rsid w:val="00585013"/>
    <w:rsid w:val="0059247C"/>
    <w:rsid w:val="005937D7"/>
    <w:rsid w:val="0059466C"/>
    <w:rsid w:val="005B4399"/>
    <w:rsid w:val="005B676F"/>
    <w:rsid w:val="005C55DC"/>
    <w:rsid w:val="005C6649"/>
    <w:rsid w:val="005C6E65"/>
    <w:rsid w:val="00605827"/>
    <w:rsid w:val="00606133"/>
    <w:rsid w:val="00611D81"/>
    <w:rsid w:val="0061612D"/>
    <w:rsid w:val="00622C5A"/>
    <w:rsid w:val="00623941"/>
    <w:rsid w:val="00646050"/>
    <w:rsid w:val="00653BD0"/>
    <w:rsid w:val="00656F47"/>
    <w:rsid w:val="006612EE"/>
    <w:rsid w:val="00662240"/>
    <w:rsid w:val="00667E0F"/>
    <w:rsid w:val="006713CA"/>
    <w:rsid w:val="00676C5C"/>
    <w:rsid w:val="00677370"/>
    <w:rsid w:val="00680998"/>
    <w:rsid w:val="00685280"/>
    <w:rsid w:val="00694F79"/>
    <w:rsid w:val="006A2038"/>
    <w:rsid w:val="006B1843"/>
    <w:rsid w:val="006B4FEF"/>
    <w:rsid w:val="006B50BC"/>
    <w:rsid w:val="006B59F5"/>
    <w:rsid w:val="006C038D"/>
    <w:rsid w:val="006C080F"/>
    <w:rsid w:val="006C59D2"/>
    <w:rsid w:val="006E3FE7"/>
    <w:rsid w:val="006E5669"/>
    <w:rsid w:val="006F1D2F"/>
    <w:rsid w:val="006F3883"/>
    <w:rsid w:val="00702719"/>
    <w:rsid w:val="007106B9"/>
    <w:rsid w:val="00712E9B"/>
    <w:rsid w:val="007157EA"/>
    <w:rsid w:val="007163CD"/>
    <w:rsid w:val="0071668D"/>
    <w:rsid w:val="00716BDF"/>
    <w:rsid w:val="007247E3"/>
    <w:rsid w:val="007341B3"/>
    <w:rsid w:val="007343D0"/>
    <w:rsid w:val="00745689"/>
    <w:rsid w:val="00750851"/>
    <w:rsid w:val="00770AC7"/>
    <w:rsid w:val="0079096F"/>
    <w:rsid w:val="007A6F87"/>
    <w:rsid w:val="007A7E4B"/>
    <w:rsid w:val="007B181D"/>
    <w:rsid w:val="007B2C28"/>
    <w:rsid w:val="007B4521"/>
    <w:rsid w:val="007B77EA"/>
    <w:rsid w:val="007D1613"/>
    <w:rsid w:val="007D4965"/>
    <w:rsid w:val="007D6132"/>
    <w:rsid w:val="007F6FED"/>
    <w:rsid w:val="007F72BB"/>
    <w:rsid w:val="00801DDD"/>
    <w:rsid w:val="00801E1B"/>
    <w:rsid w:val="0080220C"/>
    <w:rsid w:val="00803E43"/>
    <w:rsid w:val="00806459"/>
    <w:rsid w:val="00806B79"/>
    <w:rsid w:val="00815CD7"/>
    <w:rsid w:val="00823B24"/>
    <w:rsid w:val="00824D8A"/>
    <w:rsid w:val="00825F63"/>
    <w:rsid w:val="00833D2C"/>
    <w:rsid w:val="00856C45"/>
    <w:rsid w:val="00860D19"/>
    <w:rsid w:val="0086166C"/>
    <w:rsid w:val="00861729"/>
    <w:rsid w:val="0086217F"/>
    <w:rsid w:val="008657BD"/>
    <w:rsid w:val="00875178"/>
    <w:rsid w:val="00893522"/>
    <w:rsid w:val="008A2B02"/>
    <w:rsid w:val="008A3845"/>
    <w:rsid w:val="008B2CC1"/>
    <w:rsid w:val="008B60B2"/>
    <w:rsid w:val="008C17B5"/>
    <w:rsid w:val="008D0B02"/>
    <w:rsid w:val="008D54D8"/>
    <w:rsid w:val="008D73E9"/>
    <w:rsid w:val="008F103A"/>
    <w:rsid w:val="008F4E25"/>
    <w:rsid w:val="008F6BB2"/>
    <w:rsid w:val="00903015"/>
    <w:rsid w:val="009053B2"/>
    <w:rsid w:val="0090731E"/>
    <w:rsid w:val="00912589"/>
    <w:rsid w:val="00916EE2"/>
    <w:rsid w:val="0092323C"/>
    <w:rsid w:val="00932646"/>
    <w:rsid w:val="00933CC9"/>
    <w:rsid w:val="00935F52"/>
    <w:rsid w:val="00947BAC"/>
    <w:rsid w:val="00951A98"/>
    <w:rsid w:val="00951FB7"/>
    <w:rsid w:val="009577A7"/>
    <w:rsid w:val="009613D6"/>
    <w:rsid w:val="00965121"/>
    <w:rsid w:val="009665A5"/>
    <w:rsid w:val="00966A22"/>
    <w:rsid w:val="0096722F"/>
    <w:rsid w:val="00971713"/>
    <w:rsid w:val="009732EA"/>
    <w:rsid w:val="00974628"/>
    <w:rsid w:val="00976621"/>
    <w:rsid w:val="00980843"/>
    <w:rsid w:val="00980E04"/>
    <w:rsid w:val="009862DA"/>
    <w:rsid w:val="00996CFE"/>
    <w:rsid w:val="009971F4"/>
    <w:rsid w:val="009A096D"/>
    <w:rsid w:val="009A4256"/>
    <w:rsid w:val="009A644F"/>
    <w:rsid w:val="009D23EE"/>
    <w:rsid w:val="009D243C"/>
    <w:rsid w:val="009D4D15"/>
    <w:rsid w:val="009D7819"/>
    <w:rsid w:val="009E2791"/>
    <w:rsid w:val="009E27F1"/>
    <w:rsid w:val="009E3019"/>
    <w:rsid w:val="009E3F6F"/>
    <w:rsid w:val="009F35FD"/>
    <w:rsid w:val="009F499F"/>
    <w:rsid w:val="00A0733E"/>
    <w:rsid w:val="00A30459"/>
    <w:rsid w:val="00A3451B"/>
    <w:rsid w:val="00A36BCF"/>
    <w:rsid w:val="00A418FB"/>
    <w:rsid w:val="00A42DAF"/>
    <w:rsid w:val="00A45BD8"/>
    <w:rsid w:val="00A5656D"/>
    <w:rsid w:val="00A6059C"/>
    <w:rsid w:val="00A661C2"/>
    <w:rsid w:val="00A71783"/>
    <w:rsid w:val="00A734CB"/>
    <w:rsid w:val="00A75710"/>
    <w:rsid w:val="00A766B1"/>
    <w:rsid w:val="00A8548F"/>
    <w:rsid w:val="00A869B7"/>
    <w:rsid w:val="00A945E0"/>
    <w:rsid w:val="00A95384"/>
    <w:rsid w:val="00A95B5E"/>
    <w:rsid w:val="00AB5BE7"/>
    <w:rsid w:val="00AB7D28"/>
    <w:rsid w:val="00AC0D26"/>
    <w:rsid w:val="00AC205C"/>
    <w:rsid w:val="00AD7DE3"/>
    <w:rsid w:val="00AD7E4F"/>
    <w:rsid w:val="00AF0A6B"/>
    <w:rsid w:val="00AF3924"/>
    <w:rsid w:val="00B03257"/>
    <w:rsid w:val="00B05A69"/>
    <w:rsid w:val="00B05D0E"/>
    <w:rsid w:val="00B10FB7"/>
    <w:rsid w:val="00B13532"/>
    <w:rsid w:val="00B20015"/>
    <w:rsid w:val="00B20074"/>
    <w:rsid w:val="00B46631"/>
    <w:rsid w:val="00B50316"/>
    <w:rsid w:val="00B514B3"/>
    <w:rsid w:val="00B66E9E"/>
    <w:rsid w:val="00B66FEE"/>
    <w:rsid w:val="00B71C77"/>
    <w:rsid w:val="00B9734B"/>
    <w:rsid w:val="00B977C5"/>
    <w:rsid w:val="00BA3C35"/>
    <w:rsid w:val="00BA5670"/>
    <w:rsid w:val="00BA5733"/>
    <w:rsid w:val="00BA7F94"/>
    <w:rsid w:val="00BB04BA"/>
    <w:rsid w:val="00BC7457"/>
    <w:rsid w:val="00BD4A83"/>
    <w:rsid w:val="00BD4D41"/>
    <w:rsid w:val="00BD5047"/>
    <w:rsid w:val="00BF068D"/>
    <w:rsid w:val="00C11BFE"/>
    <w:rsid w:val="00C20FFF"/>
    <w:rsid w:val="00C21AA9"/>
    <w:rsid w:val="00C22EB2"/>
    <w:rsid w:val="00C31AD9"/>
    <w:rsid w:val="00C32197"/>
    <w:rsid w:val="00C37B89"/>
    <w:rsid w:val="00C46D31"/>
    <w:rsid w:val="00C56916"/>
    <w:rsid w:val="00C57E44"/>
    <w:rsid w:val="00C64FFE"/>
    <w:rsid w:val="00C6765C"/>
    <w:rsid w:val="00C705BA"/>
    <w:rsid w:val="00C73A12"/>
    <w:rsid w:val="00C74208"/>
    <w:rsid w:val="00C82A6D"/>
    <w:rsid w:val="00C91972"/>
    <w:rsid w:val="00C92984"/>
    <w:rsid w:val="00C968DB"/>
    <w:rsid w:val="00C96F27"/>
    <w:rsid w:val="00CB50C3"/>
    <w:rsid w:val="00CB5FFD"/>
    <w:rsid w:val="00CC1515"/>
    <w:rsid w:val="00CC5D3C"/>
    <w:rsid w:val="00CC73C0"/>
    <w:rsid w:val="00CD0C0E"/>
    <w:rsid w:val="00CD6E0A"/>
    <w:rsid w:val="00CE54BF"/>
    <w:rsid w:val="00CE68AD"/>
    <w:rsid w:val="00D014E2"/>
    <w:rsid w:val="00D111D5"/>
    <w:rsid w:val="00D11906"/>
    <w:rsid w:val="00D13C05"/>
    <w:rsid w:val="00D333C1"/>
    <w:rsid w:val="00D344E0"/>
    <w:rsid w:val="00D3511A"/>
    <w:rsid w:val="00D362A2"/>
    <w:rsid w:val="00D44012"/>
    <w:rsid w:val="00D45252"/>
    <w:rsid w:val="00D5173C"/>
    <w:rsid w:val="00D64C82"/>
    <w:rsid w:val="00D64FF3"/>
    <w:rsid w:val="00D67942"/>
    <w:rsid w:val="00D71B4D"/>
    <w:rsid w:val="00D812B7"/>
    <w:rsid w:val="00D93D55"/>
    <w:rsid w:val="00DA288D"/>
    <w:rsid w:val="00DA6FA7"/>
    <w:rsid w:val="00DA77C5"/>
    <w:rsid w:val="00DB1006"/>
    <w:rsid w:val="00DB16D1"/>
    <w:rsid w:val="00DC2076"/>
    <w:rsid w:val="00DC5569"/>
    <w:rsid w:val="00DC6065"/>
    <w:rsid w:val="00DE4040"/>
    <w:rsid w:val="00E045A9"/>
    <w:rsid w:val="00E04720"/>
    <w:rsid w:val="00E056EC"/>
    <w:rsid w:val="00E10023"/>
    <w:rsid w:val="00E14397"/>
    <w:rsid w:val="00E23522"/>
    <w:rsid w:val="00E335FE"/>
    <w:rsid w:val="00E43046"/>
    <w:rsid w:val="00E538C8"/>
    <w:rsid w:val="00E569CA"/>
    <w:rsid w:val="00E631EE"/>
    <w:rsid w:val="00E72CB1"/>
    <w:rsid w:val="00E82A4F"/>
    <w:rsid w:val="00E85FCA"/>
    <w:rsid w:val="00E93250"/>
    <w:rsid w:val="00E955F5"/>
    <w:rsid w:val="00E961C7"/>
    <w:rsid w:val="00E96B93"/>
    <w:rsid w:val="00E97CF7"/>
    <w:rsid w:val="00EA7492"/>
    <w:rsid w:val="00EB391D"/>
    <w:rsid w:val="00EB575D"/>
    <w:rsid w:val="00EC4E49"/>
    <w:rsid w:val="00EC6B5C"/>
    <w:rsid w:val="00ED10FC"/>
    <w:rsid w:val="00ED1A80"/>
    <w:rsid w:val="00ED4AB3"/>
    <w:rsid w:val="00ED77FB"/>
    <w:rsid w:val="00EE45FA"/>
    <w:rsid w:val="00EF28F6"/>
    <w:rsid w:val="00EF4EB4"/>
    <w:rsid w:val="00EF5B3A"/>
    <w:rsid w:val="00EF6437"/>
    <w:rsid w:val="00F010FB"/>
    <w:rsid w:val="00F05E53"/>
    <w:rsid w:val="00F1047B"/>
    <w:rsid w:val="00F108A1"/>
    <w:rsid w:val="00F136A8"/>
    <w:rsid w:val="00F14686"/>
    <w:rsid w:val="00F219FB"/>
    <w:rsid w:val="00F21FDF"/>
    <w:rsid w:val="00F32102"/>
    <w:rsid w:val="00F41953"/>
    <w:rsid w:val="00F6028F"/>
    <w:rsid w:val="00F6114D"/>
    <w:rsid w:val="00F63446"/>
    <w:rsid w:val="00F66152"/>
    <w:rsid w:val="00F812BA"/>
    <w:rsid w:val="00F906DF"/>
    <w:rsid w:val="00F922D2"/>
    <w:rsid w:val="00FA120C"/>
    <w:rsid w:val="00FA5B02"/>
    <w:rsid w:val="00FB47F2"/>
    <w:rsid w:val="00FC6031"/>
    <w:rsid w:val="00FD2806"/>
    <w:rsid w:val="00FD4CAE"/>
    <w:rsid w:val="00FE6778"/>
    <w:rsid w:val="00FF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8292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Meetingtitle">
    <w:name w:val="Meeting title"/>
    <w:basedOn w:val="Normal"/>
    <w:next w:val="Normal"/>
    <w:rsid w:val="00061D47"/>
    <w:pPr>
      <w:spacing w:line="336" w:lineRule="exact"/>
      <w:ind w:left="1021"/>
    </w:pPr>
    <w:rPr>
      <w:rFonts w:eastAsia="Batang" w:cs="Times New Roman"/>
      <w:b/>
      <w:sz w:val="28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Sessiontitle">
    <w:name w:val="Session title"/>
    <w:basedOn w:val="Meetingtitle"/>
    <w:next w:val="Meetingplacedate"/>
    <w:rsid w:val="00061D47"/>
    <w:pPr>
      <w:spacing w:before="480"/>
      <w:contextualSpacing/>
    </w:pPr>
    <w:rPr>
      <w:sz w:val="24"/>
    </w:rPr>
  </w:style>
  <w:style w:type="paragraph" w:customStyle="1" w:styleId="Meetingplacedate">
    <w:name w:val="Meeting place &amp; date"/>
    <w:basedOn w:val="Sessiontitle"/>
    <w:next w:val="Normal"/>
    <w:rsid w:val="00061D47"/>
    <w:pPr>
      <w:spacing w:before="0"/>
      <w:contextualSpacing w:val="0"/>
    </w:pPr>
  </w:style>
  <w:style w:type="paragraph" w:styleId="BalloonText">
    <w:name w:val="Balloon Text"/>
    <w:basedOn w:val="Normal"/>
    <w:link w:val="BalloonTextChar"/>
    <w:rsid w:val="00AB7D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B7D28"/>
    <w:rPr>
      <w:rFonts w:ascii="Tahoma" w:eastAsia="SimSun" w:hAnsi="Tahoma" w:cs="Tahoma"/>
      <w:sz w:val="16"/>
      <w:szCs w:val="16"/>
      <w:lang w:eastAsia="zh-CN"/>
    </w:rPr>
  </w:style>
  <w:style w:type="character" w:styleId="FootnoteReference">
    <w:name w:val="footnote reference"/>
    <w:basedOn w:val="DefaultParagraphFont"/>
    <w:uiPriority w:val="99"/>
    <w:unhideWhenUsed/>
    <w:rsid w:val="00F1468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14686"/>
    <w:rPr>
      <w:color w:val="0000FF"/>
      <w:u w:val="single"/>
    </w:rPr>
  </w:style>
  <w:style w:type="character" w:styleId="FollowedHyperlink">
    <w:name w:val="FollowedHyperlink"/>
    <w:basedOn w:val="DefaultParagraphFont"/>
    <w:rsid w:val="00A0733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44012"/>
    <w:pPr>
      <w:ind w:left="720"/>
      <w:contextualSpacing/>
    </w:pPr>
    <w:rPr>
      <w:lang w:val="en-US"/>
    </w:rPr>
  </w:style>
  <w:style w:type="character" w:styleId="CommentReference">
    <w:name w:val="annotation reference"/>
    <w:basedOn w:val="DefaultParagraphFont"/>
    <w:rsid w:val="002C78F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2C78F6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2C78F6"/>
    <w:rPr>
      <w:rFonts w:ascii="Arial" w:eastAsia="SimSun" w:hAnsi="Arial" w:cs="Arial"/>
      <w:sz w:val="18"/>
      <w:lang w:val="es-ES" w:eastAsia="zh-CN"/>
    </w:rPr>
  </w:style>
  <w:style w:type="character" w:customStyle="1" w:styleId="CommentSubjectChar">
    <w:name w:val="Comment Subject Char"/>
    <w:basedOn w:val="CommentTextChar"/>
    <w:link w:val="CommentSubject"/>
    <w:rsid w:val="002C78F6"/>
    <w:rPr>
      <w:rFonts w:ascii="Arial" w:eastAsia="SimSun" w:hAnsi="Arial" w:cs="Arial"/>
      <w:b/>
      <w:bCs/>
      <w:sz w:val="18"/>
      <w:lang w:val="es-E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Meetingtitle">
    <w:name w:val="Meeting title"/>
    <w:basedOn w:val="Normal"/>
    <w:next w:val="Normal"/>
    <w:rsid w:val="00061D47"/>
    <w:pPr>
      <w:spacing w:line="336" w:lineRule="exact"/>
      <w:ind w:left="1021"/>
    </w:pPr>
    <w:rPr>
      <w:rFonts w:eastAsia="Batang" w:cs="Times New Roman"/>
      <w:b/>
      <w:sz w:val="28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Sessiontitle">
    <w:name w:val="Session title"/>
    <w:basedOn w:val="Meetingtitle"/>
    <w:next w:val="Meetingplacedate"/>
    <w:rsid w:val="00061D47"/>
    <w:pPr>
      <w:spacing w:before="480"/>
      <w:contextualSpacing/>
    </w:pPr>
    <w:rPr>
      <w:sz w:val="24"/>
    </w:rPr>
  </w:style>
  <w:style w:type="paragraph" w:customStyle="1" w:styleId="Meetingplacedate">
    <w:name w:val="Meeting place &amp; date"/>
    <w:basedOn w:val="Sessiontitle"/>
    <w:next w:val="Normal"/>
    <w:rsid w:val="00061D47"/>
    <w:pPr>
      <w:spacing w:before="0"/>
      <w:contextualSpacing w:val="0"/>
    </w:pPr>
  </w:style>
  <w:style w:type="paragraph" w:styleId="BalloonText">
    <w:name w:val="Balloon Text"/>
    <w:basedOn w:val="Normal"/>
    <w:link w:val="BalloonTextChar"/>
    <w:rsid w:val="00AB7D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B7D28"/>
    <w:rPr>
      <w:rFonts w:ascii="Tahoma" w:eastAsia="SimSun" w:hAnsi="Tahoma" w:cs="Tahoma"/>
      <w:sz w:val="16"/>
      <w:szCs w:val="16"/>
      <w:lang w:eastAsia="zh-CN"/>
    </w:rPr>
  </w:style>
  <w:style w:type="character" w:styleId="FootnoteReference">
    <w:name w:val="footnote reference"/>
    <w:basedOn w:val="DefaultParagraphFont"/>
    <w:uiPriority w:val="99"/>
    <w:unhideWhenUsed/>
    <w:rsid w:val="00F1468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14686"/>
    <w:rPr>
      <w:color w:val="0000FF"/>
      <w:u w:val="single"/>
    </w:rPr>
  </w:style>
  <w:style w:type="character" w:styleId="FollowedHyperlink">
    <w:name w:val="FollowedHyperlink"/>
    <w:basedOn w:val="DefaultParagraphFont"/>
    <w:rsid w:val="00A0733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44012"/>
    <w:pPr>
      <w:ind w:left="720"/>
      <w:contextualSpacing/>
    </w:pPr>
    <w:rPr>
      <w:lang w:val="en-US"/>
    </w:rPr>
  </w:style>
  <w:style w:type="character" w:styleId="CommentReference">
    <w:name w:val="annotation reference"/>
    <w:basedOn w:val="DefaultParagraphFont"/>
    <w:rsid w:val="002C78F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2C78F6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2C78F6"/>
    <w:rPr>
      <w:rFonts w:ascii="Arial" w:eastAsia="SimSun" w:hAnsi="Arial" w:cs="Arial"/>
      <w:sz w:val="18"/>
      <w:lang w:val="es-ES" w:eastAsia="zh-CN"/>
    </w:rPr>
  </w:style>
  <w:style w:type="character" w:customStyle="1" w:styleId="CommentSubjectChar">
    <w:name w:val="Comment Subject Char"/>
    <w:basedOn w:val="CommentTextChar"/>
    <w:link w:val="CommentSubject"/>
    <w:rsid w:val="002C78F6"/>
    <w:rPr>
      <w:rFonts w:ascii="Arial" w:eastAsia="SimSun" w:hAnsi="Arial" w:cs="Arial"/>
      <w:b/>
      <w:bCs/>
      <w:sz w:val="18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http://www.kcab.or.kr/jsp/kcab_eng/index.js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F4D0A-56DA-480F-898F-096B8E3BF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1796</Words>
  <Characters>10238</Characters>
  <Application>Microsoft Office Word</Application>
  <DocSecurity>0</DocSecurity>
  <Lines>85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WIPO/ACE/9/7</vt:lpstr>
      <vt:lpstr>WIPO/ACE/9/</vt:lpstr>
    </vt:vector>
  </TitlesOfParts>
  <Company>WIPO</Company>
  <LinksUpToDate>false</LinksUpToDate>
  <CharactersWithSpaces>12010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WIPO/ACE/9/7</dc:title>
  <dc:creator>a</dc:creator>
  <dc:description>IC (trad. ext.) - Rev. JC_x000d_
10.02.14</dc:description>
  <cp:lastModifiedBy>ZEPEDA LEISTENSCHNEIDER Verónica</cp:lastModifiedBy>
  <cp:revision>17</cp:revision>
  <cp:lastPrinted>2014-02-17T16:29:00Z</cp:lastPrinted>
  <dcterms:created xsi:type="dcterms:W3CDTF">2014-02-17T16:23:00Z</dcterms:created>
  <dcterms:modified xsi:type="dcterms:W3CDTF">2014-02-18T09:12:00Z</dcterms:modified>
</cp:coreProperties>
</file>