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D0850" w:rsidRPr="009365E7" w:rsidTr="008240C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D0850" w:rsidRPr="009365E7" w:rsidRDefault="009D0850" w:rsidP="009D0850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0850" w:rsidRPr="009365E7" w:rsidRDefault="00B37F0E" w:rsidP="009D0850">
            <w:pPr>
              <w:rPr>
                <w:lang w:val="fr-FR"/>
              </w:rPr>
            </w:pPr>
            <w:r w:rsidRPr="009365E7">
              <w:rPr>
                <w:noProof/>
                <w:lang w:val="en-US" w:eastAsia="en-US"/>
              </w:rPr>
              <w:drawing>
                <wp:inline distT="0" distB="0" distL="0" distR="0" wp14:anchorId="38C0F201" wp14:editId="5D10E1F5">
                  <wp:extent cx="1854835" cy="132016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0850" w:rsidRPr="009365E7" w:rsidRDefault="00261CC5" w:rsidP="009D0850">
            <w:pPr>
              <w:jc w:val="right"/>
              <w:rPr>
                <w:lang w:val="fr-FR"/>
              </w:rPr>
            </w:pPr>
            <w:r w:rsidRPr="009365E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D0850" w:rsidRPr="009365E7" w:rsidTr="009D085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D0850" w:rsidRPr="009365E7" w:rsidRDefault="0091025D" w:rsidP="00C9397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365E7">
              <w:rPr>
                <w:rFonts w:ascii="Arial Black" w:hAnsi="Arial Black"/>
                <w:caps/>
                <w:sz w:val="15"/>
                <w:lang w:val="fr-FR"/>
              </w:rPr>
              <w:t>cdip/1</w:t>
            </w:r>
            <w:r w:rsidR="00C93979" w:rsidRPr="009365E7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Pr="009365E7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C93979" w:rsidRPr="009365E7">
              <w:rPr>
                <w:rFonts w:ascii="Arial Black" w:hAnsi="Arial Black"/>
                <w:caps/>
                <w:sz w:val="15"/>
                <w:lang w:val="fr-FR"/>
              </w:rPr>
              <w:t>11</w:t>
            </w:r>
            <w:r w:rsidR="009D0850" w:rsidRPr="009365E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0" w:name="Code"/>
            <w:bookmarkEnd w:id="0"/>
          </w:p>
        </w:tc>
      </w:tr>
      <w:tr w:rsidR="009D0850" w:rsidRPr="009365E7" w:rsidTr="009D085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D0850" w:rsidRPr="009365E7" w:rsidRDefault="009D0850" w:rsidP="007D4FA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365E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595A1C" w:rsidRPr="009365E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071CB3" w:rsidRPr="009365E7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="007D4FA6" w:rsidRPr="009365E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9D0850" w:rsidRPr="009365E7" w:rsidTr="009D085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D0850" w:rsidRPr="009365E7" w:rsidRDefault="009D0850" w:rsidP="00257E1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365E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595A1C" w:rsidRPr="009365E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071CB3" w:rsidRPr="009365E7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="00C93979" w:rsidRPr="009365E7">
              <w:rPr>
                <w:rFonts w:ascii="Arial Black" w:hAnsi="Arial Black"/>
                <w:caps/>
                <w:sz w:val="15"/>
                <w:lang w:val="fr-FR"/>
              </w:rPr>
              <w:t>25</w:t>
            </w:r>
            <w:r w:rsidR="00A5663A" w:rsidRPr="009365E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C93979" w:rsidRPr="009365E7">
              <w:rPr>
                <w:rFonts w:ascii="Arial Black" w:hAnsi="Arial Black"/>
                <w:caps/>
                <w:sz w:val="15"/>
                <w:lang w:val="fr-FR"/>
              </w:rPr>
              <w:t>avril</w:t>
            </w:r>
            <w:r w:rsidR="00A5663A" w:rsidRPr="009365E7">
              <w:rPr>
                <w:rFonts w:ascii="Arial Black" w:hAnsi="Arial Black"/>
                <w:caps/>
                <w:sz w:val="15"/>
                <w:lang w:val="fr-FR"/>
              </w:rPr>
              <w:t> 20</w:t>
            </w:r>
            <w:r w:rsidRPr="009365E7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257E16" w:rsidRPr="009365E7">
              <w:rPr>
                <w:rFonts w:ascii="Arial Black" w:hAnsi="Arial Black"/>
                <w:caps/>
                <w:sz w:val="15"/>
                <w:lang w:val="fr-FR"/>
              </w:rPr>
              <w:t>4</w:t>
            </w:r>
          </w:p>
        </w:tc>
      </w:tr>
    </w:tbl>
    <w:p w:rsidR="009D0850" w:rsidRPr="009365E7" w:rsidRDefault="009D0850" w:rsidP="009D0850">
      <w:pPr>
        <w:rPr>
          <w:lang w:val="fr-FR"/>
        </w:rPr>
      </w:pPr>
    </w:p>
    <w:p w:rsidR="009D0850" w:rsidRPr="009365E7" w:rsidRDefault="009D0850" w:rsidP="009D0850">
      <w:pPr>
        <w:rPr>
          <w:lang w:val="fr-FR"/>
        </w:rPr>
      </w:pPr>
    </w:p>
    <w:p w:rsidR="00071CB3" w:rsidRPr="009365E7" w:rsidRDefault="00071CB3" w:rsidP="009D0850">
      <w:pPr>
        <w:rPr>
          <w:lang w:val="fr-FR"/>
        </w:rPr>
      </w:pPr>
    </w:p>
    <w:p w:rsidR="009D0850" w:rsidRPr="009365E7" w:rsidRDefault="009D0850" w:rsidP="009D0850">
      <w:pPr>
        <w:rPr>
          <w:lang w:val="fr-FR"/>
        </w:rPr>
      </w:pPr>
    </w:p>
    <w:p w:rsidR="009D0850" w:rsidRPr="009365E7" w:rsidRDefault="009D0850" w:rsidP="009D0850">
      <w:pPr>
        <w:rPr>
          <w:lang w:val="fr-FR"/>
        </w:rPr>
      </w:pPr>
    </w:p>
    <w:p w:rsidR="009D0850" w:rsidRPr="009365E7" w:rsidRDefault="009D0850" w:rsidP="009D0850">
      <w:pPr>
        <w:rPr>
          <w:b/>
          <w:sz w:val="28"/>
          <w:szCs w:val="28"/>
          <w:lang w:val="fr-FR"/>
        </w:rPr>
      </w:pPr>
      <w:r w:rsidRPr="009365E7">
        <w:rPr>
          <w:b/>
          <w:sz w:val="28"/>
          <w:szCs w:val="28"/>
          <w:lang w:val="fr-FR"/>
        </w:rPr>
        <w:t>Com</w:t>
      </w:r>
      <w:r w:rsidR="007D4FA6" w:rsidRPr="009365E7">
        <w:rPr>
          <w:b/>
          <w:sz w:val="28"/>
          <w:szCs w:val="28"/>
          <w:lang w:val="fr-FR"/>
        </w:rPr>
        <w:t xml:space="preserve">ité du développement et de la </w:t>
      </w:r>
      <w:r w:rsidR="007D4FA6" w:rsidRPr="009365E7">
        <w:rPr>
          <w:b/>
          <w:sz w:val="28"/>
          <w:szCs w:val="22"/>
          <w:lang w:val="fr-FR"/>
        </w:rPr>
        <w:t>propriété intellectuelle</w:t>
      </w:r>
      <w:r w:rsidR="007D4FA6" w:rsidRPr="009365E7">
        <w:rPr>
          <w:b/>
          <w:sz w:val="28"/>
          <w:szCs w:val="28"/>
          <w:lang w:val="fr-FR"/>
        </w:rPr>
        <w:t xml:space="preserve"> </w:t>
      </w:r>
      <w:r w:rsidRPr="009365E7">
        <w:rPr>
          <w:b/>
          <w:sz w:val="28"/>
          <w:szCs w:val="28"/>
          <w:lang w:val="fr-FR"/>
        </w:rPr>
        <w:t>(CDIP)</w:t>
      </w:r>
    </w:p>
    <w:p w:rsidR="009D0850" w:rsidRPr="009365E7" w:rsidRDefault="009D0850" w:rsidP="009D0850">
      <w:pPr>
        <w:rPr>
          <w:lang w:val="fr-FR"/>
        </w:rPr>
      </w:pPr>
    </w:p>
    <w:p w:rsidR="009D0850" w:rsidRPr="009365E7" w:rsidRDefault="009D0850" w:rsidP="009D0850">
      <w:pPr>
        <w:rPr>
          <w:lang w:val="fr-FR"/>
        </w:rPr>
      </w:pPr>
      <w:bookmarkStart w:id="3" w:name="_GoBack"/>
      <w:bookmarkEnd w:id="3"/>
    </w:p>
    <w:p w:rsidR="009D0850" w:rsidRPr="009365E7" w:rsidRDefault="00C93979" w:rsidP="009D0850">
      <w:pPr>
        <w:rPr>
          <w:b/>
          <w:szCs w:val="24"/>
          <w:lang w:val="fr-FR"/>
        </w:rPr>
      </w:pPr>
      <w:r w:rsidRPr="009365E7">
        <w:rPr>
          <w:b/>
          <w:szCs w:val="24"/>
          <w:lang w:val="fr-FR"/>
        </w:rPr>
        <w:t>Treizième</w:t>
      </w:r>
      <w:r w:rsidR="00595A1C" w:rsidRPr="009365E7">
        <w:rPr>
          <w:b/>
          <w:szCs w:val="24"/>
          <w:lang w:val="fr-FR"/>
        </w:rPr>
        <w:t> </w:t>
      </w:r>
      <w:r w:rsidR="007D4FA6" w:rsidRPr="009365E7">
        <w:rPr>
          <w:b/>
          <w:szCs w:val="24"/>
          <w:lang w:val="fr-FR"/>
        </w:rPr>
        <w:t>s</w:t>
      </w:r>
      <w:r w:rsidR="009D0850" w:rsidRPr="009365E7">
        <w:rPr>
          <w:b/>
          <w:szCs w:val="24"/>
          <w:lang w:val="fr-FR"/>
        </w:rPr>
        <w:t>ession</w:t>
      </w:r>
    </w:p>
    <w:p w:rsidR="009D0850" w:rsidRPr="009365E7" w:rsidRDefault="009D0850" w:rsidP="007D4FA6">
      <w:pPr>
        <w:pStyle w:val="Default"/>
        <w:rPr>
          <w:rFonts w:eastAsia="SimSun"/>
          <w:b/>
          <w:lang w:val="fr-FR" w:eastAsia="zh-CN"/>
        </w:rPr>
      </w:pPr>
      <w:r w:rsidRPr="009365E7">
        <w:rPr>
          <w:rFonts w:eastAsia="SimSun"/>
          <w:b/>
          <w:lang w:val="fr-FR" w:eastAsia="zh-CN"/>
        </w:rPr>
        <w:t>G</w:t>
      </w:r>
      <w:r w:rsidR="007D4FA6" w:rsidRPr="009365E7">
        <w:rPr>
          <w:rFonts w:eastAsia="SimSun"/>
          <w:b/>
          <w:lang w:val="fr-FR" w:eastAsia="zh-CN"/>
        </w:rPr>
        <w:t xml:space="preserve">enève, </w:t>
      </w:r>
      <w:r w:rsidRPr="009365E7">
        <w:rPr>
          <w:rFonts w:eastAsia="SimSun"/>
          <w:b/>
          <w:lang w:val="fr-FR" w:eastAsia="zh-CN"/>
        </w:rPr>
        <w:t>1</w:t>
      </w:r>
      <w:r w:rsidR="00C93979" w:rsidRPr="009365E7">
        <w:rPr>
          <w:rFonts w:eastAsia="SimSun"/>
          <w:b/>
          <w:lang w:val="fr-FR" w:eastAsia="zh-CN"/>
        </w:rPr>
        <w:t>9</w:t>
      </w:r>
      <w:r w:rsidRPr="009365E7">
        <w:rPr>
          <w:rFonts w:eastAsia="SimSun"/>
          <w:b/>
          <w:lang w:val="fr-FR" w:eastAsia="zh-CN"/>
        </w:rPr>
        <w:t xml:space="preserve"> </w:t>
      </w:r>
      <w:r w:rsidR="007D4FA6" w:rsidRPr="009365E7">
        <w:rPr>
          <w:rFonts w:eastAsia="Calibri"/>
          <w:b/>
          <w:bCs/>
          <w:sz w:val="23"/>
          <w:szCs w:val="23"/>
          <w:lang w:val="fr-FR"/>
        </w:rPr>
        <w:t xml:space="preserve">– </w:t>
      </w:r>
      <w:r w:rsidR="007D4FA6" w:rsidRPr="009365E7">
        <w:rPr>
          <w:rFonts w:eastAsia="SimSun"/>
          <w:b/>
          <w:lang w:val="fr-FR" w:eastAsia="zh-CN"/>
        </w:rPr>
        <w:t>2</w:t>
      </w:r>
      <w:r w:rsidR="00C93979" w:rsidRPr="009365E7">
        <w:rPr>
          <w:rFonts w:eastAsia="SimSun"/>
          <w:b/>
          <w:lang w:val="fr-FR" w:eastAsia="zh-CN"/>
        </w:rPr>
        <w:t>3</w:t>
      </w:r>
      <w:r w:rsidR="00A5663A" w:rsidRPr="009365E7">
        <w:rPr>
          <w:rFonts w:eastAsia="SimSun"/>
          <w:b/>
          <w:lang w:val="fr-FR" w:eastAsia="zh-CN"/>
        </w:rPr>
        <w:t> </w:t>
      </w:r>
      <w:r w:rsidR="00C93979" w:rsidRPr="009365E7">
        <w:rPr>
          <w:rFonts w:eastAsia="SimSun"/>
          <w:b/>
          <w:lang w:val="fr-FR" w:eastAsia="zh-CN"/>
        </w:rPr>
        <w:t>mai</w:t>
      </w:r>
      <w:r w:rsidR="00A5663A" w:rsidRPr="009365E7">
        <w:rPr>
          <w:rFonts w:eastAsia="SimSun"/>
          <w:b/>
          <w:lang w:val="fr-FR" w:eastAsia="zh-CN"/>
        </w:rPr>
        <w:t> 20</w:t>
      </w:r>
      <w:r w:rsidRPr="009365E7">
        <w:rPr>
          <w:rFonts w:eastAsia="SimSun"/>
          <w:b/>
          <w:lang w:val="fr-FR" w:eastAsia="zh-CN"/>
        </w:rPr>
        <w:t>1</w:t>
      </w:r>
      <w:r w:rsidR="00C93979" w:rsidRPr="009365E7">
        <w:rPr>
          <w:rFonts w:eastAsia="SimSun"/>
          <w:b/>
          <w:lang w:val="fr-FR" w:eastAsia="zh-CN"/>
        </w:rPr>
        <w:t>4</w:t>
      </w:r>
    </w:p>
    <w:p w:rsidR="009D0850" w:rsidRPr="009365E7" w:rsidRDefault="009D0850" w:rsidP="009D0850">
      <w:pPr>
        <w:rPr>
          <w:lang w:val="fr-FR"/>
        </w:rPr>
      </w:pPr>
    </w:p>
    <w:p w:rsidR="009D0850" w:rsidRPr="009365E7" w:rsidRDefault="009D0850" w:rsidP="009D0850">
      <w:pPr>
        <w:rPr>
          <w:lang w:val="fr-FR"/>
        </w:rPr>
      </w:pPr>
    </w:p>
    <w:p w:rsidR="00A5663A" w:rsidRPr="009365E7" w:rsidRDefault="006854DE" w:rsidP="009D0850">
      <w:pPr>
        <w:rPr>
          <w:caps/>
          <w:lang w:val="fr-FR"/>
        </w:rPr>
      </w:pPr>
      <w:bookmarkStart w:id="4" w:name="TitleOfDoc"/>
      <w:bookmarkEnd w:id="4"/>
      <w:r>
        <w:rPr>
          <w:lang w:val="fr-FR"/>
        </w:rPr>
        <w:t>P</w:t>
      </w:r>
      <w:r w:rsidRPr="009365E7">
        <w:rPr>
          <w:lang w:val="fr-FR"/>
        </w:rPr>
        <w:t>ROPOSITION RÉVISÉE DE MISE EN ŒUVRE PAR L’OMPI DE NOUVELLES ACTIVITÉS DANS LE DOMAINE DE L’UTILISATION DU DROIT D’AUTEUR POUR PROMOUVOIR L’ACCÈS À L’INFORMATION ET AUX CONTENUS CRÉATIFS</w:t>
      </w:r>
    </w:p>
    <w:p w:rsidR="009D0850" w:rsidRPr="009365E7" w:rsidRDefault="009D0850" w:rsidP="009D0850">
      <w:pPr>
        <w:rPr>
          <w:lang w:val="fr-FR"/>
        </w:rPr>
      </w:pPr>
      <w:bookmarkStart w:id="5" w:name="Prepared"/>
      <w:bookmarkEnd w:id="5"/>
    </w:p>
    <w:p w:rsidR="009D0850" w:rsidRPr="009365E7" w:rsidRDefault="007D4FA6" w:rsidP="009D0850">
      <w:pPr>
        <w:rPr>
          <w:i/>
          <w:iCs/>
          <w:lang w:val="fr-FR"/>
        </w:rPr>
      </w:pPr>
      <w:proofErr w:type="gramStart"/>
      <w:r w:rsidRPr="009365E7">
        <w:rPr>
          <w:i/>
          <w:iCs/>
          <w:lang w:val="fr-FR"/>
        </w:rPr>
        <w:t>établi</w:t>
      </w:r>
      <w:r w:rsidR="007346F9" w:rsidRPr="009365E7">
        <w:rPr>
          <w:i/>
          <w:iCs/>
          <w:lang w:val="fr-FR"/>
        </w:rPr>
        <w:t>e</w:t>
      </w:r>
      <w:proofErr w:type="gramEnd"/>
      <w:r w:rsidRPr="009365E7">
        <w:rPr>
          <w:i/>
          <w:iCs/>
          <w:lang w:val="fr-FR"/>
        </w:rPr>
        <w:t xml:space="preserve"> par le</w:t>
      </w:r>
      <w:r w:rsidR="00140D90" w:rsidRPr="009365E7">
        <w:rPr>
          <w:i/>
          <w:iCs/>
          <w:lang w:val="fr-FR"/>
        </w:rPr>
        <w:t xml:space="preserve"> Secr</w:t>
      </w:r>
      <w:r w:rsidRPr="009365E7">
        <w:rPr>
          <w:i/>
          <w:iCs/>
          <w:lang w:val="fr-FR"/>
        </w:rPr>
        <w:t>é</w:t>
      </w:r>
      <w:r w:rsidR="00140D90" w:rsidRPr="009365E7">
        <w:rPr>
          <w:i/>
          <w:iCs/>
          <w:lang w:val="fr-FR"/>
        </w:rPr>
        <w:t>tariat</w:t>
      </w:r>
    </w:p>
    <w:p w:rsidR="009D0850" w:rsidRPr="009365E7" w:rsidRDefault="009D0850" w:rsidP="009D0850">
      <w:pPr>
        <w:rPr>
          <w:lang w:val="fr-FR"/>
        </w:rPr>
      </w:pPr>
    </w:p>
    <w:p w:rsidR="00140D90" w:rsidRPr="009365E7" w:rsidRDefault="00140D90" w:rsidP="009D0850">
      <w:pPr>
        <w:rPr>
          <w:lang w:val="fr-FR"/>
        </w:rPr>
      </w:pPr>
    </w:p>
    <w:p w:rsidR="008240C2" w:rsidRPr="009365E7" w:rsidRDefault="008240C2" w:rsidP="009D0850">
      <w:pPr>
        <w:rPr>
          <w:lang w:val="fr-FR"/>
        </w:rPr>
      </w:pPr>
    </w:p>
    <w:p w:rsidR="00140D90" w:rsidRPr="009365E7" w:rsidRDefault="00140D90" w:rsidP="009D0850">
      <w:pPr>
        <w:rPr>
          <w:lang w:val="fr-FR"/>
        </w:rPr>
      </w:pPr>
    </w:p>
    <w:p w:rsidR="00FD4E36" w:rsidRPr="009365E7" w:rsidRDefault="007D4FA6" w:rsidP="00B33884">
      <w:pPr>
        <w:pStyle w:val="ONUMFS"/>
        <w:rPr>
          <w:lang w:val="fr-FR"/>
        </w:rPr>
      </w:pPr>
      <w:r w:rsidRPr="009365E7">
        <w:rPr>
          <w:lang w:val="fr-FR"/>
        </w:rPr>
        <w:t xml:space="preserve">Le Comité du développement et de la propriété intellectuelle (CDIP) a adopté le </w:t>
      </w:r>
      <w:r w:rsidR="00A5663A" w:rsidRPr="009365E7">
        <w:rPr>
          <w:lang w:val="fr-FR"/>
        </w:rPr>
        <w:t>“</w:t>
      </w:r>
      <w:r w:rsidRPr="009365E7">
        <w:rPr>
          <w:lang w:val="fr-FR"/>
        </w:rPr>
        <w:t>Projet relatif à la propriété intellectuelle, aux techniques de l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information et de la communication (TIC), à la fracture numérique et à l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accès au savoir</w:t>
      </w:r>
      <w:r w:rsidR="00A5663A" w:rsidRPr="009365E7">
        <w:rPr>
          <w:lang w:val="fr-FR"/>
        </w:rPr>
        <w:t>”</w:t>
      </w:r>
      <w:r w:rsidRPr="009365E7">
        <w:rPr>
          <w:vertAlign w:val="superscript"/>
          <w:lang w:val="fr-FR"/>
        </w:rPr>
        <w:footnoteReference w:id="2"/>
      </w:r>
      <w:r w:rsidRPr="009365E7">
        <w:rPr>
          <w:vertAlign w:val="superscript"/>
          <w:lang w:val="fr-FR"/>
        </w:rPr>
        <w:t xml:space="preserve"> </w:t>
      </w:r>
      <w:r w:rsidRPr="009365E7">
        <w:rPr>
          <w:lang w:val="fr-FR"/>
        </w:rPr>
        <w:t>(ci</w:t>
      </w:r>
      <w:r w:rsidR="00D87C56">
        <w:rPr>
          <w:lang w:val="fr-FR"/>
        </w:rPr>
        <w:noBreakHyphen/>
      </w:r>
      <w:r w:rsidRPr="009365E7">
        <w:rPr>
          <w:lang w:val="fr-FR"/>
        </w:rPr>
        <w:t xml:space="preserve">après dénommé </w:t>
      </w:r>
      <w:r w:rsidR="00A5663A" w:rsidRPr="009365E7">
        <w:rPr>
          <w:lang w:val="fr-FR"/>
        </w:rPr>
        <w:t>“</w:t>
      </w:r>
      <w:r w:rsidRPr="009365E7">
        <w:rPr>
          <w:lang w:val="fr-FR"/>
        </w:rPr>
        <w:t>Projet relatif à la propriété intellectuelle, aux TIC, à la fracture numérique et à l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accès aux savoirs</w:t>
      </w:r>
      <w:r w:rsidR="00A5663A" w:rsidRPr="009365E7">
        <w:rPr>
          <w:lang w:val="fr-FR"/>
        </w:rPr>
        <w:t>”</w:t>
      </w:r>
      <w:r w:rsidRPr="009365E7">
        <w:rPr>
          <w:lang w:val="fr-FR"/>
        </w:rPr>
        <w:t>) dans le cadre des efforts déployés pour mettre en œuvre les recommandations n</w:t>
      </w:r>
      <w:r w:rsidRPr="009365E7">
        <w:rPr>
          <w:vertAlign w:val="superscript"/>
          <w:lang w:val="fr-FR"/>
        </w:rPr>
        <w:t>os</w:t>
      </w:r>
      <w:r w:rsidRPr="009365E7">
        <w:rPr>
          <w:lang w:val="fr-FR"/>
        </w:rPr>
        <w:t> 19, 24 et 27 du Plan d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action de l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OMPI pour le développement</w:t>
      </w:r>
      <w:r w:rsidRPr="009365E7">
        <w:rPr>
          <w:vertAlign w:val="superscript"/>
          <w:lang w:val="fr-FR"/>
        </w:rPr>
        <w:footnoteReference w:id="3"/>
      </w:r>
      <w:r w:rsidR="00595A1C" w:rsidRPr="009365E7">
        <w:rPr>
          <w:lang w:val="fr-FR"/>
        </w:rPr>
        <w:t>.</w:t>
      </w:r>
      <w:r w:rsidRPr="009365E7">
        <w:rPr>
          <w:lang w:val="fr-FR"/>
        </w:rPr>
        <w:t xml:space="preserve">  Le volet du projet consacré au droit d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 xml:space="preserve">auteur vise deux objectifs, </w:t>
      </w:r>
      <w:r w:rsidR="001D1037" w:rsidRPr="009365E7">
        <w:rPr>
          <w:lang w:val="fr-FR"/>
        </w:rPr>
        <w:t>à savoir</w:t>
      </w:r>
      <w:r w:rsidR="008240C2" w:rsidRPr="009365E7">
        <w:rPr>
          <w:lang w:val="fr-FR"/>
        </w:rPr>
        <w:t> </w:t>
      </w:r>
      <w:r w:rsidRPr="009365E7">
        <w:rPr>
          <w:lang w:val="fr-FR"/>
        </w:rPr>
        <w:t>:</w:t>
      </w:r>
    </w:p>
    <w:p w:rsidR="00FD4E36" w:rsidRPr="00D22A6B" w:rsidRDefault="00370F4A" w:rsidP="00D22A6B">
      <w:pPr>
        <w:pStyle w:val="ONUMFS"/>
        <w:numPr>
          <w:ilvl w:val="1"/>
          <w:numId w:val="17"/>
        </w:numPr>
        <w:rPr>
          <w:lang w:val="fr-FR"/>
        </w:rPr>
      </w:pPr>
      <w:r w:rsidRPr="00D22A6B">
        <w:rPr>
          <w:lang w:val="fr-FR"/>
        </w:rPr>
        <w:t>réunir des informations et explorer les possibilités offertes par le système du droit d</w:t>
      </w:r>
      <w:r w:rsidR="001D1037" w:rsidRPr="00D22A6B">
        <w:rPr>
          <w:lang w:val="fr-FR"/>
        </w:rPr>
        <w:t>’</w:t>
      </w:r>
      <w:r w:rsidRPr="00D22A6B">
        <w:rPr>
          <w:lang w:val="fr-FR"/>
        </w:rPr>
        <w:t>auteur, y compris ses éléments de flexibilité, et différents modèles pour administrer le droit d</w:t>
      </w:r>
      <w:r w:rsidR="001D1037" w:rsidRPr="00D22A6B">
        <w:rPr>
          <w:lang w:val="fr-FR"/>
        </w:rPr>
        <w:t>’</w:t>
      </w:r>
      <w:r w:rsidRPr="00D22A6B">
        <w:rPr>
          <w:lang w:val="fr-FR"/>
        </w:rPr>
        <w:t>auteur de manière à faciliter l</w:t>
      </w:r>
      <w:r w:rsidR="001D1037" w:rsidRPr="00D22A6B">
        <w:rPr>
          <w:lang w:val="fr-FR"/>
        </w:rPr>
        <w:t>’</w:t>
      </w:r>
      <w:r w:rsidRPr="00D22A6B">
        <w:rPr>
          <w:lang w:val="fr-FR"/>
        </w:rPr>
        <w:t>accès au savoir, l</w:t>
      </w:r>
      <w:r w:rsidR="001D1037" w:rsidRPr="00D22A6B">
        <w:rPr>
          <w:lang w:val="fr-FR"/>
        </w:rPr>
        <w:t>’</w:t>
      </w:r>
      <w:r w:rsidRPr="00D22A6B">
        <w:rPr>
          <w:lang w:val="fr-FR"/>
        </w:rPr>
        <w:t>accent étant mis plus particulièrement sur les trois domaines suivants</w:t>
      </w:r>
      <w:r w:rsidR="008240C2" w:rsidRPr="00D22A6B">
        <w:rPr>
          <w:lang w:val="fr-FR"/>
        </w:rPr>
        <w:t> </w:t>
      </w:r>
      <w:r w:rsidR="00071CB3" w:rsidRPr="00D22A6B">
        <w:rPr>
          <w:lang w:val="fr-FR"/>
        </w:rPr>
        <w:t xml:space="preserve">: </w:t>
      </w:r>
      <w:r w:rsidRPr="00D22A6B">
        <w:rPr>
          <w:lang w:val="fr-FR"/>
        </w:rPr>
        <w:t>l</w:t>
      </w:r>
      <w:r w:rsidR="001D1037" w:rsidRPr="00D22A6B">
        <w:rPr>
          <w:lang w:val="fr-FR"/>
        </w:rPr>
        <w:t>’</w:t>
      </w:r>
      <w:r w:rsidRPr="00D22A6B">
        <w:rPr>
          <w:lang w:val="fr-FR"/>
        </w:rPr>
        <w:t xml:space="preserve">enseignement et la recherche; </w:t>
      </w:r>
      <w:r w:rsidR="00C93979" w:rsidRPr="00D22A6B">
        <w:rPr>
          <w:lang w:val="fr-FR"/>
        </w:rPr>
        <w:t xml:space="preserve"> </w:t>
      </w:r>
      <w:r w:rsidRPr="00D22A6B">
        <w:rPr>
          <w:lang w:val="fr-FR"/>
        </w:rPr>
        <w:t>les</w:t>
      </w:r>
      <w:r w:rsidR="00D22A6B" w:rsidRPr="00D22A6B">
        <w:rPr>
          <w:lang w:val="fr-FR"/>
        </w:rPr>
        <w:t xml:space="preserve"> </w:t>
      </w:r>
      <w:r w:rsidRPr="00D22A6B">
        <w:rPr>
          <w:lang w:val="fr-FR"/>
        </w:rPr>
        <w:t>pratiques en matière de conception de logiciels, y compris les logiciels libres et ouverts;</w:t>
      </w:r>
      <w:r w:rsidR="00261CC5" w:rsidRPr="00D22A6B">
        <w:rPr>
          <w:lang w:val="fr-FR"/>
        </w:rPr>
        <w:t xml:space="preserve">  </w:t>
      </w:r>
      <w:r w:rsidRPr="00D22A6B">
        <w:rPr>
          <w:lang w:val="fr-FR"/>
        </w:rPr>
        <w:lastRenderedPageBreak/>
        <w:t>et l</w:t>
      </w:r>
      <w:r w:rsidR="001D1037" w:rsidRPr="00D22A6B">
        <w:rPr>
          <w:lang w:val="fr-FR"/>
        </w:rPr>
        <w:t>’</w:t>
      </w:r>
      <w:r w:rsidRPr="00D22A6B">
        <w:rPr>
          <w:lang w:val="fr-FR"/>
        </w:rPr>
        <w:t>information électronique (telle que la presse électronique et l</w:t>
      </w:r>
      <w:r w:rsidR="001D1037" w:rsidRPr="00D22A6B">
        <w:rPr>
          <w:lang w:val="fr-FR"/>
        </w:rPr>
        <w:t>’</w:t>
      </w:r>
      <w:r w:rsidRPr="00D22A6B">
        <w:rPr>
          <w:lang w:val="fr-FR"/>
        </w:rPr>
        <w:t>information émanant du secteur public);</w:t>
      </w:r>
    </w:p>
    <w:p w:rsidR="00A5663A" w:rsidRPr="009365E7" w:rsidRDefault="00370F4A" w:rsidP="00B33884">
      <w:pPr>
        <w:pStyle w:val="ONUMFS"/>
        <w:numPr>
          <w:ilvl w:val="1"/>
          <w:numId w:val="17"/>
        </w:numPr>
        <w:rPr>
          <w:lang w:val="fr-FR"/>
        </w:rPr>
      </w:pPr>
      <w:r w:rsidRPr="009365E7">
        <w:rPr>
          <w:lang w:val="fr-FR"/>
        </w:rPr>
        <w:t>procéder à une évaluation interdisciplinaire des possibilités pour l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OMPI, dans le cadre de son mandat, de participer à de nouvelles activités en vue d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aider les États membres à atteindre leurs objectifs de développement en facilitant l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accès au savoir.</w:t>
      </w:r>
    </w:p>
    <w:p w:rsidR="00FD4E36" w:rsidRPr="009365E7" w:rsidRDefault="00370F4A" w:rsidP="00B33884">
      <w:pPr>
        <w:pStyle w:val="ONUMFS"/>
        <w:rPr>
          <w:lang w:val="fr-FR"/>
        </w:rPr>
      </w:pPr>
      <w:r w:rsidRPr="009365E7">
        <w:rPr>
          <w:lang w:val="fr-FR"/>
        </w:rPr>
        <w:t>Afin de répondre au premier objectif, le Secrétariat de l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 xml:space="preserve">OMPI a commandé une étude sur </w:t>
      </w:r>
      <w:r w:rsidR="00A5663A" w:rsidRPr="009365E7">
        <w:rPr>
          <w:lang w:val="fr-FR"/>
        </w:rPr>
        <w:t>“</w:t>
      </w:r>
      <w:r w:rsidRPr="009365E7">
        <w:rPr>
          <w:lang w:val="fr-FR"/>
        </w:rPr>
        <w:t>L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utilisation du droit d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auteur pour promouvoir l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accès à l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information et aux contenus créatifs</w:t>
      </w:r>
      <w:r w:rsidR="00A5663A" w:rsidRPr="009365E7">
        <w:rPr>
          <w:lang w:val="fr-FR"/>
        </w:rPr>
        <w:t>”</w:t>
      </w:r>
      <w:r w:rsidRPr="009365E7">
        <w:rPr>
          <w:lang w:val="fr-FR"/>
        </w:rPr>
        <w:t xml:space="preserve"> (ci</w:t>
      </w:r>
      <w:r w:rsidR="00D87C56">
        <w:rPr>
          <w:lang w:val="fr-FR"/>
        </w:rPr>
        <w:noBreakHyphen/>
      </w:r>
      <w:r w:rsidRPr="009365E7">
        <w:rPr>
          <w:lang w:val="fr-FR"/>
        </w:rPr>
        <w:t xml:space="preserve">après dénommée </w:t>
      </w:r>
      <w:r w:rsidR="00A5663A" w:rsidRPr="009365E7">
        <w:rPr>
          <w:lang w:val="fr-FR"/>
        </w:rPr>
        <w:t>“</w:t>
      </w:r>
      <w:r w:rsidRPr="009365E7">
        <w:rPr>
          <w:lang w:val="fr-FR"/>
        </w:rPr>
        <w:t>Étude sur le droit d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auteur et l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accès</w:t>
      </w:r>
      <w:r w:rsidR="00A5663A" w:rsidRPr="009365E7">
        <w:rPr>
          <w:lang w:val="fr-FR"/>
        </w:rPr>
        <w:t>”</w:t>
      </w:r>
      <w:r w:rsidRPr="009365E7">
        <w:rPr>
          <w:lang w:val="fr-FR"/>
        </w:rPr>
        <w:t>), qui porte sur les trois domaines visés (enseignement et recherche, logiciels et information émanant du secteur public</w:t>
      </w:r>
      <w:r w:rsidR="00FD4E36" w:rsidRPr="009365E7">
        <w:rPr>
          <w:lang w:val="fr-FR"/>
        </w:rPr>
        <w:t>)</w:t>
      </w:r>
      <w:r w:rsidR="00FD4E36" w:rsidRPr="009365E7">
        <w:rPr>
          <w:vertAlign w:val="superscript"/>
          <w:lang w:val="fr-FR"/>
        </w:rPr>
        <w:footnoteReference w:id="4"/>
      </w:r>
      <w:r w:rsidR="00595A1C" w:rsidRPr="009365E7">
        <w:rPr>
          <w:lang w:val="fr-FR"/>
        </w:rPr>
        <w:t>.</w:t>
      </w:r>
      <w:r w:rsidR="00FD4E36" w:rsidRPr="009365E7">
        <w:rPr>
          <w:lang w:val="fr-FR"/>
        </w:rPr>
        <w:t xml:space="preserve">  </w:t>
      </w:r>
      <w:r w:rsidRPr="009365E7">
        <w:rPr>
          <w:lang w:val="fr-FR"/>
        </w:rPr>
        <w:t>L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étude a été débattue à la dixième</w:t>
      </w:r>
      <w:r w:rsidR="00595A1C" w:rsidRPr="009365E7">
        <w:rPr>
          <w:lang w:val="fr-FR"/>
        </w:rPr>
        <w:t> </w:t>
      </w:r>
      <w:r w:rsidRPr="009365E7">
        <w:rPr>
          <w:lang w:val="fr-FR"/>
        </w:rPr>
        <w:t>session</w:t>
      </w:r>
      <w:r w:rsidR="00A5663A" w:rsidRPr="009365E7">
        <w:rPr>
          <w:lang w:val="fr-FR"/>
        </w:rPr>
        <w:t xml:space="preserve"> du CDI</w:t>
      </w:r>
      <w:r w:rsidR="00FD4E36" w:rsidRPr="009365E7">
        <w:rPr>
          <w:lang w:val="fr-FR"/>
        </w:rPr>
        <w:t>P</w:t>
      </w:r>
      <w:r w:rsidR="007A7EE3" w:rsidRPr="009365E7">
        <w:rPr>
          <w:lang w:val="fr-FR"/>
        </w:rPr>
        <w:t xml:space="preserve">, </w:t>
      </w:r>
      <w:r w:rsidRPr="009365E7">
        <w:rPr>
          <w:lang w:val="fr-FR"/>
        </w:rPr>
        <w:t xml:space="preserve">tenue en </w:t>
      </w:r>
      <w:r w:rsidR="00A5663A" w:rsidRPr="009365E7">
        <w:rPr>
          <w:lang w:val="fr-FR"/>
        </w:rPr>
        <w:t>novembre 20</w:t>
      </w:r>
      <w:r w:rsidR="00FD4E36" w:rsidRPr="009365E7">
        <w:rPr>
          <w:lang w:val="fr-FR"/>
        </w:rPr>
        <w:t>12</w:t>
      </w:r>
      <w:r w:rsidRPr="009365E7">
        <w:rPr>
          <w:lang w:val="fr-FR"/>
        </w:rPr>
        <w:t>, au cours de laquelle les États membres sont convenus</w:t>
      </w:r>
      <w:r w:rsidR="007A7EE3" w:rsidRPr="009365E7">
        <w:rPr>
          <w:rStyle w:val="FootnoteReference"/>
          <w:lang w:val="fr-FR"/>
        </w:rPr>
        <w:footnoteReference w:id="5"/>
      </w:r>
      <w:r w:rsidR="007A7EE3" w:rsidRPr="009365E7">
        <w:rPr>
          <w:lang w:val="fr-FR"/>
        </w:rPr>
        <w:t xml:space="preserve"> </w:t>
      </w:r>
      <w:r w:rsidR="00F475D4">
        <w:rPr>
          <w:lang w:val="fr-FR"/>
        </w:rPr>
        <w:t xml:space="preserve">de </w:t>
      </w:r>
      <w:r w:rsidR="00071CB3" w:rsidRPr="009365E7">
        <w:rPr>
          <w:lang w:val="fr-FR"/>
        </w:rPr>
        <w:t>ceci</w:t>
      </w:r>
      <w:r w:rsidR="00261CC5" w:rsidRPr="009365E7">
        <w:rPr>
          <w:lang w:val="fr-FR"/>
        </w:rPr>
        <w:t> </w:t>
      </w:r>
      <w:r w:rsidR="00FD4E36" w:rsidRPr="009365E7">
        <w:rPr>
          <w:lang w:val="fr-FR"/>
        </w:rPr>
        <w:t>:</w:t>
      </w:r>
    </w:p>
    <w:p w:rsidR="00A5663A" w:rsidRPr="009365E7" w:rsidRDefault="00A5663A" w:rsidP="00B33884">
      <w:pPr>
        <w:pStyle w:val="ONUMFS"/>
        <w:numPr>
          <w:ilvl w:val="0"/>
          <w:numId w:val="0"/>
        </w:numPr>
        <w:ind w:left="706"/>
        <w:rPr>
          <w:i/>
          <w:lang w:val="fr-FR"/>
        </w:rPr>
      </w:pPr>
      <w:r w:rsidRPr="009365E7">
        <w:rPr>
          <w:i/>
          <w:lang w:val="fr-FR"/>
        </w:rPr>
        <w:t>“</w:t>
      </w:r>
      <w:r w:rsidR="007A7EE3" w:rsidRPr="009365E7">
        <w:rPr>
          <w:i/>
          <w:lang w:val="fr-FR"/>
        </w:rPr>
        <w:t>(…).</w:t>
      </w:r>
      <w:r w:rsidR="00595A1C" w:rsidRPr="009365E7">
        <w:rPr>
          <w:i/>
          <w:lang w:val="fr-FR"/>
        </w:rPr>
        <w:t xml:space="preserve"> </w:t>
      </w:r>
      <w:r w:rsidR="00370F4A" w:rsidRPr="009365E7">
        <w:rPr>
          <w:i/>
          <w:lang w:val="fr-FR"/>
        </w:rPr>
        <w:t xml:space="preserve"> Compte tenu des indications données par les États membres, le Secrétariat prendra les mesures nécessaires pour évaluer la mesure dans laquelle l</w:t>
      </w:r>
      <w:r w:rsidR="001D1037" w:rsidRPr="009365E7">
        <w:rPr>
          <w:i/>
          <w:lang w:val="fr-FR"/>
        </w:rPr>
        <w:t>’</w:t>
      </w:r>
      <w:r w:rsidR="00370F4A" w:rsidRPr="009365E7">
        <w:rPr>
          <w:i/>
          <w:lang w:val="fr-FR"/>
        </w:rPr>
        <w:t>OMPI pourrait, dans le cadre de son mandat, participer à de nouvelles activités susceptibles d</w:t>
      </w:r>
      <w:r w:rsidR="001D1037" w:rsidRPr="009365E7">
        <w:rPr>
          <w:i/>
          <w:lang w:val="fr-FR"/>
        </w:rPr>
        <w:t>’</w:t>
      </w:r>
      <w:r w:rsidR="00370F4A" w:rsidRPr="009365E7">
        <w:rPr>
          <w:i/>
          <w:lang w:val="fr-FR"/>
        </w:rPr>
        <w:t>aider les États membres à atteindre leurs objectifs de développement, pour examen à la prochaine session du comité.</w:t>
      </w:r>
      <w:r w:rsidRPr="009365E7">
        <w:rPr>
          <w:i/>
          <w:lang w:val="fr-FR"/>
        </w:rPr>
        <w:t>”</w:t>
      </w:r>
    </w:p>
    <w:p w:rsidR="00A5663A" w:rsidRPr="009365E7" w:rsidRDefault="00DE3FF5" w:rsidP="00B33884">
      <w:pPr>
        <w:pStyle w:val="ONUMFS"/>
        <w:rPr>
          <w:lang w:val="fr-FR"/>
        </w:rPr>
      </w:pPr>
      <w:r w:rsidRPr="009365E7">
        <w:rPr>
          <w:lang w:val="fr-FR"/>
        </w:rPr>
        <w:t xml:space="preserve">Le document intitulé </w:t>
      </w:r>
      <w:r w:rsidR="00A5663A" w:rsidRPr="009365E7">
        <w:rPr>
          <w:lang w:val="fr-FR"/>
        </w:rPr>
        <w:t>“</w:t>
      </w:r>
      <w:r w:rsidRPr="009365E7">
        <w:rPr>
          <w:lang w:val="fr-FR"/>
        </w:rPr>
        <w:t>Étude de faisabilité concernant de nouvelles activités pouvant être menées par l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OMPI dans le domaine de l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utilisation du droit d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auteur pour promouvoir l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accès à l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infor</w:t>
      </w:r>
      <w:r w:rsidR="009B40AD" w:rsidRPr="009365E7">
        <w:rPr>
          <w:lang w:val="fr-FR"/>
        </w:rPr>
        <w:t>mation et aux contenus créatifs”</w:t>
      </w:r>
      <w:r w:rsidR="00C91766" w:rsidRPr="009365E7">
        <w:rPr>
          <w:lang w:val="fr-FR"/>
        </w:rPr>
        <w:t xml:space="preserve"> (CDIP/11/6) </w:t>
      </w:r>
      <w:r w:rsidR="009B40AD" w:rsidRPr="009365E7">
        <w:rPr>
          <w:lang w:val="fr-FR"/>
        </w:rPr>
        <w:t>a été présenté à la onzième </w:t>
      </w:r>
      <w:r w:rsidRPr="009365E7">
        <w:rPr>
          <w:lang w:val="fr-FR"/>
        </w:rPr>
        <w:t>session</w:t>
      </w:r>
      <w:r w:rsidR="00A5663A" w:rsidRPr="009365E7">
        <w:rPr>
          <w:lang w:val="fr-FR"/>
        </w:rPr>
        <w:t xml:space="preserve"> du CD</w:t>
      </w:r>
      <w:r w:rsidR="00A56D1A" w:rsidRPr="009365E7">
        <w:rPr>
          <w:lang w:val="fr-FR"/>
        </w:rPr>
        <w:t>I</w:t>
      </w:r>
      <w:r w:rsidR="00A5663A" w:rsidRPr="009365E7">
        <w:rPr>
          <w:lang w:val="fr-FR"/>
        </w:rPr>
        <w:t>P</w:t>
      </w:r>
      <w:r w:rsidRPr="009365E7">
        <w:rPr>
          <w:lang w:val="fr-FR"/>
        </w:rPr>
        <w:t xml:space="preserve"> tenue </w:t>
      </w:r>
      <w:r w:rsidR="00C93979" w:rsidRPr="009365E7">
        <w:rPr>
          <w:lang w:val="fr-FR"/>
        </w:rPr>
        <w:t>en</w:t>
      </w:r>
      <w:r w:rsidR="00A5663A" w:rsidRPr="009365E7">
        <w:rPr>
          <w:lang w:val="fr-FR"/>
        </w:rPr>
        <w:t> mai 20</w:t>
      </w:r>
      <w:r w:rsidRPr="009365E7">
        <w:rPr>
          <w:lang w:val="fr-FR"/>
        </w:rPr>
        <w:t>13.</w:t>
      </w:r>
      <w:r w:rsidR="007A7EE3" w:rsidRPr="009365E7">
        <w:rPr>
          <w:lang w:val="fr-FR"/>
        </w:rPr>
        <w:t xml:space="preserve"> </w:t>
      </w:r>
      <w:r w:rsidR="008240C2" w:rsidRPr="009365E7">
        <w:rPr>
          <w:lang w:val="fr-FR"/>
        </w:rPr>
        <w:t xml:space="preserve"> </w:t>
      </w:r>
      <w:r w:rsidRPr="009365E7">
        <w:rPr>
          <w:lang w:val="fr-FR"/>
        </w:rPr>
        <w:t>Ce</w:t>
      </w:r>
      <w:r w:rsidR="007A7EE3" w:rsidRPr="009365E7">
        <w:rPr>
          <w:lang w:val="fr-FR"/>
        </w:rPr>
        <w:t xml:space="preserve"> document, </w:t>
      </w:r>
      <w:r w:rsidRPr="009365E7">
        <w:rPr>
          <w:lang w:val="fr-FR"/>
        </w:rPr>
        <w:t>établi par un consultant extérieur, contient une liste des activités ou initiatives que l</w:t>
      </w:r>
      <w:r w:rsidR="001D1037" w:rsidRPr="009365E7">
        <w:rPr>
          <w:lang w:val="fr-FR"/>
        </w:rPr>
        <w:t>’</w:t>
      </w:r>
      <w:r w:rsidRPr="009365E7">
        <w:rPr>
          <w:lang w:val="fr-FR"/>
        </w:rPr>
        <w:t>OMPI pourrait éventuellement mener dans chacun des trois</w:t>
      </w:r>
      <w:r w:rsidR="00595A1C" w:rsidRPr="009365E7">
        <w:rPr>
          <w:lang w:val="fr-FR"/>
        </w:rPr>
        <w:t> </w:t>
      </w:r>
      <w:r w:rsidRPr="009365E7">
        <w:rPr>
          <w:lang w:val="fr-FR"/>
        </w:rPr>
        <w:t xml:space="preserve">domaines </w:t>
      </w:r>
      <w:r w:rsidR="007A7EE3" w:rsidRPr="009365E7">
        <w:rPr>
          <w:lang w:val="fr-FR"/>
        </w:rPr>
        <w:t>pr</w:t>
      </w:r>
      <w:r w:rsidRPr="009365E7">
        <w:rPr>
          <w:lang w:val="fr-FR"/>
        </w:rPr>
        <w:t xml:space="preserve">écités. </w:t>
      </w:r>
      <w:r w:rsidR="00C93979" w:rsidRPr="009365E7">
        <w:rPr>
          <w:lang w:val="fr-FR"/>
        </w:rPr>
        <w:t xml:space="preserve"> </w:t>
      </w:r>
      <w:r w:rsidRPr="009365E7">
        <w:rPr>
          <w:lang w:val="fr-FR"/>
        </w:rPr>
        <w:t>Le document a été débattu et les États membres</w:t>
      </w:r>
      <w:r w:rsidR="00C20D5D" w:rsidRPr="009365E7">
        <w:rPr>
          <w:lang w:val="fr-FR"/>
        </w:rPr>
        <w:t xml:space="preserve"> sont convenus de ceci</w:t>
      </w:r>
      <w:r w:rsidR="007A7EE3" w:rsidRPr="009365E7">
        <w:rPr>
          <w:rStyle w:val="FootnoteReference"/>
          <w:lang w:val="fr-FR"/>
        </w:rPr>
        <w:footnoteReference w:id="6"/>
      </w:r>
      <w:r w:rsidR="008240C2" w:rsidRPr="009365E7">
        <w:rPr>
          <w:lang w:val="fr-FR"/>
        </w:rPr>
        <w:t> </w:t>
      </w:r>
      <w:r w:rsidR="00FD4E36" w:rsidRPr="009365E7">
        <w:rPr>
          <w:lang w:val="fr-FR"/>
        </w:rPr>
        <w:t>:</w:t>
      </w:r>
    </w:p>
    <w:p w:rsidR="00FD4E36" w:rsidRPr="009365E7" w:rsidRDefault="00A5663A" w:rsidP="00B33884">
      <w:pPr>
        <w:pStyle w:val="ONUMFS"/>
        <w:numPr>
          <w:ilvl w:val="0"/>
          <w:numId w:val="0"/>
        </w:numPr>
        <w:ind w:left="706"/>
        <w:rPr>
          <w:i/>
          <w:lang w:val="fr-FR"/>
        </w:rPr>
      </w:pPr>
      <w:r w:rsidRPr="009365E7">
        <w:rPr>
          <w:i/>
          <w:lang w:val="fr-FR"/>
        </w:rPr>
        <w:t>“</w:t>
      </w:r>
      <w:r w:rsidR="00C20D5D" w:rsidRPr="009365E7">
        <w:rPr>
          <w:i/>
          <w:lang w:val="fr-FR"/>
        </w:rPr>
        <w:t>Le comité a examiné l</w:t>
      </w:r>
      <w:r w:rsidR="001D1037" w:rsidRPr="009365E7">
        <w:rPr>
          <w:i/>
          <w:lang w:val="fr-FR"/>
        </w:rPr>
        <w:t>’</w:t>
      </w:r>
      <w:r w:rsidR="00C20D5D" w:rsidRPr="009365E7">
        <w:rPr>
          <w:i/>
          <w:lang w:val="fr-FR"/>
        </w:rPr>
        <w:t>étude sur l</w:t>
      </w:r>
      <w:r w:rsidR="001D1037" w:rsidRPr="009365E7">
        <w:rPr>
          <w:i/>
          <w:lang w:val="fr-FR"/>
        </w:rPr>
        <w:t>’</w:t>
      </w:r>
      <w:r w:rsidR="00C20D5D" w:rsidRPr="009365E7">
        <w:rPr>
          <w:i/>
          <w:lang w:val="fr-FR"/>
        </w:rPr>
        <w:t>utilisation du droit d</w:t>
      </w:r>
      <w:r w:rsidR="001D1037" w:rsidRPr="009365E7">
        <w:rPr>
          <w:i/>
          <w:lang w:val="fr-FR"/>
        </w:rPr>
        <w:t>’</w:t>
      </w:r>
      <w:r w:rsidR="00C20D5D" w:rsidRPr="009365E7">
        <w:rPr>
          <w:i/>
          <w:lang w:val="fr-FR"/>
        </w:rPr>
        <w:t>auteur pour promouvoir l</w:t>
      </w:r>
      <w:r w:rsidR="001D1037" w:rsidRPr="009365E7">
        <w:rPr>
          <w:i/>
          <w:lang w:val="fr-FR"/>
        </w:rPr>
        <w:t>’</w:t>
      </w:r>
      <w:r w:rsidR="00C20D5D" w:rsidRPr="009365E7">
        <w:rPr>
          <w:i/>
          <w:lang w:val="fr-FR"/>
        </w:rPr>
        <w:t>accès à l</w:t>
      </w:r>
      <w:r w:rsidR="001D1037" w:rsidRPr="009365E7">
        <w:rPr>
          <w:i/>
          <w:lang w:val="fr-FR"/>
        </w:rPr>
        <w:t>’</w:t>
      </w:r>
      <w:r w:rsidR="00C20D5D" w:rsidRPr="009365E7">
        <w:rPr>
          <w:i/>
          <w:lang w:val="fr-FR"/>
        </w:rPr>
        <w:t>information et aux contenus créatifs (CDIP/9/INF/3).  Les délégués ont exprimé divers points de vue sur le document, et le Secrétariat en a pris note.  Compte tenu des indications données par les États membres, le Secrétariat prendra les mesures nécessaires pour évaluer la mesure dans laquelle l</w:t>
      </w:r>
      <w:r w:rsidR="001D1037" w:rsidRPr="009365E7">
        <w:rPr>
          <w:i/>
          <w:lang w:val="fr-FR"/>
        </w:rPr>
        <w:t>’</w:t>
      </w:r>
      <w:r w:rsidR="00C20D5D" w:rsidRPr="009365E7">
        <w:rPr>
          <w:i/>
          <w:lang w:val="fr-FR"/>
        </w:rPr>
        <w:t>OMPI pourrait, dans le cadre de son mandat, participer à de nouvelles activités susceptibles d</w:t>
      </w:r>
      <w:r w:rsidR="001D1037" w:rsidRPr="009365E7">
        <w:rPr>
          <w:i/>
          <w:lang w:val="fr-FR"/>
        </w:rPr>
        <w:t>’</w:t>
      </w:r>
      <w:r w:rsidR="00C20D5D" w:rsidRPr="009365E7">
        <w:rPr>
          <w:i/>
          <w:lang w:val="fr-FR"/>
        </w:rPr>
        <w:t>aider les États membres à atteindre leurs objectifs de développement, pour examen à la prochaine session du comité.</w:t>
      </w:r>
      <w:r w:rsidRPr="009365E7">
        <w:rPr>
          <w:i/>
          <w:lang w:val="fr-FR"/>
        </w:rPr>
        <w:t>”</w:t>
      </w:r>
    </w:p>
    <w:p w:rsidR="00C20D5D" w:rsidRPr="009365E7" w:rsidRDefault="00B37F0E" w:rsidP="00C93979">
      <w:pPr>
        <w:pStyle w:val="ONUMFS"/>
        <w:rPr>
          <w:lang w:val="fr-FR"/>
        </w:rPr>
      </w:pPr>
      <w:r w:rsidRPr="009365E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D97F01" wp14:editId="4FEA302A">
                <wp:simplePos x="0" y="0"/>
                <wp:positionH relativeFrom="column">
                  <wp:posOffset>-684530</wp:posOffset>
                </wp:positionH>
                <wp:positionV relativeFrom="paragraph">
                  <wp:posOffset>174625</wp:posOffset>
                </wp:positionV>
                <wp:extent cx="317500" cy="15240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1524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324" w:rsidRPr="008B3C5E" w:rsidRDefault="003F5324" w:rsidP="008B3C5E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3.9pt;margin-top:13.75pt;width:2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" fillcolor="black" strokeweight=".5pt">
                <v:fill opacity="0"/>
                <v:stroke opacity="0" joinstyle="round"/>
                <v:path arrowok="t"/>
                <v:textbox style="mso-fit-shape-to-text:t" inset="0,0,0,0">
                  <w:txbxContent>
                    <w:p w:rsidR="003F5324" w:rsidRPr="008B3C5E" w:rsidRDefault="003F5324" w:rsidP="008B3C5E">
                      <w:pPr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3979" w:rsidRPr="009365E7">
        <w:rPr>
          <w:lang w:val="fr-FR"/>
        </w:rPr>
        <w:t>À sa douzième session</w:t>
      </w:r>
      <w:r w:rsidR="00D10918" w:rsidRPr="009365E7">
        <w:rPr>
          <w:lang w:val="fr-FR"/>
        </w:rPr>
        <w:t xml:space="preserve"> tenue en novembre 2013</w:t>
      </w:r>
      <w:r w:rsidR="00C93979" w:rsidRPr="009365E7">
        <w:rPr>
          <w:lang w:val="fr-FR"/>
        </w:rPr>
        <w:t xml:space="preserve">, </w:t>
      </w:r>
      <w:r w:rsidR="00D10918" w:rsidRPr="009365E7">
        <w:rPr>
          <w:lang w:val="fr-FR"/>
        </w:rPr>
        <w:t xml:space="preserve">le comité </w:t>
      </w:r>
      <w:r w:rsidR="00C93979" w:rsidRPr="009365E7">
        <w:rPr>
          <w:lang w:val="fr-FR"/>
        </w:rPr>
        <w:t>a examiné la proposition de mise en œuvre relative à de nouvelles activités pouvant être menées par l</w:t>
      </w:r>
      <w:r w:rsidR="001D1037" w:rsidRPr="009365E7">
        <w:rPr>
          <w:lang w:val="fr-FR"/>
        </w:rPr>
        <w:t>’</w:t>
      </w:r>
      <w:r w:rsidR="00C93979" w:rsidRPr="009365E7">
        <w:rPr>
          <w:lang w:val="fr-FR"/>
        </w:rPr>
        <w:t>OMPI dans le domaine de l</w:t>
      </w:r>
      <w:r w:rsidR="001D1037" w:rsidRPr="009365E7">
        <w:rPr>
          <w:lang w:val="fr-FR"/>
        </w:rPr>
        <w:t>’</w:t>
      </w:r>
      <w:r w:rsidR="00C93979" w:rsidRPr="009365E7">
        <w:rPr>
          <w:lang w:val="fr-FR"/>
        </w:rPr>
        <w:t>utilisation du droit d</w:t>
      </w:r>
      <w:r w:rsidR="001D1037" w:rsidRPr="009365E7">
        <w:rPr>
          <w:lang w:val="fr-FR"/>
        </w:rPr>
        <w:t>’</w:t>
      </w:r>
      <w:r w:rsidR="00C93979" w:rsidRPr="009365E7">
        <w:rPr>
          <w:lang w:val="fr-FR"/>
        </w:rPr>
        <w:t>auteur pour promouvoir l</w:t>
      </w:r>
      <w:r w:rsidR="001D1037" w:rsidRPr="009365E7">
        <w:rPr>
          <w:lang w:val="fr-FR"/>
        </w:rPr>
        <w:t>’</w:t>
      </w:r>
      <w:r w:rsidR="00C93979" w:rsidRPr="009365E7">
        <w:rPr>
          <w:lang w:val="fr-FR"/>
        </w:rPr>
        <w:t>accès à l</w:t>
      </w:r>
      <w:r w:rsidR="001D1037" w:rsidRPr="009365E7">
        <w:rPr>
          <w:lang w:val="fr-FR"/>
        </w:rPr>
        <w:t>’</w:t>
      </w:r>
      <w:r w:rsidR="00C93979" w:rsidRPr="009365E7">
        <w:rPr>
          <w:lang w:val="fr-FR"/>
        </w:rPr>
        <w:t xml:space="preserve">information et aux contenus créatifs (document CDIP/12/9), contenant un plan de mise en œuvre pour les six activités proposées dans le </w:t>
      </w:r>
      <w:r w:rsidR="001D1037" w:rsidRPr="009365E7">
        <w:rPr>
          <w:lang w:val="fr-FR"/>
        </w:rPr>
        <w:t>document CD</w:t>
      </w:r>
      <w:r w:rsidR="00C93979" w:rsidRPr="009365E7">
        <w:rPr>
          <w:lang w:val="fr-FR"/>
        </w:rPr>
        <w:t>IP/11/6.  À la suite d</w:t>
      </w:r>
      <w:r w:rsidR="001D1037" w:rsidRPr="009365E7">
        <w:rPr>
          <w:lang w:val="fr-FR"/>
        </w:rPr>
        <w:t>’</w:t>
      </w:r>
      <w:r w:rsidR="00C93979" w:rsidRPr="009365E7">
        <w:rPr>
          <w:lang w:val="fr-FR"/>
        </w:rPr>
        <w:t xml:space="preserve">un échange de vues, il a été demandé au Secrétariat </w:t>
      </w:r>
      <w:r w:rsidR="00C93979" w:rsidRPr="009365E7">
        <w:rPr>
          <w:i/>
          <w:lang w:val="fr-FR"/>
        </w:rPr>
        <w:t>“de réviser le document afin de clarifier la proposition et de le soumettre à la prochaine session du comité, pour examen”</w:t>
      </w:r>
      <w:r w:rsidR="00C93979" w:rsidRPr="009365E7">
        <w:rPr>
          <w:rStyle w:val="FootnoteReference"/>
          <w:lang w:val="fr-FR"/>
        </w:rPr>
        <w:footnoteReference w:id="7"/>
      </w:r>
      <w:r w:rsidR="00C93979" w:rsidRPr="009365E7">
        <w:rPr>
          <w:lang w:val="fr-FR"/>
        </w:rPr>
        <w:t>.</w:t>
      </w:r>
    </w:p>
    <w:p w:rsidR="001D1037" w:rsidRPr="009365E7" w:rsidRDefault="00C93979" w:rsidP="00C93979">
      <w:pPr>
        <w:pStyle w:val="ONUMFS"/>
        <w:rPr>
          <w:lang w:val="fr-FR"/>
        </w:rPr>
      </w:pPr>
      <w:r w:rsidRPr="009365E7">
        <w:rPr>
          <w:lang w:val="fr-FR"/>
        </w:rPr>
        <w:t xml:space="preserve">Par conséquent, le présent document et ses annexes contiennent une version révisée du plan de mise en œuvre qui tient compte des observations formulées par les États membres.  </w:t>
      </w:r>
      <w:r w:rsidR="00D913E0" w:rsidRPr="009365E7">
        <w:rPr>
          <w:lang w:val="fr-FR"/>
        </w:rPr>
        <w:t>Les activités 1, 2, 3 et </w:t>
      </w:r>
      <w:proofErr w:type="gramStart"/>
      <w:r w:rsidR="00D913E0" w:rsidRPr="009365E7">
        <w:rPr>
          <w:lang w:val="fr-FR"/>
        </w:rPr>
        <w:t>5</w:t>
      </w:r>
      <w:proofErr w:type="gramEnd"/>
      <w:r w:rsidR="00D913E0" w:rsidRPr="009365E7">
        <w:rPr>
          <w:lang w:val="fr-FR"/>
        </w:rPr>
        <w:t xml:space="preserve"> ont été assorties de nouveaux</w:t>
      </w:r>
      <w:r w:rsidRPr="009365E7">
        <w:rPr>
          <w:lang w:val="fr-FR"/>
        </w:rPr>
        <w:t xml:space="preserve"> intitulés </w:t>
      </w:r>
      <w:r w:rsidR="00D10918" w:rsidRPr="009365E7">
        <w:rPr>
          <w:lang w:val="fr-FR"/>
        </w:rPr>
        <w:t xml:space="preserve">afin de rendre </w:t>
      </w:r>
      <w:r w:rsidR="00D913E0" w:rsidRPr="009365E7">
        <w:rPr>
          <w:lang w:val="fr-FR"/>
        </w:rPr>
        <w:t>compte plus précisément de la teneur de ces activités</w:t>
      </w:r>
      <w:r w:rsidRPr="009365E7">
        <w:rPr>
          <w:lang w:val="fr-FR"/>
        </w:rPr>
        <w:t xml:space="preserve">.  Il est proposé que chacune des activités détaillées dans </w:t>
      </w:r>
      <w:r w:rsidR="00D913E0" w:rsidRPr="009365E7">
        <w:rPr>
          <w:lang w:val="fr-FR"/>
        </w:rPr>
        <w:t>ce</w:t>
      </w:r>
      <w:r w:rsidRPr="009365E7">
        <w:rPr>
          <w:lang w:val="fr-FR"/>
        </w:rPr>
        <w:t xml:space="preserve"> document soit examinée individuellement.</w:t>
      </w:r>
    </w:p>
    <w:p w:rsidR="009D0850" w:rsidRPr="009365E7" w:rsidRDefault="00C20D5D" w:rsidP="00B33884">
      <w:pPr>
        <w:pStyle w:val="ONUMFS"/>
        <w:ind w:left="5533"/>
        <w:rPr>
          <w:i/>
          <w:lang w:val="fr-FR"/>
        </w:rPr>
      </w:pPr>
      <w:r w:rsidRPr="009365E7">
        <w:rPr>
          <w:i/>
          <w:lang w:val="fr-FR"/>
        </w:rPr>
        <w:lastRenderedPageBreak/>
        <w:t>Le comité est invité à examiner les informations contenues dans les annexes du présent</w:t>
      </w:r>
      <w:r w:rsidR="003814B2" w:rsidRPr="009365E7">
        <w:rPr>
          <w:i/>
          <w:lang w:val="fr-FR"/>
        </w:rPr>
        <w:t xml:space="preserve"> document</w:t>
      </w:r>
      <w:r w:rsidR="00FD4E36" w:rsidRPr="009365E7">
        <w:rPr>
          <w:i/>
          <w:lang w:val="fr-FR"/>
        </w:rPr>
        <w:t>.</w:t>
      </w:r>
    </w:p>
    <w:p w:rsidR="009D0850" w:rsidRPr="009365E7" w:rsidRDefault="009D0850" w:rsidP="0094065D">
      <w:pPr>
        <w:pStyle w:val="Endofdocument-Annex"/>
        <w:rPr>
          <w:lang w:val="fr-FR"/>
        </w:rPr>
      </w:pPr>
    </w:p>
    <w:p w:rsidR="009D0850" w:rsidRPr="009365E7" w:rsidRDefault="009D0850" w:rsidP="0094065D">
      <w:pPr>
        <w:pStyle w:val="Endofdocument-Annex"/>
        <w:rPr>
          <w:lang w:val="fr-FR"/>
        </w:rPr>
      </w:pPr>
    </w:p>
    <w:p w:rsidR="00FD4E36" w:rsidRPr="009365E7" w:rsidRDefault="00C20D5D" w:rsidP="0094065D">
      <w:pPr>
        <w:pStyle w:val="Endofdocument-Annex"/>
        <w:rPr>
          <w:lang w:val="fr-FR"/>
        </w:rPr>
      </w:pPr>
      <w:r w:rsidRPr="009365E7">
        <w:rPr>
          <w:lang w:val="fr-FR"/>
        </w:rPr>
        <w:t>[Les a</w:t>
      </w:r>
      <w:r w:rsidR="009D0850" w:rsidRPr="009365E7">
        <w:rPr>
          <w:lang w:val="fr-FR"/>
        </w:rPr>
        <w:t>nnex</w:t>
      </w:r>
      <w:r w:rsidR="00FD4E36" w:rsidRPr="009365E7">
        <w:rPr>
          <w:lang w:val="fr-FR"/>
        </w:rPr>
        <w:t>es</w:t>
      </w:r>
      <w:r w:rsidR="009D0850" w:rsidRPr="009365E7">
        <w:rPr>
          <w:lang w:val="fr-FR"/>
        </w:rPr>
        <w:t xml:space="preserve"> </w:t>
      </w:r>
      <w:r w:rsidRPr="009365E7">
        <w:rPr>
          <w:lang w:val="fr-FR"/>
        </w:rPr>
        <w:t>suivent</w:t>
      </w:r>
      <w:r w:rsidR="009D0850" w:rsidRPr="009365E7">
        <w:rPr>
          <w:lang w:val="fr-FR"/>
        </w:rPr>
        <w:t>]</w:t>
      </w:r>
    </w:p>
    <w:p w:rsidR="0094065D" w:rsidRPr="009365E7" w:rsidRDefault="0094065D" w:rsidP="004071CA">
      <w:pPr>
        <w:ind w:left="5534"/>
        <w:rPr>
          <w:lang w:val="fr-FR"/>
        </w:rPr>
      </w:pPr>
    </w:p>
    <w:p w:rsidR="0094065D" w:rsidRPr="009365E7" w:rsidRDefault="0094065D" w:rsidP="0094065D">
      <w:pPr>
        <w:rPr>
          <w:lang w:val="fr-FR"/>
        </w:rPr>
      </w:pPr>
    </w:p>
    <w:p w:rsidR="009D0850" w:rsidRPr="009365E7" w:rsidRDefault="009D0850" w:rsidP="00FD4E36">
      <w:pPr>
        <w:rPr>
          <w:lang w:val="fr-FR"/>
        </w:rPr>
        <w:sectPr w:rsidR="009D0850" w:rsidRPr="009365E7" w:rsidSect="007F5242">
          <w:headerReference w:type="defaul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9721D" w:rsidRPr="009365E7" w:rsidRDefault="00413A85" w:rsidP="00F26EF9">
      <w:pPr>
        <w:widowControl w:val="0"/>
        <w:autoSpaceDE w:val="0"/>
        <w:autoSpaceDN w:val="0"/>
        <w:spacing w:line="384" w:lineRule="auto"/>
        <w:jc w:val="center"/>
        <w:textAlignment w:val="baseline"/>
        <w:rPr>
          <w:b/>
          <w:bCs/>
          <w:szCs w:val="28"/>
          <w:lang w:val="fr-FR"/>
        </w:rPr>
      </w:pPr>
      <w:r w:rsidRPr="009365E7">
        <w:rPr>
          <w:b/>
          <w:bCs/>
          <w:szCs w:val="28"/>
          <w:lang w:val="fr-FR"/>
        </w:rPr>
        <w:lastRenderedPageBreak/>
        <w:t xml:space="preserve">PLAN </w:t>
      </w:r>
      <w:r w:rsidR="00B45D62" w:rsidRPr="009365E7">
        <w:rPr>
          <w:b/>
          <w:bCs/>
          <w:szCs w:val="28"/>
          <w:lang w:val="fr-FR"/>
        </w:rPr>
        <w:t>DE MISE EN ŒUVRE DE L</w:t>
      </w:r>
      <w:r w:rsidR="001D1037" w:rsidRPr="009365E7">
        <w:rPr>
          <w:b/>
          <w:bCs/>
          <w:szCs w:val="28"/>
          <w:lang w:val="fr-FR"/>
        </w:rPr>
        <w:t>’</w:t>
      </w:r>
      <w:r w:rsidR="00B45D62" w:rsidRPr="009365E7">
        <w:rPr>
          <w:b/>
          <w:bCs/>
          <w:szCs w:val="28"/>
          <w:lang w:val="fr-FR"/>
        </w:rPr>
        <w:t>ACTIVITÉ</w:t>
      </w:r>
      <w:r w:rsidR="008240C2" w:rsidRPr="009365E7">
        <w:rPr>
          <w:b/>
          <w:bCs/>
          <w:szCs w:val="28"/>
          <w:lang w:val="fr-FR"/>
        </w:rPr>
        <w:t> </w:t>
      </w:r>
      <w:r w:rsidR="00FD4E36" w:rsidRPr="009365E7">
        <w:rPr>
          <w:b/>
          <w:bCs/>
          <w:szCs w:val="28"/>
          <w:lang w:val="fr-FR"/>
        </w:rPr>
        <w:t>1</w:t>
      </w:r>
    </w:p>
    <w:p w:rsidR="00114C6E" w:rsidRPr="009365E7" w:rsidRDefault="00114C6E" w:rsidP="0059721D">
      <w:pPr>
        <w:jc w:val="center"/>
        <w:rPr>
          <w:szCs w:val="22"/>
          <w:lang w:val="fr-F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59721D" w:rsidRPr="009365E7" w:rsidTr="00275E16">
        <w:trPr>
          <w:cantSplit/>
        </w:trPr>
        <w:tc>
          <w:tcPr>
            <w:tcW w:w="2376" w:type="dxa"/>
            <w:shd w:val="clear" w:color="auto" w:fill="auto"/>
          </w:tcPr>
          <w:p w:rsidR="0059721D" w:rsidRPr="009365E7" w:rsidRDefault="00C20D5D" w:rsidP="009D0850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Intitulé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activité</w:t>
            </w:r>
            <w:r w:rsidR="0059721D" w:rsidRPr="009365E7">
              <w:rPr>
                <w:i/>
                <w:szCs w:val="22"/>
                <w:lang w:val="fr-FR"/>
              </w:rPr>
              <w:t>/</w:t>
            </w:r>
            <w:r w:rsidRPr="009365E7">
              <w:rPr>
                <w:i/>
                <w:szCs w:val="22"/>
                <w:lang w:val="fr-FR"/>
              </w:rPr>
              <w:t>i</w:t>
            </w:r>
            <w:r w:rsidR="0059721D" w:rsidRPr="009365E7">
              <w:rPr>
                <w:i/>
                <w:szCs w:val="22"/>
                <w:lang w:val="fr-FR"/>
              </w:rPr>
              <w:t>nitiative</w:t>
            </w:r>
          </w:p>
          <w:p w:rsidR="0059721D" w:rsidRPr="009365E7" w:rsidRDefault="0059721D" w:rsidP="009D0850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A5663A" w:rsidRPr="009365E7" w:rsidRDefault="00985A24" w:rsidP="00985A24">
            <w:pPr>
              <w:rPr>
                <w:color w:val="000000"/>
                <w:szCs w:val="22"/>
                <w:lang w:val="fr-FR"/>
              </w:rPr>
            </w:pPr>
            <w:r w:rsidRPr="009365E7">
              <w:rPr>
                <w:color w:val="000000"/>
                <w:szCs w:val="22"/>
                <w:lang w:val="fr-FR"/>
              </w:rPr>
              <w:t xml:space="preserve">Projet pilote sur </w:t>
            </w:r>
            <w:r w:rsidR="00A67CC2" w:rsidRPr="009365E7">
              <w:rPr>
                <w:color w:val="000000"/>
                <w:szCs w:val="22"/>
                <w:lang w:val="fr-FR"/>
              </w:rPr>
              <w:t>la fourniture d</w:t>
            </w:r>
            <w:r w:rsidR="001D1037" w:rsidRPr="009365E7">
              <w:rPr>
                <w:color w:val="000000"/>
                <w:szCs w:val="22"/>
                <w:lang w:val="fr-FR"/>
              </w:rPr>
              <w:t>’</w:t>
            </w:r>
            <w:r w:rsidR="00A67CC2" w:rsidRPr="009365E7">
              <w:rPr>
                <w:color w:val="000000"/>
                <w:szCs w:val="22"/>
                <w:lang w:val="fr-FR"/>
              </w:rPr>
              <w:t xml:space="preserve">une assistance juridique et technique aux fins de </w:t>
            </w:r>
            <w:r w:rsidRPr="009365E7">
              <w:rPr>
                <w:color w:val="000000"/>
                <w:szCs w:val="22"/>
                <w:lang w:val="fr-FR"/>
              </w:rPr>
              <w:t xml:space="preserve">la création </w:t>
            </w:r>
            <w:r w:rsidR="00A67CC2" w:rsidRPr="009365E7">
              <w:rPr>
                <w:color w:val="000000"/>
                <w:szCs w:val="22"/>
                <w:lang w:val="fr-FR"/>
              </w:rPr>
              <w:t>de</w:t>
            </w:r>
            <w:r w:rsidRPr="009365E7">
              <w:rPr>
                <w:color w:val="000000"/>
                <w:szCs w:val="22"/>
                <w:lang w:val="fr-FR"/>
              </w:rPr>
              <w:t xml:space="preserve"> base</w:t>
            </w:r>
            <w:r w:rsidR="00A67CC2" w:rsidRPr="009365E7">
              <w:rPr>
                <w:color w:val="000000"/>
                <w:szCs w:val="22"/>
                <w:lang w:val="fr-FR"/>
              </w:rPr>
              <w:t>s</w:t>
            </w:r>
            <w:r w:rsidRPr="009365E7">
              <w:rPr>
                <w:color w:val="000000"/>
                <w:szCs w:val="22"/>
                <w:lang w:val="fr-FR"/>
              </w:rPr>
              <w:t xml:space="preserve"> de données </w:t>
            </w:r>
            <w:r w:rsidR="00A67CC2" w:rsidRPr="009365E7">
              <w:rPr>
                <w:color w:val="000000"/>
                <w:szCs w:val="22"/>
                <w:lang w:val="fr-FR"/>
              </w:rPr>
              <w:t>pour</w:t>
            </w:r>
            <w:r w:rsidRPr="009365E7">
              <w:rPr>
                <w:color w:val="000000"/>
                <w:szCs w:val="22"/>
                <w:lang w:val="fr-FR"/>
              </w:rPr>
              <w:t xml:space="preserve"> la mise à disposition en libre accès des ressources d</w:t>
            </w:r>
            <w:r w:rsidR="001D1037" w:rsidRPr="009365E7">
              <w:rPr>
                <w:color w:val="000000"/>
                <w:szCs w:val="22"/>
                <w:lang w:val="fr-FR"/>
              </w:rPr>
              <w:t>’</w:t>
            </w:r>
            <w:r w:rsidR="00A67CC2" w:rsidRPr="009365E7">
              <w:rPr>
                <w:color w:val="000000"/>
                <w:szCs w:val="22"/>
                <w:lang w:val="fr-FR"/>
              </w:rPr>
              <w:t>enseignement et de recherche</w:t>
            </w:r>
          </w:p>
          <w:p w:rsidR="00CB031F" w:rsidRPr="009365E7" w:rsidRDefault="00CB031F" w:rsidP="00CB031F">
            <w:pPr>
              <w:rPr>
                <w:szCs w:val="22"/>
                <w:lang w:val="fr-FR"/>
              </w:rPr>
            </w:pPr>
          </w:p>
        </w:tc>
      </w:tr>
      <w:tr w:rsidR="0059721D" w:rsidRPr="009365E7" w:rsidTr="00275E16">
        <w:trPr>
          <w:cantSplit/>
        </w:trPr>
        <w:tc>
          <w:tcPr>
            <w:tcW w:w="2376" w:type="dxa"/>
            <w:shd w:val="clear" w:color="auto" w:fill="auto"/>
          </w:tcPr>
          <w:p w:rsidR="0059721D" w:rsidRPr="009365E7" w:rsidRDefault="0059721D" w:rsidP="009D0850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Br</w:t>
            </w:r>
            <w:r w:rsidR="00985A24" w:rsidRPr="009365E7">
              <w:rPr>
                <w:i/>
                <w:szCs w:val="22"/>
                <w:lang w:val="fr-FR"/>
              </w:rPr>
              <w:t>ève</w:t>
            </w:r>
            <w:r w:rsidRPr="009365E7">
              <w:rPr>
                <w:i/>
                <w:szCs w:val="22"/>
                <w:lang w:val="fr-FR"/>
              </w:rPr>
              <w:t xml:space="preserve"> description </w:t>
            </w:r>
            <w:r w:rsidR="00985A24" w:rsidRPr="009365E7">
              <w:rPr>
                <w:i/>
                <w:szCs w:val="22"/>
                <w:lang w:val="fr-FR"/>
              </w:rPr>
              <w:t>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="00985A24" w:rsidRPr="009365E7">
              <w:rPr>
                <w:i/>
                <w:szCs w:val="22"/>
                <w:lang w:val="fr-FR"/>
              </w:rPr>
              <w:t>activité/initiative</w:t>
            </w:r>
          </w:p>
          <w:p w:rsidR="0059721D" w:rsidRPr="009365E7" w:rsidRDefault="0059721D" w:rsidP="009D0850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985A24" w:rsidRPr="009365E7" w:rsidRDefault="00985A24" w:rsidP="0090363E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Cette</w:t>
            </w:r>
            <w:r w:rsidR="00FD4E36" w:rsidRPr="009365E7">
              <w:rPr>
                <w:szCs w:val="22"/>
                <w:lang w:val="fr-FR"/>
              </w:rPr>
              <w:t xml:space="preserve"> activit</w:t>
            </w:r>
            <w:r w:rsidRPr="009365E7">
              <w:rPr>
                <w:szCs w:val="22"/>
                <w:lang w:val="fr-FR"/>
              </w:rPr>
              <w:t>é vise à fournir des informations techniques et juridiques sur la façon de mettre à disposition en libre accès des ressources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 xml:space="preserve">enseignement et de recherche. </w:t>
            </w:r>
            <w:r w:rsidR="00360465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>Elle permettra à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OMPI, à ses États membres et à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 xml:space="preserve">autres parties prenantes de tirer des enseignements et </w:t>
            </w:r>
            <w:r w:rsidR="00B45D62" w:rsidRPr="009365E7">
              <w:rPr>
                <w:szCs w:val="22"/>
                <w:lang w:val="fr-FR"/>
              </w:rPr>
              <w:t>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B45D62" w:rsidRPr="009365E7">
              <w:rPr>
                <w:szCs w:val="22"/>
                <w:lang w:val="fr-FR"/>
              </w:rPr>
              <w:t>acquérir</w:t>
            </w:r>
            <w:r w:rsidRPr="009365E7">
              <w:rPr>
                <w:szCs w:val="22"/>
                <w:lang w:val="fr-FR"/>
              </w:rPr>
              <w:t xml:space="preserve">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expérience s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agissant des stratégies et des méthodes suivies en matière de libre accès, du point de vue des ressources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enseignement et de recherche.</w:t>
            </w:r>
          </w:p>
          <w:p w:rsidR="00CB031F" w:rsidRPr="009365E7" w:rsidRDefault="00CB031F" w:rsidP="00CB031F">
            <w:pPr>
              <w:rPr>
                <w:szCs w:val="22"/>
                <w:lang w:val="fr-FR"/>
              </w:rPr>
            </w:pPr>
          </w:p>
          <w:p w:rsidR="00B45D62" w:rsidRPr="009365E7" w:rsidRDefault="00B45D62" w:rsidP="00CB031F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Pour atteindre ce but,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activité portera, dans un premier temps, sur la sélection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États membres qui manifesteront leur intérêt et s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engageront à participer au projet.</w:t>
            </w:r>
          </w:p>
          <w:p w:rsidR="00FB6866" w:rsidRPr="009365E7" w:rsidRDefault="00FB6866" w:rsidP="00A352F8">
            <w:pPr>
              <w:rPr>
                <w:szCs w:val="22"/>
                <w:lang w:val="fr-FR"/>
              </w:rPr>
            </w:pPr>
          </w:p>
          <w:p w:rsidR="00A5663A" w:rsidRPr="009365E7" w:rsidRDefault="00B45D62" w:rsidP="00A352F8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Une fois les pays intéressés choisis, un consultant extérieur devra entreprendre les travaux suivants</w:t>
            </w:r>
            <w:r w:rsidR="009B40AD" w:rsidRPr="009365E7">
              <w:rPr>
                <w:szCs w:val="22"/>
                <w:lang w:val="fr-FR"/>
              </w:rPr>
              <w:t> </w:t>
            </w:r>
            <w:r w:rsidR="00071CB3" w:rsidRPr="009365E7">
              <w:rPr>
                <w:szCs w:val="22"/>
                <w:lang w:val="fr-FR"/>
              </w:rPr>
              <w:t>:</w:t>
            </w:r>
          </w:p>
          <w:p w:rsidR="00FB6866" w:rsidRPr="009365E7" w:rsidRDefault="00FB6866" w:rsidP="00FB6866">
            <w:pPr>
              <w:rPr>
                <w:szCs w:val="22"/>
                <w:lang w:val="fr-FR"/>
              </w:rPr>
            </w:pPr>
          </w:p>
          <w:p w:rsidR="00FB6866" w:rsidRPr="009365E7" w:rsidRDefault="00985A24" w:rsidP="00275E16">
            <w:pPr>
              <w:numPr>
                <w:ilvl w:val="0"/>
                <w:numId w:val="3"/>
              </w:numPr>
              <w:tabs>
                <w:tab w:val="clear" w:pos="1134"/>
                <w:tab w:val="left" w:pos="889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recherche et analyse portant sur les politiques de gestion du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 xml:space="preserve">auteur </w:t>
            </w:r>
            <w:r w:rsidR="00B45D62" w:rsidRPr="009365E7">
              <w:rPr>
                <w:szCs w:val="22"/>
                <w:lang w:val="fr-FR"/>
              </w:rPr>
              <w:t xml:space="preserve">menées actuellement </w:t>
            </w:r>
            <w:r w:rsidRPr="009365E7">
              <w:rPr>
                <w:szCs w:val="22"/>
                <w:lang w:val="fr-FR"/>
              </w:rPr>
              <w:t xml:space="preserve">dans </w:t>
            </w:r>
            <w:r w:rsidR="00B45D62" w:rsidRPr="009365E7">
              <w:rPr>
                <w:szCs w:val="22"/>
                <w:lang w:val="fr-FR"/>
              </w:rPr>
              <w:t>des</w:t>
            </w:r>
            <w:r w:rsidRPr="009365E7">
              <w:rPr>
                <w:szCs w:val="22"/>
                <w:lang w:val="fr-FR"/>
              </w:rPr>
              <w:t xml:space="preserve"> institutions </w:t>
            </w:r>
            <w:r w:rsidR="00B45D62" w:rsidRPr="009365E7">
              <w:rPr>
                <w:szCs w:val="22"/>
                <w:lang w:val="fr-FR"/>
              </w:rPr>
              <w:t xml:space="preserve">locales </w:t>
            </w:r>
            <w:r w:rsidRPr="009365E7">
              <w:rPr>
                <w:szCs w:val="22"/>
                <w:lang w:val="fr-FR"/>
              </w:rPr>
              <w:t>proposant des ressources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enseignement et de recherche</w:t>
            </w:r>
            <w:r w:rsidR="00FB6866" w:rsidRPr="009365E7">
              <w:rPr>
                <w:szCs w:val="22"/>
                <w:lang w:val="fr-FR"/>
              </w:rPr>
              <w:t>;</w:t>
            </w:r>
          </w:p>
          <w:p w:rsidR="00985A24" w:rsidRPr="009365E7" w:rsidRDefault="00985A24" w:rsidP="00275E16">
            <w:pPr>
              <w:tabs>
                <w:tab w:val="left" w:pos="889"/>
              </w:tabs>
              <w:autoSpaceDE w:val="0"/>
              <w:autoSpaceDN w:val="0"/>
              <w:adjustRightInd w:val="0"/>
              <w:ind w:left="459"/>
              <w:rPr>
                <w:rFonts w:eastAsia="Calibri"/>
                <w:color w:val="000000"/>
                <w:szCs w:val="22"/>
                <w:lang w:val="fr-FR"/>
              </w:rPr>
            </w:pPr>
          </w:p>
          <w:p w:rsidR="00FB6866" w:rsidRPr="009365E7" w:rsidRDefault="00985A24" w:rsidP="00275E16">
            <w:pPr>
              <w:numPr>
                <w:ilvl w:val="0"/>
                <w:numId w:val="3"/>
              </w:numPr>
              <w:tabs>
                <w:tab w:val="clear" w:pos="1134"/>
                <w:tab w:val="left" w:pos="889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indication de la nature et du type des ressources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enseignement et de recherche qui sont produites ou élaborées par ces institutions</w:t>
            </w:r>
            <w:r w:rsidR="00B45D62" w:rsidRPr="009365E7">
              <w:rPr>
                <w:szCs w:val="22"/>
                <w:lang w:val="fr-FR"/>
              </w:rPr>
              <w:t xml:space="preserve"> et celles qui sont produites à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B45D62" w:rsidRPr="009365E7">
              <w:rPr>
                <w:szCs w:val="22"/>
                <w:lang w:val="fr-FR"/>
              </w:rPr>
              <w:t>étranger mais qui pourraient être librement utilisées et distribuées par ces institutions;</w:t>
            </w:r>
          </w:p>
          <w:p w:rsidR="00985A24" w:rsidRPr="009365E7" w:rsidRDefault="00985A24" w:rsidP="00275E16">
            <w:pPr>
              <w:pStyle w:val="Default"/>
              <w:tabs>
                <w:tab w:val="left" w:pos="889"/>
              </w:tabs>
              <w:ind w:left="459"/>
              <w:rPr>
                <w:sz w:val="22"/>
                <w:szCs w:val="22"/>
                <w:lang w:val="fr-FR"/>
              </w:rPr>
            </w:pPr>
          </w:p>
          <w:p w:rsidR="00985A24" w:rsidRPr="009365E7" w:rsidRDefault="00985A24" w:rsidP="00275E16">
            <w:pPr>
              <w:numPr>
                <w:ilvl w:val="0"/>
                <w:numId w:val="3"/>
              </w:numPr>
              <w:tabs>
                <w:tab w:val="clear" w:pos="1134"/>
                <w:tab w:val="left" w:pos="889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évaluation, parmi ces ressources</w:t>
            </w:r>
            <w:r w:rsidR="00952641" w:rsidRPr="009365E7">
              <w:rPr>
                <w:szCs w:val="22"/>
                <w:lang w:val="fr-FR"/>
              </w:rPr>
              <w:t xml:space="preserve">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952641" w:rsidRPr="009365E7">
              <w:rPr>
                <w:szCs w:val="22"/>
                <w:lang w:val="fr-FR"/>
              </w:rPr>
              <w:t>enseignement et de recherche</w:t>
            </w:r>
            <w:r w:rsidRPr="009365E7">
              <w:rPr>
                <w:szCs w:val="22"/>
                <w:lang w:val="fr-FR"/>
              </w:rPr>
              <w:t xml:space="preserve">, de celles qui pourraient être mises à </w:t>
            </w:r>
            <w:r w:rsidR="00952641" w:rsidRPr="009365E7">
              <w:rPr>
                <w:szCs w:val="22"/>
                <w:lang w:val="fr-FR"/>
              </w:rPr>
              <w:t xml:space="preserve">la </w:t>
            </w:r>
            <w:r w:rsidRPr="009365E7">
              <w:rPr>
                <w:szCs w:val="22"/>
                <w:lang w:val="fr-FR"/>
              </w:rPr>
              <w:t xml:space="preserve">disposition </w:t>
            </w:r>
            <w:r w:rsidR="00952641" w:rsidRPr="009365E7">
              <w:rPr>
                <w:szCs w:val="22"/>
                <w:lang w:val="fr-FR"/>
              </w:rPr>
              <w:t>du public</w:t>
            </w:r>
            <w:r w:rsidRPr="009365E7">
              <w:rPr>
                <w:szCs w:val="22"/>
                <w:lang w:val="fr-FR"/>
              </w:rPr>
              <w:t xml:space="preserve"> dans certains </w:t>
            </w:r>
            <w:r w:rsidR="00952641" w:rsidRPr="009365E7">
              <w:rPr>
                <w:szCs w:val="22"/>
                <w:lang w:val="fr-FR"/>
              </w:rPr>
              <w:t>États memb</w:t>
            </w:r>
            <w:r w:rsidR="00B71BDF" w:rsidRPr="009365E7">
              <w:rPr>
                <w:szCs w:val="22"/>
                <w:lang w:val="fr-FR"/>
              </w:rPr>
              <w:t>r</w:t>
            </w:r>
            <w:r w:rsidR="00952641" w:rsidRPr="009365E7">
              <w:rPr>
                <w:szCs w:val="22"/>
                <w:lang w:val="fr-FR"/>
              </w:rPr>
              <w:t>es;</w:t>
            </w:r>
            <w:r w:rsidR="00A67CC2" w:rsidRPr="009365E7">
              <w:rPr>
                <w:szCs w:val="22"/>
                <w:lang w:val="fr-FR"/>
              </w:rPr>
              <w:t xml:space="preserve">  et</w:t>
            </w:r>
          </w:p>
          <w:p w:rsidR="00952641" w:rsidRPr="009365E7" w:rsidRDefault="00952641" w:rsidP="00275E16">
            <w:pPr>
              <w:pStyle w:val="Default"/>
              <w:tabs>
                <w:tab w:val="left" w:pos="889"/>
              </w:tabs>
              <w:ind w:left="459"/>
              <w:rPr>
                <w:sz w:val="22"/>
                <w:szCs w:val="22"/>
                <w:lang w:val="fr-FR"/>
              </w:rPr>
            </w:pPr>
          </w:p>
          <w:p w:rsidR="00FD4E36" w:rsidRPr="009365E7" w:rsidRDefault="00952641" w:rsidP="00275E16">
            <w:pPr>
              <w:numPr>
                <w:ilvl w:val="0"/>
                <w:numId w:val="3"/>
              </w:numPr>
              <w:tabs>
                <w:tab w:val="clear" w:pos="1134"/>
                <w:tab w:val="left" w:pos="889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p</w:t>
            </w:r>
            <w:r w:rsidR="00FD4E36" w:rsidRPr="009365E7">
              <w:rPr>
                <w:szCs w:val="22"/>
                <w:lang w:val="fr-FR"/>
              </w:rPr>
              <w:t>ropos</w:t>
            </w:r>
            <w:r w:rsidRPr="009365E7">
              <w:rPr>
                <w:szCs w:val="22"/>
                <w:lang w:val="fr-FR"/>
              </w:rPr>
              <w:t>ition de stratégies de mise en œuvre rentables</w:t>
            </w:r>
            <w:r w:rsidR="00FD4E36" w:rsidRPr="009365E7">
              <w:rPr>
                <w:szCs w:val="22"/>
                <w:lang w:val="fr-FR"/>
              </w:rPr>
              <w:t>.</w:t>
            </w:r>
          </w:p>
          <w:p w:rsidR="00FD4E36" w:rsidRPr="009365E7" w:rsidRDefault="00FD4E36" w:rsidP="00A67CC2">
            <w:pPr>
              <w:rPr>
                <w:szCs w:val="22"/>
                <w:lang w:val="fr-FR"/>
              </w:rPr>
            </w:pPr>
          </w:p>
        </w:tc>
      </w:tr>
      <w:tr w:rsidR="0059721D" w:rsidRPr="009365E7" w:rsidTr="00275E16">
        <w:trPr>
          <w:cantSplit/>
        </w:trPr>
        <w:tc>
          <w:tcPr>
            <w:tcW w:w="2376" w:type="dxa"/>
            <w:shd w:val="clear" w:color="auto" w:fill="auto"/>
          </w:tcPr>
          <w:p w:rsidR="0059721D" w:rsidRPr="009365E7" w:rsidRDefault="000975AA" w:rsidP="009D0850">
            <w:pPr>
              <w:rPr>
                <w:b/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Bénéficiaires visés</w:t>
            </w:r>
          </w:p>
          <w:p w:rsidR="0059721D" w:rsidRPr="009365E7" w:rsidRDefault="0059721D" w:rsidP="009D0850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594416" w:rsidRPr="009365E7" w:rsidRDefault="000975AA" w:rsidP="000975AA">
            <w:pPr>
              <w:rPr>
                <w:szCs w:val="22"/>
                <w:lang w:val="fr-FR"/>
              </w:rPr>
            </w:pPr>
            <w:r w:rsidRPr="009365E7">
              <w:rPr>
                <w:color w:val="000000"/>
                <w:szCs w:val="22"/>
                <w:lang w:val="fr-FR"/>
              </w:rPr>
              <w:t>États membres</w:t>
            </w:r>
            <w:r w:rsidR="0006368C" w:rsidRPr="009365E7">
              <w:rPr>
                <w:color w:val="000000"/>
                <w:szCs w:val="22"/>
                <w:lang w:val="fr-FR"/>
              </w:rPr>
              <w:t>,</w:t>
            </w:r>
            <w:r w:rsidR="00071CB3" w:rsidRPr="009365E7">
              <w:rPr>
                <w:color w:val="000000"/>
                <w:szCs w:val="22"/>
                <w:lang w:val="fr-FR"/>
              </w:rPr>
              <w:t xml:space="preserve"> </w:t>
            </w:r>
            <w:r w:rsidRPr="009365E7">
              <w:rPr>
                <w:color w:val="000000"/>
                <w:szCs w:val="22"/>
                <w:lang w:val="fr-FR"/>
              </w:rPr>
              <w:t>organisations internationales</w:t>
            </w:r>
            <w:r w:rsidR="0006368C" w:rsidRPr="009365E7">
              <w:rPr>
                <w:color w:val="000000"/>
                <w:szCs w:val="22"/>
                <w:lang w:val="fr-FR"/>
              </w:rPr>
              <w:t>,</w:t>
            </w:r>
            <w:r w:rsidRPr="009365E7">
              <w:rPr>
                <w:color w:val="000000"/>
                <w:szCs w:val="22"/>
                <w:lang w:val="fr-FR"/>
              </w:rPr>
              <w:t xml:space="preserve"> organismes chargés de l</w:t>
            </w:r>
            <w:r w:rsidR="001D1037" w:rsidRPr="009365E7">
              <w:rPr>
                <w:color w:val="000000"/>
                <w:szCs w:val="22"/>
                <w:lang w:val="fr-FR"/>
              </w:rPr>
              <w:t>’</w:t>
            </w:r>
            <w:r w:rsidRPr="009365E7">
              <w:rPr>
                <w:color w:val="000000"/>
                <w:szCs w:val="22"/>
                <w:lang w:val="fr-FR"/>
              </w:rPr>
              <w:t>enseignement ou de la recherche, et société civile</w:t>
            </w:r>
            <w:r w:rsidR="00594416" w:rsidRPr="009365E7">
              <w:rPr>
                <w:szCs w:val="22"/>
                <w:lang w:val="fr-FR"/>
              </w:rPr>
              <w:t>.</w:t>
            </w:r>
          </w:p>
          <w:p w:rsidR="0059721D" w:rsidRPr="009365E7" w:rsidRDefault="0059721D" w:rsidP="009D0850">
            <w:pPr>
              <w:rPr>
                <w:szCs w:val="22"/>
                <w:lang w:val="fr-FR"/>
              </w:rPr>
            </w:pPr>
          </w:p>
        </w:tc>
      </w:tr>
      <w:tr w:rsidR="00992FCB" w:rsidRPr="009365E7" w:rsidTr="00275E16">
        <w:trPr>
          <w:cantSplit/>
        </w:trPr>
        <w:tc>
          <w:tcPr>
            <w:tcW w:w="2376" w:type="dxa"/>
            <w:shd w:val="clear" w:color="auto" w:fill="auto"/>
          </w:tcPr>
          <w:p w:rsidR="00992FCB" w:rsidRPr="009365E7" w:rsidRDefault="000975AA" w:rsidP="00275E16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Principaux secteurs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OMPI concernés et liens avec des programmes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OMPI</w:t>
            </w:r>
          </w:p>
        </w:tc>
        <w:tc>
          <w:tcPr>
            <w:tcW w:w="6912" w:type="dxa"/>
            <w:shd w:val="clear" w:color="auto" w:fill="auto"/>
          </w:tcPr>
          <w:p w:rsidR="00A5663A" w:rsidRPr="009365E7" w:rsidRDefault="000975AA" w:rsidP="00275E16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Division du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auteur et Division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infrastructure du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auteur</w:t>
            </w:r>
            <w:r w:rsidR="00F265B9" w:rsidRPr="009365E7">
              <w:rPr>
                <w:szCs w:val="22"/>
                <w:lang w:val="fr-FR"/>
              </w:rPr>
              <w:t>.</w:t>
            </w:r>
          </w:p>
          <w:p w:rsidR="00800255" w:rsidRPr="009365E7" w:rsidRDefault="00800255" w:rsidP="00275E16">
            <w:pPr>
              <w:rPr>
                <w:szCs w:val="22"/>
                <w:lang w:val="fr-FR"/>
              </w:rPr>
            </w:pPr>
          </w:p>
          <w:p w:rsidR="00A5663A" w:rsidRPr="009365E7" w:rsidRDefault="000975AA" w:rsidP="00275E16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Cette activité/initiative est liée à plusieurs objectifs stratégiques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 xml:space="preserve">OMPI, notamment </w:t>
            </w:r>
            <w:r w:rsidR="00071CB3" w:rsidRPr="009365E7">
              <w:rPr>
                <w:szCs w:val="22"/>
                <w:lang w:val="fr-FR"/>
              </w:rPr>
              <w:t>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071CB3" w:rsidRPr="009365E7">
              <w:rPr>
                <w:szCs w:val="22"/>
                <w:lang w:val="fr-FR"/>
              </w:rPr>
              <w:t>o</w:t>
            </w:r>
            <w:r w:rsidR="008240C2" w:rsidRPr="009365E7">
              <w:rPr>
                <w:szCs w:val="22"/>
                <w:lang w:val="fr-FR"/>
              </w:rPr>
              <w:t>bjectif </w:t>
            </w:r>
            <w:r w:rsidRPr="009365E7">
              <w:rPr>
                <w:szCs w:val="22"/>
                <w:lang w:val="fr-FR"/>
              </w:rPr>
              <w:t xml:space="preserve">III </w:t>
            </w:r>
            <w:r w:rsidR="00595A1C" w:rsidRPr="009365E7">
              <w:rPr>
                <w:szCs w:val="22"/>
                <w:lang w:val="fr-FR"/>
              </w:rPr>
              <w:t>–</w:t>
            </w:r>
            <w:r w:rsidRPr="009365E7">
              <w:rPr>
                <w:szCs w:val="22"/>
                <w:lang w:val="fr-FR"/>
              </w:rPr>
              <w:t xml:space="preserve"> Favoriser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utilisation de la propriété intellectuelle au service du développement</w:t>
            </w:r>
            <w:r w:rsidR="00265EA7" w:rsidRPr="009365E7">
              <w:rPr>
                <w:szCs w:val="22"/>
                <w:lang w:val="fr-FR"/>
              </w:rPr>
              <w:t xml:space="preserve">; </w:t>
            </w:r>
            <w:r w:rsidR="00595A1C" w:rsidRPr="009365E7">
              <w:rPr>
                <w:szCs w:val="22"/>
                <w:lang w:val="fr-FR"/>
              </w:rPr>
              <w:t xml:space="preserve"> </w:t>
            </w:r>
            <w:r w:rsidR="00265EA7" w:rsidRPr="009365E7">
              <w:rPr>
                <w:szCs w:val="22"/>
                <w:lang w:val="fr-FR"/>
              </w:rPr>
              <w:t xml:space="preserve">et </w:t>
            </w:r>
            <w:r w:rsidR="00071CB3" w:rsidRPr="009365E7">
              <w:rPr>
                <w:szCs w:val="22"/>
                <w:lang w:val="fr-FR"/>
              </w:rPr>
              <w:t>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071CB3" w:rsidRPr="009365E7">
              <w:rPr>
                <w:szCs w:val="22"/>
                <w:lang w:val="fr-FR"/>
              </w:rPr>
              <w:t>objectif</w:t>
            </w:r>
            <w:r w:rsidR="008240C2" w:rsidRPr="009365E7">
              <w:rPr>
                <w:szCs w:val="22"/>
                <w:lang w:val="fr-FR"/>
              </w:rPr>
              <w:t> </w:t>
            </w:r>
            <w:r w:rsidR="00265EA7" w:rsidRPr="009365E7">
              <w:rPr>
                <w:szCs w:val="22"/>
                <w:lang w:val="fr-FR"/>
              </w:rPr>
              <w:t xml:space="preserve">V </w:t>
            </w:r>
            <w:r w:rsidR="00595A1C" w:rsidRPr="009365E7">
              <w:rPr>
                <w:szCs w:val="22"/>
                <w:lang w:val="fr-FR"/>
              </w:rPr>
              <w:t>–</w:t>
            </w:r>
            <w:r w:rsidR="00265EA7" w:rsidRPr="009365E7">
              <w:rPr>
                <w:szCs w:val="22"/>
                <w:lang w:val="fr-FR"/>
              </w:rPr>
              <w:t xml:space="preserve"> Source de références mondiale pour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265EA7" w:rsidRPr="009365E7">
              <w:rPr>
                <w:szCs w:val="22"/>
                <w:lang w:val="fr-FR"/>
              </w:rPr>
              <w:t>information et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265EA7" w:rsidRPr="009365E7">
              <w:rPr>
                <w:szCs w:val="22"/>
                <w:lang w:val="fr-FR"/>
              </w:rPr>
              <w:t>analyse en matière de propriété intellectuelle</w:t>
            </w:r>
            <w:r w:rsidR="008240C2" w:rsidRPr="009365E7">
              <w:rPr>
                <w:szCs w:val="22"/>
                <w:lang w:val="fr-FR"/>
              </w:rPr>
              <w:t>.</w:t>
            </w:r>
          </w:p>
          <w:p w:rsidR="00265EA7" w:rsidRPr="009365E7" w:rsidRDefault="00265EA7" w:rsidP="00275E16">
            <w:pPr>
              <w:rPr>
                <w:szCs w:val="22"/>
                <w:lang w:val="fr-FR"/>
              </w:rPr>
            </w:pPr>
          </w:p>
        </w:tc>
      </w:tr>
      <w:tr w:rsidR="00A352F8" w:rsidRPr="009365E7" w:rsidTr="00275E16">
        <w:trPr>
          <w:cantSplit/>
        </w:trPr>
        <w:tc>
          <w:tcPr>
            <w:tcW w:w="2376" w:type="dxa"/>
            <w:shd w:val="clear" w:color="auto" w:fill="auto"/>
          </w:tcPr>
          <w:p w:rsidR="00A352F8" w:rsidRPr="009365E7" w:rsidRDefault="000975AA" w:rsidP="00CF1B9C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lastRenderedPageBreak/>
              <w:t>Étapes</w:t>
            </w:r>
          </w:p>
          <w:p w:rsidR="005E4B1F" w:rsidRPr="009365E7" w:rsidRDefault="005E4B1F" w:rsidP="009D0850">
            <w:pPr>
              <w:rPr>
                <w:i/>
                <w:szCs w:val="22"/>
                <w:lang w:val="fr-FR"/>
              </w:rPr>
            </w:pPr>
          </w:p>
          <w:p w:rsidR="005E4B1F" w:rsidRPr="009365E7" w:rsidRDefault="005E4B1F" w:rsidP="009D0850">
            <w:pPr>
              <w:rPr>
                <w:i/>
                <w:szCs w:val="22"/>
                <w:lang w:val="fr-FR"/>
              </w:rPr>
            </w:pPr>
          </w:p>
          <w:p w:rsidR="005E4B1F" w:rsidRPr="009365E7" w:rsidRDefault="005E4B1F" w:rsidP="009D0850">
            <w:pPr>
              <w:rPr>
                <w:i/>
                <w:szCs w:val="22"/>
                <w:lang w:val="fr-FR"/>
              </w:rPr>
            </w:pPr>
          </w:p>
          <w:p w:rsidR="005E4B1F" w:rsidRPr="009365E7" w:rsidRDefault="005E4B1F" w:rsidP="009D0850">
            <w:pPr>
              <w:rPr>
                <w:i/>
                <w:szCs w:val="22"/>
                <w:lang w:val="fr-FR"/>
              </w:rPr>
            </w:pPr>
          </w:p>
          <w:p w:rsidR="005E4B1F" w:rsidRPr="009365E7" w:rsidRDefault="005E4B1F" w:rsidP="009D0850">
            <w:pPr>
              <w:rPr>
                <w:i/>
                <w:szCs w:val="22"/>
                <w:lang w:val="fr-FR"/>
              </w:rPr>
            </w:pPr>
          </w:p>
          <w:p w:rsidR="005E4B1F" w:rsidRPr="009365E7" w:rsidRDefault="005E4B1F" w:rsidP="009D0850">
            <w:pPr>
              <w:rPr>
                <w:i/>
                <w:szCs w:val="22"/>
                <w:lang w:val="fr-FR"/>
              </w:rPr>
            </w:pPr>
          </w:p>
          <w:p w:rsidR="005E4B1F" w:rsidRPr="009365E7" w:rsidRDefault="005E4B1F" w:rsidP="009D0850">
            <w:pPr>
              <w:rPr>
                <w:i/>
                <w:szCs w:val="22"/>
                <w:lang w:val="fr-FR"/>
              </w:rPr>
            </w:pPr>
          </w:p>
          <w:p w:rsidR="005E4B1F" w:rsidRPr="009365E7" w:rsidRDefault="005E4B1F" w:rsidP="009D0850">
            <w:pPr>
              <w:rPr>
                <w:i/>
                <w:szCs w:val="22"/>
                <w:lang w:val="fr-FR"/>
              </w:rPr>
            </w:pPr>
          </w:p>
          <w:p w:rsidR="005E4B1F" w:rsidRPr="009365E7" w:rsidRDefault="005E4B1F" w:rsidP="009D0850">
            <w:pPr>
              <w:rPr>
                <w:i/>
                <w:szCs w:val="22"/>
                <w:lang w:val="fr-FR"/>
              </w:rPr>
            </w:pPr>
          </w:p>
          <w:p w:rsidR="005E4B1F" w:rsidRPr="009365E7" w:rsidRDefault="005E4B1F" w:rsidP="009D0850">
            <w:pPr>
              <w:rPr>
                <w:i/>
                <w:szCs w:val="22"/>
                <w:lang w:val="fr-FR"/>
              </w:rPr>
            </w:pPr>
          </w:p>
          <w:p w:rsidR="005E4B1F" w:rsidRPr="009365E7" w:rsidRDefault="005E4B1F" w:rsidP="009D0850">
            <w:pPr>
              <w:rPr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84395E" w:rsidRPr="009365E7" w:rsidRDefault="009B40AD" w:rsidP="00275E16">
            <w:pPr>
              <w:numPr>
                <w:ilvl w:val="0"/>
                <w:numId w:val="4"/>
              </w:numPr>
              <w:tabs>
                <w:tab w:val="clear" w:pos="1134"/>
                <w:tab w:val="left" w:pos="899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i</w:t>
            </w:r>
            <w:r w:rsidR="00800255" w:rsidRPr="009365E7">
              <w:rPr>
                <w:szCs w:val="22"/>
                <w:lang w:val="fr-FR"/>
              </w:rPr>
              <w:t xml:space="preserve">dentification </w:t>
            </w:r>
            <w:r w:rsidR="00265EA7" w:rsidRPr="009365E7">
              <w:rPr>
                <w:szCs w:val="22"/>
                <w:lang w:val="fr-FR"/>
              </w:rPr>
              <w:t>et sé</w:t>
            </w:r>
            <w:r w:rsidR="00B73837" w:rsidRPr="009365E7">
              <w:rPr>
                <w:szCs w:val="22"/>
                <w:lang w:val="fr-FR"/>
              </w:rPr>
              <w:t xml:space="preserve">lection </w:t>
            </w:r>
            <w:r w:rsidR="00265EA7" w:rsidRPr="009365E7">
              <w:rPr>
                <w:szCs w:val="22"/>
                <w:lang w:val="fr-FR"/>
              </w:rPr>
              <w:t>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265EA7" w:rsidRPr="009365E7">
              <w:rPr>
                <w:szCs w:val="22"/>
                <w:lang w:val="fr-FR"/>
              </w:rPr>
              <w:t>États membres intéressés</w:t>
            </w:r>
            <w:r w:rsidR="00F265B9" w:rsidRPr="009365E7">
              <w:rPr>
                <w:szCs w:val="22"/>
                <w:lang w:val="fr-FR"/>
              </w:rPr>
              <w:t xml:space="preserve"> (</w:t>
            </w:r>
            <w:r w:rsidR="00265EA7" w:rsidRPr="009365E7">
              <w:rPr>
                <w:szCs w:val="22"/>
                <w:lang w:val="fr-FR"/>
              </w:rPr>
              <w:t>trois</w:t>
            </w:r>
            <w:r w:rsidR="001416FD" w:rsidRPr="009365E7">
              <w:rPr>
                <w:szCs w:val="22"/>
                <w:lang w:val="fr-FR"/>
              </w:rPr>
              <w:t> </w:t>
            </w:r>
            <w:r w:rsidR="00265EA7" w:rsidRPr="009365E7">
              <w:rPr>
                <w:szCs w:val="22"/>
                <w:lang w:val="fr-FR"/>
              </w:rPr>
              <w:t>maximum</w:t>
            </w:r>
            <w:r w:rsidR="00843A4E" w:rsidRPr="009365E7">
              <w:rPr>
                <w:szCs w:val="22"/>
                <w:lang w:val="fr-FR"/>
              </w:rPr>
              <w:t>)</w:t>
            </w:r>
            <w:r w:rsidR="0084395E" w:rsidRPr="009365E7">
              <w:rPr>
                <w:szCs w:val="22"/>
                <w:lang w:val="fr-FR"/>
              </w:rPr>
              <w:t>;</w:t>
            </w:r>
          </w:p>
          <w:p w:rsidR="0084395E" w:rsidRPr="009365E7" w:rsidRDefault="0084395E" w:rsidP="00275E16">
            <w:pPr>
              <w:tabs>
                <w:tab w:val="left" w:pos="899"/>
              </w:tabs>
              <w:ind w:left="459"/>
              <w:rPr>
                <w:szCs w:val="22"/>
                <w:lang w:val="fr-FR"/>
              </w:rPr>
            </w:pPr>
          </w:p>
          <w:p w:rsidR="0084395E" w:rsidRPr="009365E7" w:rsidRDefault="009B40AD" w:rsidP="00275E16">
            <w:pPr>
              <w:numPr>
                <w:ilvl w:val="0"/>
                <w:numId w:val="4"/>
              </w:numPr>
              <w:tabs>
                <w:tab w:val="clear" w:pos="1134"/>
                <w:tab w:val="left" w:pos="899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i</w:t>
            </w:r>
            <w:r w:rsidR="00265EA7" w:rsidRPr="009365E7">
              <w:rPr>
                <w:szCs w:val="22"/>
                <w:lang w:val="fr-FR"/>
              </w:rPr>
              <w:t>dentification et sélection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265EA7" w:rsidRPr="009365E7">
              <w:rPr>
                <w:szCs w:val="22"/>
                <w:lang w:val="fr-FR"/>
              </w:rPr>
              <w:t xml:space="preserve">un consultant extérieur </w:t>
            </w:r>
            <w:r w:rsidR="0084395E" w:rsidRPr="009365E7">
              <w:rPr>
                <w:szCs w:val="22"/>
                <w:lang w:val="fr-FR"/>
              </w:rPr>
              <w:t>(</w:t>
            </w:r>
            <w:r w:rsidR="00265EA7" w:rsidRPr="009365E7">
              <w:rPr>
                <w:szCs w:val="22"/>
                <w:lang w:val="fr-FR"/>
              </w:rPr>
              <w:t>ou plusieur</w:t>
            </w:r>
            <w:r w:rsidR="0084395E" w:rsidRPr="009365E7">
              <w:rPr>
                <w:szCs w:val="22"/>
                <w:lang w:val="fr-FR"/>
              </w:rPr>
              <w:t>s);</w:t>
            </w:r>
          </w:p>
          <w:p w:rsidR="0084395E" w:rsidRPr="009365E7" w:rsidRDefault="0084395E" w:rsidP="00275E16">
            <w:pPr>
              <w:tabs>
                <w:tab w:val="left" w:pos="899"/>
              </w:tabs>
              <w:ind w:left="459"/>
              <w:rPr>
                <w:szCs w:val="22"/>
                <w:lang w:val="fr-FR"/>
              </w:rPr>
            </w:pPr>
          </w:p>
          <w:p w:rsidR="005E4B1F" w:rsidRPr="009365E7" w:rsidRDefault="009B40AD" w:rsidP="00275E16">
            <w:pPr>
              <w:numPr>
                <w:ilvl w:val="0"/>
                <w:numId w:val="4"/>
              </w:numPr>
              <w:tabs>
                <w:tab w:val="clear" w:pos="1134"/>
                <w:tab w:val="left" w:pos="899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a</w:t>
            </w:r>
            <w:r w:rsidR="00265EA7" w:rsidRPr="009365E7">
              <w:rPr>
                <w:szCs w:val="22"/>
                <w:lang w:val="fr-FR"/>
              </w:rPr>
              <w:t xml:space="preserve">doption </w:t>
            </w:r>
            <w:r w:rsidR="0006368C" w:rsidRPr="009365E7">
              <w:rPr>
                <w:szCs w:val="22"/>
                <w:lang w:val="fr-FR"/>
              </w:rPr>
              <w:t xml:space="preserve">de services contractuels de personnes </w:t>
            </w:r>
            <w:r w:rsidR="00265EA7" w:rsidRPr="009365E7">
              <w:rPr>
                <w:szCs w:val="22"/>
                <w:lang w:val="fr-FR"/>
              </w:rPr>
              <w:t>et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265EA7" w:rsidRPr="009365E7">
              <w:rPr>
                <w:szCs w:val="22"/>
                <w:lang w:val="fr-FR"/>
              </w:rPr>
              <w:t>un mandat</w:t>
            </w:r>
            <w:r w:rsidR="0084395E" w:rsidRPr="009365E7">
              <w:rPr>
                <w:szCs w:val="22"/>
                <w:lang w:val="fr-FR"/>
              </w:rPr>
              <w:t>;</w:t>
            </w:r>
          </w:p>
          <w:p w:rsidR="005E4B1F" w:rsidRPr="009365E7" w:rsidRDefault="005E4B1F" w:rsidP="00275E16">
            <w:pPr>
              <w:tabs>
                <w:tab w:val="left" w:pos="899"/>
              </w:tabs>
              <w:ind w:left="459"/>
              <w:rPr>
                <w:szCs w:val="22"/>
                <w:lang w:val="fr-FR"/>
              </w:rPr>
            </w:pPr>
          </w:p>
          <w:p w:rsidR="0084395E" w:rsidRPr="009365E7" w:rsidRDefault="009B40AD" w:rsidP="00275E16">
            <w:pPr>
              <w:numPr>
                <w:ilvl w:val="0"/>
                <w:numId w:val="4"/>
              </w:numPr>
              <w:tabs>
                <w:tab w:val="clear" w:pos="1134"/>
                <w:tab w:val="left" w:pos="899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f</w:t>
            </w:r>
            <w:r w:rsidR="00B71BDF" w:rsidRPr="009365E7">
              <w:rPr>
                <w:szCs w:val="22"/>
                <w:lang w:val="fr-FR"/>
              </w:rPr>
              <w:t>ourniture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B71BDF" w:rsidRPr="009365E7">
              <w:rPr>
                <w:szCs w:val="22"/>
                <w:lang w:val="fr-FR"/>
              </w:rPr>
              <w:t>étude</w:t>
            </w:r>
            <w:r w:rsidR="00B01A74" w:rsidRPr="009365E7">
              <w:rPr>
                <w:szCs w:val="22"/>
                <w:lang w:val="fr-FR"/>
              </w:rPr>
              <w:t>;</w:t>
            </w:r>
          </w:p>
          <w:p w:rsidR="0084395E" w:rsidRPr="009365E7" w:rsidRDefault="0084395E" w:rsidP="00275E16">
            <w:pPr>
              <w:pStyle w:val="ListParagraph"/>
              <w:tabs>
                <w:tab w:val="left" w:pos="899"/>
              </w:tabs>
              <w:ind w:left="459"/>
              <w:rPr>
                <w:szCs w:val="22"/>
                <w:lang w:val="fr-FR"/>
              </w:rPr>
            </w:pPr>
          </w:p>
          <w:p w:rsidR="00A5663A" w:rsidRPr="009365E7" w:rsidRDefault="009B40AD" w:rsidP="00275E16">
            <w:pPr>
              <w:numPr>
                <w:ilvl w:val="0"/>
                <w:numId w:val="4"/>
              </w:numPr>
              <w:tabs>
                <w:tab w:val="clear" w:pos="1134"/>
                <w:tab w:val="left" w:pos="899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a</w:t>
            </w:r>
            <w:r w:rsidR="00B10E13" w:rsidRPr="009365E7">
              <w:rPr>
                <w:szCs w:val="22"/>
                <w:lang w:val="fr-FR"/>
              </w:rPr>
              <w:t>nalys</w:t>
            </w:r>
            <w:r w:rsidR="00B71BDF" w:rsidRPr="009365E7">
              <w:rPr>
                <w:szCs w:val="22"/>
                <w:lang w:val="fr-FR"/>
              </w:rPr>
              <w:t>e des contributions du</w:t>
            </w:r>
            <w:r w:rsidR="00A67CC2" w:rsidRPr="009365E7">
              <w:rPr>
                <w:szCs w:val="22"/>
                <w:lang w:val="fr-FR"/>
              </w:rPr>
              <w:t xml:space="preserve"> ou des</w:t>
            </w:r>
            <w:r w:rsidR="00B10E13" w:rsidRPr="009365E7">
              <w:rPr>
                <w:szCs w:val="22"/>
                <w:lang w:val="fr-FR"/>
              </w:rPr>
              <w:t xml:space="preserve"> consultant</w:t>
            </w:r>
            <w:r w:rsidR="00A67CC2" w:rsidRPr="009365E7">
              <w:rPr>
                <w:szCs w:val="22"/>
                <w:lang w:val="fr-FR"/>
              </w:rPr>
              <w:t>s</w:t>
            </w:r>
            <w:r w:rsidR="00B71BDF" w:rsidRPr="009365E7">
              <w:rPr>
                <w:szCs w:val="22"/>
                <w:lang w:val="fr-FR"/>
              </w:rPr>
              <w:t xml:space="preserve"> </w:t>
            </w:r>
            <w:r w:rsidR="001416FD" w:rsidRPr="009365E7">
              <w:rPr>
                <w:szCs w:val="22"/>
                <w:lang w:val="fr-FR"/>
              </w:rPr>
              <w:br/>
            </w:r>
            <w:r w:rsidR="00B71BDF" w:rsidRPr="009365E7">
              <w:rPr>
                <w:szCs w:val="22"/>
                <w:lang w:val="fr-FR"/>
              </w:rPr>
              <w:t>extérieur</w:t>
            </w:r>
            <w:r w:rsidR="00A67CC2" w:rsidRPr="009365E7">
              <w:rPr>
                <w:szCs w:val="22"/>
                <w:lang w:val="fr-FR"/>
              </w:rPr>
              <w:t>s</w:t>
            </w:r>
            <w:r w:rsidR="00B01A74" w:rsidRPr="009365E7">
              <w:rPr>
                <w:szCs w:val="22"/>
                <w:lang w:val="fr-FR"/>
              </w:rPr>
              <w:t>;</w:t>
            </w:r>
            <w:r w:rsidR="00A67CC2" w:rsidRPr="009365E7">
              <w:rPr>
                <w:szCs w:val="22"/>
                <w:lang w:val="fr-FR"/>
              </w:rPr>
              <w:t xml:space="preserve">  et</w:t>
            </w:r>
          </w:p>
          <w:p w:rsidR="00B01A74" w:rsidRPr="009365E7" w:rsidRDefault="00B01A74" w:rsidP="00275E16">
            <w:pPr>
              <w:tabs>
                <w:tab w:val="left" w:pos="899"/>
              </w:tabs>
              <w:ind w:left="459"/>
              <w:rPr>
                <w:szCs w:val="22"/>
                <w:lang w:val="fr-FR"/>
              </w:rPr>
            </w:pPr>
          </w:p>
          <w:p w:rsidR="00B01A74" w:rsidRPr="009365E7" w:rsidRDefault="009B40AD" w:rsidP="00275E16">
            <w:pPr>
              <w:numPr>
                <w:ilvl w:val="0"/>
                <w:numId w:val="4"/>
              </w:numPr>
              <w:tabs>
                <w:tab w:val="clear" w:pos="1134"/>
                <w:tab w:val="left" w:pos="899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a</w:t>
            </w:r>
            <w:r w:rsidR="00B71BDF" w:rsidRPr="009365E7">
              <w:rPr>
                <w:szCs w:val="22"/>
                <w:lang w:val="fr-FR"/>
              </w:rPr>
              <w:t>utres étapes éventuelles prévues par la stratégie de mise en œuvre.</w:t>
            </w:r>
          </w:p>
          <w:p w:rsidR="00A352F8" w:rsidRPr="009365E7" w:rsidRDefault="00A352F8" w:rsidP="00E06EE2">
            <w:pPr>
              <w:ind w:left="1134"/>
              <w:rPr>
                <w:szCs w:val="22"/>
                <w:lang w:val="fr-FR"/>
              </w:rPr>
            </w:pPr>
          </w:p>
        </w:tc>
      </w:tr>
      <w:tr w:rsidR="005E4B1F" w:rsidRPr="009365E7" w:rsidTr="00275E16">
        <w:trPr>
          <w:cantSplit/>
          <w:trHeight w:val="595"/>
        </w:trPr>
        <w:tc>
          <w:tcPr>
            <w:tcW w:w="2376" w:type="dxa"/>
            <w:shd w:val="clear" w:color="auto" w:fill="auto"/>
          </w:tcPr>
          <w:p w:rsidR="005E4B1F" w:rsidRPr="009365E7" w:rsidRDefault="00B71BDF" w:rsidP="00CF1B9C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Durée globale</w:t>
            </w:r>
          </w:p>
          <w:p w:rsidR="005E4B1F" w:rsidRPr="009365E7" w:rsidRDefault="005E4B1F" w:rsidP="009D0850">
            <w:pPr>
              <w:rPr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CF1B9C" w:rsidRPr="009365E7" w:rsidRDefault="00B01A74" w:rsidP="009B40AD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24</w:t>
            </w:r>
            <w:r w:rsidR="009B40AD" w:rsidRPr="009365E7">
              <w:rPr>
                <w:szCs w:val="22"/>
                <w:lang w:val="fr-FR"/>
              </w:rPr>
              <w:t> </w:t>
            </w:r>
            <w:r w:rsidR="00CF1B9C" w:rsidRPr="009365E7">
              <w:rPr>
                <w:szCs w:val="22"/>
                <w:lang w:val="fr-FR"/>
              </w:rPr>
              <w:t>mo</w:t>
            </w:r>
            <w:r w:rsidR="00B71BDF" w:rsidRPr="009365E7">
              <w:rPr>
                <w:szCs w:val="22"/>
                <w:lang w:val="fr-FR"/>
              </w:rPr>
              <w:t>i</w:t>
            </w:r>
            <w:r w:rsidR="00CF1B9C" w:rsidRPr="009365E7">
              <w:rPr>
                <w:szCs w:val="22"/>
                <w:lang w:val="fr-FR"/>
              </w:rPr>
              <w:t>s</w:t>
            </w:r>
            <w:r w:rsidRPr="009365E7">
              <w:rPr>
                <w:szCs w:val="22"/>
                <w:lang w:val="fr-FR"/>
              </w:rPr>
              <w:t xml:space="preserve"> </w:t>
            </w:r>
            <w:r w:rsidR="00B71BDF" w:rsidRPr="009365E7">
              <w:rPr>
                <w:szCs w:val="22"/>
                <w:lang w:val="fr-FR"/>
              </w:rPr>
              <w:t>à dater de la sélection des pays ciblés</w:t>
            </w:r>
            <w:r w:rsidR="00B73837" w:rsidRPr="009365E7">
              <w:rPr>
                <w:szCs w:val="22"/>
                <w:lang w:val="fr-FR"/>
              </w:rPr>
              <w:t>.</w:t>
            </w:r>
          </w:p>
        </w:tc>
      </w:tr>
      <w:tr w:rsidR="00B1002B" w:rsidRPr="009365E7" w:rsidTr="00275E16">
        <w:trPr>
          <w:cantSplit/>
        </w:trPr>
        <w:tc>
          <w:tcPr>
            <w:tcW w:w="2376" w:type="dxa"/>
            <w:shd w:val="clear" w:color="auto" w:fill="auto"/>
          </w:tcPr>
          <w:p w:rsidR="00B1002B" w:rsidRPr="009365E7" w:rsidRDefault="00B1002B" w:rsidP="009D0850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Budget</w:t>
            </w:r>
            <w:r w:rsidR="002C1E7C" w:rsidRPr="009365E7">
              <w:rPr>
                <w:i/>
                <w:szCs w:val="22"/>
                <w:lang w:val="fr-FR"/>
              </w:rPr>
              <w:t> </w:t>
            </w:r>
            <w:r w:rsidRPr="009365E7">
              <w:rPr>
                <w:i/>
                <w:szCs w:val="22"/>
                <w:lang w:val="fr-FR"/>
              </w:rPr>
              <w:t>:</w:t>
            </w:r>
          </w:p>
          <w:p w:rsidR="00B1002B" w:rsidRPr="009365E7" w:rsidRDefault="00B1002B" w:rsidP="009D0850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A5663A" w:rsidRPr="009365E7" w:rsidRDefault="00D13303" w:rsidP="008237EC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REMAR</w:t>
            </w:r>
            <w:r w:rsidR="00B71BDF" w:rsidRPr="009365E7">
              <w:rPr>
                <w:szCs w:val="22"/>
                <w:lang w:val="fr-FR"/>
              </w:rPr>
              <w:t>QUE</w:t>
            </w:r>
            <w:r w:rsidR="008240C2" w:rsidRPr="009365E7">
              <w:rPr>
                <w:szCs w:val="22"/>
                <w:lang w:val="fr-FR"/>
              </w:rPr>
              <w:t> </w:t>
            </w:r>
            <w:r w:rsidR="00071CB3" w:rsidRPr="009365E7">
              <w:rPr>
                <w:szCs w:val="22"/>
                <w:lang w:val="fr-FR"/>
              </w:rPr>
              <w:t xml:space="preserve">: </w:t>
            </w:r>
            <w:r w:rsidR="00B71BDF" w:rsidRPr="009365E7">
              <w:rPr>
                <w:szCs w:val="22"/>
                <w:lang w:val="fr-FR"/>
              </w:rPr>
              <w:t>Il n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B71BDF" w:rsidRPr="009365E7">
              <w:rPr>
                <w:szCs w:val="22"/>
                <w:lang w:val="fr-FR"/>
              </w:rPr>
              <w:t xml:space="preserve">a pas été inscrit de ressources humaines ni financières </w:t>
            </w:r>
            <w:r w:rsidR="00D060B4" w:rsidRPr="009365E7">
              <w:rPr>
                <w:szCs w:val="22"/>
                <w:lang w:val="fr-FR"/>
              </w:rPr>
              <w:t>affectées à</w:t>
            </w:r>
            <w:r w:rsidR="00B71BDF" w:rsidRPr="009365E7">
              <w:rPr>
                <w:szCs w:val="22"/>
                <w:lang w:val="fr-FR"/>
              </w:rPr>
              <w:t xml:space="preserve"> cette activité </w:t>
            </w:r>
            <w:r w:rsidR="00D060B4" w:rsidRPr="009365E7">
              <w:rPr>
                <w:szCs w:val="22"/>
                <w:lang w:val="fr-FR"/>
              </w:rPr>
              <w:t>au p</w:t>
            </w:r>
            <w:r w:rsidR="00B1002B" w:rsidRPr="009365E7">
              <w:rPr>
                <w:szCs w:val="22"/>
                <w:lang w:val="fr-FR"/>
              </w:rPr>
              <w:t>rogram</w:t>
            </w:r>
            <w:r w:rsidR="00D060B4" w:rsidRPr="009365E7">
              <w:rPr>
                <w:szCs w:val="22"/>
                <w:lang w:val="fr-FR"/>
              </w:rPr>
              <w:t>me et</w:t>
            </w:r>
            <w:r w:rsidR="00B1002B" w:rsidRPr="009365E7">
              <w:rPr>
                <w:szCs w:val="22"/>
                <w:lang w:val="fr-FR"/>
              </w:rPr>
              <w:t xml:space="preserve"> </w:t>
            </w:r>
            <w:r w:rsidR="00D060B4" w:rsidRPr="009365E7">
              <w:rPr>
                <w:szCs w:val="22"/>
                <w:lang w:val="fr-FR"/>
              </w:rPr>
              <w:t>b</w:t>
            </w:r>
            <w:r w:rsidR="00B1002B" w:rsidRPr="009365E7">
              <w:rPr>
                <w:szCs w:val="22"/>
                <w:lang w:val="fr-FR"/>
              </w:rPr>
              <w:t>udget</w:t>
            </w:r>
            <w:r w:rsidR="00D060B4" w:rsidRPr="009365E7">
              <w:rPr>
                <w:szCs w:val="22"/>
                <w:lang w:val="fr-FR"/>
              </w:rPr>
              <w:t xml:space="preserve"> pour</w:t>
            </w:r>
            <w:r w:rsidR="00595A1C" w:rsidRPr="009365E7">
              <w:rPr>
                <w:szCs w:val="22"/>
                <w:lang w:val="fr-FR"/>
              </w:rPr>
              <w:t> </w:t>
            </w:r>
            <w:r w:rsidR="00D060B4" w:rsidRPr="009365E7">
              <w:rPr>
                <w:szCs w:val="22"/>
                <w:lang w:val="fr-FR"/>
              </w:rPr>
              <w:t>2014</w:t>
            </w:r>
            <w:r w:rsidR="00D87C56">
              <w:rPr>
                <w:szCs w:val="22"/>
                <w:lang w:val="fr-FR"/>
              </w:rPr>
              <w:noBreakHyphen/>
            </w:r>
            <w:r w:rsidR="00D060B4" w:rsidRPr="009365E7">
              <w:rPr>
                <w:szCs w:val="22"/>
                <w:lang w:val="fr-FR"/>
              </w:rPr>
              <w:t>2015</w:t>
            </w:r>
            <w:r w:rsidR="00B1002B" w:rsidRPr="009365E7">
              <w:rPr>
                <w:szCs w:val="22"/>
                <w:lang w:val="fr-FR"/>
              </w:rPr>
              <w:t xml:space="preserve">. </w:t>
            </w:r>
            <w:r w:rsidR="00D060B4" w:rsidRPr="009365E7">
              <w:rPr>
                <w:szCs w:val="22"/>
                <w:lang w:val="fr-FR"/>
              </w:rPr>
              <w:t xml:space="preserve"> De nouvelles ressources devront être identifiées en conséquence.</w:t>
            </w:r>
            <w:r w:rsidR="00360465" w:rsidRPr="009365E7">
              <w:rPr>
                <w:szCs w:val="22"/>
                <w:lang w:val="fr-FR"/>
              </w:rPr>
              <w:t xml:space="preserve"> </w:t>
            </w:r>
            <w:r w:rsidR="00D060B4" w:rsidRPr="009365E7">
              <w:rPr>
                <w:szCs w:val="22"/>
                <w:lang w:val="fr-FR"/>
              </w:rPr>
              <w:t xml:space="preserve"> Le budget estimé s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D060B4" w:rsidRPr="009365E7">
              <w:rPr>
                <w:szCs w:val="22"/>
                <w:lang w:val="fr-FR"/>
              </w:rPr>
              <w:t xml:space="preserve">entend </w:t>
            </w:r>
            <w:r w:rsidR="00D060B4" w:rsidRPr="009365E7">
              <w:rPr>
                <w:i/>
                <w:szCs w:val="22"/>
                <w:lang w:val="fr-FR"/>
              </w:rPr>
              <w:t>par État membre volontaire</w:t>
            </w:r>
            <w:r w:rsidR="0066423B" w:rsidRPr="009365E7">
              <w:rPr>
                <w:szCs w:val="22"/>
                <w:lang w:val="fr-FR"/>
              </w:rPr>
              <w:t>, ainsi qu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66423B" w:rsidRPr="009365E7">
              <w:rPr>
                <w:szCs w:val="22"/>
                <w:lang w:val="fr-FR"/>
              </w:rPr>
              <w:t>indiqué ci</w:t>
            </w:r>
            <w:r w:rsidR="00D87C56">
              <w:rPr>
                <w:szCs w:val="22"/>
                <w:lang w:val="fr-FR"/>
              </w:rPr>
              <w:noBreakHyphen/>
            </w:r>
            <w:r w:rsidR="0066423B" w:rsidRPr="009365E7">
              <w:rPr>
                <w:szCs w:val="22"/>
                <w:lang w:val="fr-FR"/>
              </w:rPr>
              <w:t>dessus.</w:t>
            </w:r>
          </w:p>
          <w:p w:rsidR="00B1002B" w:rsidRPr="009365E7" w:rsidRDefault="00B1002B" w:rsidP="00341AC8">
            <w:pPr>
              <w:rPr>
                <w:szCs w:val="22"/>
                <w:lang w:val="fr-FR"/>
              </w:rPr>
            </w:pPr>
          </w:p>
          <w:p w:rsidR="00B1002B" w:rsidRPr="009365E7" w:rsidRDefault="00360465" w:rsidP="00341AC8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Dépenses</w:t>
            </w:r>
            <w:r w:rsidR="0066423B" w:rsidRPr="009365E7">
              <w:rPr>
                <w:i/>
                <w:szCs w:val="22"/>
                <w:lang w:val="fr-FR"/>
              </w:rPr>
              <w:t xml:space="preserve"> autres que les dépenses de personnel</w:t>
            </w:r>
            <w:r w:rsidR="008240C2" w:rsidRPr="009365E7">
              <w:rPr>
                <w:i/>
                <w:szCs w:val="22"/>
                <w:lang w:val="fr-FR"/>
              </w:rPr>
              <w:t> </w:t>
            </w:r>
            <w:r w:rsidR="00B1002B" w:rsidRPr="009365E7">
              <w:rPr>
                <w:i/>
                <w:szCs w:val="22"/>
                <w:lang w:val="fr-FR"/>
              </w:rPr>
              <w:t>:</w:t>
            </w:r>
          </w:p>
          <w:p w:rsidR="001416FD" w:rsidRPr="009365E7" w:rsidRDefault="001416FD" w:rsidP="00341AC8">
            <w:pPr>
              <w:rPr>
                <w:szCs w:val="22"/>
                <w:lang w:val="fr-FR"/>
              </w:rPr>
            </w:pPr>
          </w:p>
          <w:tbl>
            <w:tblPr>
              <w:tblW w:w="499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40"/>
              <w:gridCol w:w="3341"/>
            </w:tblGrid>
            <w:tr w:rsidR="00B1002B" w:rsidRPr="009365E7" w:rsidTr="00E06EE2">
              <w:tc>
                <w:tcPr>
                  <w:tcW w:w="2500" w:type="pct"/>
                  <w:shd w:val="clear" w:color="auto" w:fill="auto"/>
                </w:tcPr>
                <w:p w:rsidR="00B1002B" w:rsidRPr="009365E7" w:rsidRDefault="0066423B" w:rsidP="00341AC8">
                  <w:pPr>
                    <w:rPr>
                      <w:i/>
                      <w:szCs w:val="22"/>
                      <w:lang w:val="fr-FR"/>
                    </w:rPr>
                  </w:pPr>
                  <w:r w:rsidRPr="009365E7">
                    <w:rPr>
                      <w:i/>
                      <w:szCs w:val="22"/>
                      <w:lang w:val="fr-FR"/>
                    </w:rPr>
                    <w:t>Voyages et bourses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B1002B" w:rsidRPr="009365E7" w:rsidRDefault="00B1002B" w:rsidP="00341AC8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B1002B" w:rsidRPr="009365E7" w:rsidTr="00E06EE2">
              <w:tc>
                <w:tcPr>
                  <w:tcW w:w="2500" w:type="pct"/>
                  <w:shd w:val="clear" w:color="auto" w:fill="auto"/>
                </w:tcPr>
                <w:p w:rsidR="00B1002B" w:rsidRPr="009365E7" w:rsidRDefault="00B1002B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Missions</w:t>
                  </w:r>
                  <w:r w:rsidR="0066423B" w:rsidRPr="009365E7">
                    <w:rPr>
                      <w:szCs w:val="22"/>
                      <w:lang w:val="fr-FR"/>
                    </w:rPr>
                    <w:t xml:space="preserve"> de fonctionnaires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B1002B" w:rsidRPr="009365E7" w:rsidRDefault="008E23F1" w:rsidP="00B33884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 xml:space="preserve"> </w:t>
                  </w:r>
                  <w:r w:rsidR="00B70E49" w:rsidRPr="009365E7">
                    <w:rPr>
                      <w:szCs w:val="22"/>
                      <w:lang w:val="fr-FR"/>
                    </w:rPr>
                    <w:t>5</w:t>
                  </w:r>
                  <w:r w:rsidR="0066423B" w:rsidRPr="009365E7">
                    <w:rPr>
                      <w:szCs w:val="22"/>
                      <w:lang w:val="fr-FR"/>
                    </w:rPr>
                    <w:t> </w:t>
                  </w:r>
                  <w:r w:rsidR="00B70E49" w:rsidRPr="009365E7">
                    <w:rPr>
                      <w:szCs w:val="22"/>
                      <w:lang w:val="fr-FR"/>
                    </w:rPr>
                    <w:t>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</w:tr>
            <w:tr w:rsidR="00B1002B" w:rsidRPr="009365E7" w:rsidTr="00E06EE2">
              <w:tc>
                <w:tcPr>
                  <w:tcW w:w="2500" w:type="pct"/>
                  <w:shd w:val="clear" w:color="auto" w:fill="auto"/>
                </w:tcPr>
                <w:p w:rsidR="00B1002B" w:rsidRPr="009365E7" w:rsidRDefault="0066423B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Voyages de tiers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B1002B" w:rsidRPr="009365E7" w:rsidRDefault="00B01A74" w:rsidP="00B33884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10</w:t>
                  </w:r>
                  <w:r w:rsidR="0066423B" w:rsidRPr="009365E7">
                    <w:rPr>
                      <w:szCs w:val="22"/>
                      <w:lang w:val="fr-FR"/>
                    </w:rPr>
                    <w:t> </w:t>
                  </w:r>
                  <w:r w:rsidR="00B1002B" w:rsidRPr="009365E7">
                    <w:rPr>
                      <w:szCs w:val="22"/>
                      <w:lang w:val="fr-FR"/>
                    </w:rPr>
                    <w:t>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</w:tr>
            <w:tr w:rsidR="00B1002B" w:rsidRPr="009365E7" w:rsidTr="00E06EE2">
              <w:tc>
                <w:tcPr>
                  <w:tcW w:w="2500" w:type="pct"/>
                  <w:shd w:val="clear" w:color="auto" w:fill="auto"/>
                </w:tcPr>
                <w:p w:rsidR="00B1002B" w:rsidRPr="009365E7" w:rsidRDefault="0066423B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Bourses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B1002B" w:rsidRPr="009365E7" w:rsidRDefault="00B1002B" w:rsidP="00341AC8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B1002B" w:rsidRPr="009365E7" w:rsidTr="00E06EE2">
              <w:tc>
                <w:tcPr>
                  <w:tcW w:w="2500" w:type="pct"/>
                  <w:shd w:val="clear" w:color="auto" w:fill="auto"/>
                </w:tcPr>
                <w:p w:rsidR="00B1002B" w:rsidRPr="009365E7" w:rsidRDefault="00B1002B" w:rsidP="00341AC8">
                  <w:pPr>
                    <w:rPr>
                      <w:i/>
                      <w:szCs w:val="22"/>
                      <w:lang w:val="fr-FR"/>
                    </w:rPr>
                  </w:pPr>
                  <w:r w:rsidRPr="009365E7">
                    <w:rPr>
                      <w:i/>
                      <w:szCs w:val="22"/>
                      <w:lang w:val="fr-FR"/>
                    </w:rPr>
                    <w:t>Services</w:t>
                  </w:r>
                  <w:r w:rsidR="0066423B" w:rsidRPr="009365E7">
                    <w:rPr>
                      <w:i/>
                      <w:szCs w:val="22"/>
                      <w:lang w:val="fr-FR"/>
                    </w:rPr>
                    <w:t xml:space="preserve"> contractuels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B1002B" w:rsidRPr="009365E7" w:rsidRDefault="00B1002B" w:rsidP="00341AC8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B1002B" w:rsidRPr="009365E7" w:rsidTr="00E06EE2">
              <w:tc>
                <w:tcPr>
                  <w:tcW w:w="2500" w:type="pct"/>
                  <w:shd w:val="clear" w:color="auto" w:fill="auto"/>
                </w:tcPr>
                <w:p w:rsidR="00B1002B" w:rsidRPr="009365E7" w:rsidRDefault="00B1002B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Conf</w:t>
                  </w:r>
                  <w:r w:rsidR="0066423B" w:rsidRPr="009365E7">
                    <w:rPr>
                      <w:szCs w:val="22"/>
                      <w:lang w:val="fr-FR"/>
                    </w:rPr>
                    <w:t>é</w:t>
                  </w:r>
                  <w:r w:rsidRPr="009365E7">
                    <w:rPr>
                      <w:szCs w:val="22"/>
                      <w:lang w:val="fr-FR"/>
                    </w:rPr>
                    <w:t>rences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B1002B" w:rsidRPr="009365E7" w:rsidRDefault="00B1002B" w:rsidP="00341AC8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B1002B" w:rsidRPr="009365E7" w:rsidTr="00E06EE2">
              <w:tc>
                <w:tcPr>
                  <w:tcW w:w="2500" w:type="pct"/>
                  <w:shd w:val="clear" w:color="auto" w:fill="auto"/>
                </w:tcPr>
                <w:p w:rsidR="00B1002B" w:rsidRPr="009365E7" w:rsidRDefault="0066423B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Honoraires d</w:t>
                  </w:r>
                  <w:r w:rsidR="001D1037" w:rsidRPr="009365E7">
                    <w:rPr>
                      <w:szCs w:val="22"/>
                      <w:lang w:val="fr-FR"/>
                    </w:rPr>
                    <w:t>’</w:t>
                  </w:r>
                  <w:r w:rsidRPr="009365E7">
                    <w:rPr>
                      <w:szCs w:val="22"/>
                      <w:lang w:val="fr-FR"/>
                    </w:rPr>
                    <w:t>experts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B1002B" w:rsidRPr="009365E7" w:rsidRDefault="00B1002B" w:rsidP="00341AC8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B1002B" w:rsidRPr="009365E7" w:rsidTr="00E06EE2">
              <w:tc>
                <w:tcPr>
                  <w:tcW w:w="2500" w:type="pct"/>
                  <w:shd w:val="clear" w:color="auto" w:fill="auto"/>
                </w:tcPr>
                <w:p w:rsidR="00B1002B" w:rsidRPr="009365E7" w:rsidRDefault="00B1002B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Publi</w:t>
                  </w:r>
                  <w:r w:rsidR="0066423B" w:rsidRPr="009365E7">
                    <w:rPr>
                      <w:szCs w:val="22"/>
                      <w:lang w:val="fr-FR"/>
                    </w:rPr>
                    <w:t>cations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B1002B" w:rsidRPr="009365E7" w:rsidRDefault="00B1002B" w:rsidP="00341AC8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B1002B" w:rsidRPr="009365E7" w:rsidTr="00E06EE2">
              <w:tc>
                <w:tcPr>
                  <w:tcW w:w="2500" w:type="pct"/>
                  <w:shd w:val="clear" w:color="auto" w:fill="auto"/>
                </w:tcPr>
                <w:p w:rsidR="00B1002B" w:rsidRPr="009365E7" w:rsidRDefault="0066423B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Autres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B1002B" w:rsidRPr="009365E7" w:rsidRDefault="00F265B9" w:rsidP="00B33884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4</w:t>
                  </w:r>
                  <w:r w:rsidR="00B01A74" w:rsidRPr="009365E7">
                    <w:rPr>
                      <w:szCs w:val="22"/>
                      <w:lang w:val="fr-FR"/>
                    </w:rPr>
                    <w:t>2</w:t>
                  </w:r>
                  <w:r w:rsidR="0066423B" w:rsidRPr="009365E7">
                    <w:rPr>
                      <w:szCs w:val="22"/>
                      <w:lang w:val="fr-FR"/>
                    </w:rPr>
                    <w:t> </w:t>
                  </w:r>
                  <w:r w:rsidR="00B01A74" w:rsidRPr="009365E7">
                    <w:rPr>
                      <w:szCs w:val="22"/>
                      <w:lang w:val="fr-FR"/>
                    </w:rPr>
                    <w:t>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</w:tr>
            <w:tr w:rsidR="00B1002B" w:rsidRPr="009365E7" w:rsidTr="00E06EE2">
              <w:tc>
                <w:tcPr>
                  <w:tcW w:w="2500" w:type="pct"/>
                  <w:shd w:val="clear" w:color="auto" w:fill="auto"/>
                </w:tcPr>
                <w:p w:rsidR="00B1002B" w:rsidRPr="009365E7" w:rsidRDefault="0066423B" w:rsidP="00341AC8">
                  <w:pPr>
                    <w:rPr>
                      <w:i/>
                      <w:szCs w:val="22"/>
                      <w:lang w:val="fr-FR"/>
                    </w:rPr>
                  </w:pPr>
                  <w:r w:rsidRPr="009365E7">
                    <w:rPr>
                      <w:i/>
                      <w:szCs w:val="22"/>
                      <w:lang w:val="fr-FR"/>
                    </w:rPr>
                    <w:t>Matériel et fournitures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B1002B" w:rsidRPr="009365E7" w:rsidRDefault="00B1002B" w:rsidP="00341AC8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B1002B" w:rsidRPr="009365E7" w:rsidTr="00E06EE2">
              <w:tc>
                <w:tcPr>
                  <w:tcW w:w="2500" w:type="pct"/>
                  <w:shd w:val="clear" w:color="auto" w:fill="auto"/>
                </w:tcPr>
                <w:p w:rsidR="00B1002B" w:rsidRPr="009365E7" w:rsidRDefault="0066423B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Matériel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B1002B" w:rsidRPr="009365E7" w:rsidRDefault="00B1002B" w:rsidP="00341AC8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B1002B" w:rsidRPr="009365E7" w:rsidTr="00E06EE2">
              <w:tc>
                <w:tcPr>
                  <w:tcW w:w="2500" w:type="pct"/>
                  <w:shd w:val="clear" w:color="auto" w:fill="auto"/>
                </w:tcPr>
                <w:p w:rsidR="00B1002B" w:rsidRPr="009365E7" w:rsidRDefault="0066423B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Fournitures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B1002B" w:rsidRPr="009365E7" w:rsidRDefault="00B1002B" w:rsidP="00341AC8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B1002B" w:rsidRPr="009365E7" w:rsidTr="00E06EE2">
              <w:tc>
                <w:tcPr>
                  <w:tcW w:w="2500" w:type="pct"/>
                  <w:shd w:val="clear" w:color="auto" w:fill="auto"/>
                </w:tcPr>
                <w:p w:rsidR="00B1002B" w:rsidRPr="009365E7" w:rsidRDefault="00B1002B" w:rsidP="00341AC8">
                  <w:pPr>
                    <w:rPr>
                      <w:b/>
                      <w:szCs w:val="22"/>
                      <w:lang w:val="fr-FR"/>
                    </w:rPr>
                  </w:pPr>
                  <w:r w:rsidRPr="009365E7">
                    <w:rPr>
                      <w:b/>
                      <w:szCs w:val="22"/>
                      <w:lang w:val="fr-FR"/>
                    </w:rPr>
                    <w:t>TOTAL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B1002B" w:rsidRPr="009365E7" w:rsidRDefault="00035033" w:rsidP="00B33884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57</w:t>
                  </w:r>
                  <w:r w:rsidR="0066423B" w:rsidRPr="009365E7">
                    <w:rPr>
                      <w:szCs w:val="22"/>
                      <w:lang w:val="fr-FR"/>
                    </w:rPr>
                    <w:t> </w:t>
                  </w:r>
                  <w:r w:rsidRPr="009365E7">
                    <w:rPr>
                      <w:szCs w:val="22"/>
                      <w:lang w:val="fr-FR"/>
                    </w:rPr>
                    <w:t>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</w:tr>
          </w:tbl>
          <w:p w:rsidR="00B1002B" w:rsidRPr="009365E7" w:rsidRDefault="00B1002B" w:rsidP="00341AC8">
            <w:pPr>
              <w:rPr>
                <w:szCs w:val="22"/>
                <w:lang w:val="fr-FR"/>
              </w:rPr>
            </w:pPr>
          </w:p>
          <w:p w:rsidR="0066423B" w:rsidRPr="009365E7" w:rsidRDefault="0066423B" w:rsidP="00341AC8">
            <w:pPr>
              <w:rPr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Dépenses de personnel</w:t>
            </w:r>
            <w:r w:rsidR="009B40AD" w:rsidRPr="009365E7">
              <w:rPr>
                <w:i/>
                <w:szCs w:val="22"/>
                <w:lang w:val="fr-FR"/>
              </w:rPr>
              <w:t> </w:t>
            </w:r>
            <w:r w:rsidR="00071CB3" w:rsidRPr="009365E7">
              <w:rPr>
                <w:i/>
                <w:szCs w:val="22"/>
                <w:lang w:val="fr-FR"/>
              </w:rPr>
              <w:t>:</w:t>
            </w:r>
            <w:r w:rsidR="00071CB3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>la Division du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auteur et la Division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infrastructure du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auteur assureront la coordination et la conduite des activités nécessaires</w:t>
            </w:r>
            <w:r w:rsidR="00572028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>(D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1/P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5</w:t>
            </w:r>
            <w:r w:rsidR="009B40AD" w:rsidRPr="009365E7">
              <w:rPr>
                <w:szCs w:val="22"/>
                <w:lang w:val="fr-FR"/>
              </w:rPr>
              <w:t> </w:t>
            </w:r>
            <w:r w:rsidR="00071CB3" w:rsidRPr="009365E7">
              <w:rPr>
                <w:szCs w:val="22"/>
                <w:lang w:val="fr-FR"/>
              </w:rPr>
              <w:t xml:space="preserve">: </w:t>
            </w:r>
            <w:r w:rsidRPr="009365E7">
              <w:rPr>
                <w:szCs w:val="22"/>
                <w:lang w:val="fr-FR"/>
              </w:rPr>
              <w:t>5%;  P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3/P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2</w:t>
            </w:r>
            <w:r w:rsidR="009B40AD" w:rsidRPr="009365E7">
              <w:rPr>
                <w:szCs w:val="22"/>
                <w:lang w:val="fr-FR"/>
              </w:rPr>
              <w:t> </w:t>
            </w:r>
            <w:r w:rsidR="00071CB3" w:rsidRPr="009365E7">
              <w:rPr>
                <w:szCs w:val="22"/>
                <w:lang w:val="fr-FR"/>
              </w:rPr>
              <w:t xml:space="preserve">: </w:t>
            </w:r>
            <w:r w:rsidRPr="009365E7">
              <w:rPr>
                <w:szCs w:val="22"/>
                <w:lang w:val="fr-FR"/>
              </w:rPr>
              <w:t>10%)</w:t>
            </w:r>
            <w:r w:rsidR="00572028" w:rsidRPr="009365E7">
              <w:rPr>
                <w:szCs w:val="22"/>
                <w:lang w:val="fr-FR"/>
              </w:rPr>
              <w:t>.</w:t>
            </w:r>
          </w:p>
          <w:p w:rsidR="00B1002B" w:rsidRPr="009365E7" w:rsidRDefault="00B1002B" w:rsidP="00341AC8">
            <w:pPr>
              <w:rPr>
                <w:szCs w:val="22"/>
                <w:lang w:val="fr-FR"/>
              </w:rPr>
            </w:pPr>
          </w:p>
        </w:tc>
      </w:tr>
    </w:tbl>
    <w:p w:rsidR="002E22BD" w:rsidRPr="009365E7" w:rsidRDefault="002E22BD">
      <w:pPr>
        <w:ind w:left="5533"/>
        <w:rPr>
          <w:szCs w:val="22"/>
          <w:lang w:val="fr-FR"/>
        </w:rPr>
      </w:pPr>
    </w:p>
    <w:p w:rsidR="0018472B" w:rsidRPr="009365E7" w:rsidRDefault="0018472B">
      <w:pPr>
        <w:ind w:left="5533"/>
        <w:rPr>
          <w:szCs w:val="22"/>
          <w:lang w:val="fr-FR"/>
        </w:rPr>
      </w:pPr>
    </w:p>
    <w:p w:rsidR="0018472B" w:rsidRPr="009365E7" w:rsidRDefault="0018472B">
      <w:pPr>
        <w:ind w:left="5533"/>
        <w:rPr>
          <w:szCs w:val="22"/>
          <w:lang w:val="fr-FR"/>
        </w:rPr>
      </w:pPr>
    </w:p>
    <w:p w:rsidR="00B46566" w:rsidRPr="009365E7" w:rsidRDefault="008B3C5E" w:rsidP="009F17E4">
      <w:pPr>
        <w:pStyle w:val="Endofdocument-Annex"/>
        <w:rPr>
          <w:i/>
          <w:lang w:val="fr-FR"/>
        </w:rPr>
      </w:pPr>
      <w:r w:rsidRPr="009365E7">
        <w:rPr>
          <w:lang w:val="fr-FR"/>
        </w:rPr>
        <w:t>[</w:t>
      </w:r>
      <w:r w:rsidR="0066423B" w:rsidRPr="009365E7">
        <w:rPr>
          <w:lang w:val="fr-FR"/>
        </w:rPr>
        <w:t>L</w:t>
      </w:r>
      <w:r w:rsidR="001D1037" w:rsidRPr="009365E7">
        <w:rPr>
          <w:lang w:val="fr-FR"/>
        </w:rPr>
        <w:t>’</w:t>
      </w:r>
      <w:r w:rsidR="0066423B" w:rsidRPr="009365E7">
        <w:rPr>
          <w:lang w:val="fr-FR"/>
        </w:rPr>
        <w:t>a</w:t>
      </w:r>
      <w:r w:rsidRPr="009365E7">
        <w:rPr>
          <w:lang w:val="fr-FR"/>
        </w:rPr>
        <w:t>nnex</w:t>
      </w:r>
      <w:r w:rsidR="0066423B" w:rsidRPr="009365E7">
        <w:rPr>
          <w:lang w:val="fr-FR"/>
        </w:rPr>
        <w:t>e</w:t>
      </w:r>
      <w:r w:rsidRPr="009365E7">
        <w:rPr>
          <w:lang w:val="fr-FR"/>
        </w:rPr>
        <w:t xml:space="preserve"> II </w:t>
      </w:r>
      <w:r w:rsidR="0066423B" w:rsidRPr="009365E7">
        <w:rPr>
          <w:lang w:val="fr-FR"/>
        </w:rPr>
        <w:t>suit</w:t>
      </w:r>
      <w:r w:rsidRPr="009365E7">
        <w:rPr>
          <w:lang w:val="fr-FR"/>
        </w:rPr>
        <w:t>]</w:t>
      </w:r>
    </w:p>
    <w:p w:rsidR="004071CA" w:rsidRPr="009365E7" w:rsidRDefault="004071CA" w:rsidP="00800255">
      <w:pPr>
        <w:widowControl w:val="0"/>
        <w:autoSpaceDE w:val="0"/>
        <w:autoSpaceDN w:val="0"/>
        <w:spacing w:line="384" w:lineRule="auto"/>
        <w:ind w:left="5533"/>
        <w:textAlignment w:val="baseline"/>
        <w:rPr>
          <w:bCs/>
          <w:szCs w:val="28"/>
          <w:lang w:val="fr-FR"/>
        </w:rPr>
      </w:pPr>
    </w:p>
    <w:p w:rsidR="00BD62F5" w:rsidRPr="009365E7" w:rsidRDefault="00BD62F5" w:rsidP="00BD62F5">
      <w:pPr>
        <w:widowControl w:val="0"/>
        <w:autoSpaceDE w:val="0"/>
        <w:autoSpaceDN w:val="0"/>
        <w:spacing w:line="384" w:lineRule="auto"/>
        <w:textAlignment w:val="baseline"/>
        <w:rPr>
          <w:bCs/>
          <w:szCs w:val="28"/>
          <w:lang w:val="fr-FR"/>
        </w:rPr>
      </w:pPr>
    </w:p>
    <w:p w:rsidR="00BD62F5" w:rsidRPr="009365E7" w:rsidRDefault="00BD62F5" w:rsidP="00BD62F5">
      <w:pPr>
        <w:widowControl w:val="0"/>
        <w:autoSpaceDE w:val="0"/>
        <w:autoSpaceDN w:val="0"/>
        <w:spacing w:line="384" w:lineRule="auto"/>
        <w:textAlignment w:val="baseline"/>
        <w:rPr>
          <w:bCs/>
          <w:szCs w:val="28"/>
          <w:lang w:val="fr-FR"/>
        </w:rPr>
        <w:sectPr w:rsidR="00BD62F5" w:rsidRPr="009365E7" w:rsidSect="007F5242">
          <w:headerReference w:type="default" r:id="rId16"/>
          <w:headerReference w:type="first" r:id="rId17"/>
          <w:pgSz w:w="11907" w:h="16840" w:code="9"/>
          <w:pgMar w:top="567" w:right="1134" w:bottom="1418" w:left="1418" w:header="510" w:footer="1021" w:gutter="0"/>
          <w:pgNumType w:start="1"/>
          <w:cols w:space="708"/>
          <w:titlePg/>
          <w:docGrid w:linePitch="360"/>
        </w:sectPr>
      </w:pPr>
    </w:p>
    <w:p w:rsidR="00FD4E36" w:rsidRPr="009365E7" w:rsidRDefault="0066423B" w:rsidP="003C203E">
      <w:pPr>
        <w:widowControl w:val="0"/>
        <w:autoSpaceDE w:val="0"/>
        <w:autoSpaceDN w:val="0"/>
        <w:spacing w:line="384" w:lineRule="auto"/>
        <w:jc w:val="center"/>
        <w:textAlignment w:val="baseline"/>
        <w:rPr>
          <w:b/>
          <w:bCs/>
          <w:szCs w:val="28"/>
          <w:lang w:val="fr-FR"/>
        </w:rPr>
      </w:pPr>
      <w:r w:rsidRPr="009365E7">
        <w:rPr>
          <w:b/>
          <w:bCs/>
          <w:szCs w:val="28"/>
          <w:lang w:val="fr-FR"/>
        </w:rPr>
        <w:lastRenderedPageBreak/>
        <w:t>PLAN DE MISE EN ŒUVRE DE L</w:t>
      </w:r>
      <w:r w:rsidR="001D1037" w:rsidRPr="009365E7">
        <w:rPr>
          <w:b/>
          <w:bCs/>
          <w:szCs w:val="28"/>
          <w:lang w:val="fr-FR"/>
        </w:rPr>
        <w:t>’</w:t>
      </w:r>
      <w:r w:rsidRPr="009365E7">
        <w:rPr>
          <w:b/>
          <w:bCs/>
          <w:szCs w:val="28"/>
          <w:lang w:val="fr-FR"/>
        </w:rPr>
        <w:t>ACTIVITÉ</w:t>
      </w:r>
      <w:r w:rsidR="002E22BD" w:rsidRPr="009365E7">
        <w:rPr>
          <w:b/>
          <w:bCs/>
          <w:szCs w:val="28"/>
          <w:lang w:val="fr-FR"/>
        </w:rPr>
        <w:t> </w:t>
      </w:r>
      <w:r w:rsidR="00B10E13" w:rsidRPr="009365E7">
        <w:rPr>
          <w:b/>
          <w:bCs/>
          <w:szCs w:val="28"/>
          <w:lang w:val="fr-FR"/>
        </w:rPr>
        <w:t>2</w:t>
      </w:r>
    </w:p>
    <w:p w:rsidR="00FD4E36" w:rsidRPr="009365E7" w:rsidRDefault="00FD4E36">
      <w:pPr>
        <w:rPr>
          <w:szCs w:val="22"/>
          <w:lang w:val="fr-F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E22519" w:rsidRPr="009365E7" w:rsidTr="00E5239C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Intitulé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activité/initiative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E22519" w:rsidRPr="009365E7" w:rsidRDefault="00212FE6" w:rsidP="004A40B3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 xml:space="preserve">Applicabilité de la concession de licences ouvertes aux </w:t>
            </w:r>
            <w:r w:rsidR="00587B4E" w:rsidRPr="009365E7">
              <w:rPr>
                <w:szCs w:val="22"/>
                <w:lang w:val="fr-FR"/>
              </w:rPr>
              <w:t>contenus</w:t>
            </w:r>
            <w:r w:rsidRPr="009365E7">
              <w:rPr>
                <w:szCs w:val="22"/>
                <w:lang w:val="fr-FR"/>
              </w:rPr>
              <w:t xml:space="preserve"> produits par les organisations internationales</w:t>
            </w:r>
          </w:p>
          <w:p w:rsidR="00863373" w:rsidRPr="009365E7" w:rsidRDefault="00863373" w:rsidP="004A40B3">
            <w:pPr>
              <w:rPr>
                <w:szCs w:val="22"/>
                <w:lang w:val="fr-FR"/>
              </w:rPr>
            </w:pPr>
          </w:p>
        </w:tc>
      </w:tr>
      <w:tr w:rsidR="00E22519" w:rsidRPr="009365E7" w:rsidTr="00E5239C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Brève description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activité/initiative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212FE6" w:rsidRPr="009365E7" w:rsidRDefault="00212FE6" w:rsidP="003E23BF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 xml:space="preserve">De nombreuses organisations internationales ont pris conscience des opportunités liées à la croissance des </w:t>
            </w:r>
            <w:r w:rsidR="00360465" w:rsidRPr="009365E7">
              <w:rPr>
                <w:szCs w:val="22"/>
                <w:lang w:val="fr-FR"/>
              </w:rPr>
              <w:t>technologies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360465" w:rsidRPr="009365E7">
              <w:rPr>
                <w:szCs w:val="22"/>
                <w:lang w:val="fr-FR"/>
              </w:rPr>
              <w:t>information et de la communication</w:t>
            </w:r>
            <w:r w:rsidRPr="009365E7">
              <w:rPr>
                <w:szCs w:val="22"/>
                <w:lang w:val="fr-FR"/>
              </w:rPr>
              <w:t xml:space="preserve"> et tentent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 xml:space="preserve">en tirer parti pour atteindre un plus vaste public dans le monde, en particulier dans les pays en développement. </w:t>
            </w:r>
            <w:r w:rsidR="00360465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>De fait, elles créent, recueillent et détiennent des quantités substantielles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 xml:space="preserve">informations et souhaitent créer un environnement </w:t>
            </w:r>
            <w:r w:rsidR="00371135" w:rsidRPr="009365E7">
              <w:rPr>
                <w:szCs w:val="22"/>
                <w:lang w:val="fr-FR"/>
              </w:rPr>
              <w:t>propice à</w:t>
            </w:r>
            <w:r w:rsidRPr="009365E7">
              <w:rPr>
                <w:szCs w:val="22"/>
                <w:lang w:val="fr-FR"/>
              </w:rPr>
              <w:t xml:space="preserve"> des activités de création et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innovation</w:t>
            </w:r>
            <w:r w:rsidR="00371135" w:rsidRPr="009365E7">
              <w:rPr>
                <w:szCs w:val="22"/>
                <w:lang w:val="fr-FR"/>
              </w:rPr>
              <w:t>, stimuler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371135" w:rsidRPr="009365E7">
              <w:rPr>
                <w:szCs w:val="22"/>
                <w:lang w:val="fr-FR"/>
              </w:rPr>
              <w:t>acquisition de connaissances et permettre au public, tant professionnel que non professionnel,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371135" w:rsidRPr="009365E7">
              <w:rPr>
                <w:szCs w:val="22"/>
                <w:lang w:val="fr-FR"/>
              </w:rPr>
              <w:t>accéder facilement à des données et des travaux de recherche qu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371135" w:rsidRPr="009365E7">
              <w:rPr>
                <w:szCs w:val="22"/>
                <w:lang w:val="fr-FR"/>
              </w:rPr>
              <w:t>il finance.</w:t>
            </w:r>
          </w:p>
          <w:p w:rsidR="00E22519" w:rsidRPr="009365E7" w:rsidRDefault="00E22519" w:rsidP="004A40B3">
            <w:pPr>
              <w:rPr>
                <w:szCs w:val="22"/>
                <w:lang w:val="fr-FR"/>
              </w:rPr>
            </w:pPr>
          </w:p>
          <w:p w:rsidR="00630D13" w:rsidRPr="009365E7" w:rsidRDefault="00630D13" w:rsidP="007E2282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Dans ce</w:t>
            </w:r>
            <w:r w:rsidR="00E22519" w:rsidRPr="009365E7">
              <w:rPr>
                <w:szCs w:val="22"/>
                <w:lang w:val="fr-FR"/>
              </w:rPr>
              <w:t xml:space="preserve"> context</w:t>
            </w:r>
            <w:r w:rsidRPr="009365E7">
              <w:rPr>
                <w:szCs w:val="22"/>
                <w:lang w:val="fr-FR"/>
              </w:rPr>
              <w:t>e</w:t>
            </w:r>
            <w:r w:rsidR="00E22519" w:rsidRPr="009365E7">
              <w:rPr>
                <w:szCs w:val="22"/>
                <w:lang w:val="fr-FR"/>
              </w:rPr>
              <w:t xml:space="preserve">, </w:t>
            </w:r>
            <w:r w:rsidRPr="009365E7">
              <w:rPr>
                <w:szCs w:val="22"/>
                <w:lang w:val="fr-FR"/>
              </w:rPr>
              <w:t>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OMPI et 13</w:t>
            </w:r>
            <w:r w:rsidR="002E22BD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>autres organisations intergouvern</w:t>
            </w:r>
            <w:r w:rsidR="007346F9" w:rsidRPr="009365E7">
              <w:rPr>
                <w:szCs w:val="22"/>
                <w:lang w:val="fr-FR"/>
              </w:rPr>
              <w:t>e</w:t>
            </w:r>
            <w:r w:rsidRPr="009365E7">
              <w:rPr>
                <w:szCs w:val="22"/>
                <w:lang w:val="fr-FR"/>
              </w:rPr>
              <w:t>mentales ont formé</w:t>
            </w:r>
            <w:r w:rsidR="00360465" w:rsidRPr="009365E7">
              <w:rPr>
                <w:szCs w:val="22"/>
                <w:lang w:val="fr-FR"/>
              </w:rPr>
              <w:t>,</w:t>
            </w:r>
            <w:r w:rsidRPr="009365E7">
              <w:rPr>
                <w:szCs w:val="22"/>
                <w:lang w:val="fr-FR"/>
              </w:rPr>
              <w:t xml:space="preserve"> </w:t>
            </w:r>
            <w:r w:rsidR="002E22BD" w:rsidRPr="009365E7">
              <w:rPr>
                <w:szCs w:val="22"/>
                <w:lang w:val="fr-FR"/>
              </w:rPr>
              <w:t>en </w:t>
            </w:r>
            <w:r w:rsidR="00360465" w:rsidRPr="009365E7">
              <w:rPr>
                <w:szCs w:val="22"/>
                <w:lang w:val="fr-FR"/>
              </w:rPr>
              <w:t xml:space="preserve">2010, </w:t>
            </w:r>
            <w:r w:rsidRPr="009365E7">
              <w:rPr>
                <w:szCs w:val="22"/>
                <w:lang w:val="fr-FR"/>
              </w:rPr>
              <w:t xml:space="preserve">un groupe de travail </w:t>
            </w:r>
            <w:r w:rsidR="00360465" w:rsidRPr="009365E7">
              <w:rPr>
                <w:szCs w:val="22"/>
                <w:lang w:val="fr-FR"/>
              </w:rPr>
              <w:t>chargé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harmoniser leurs politiques de concession de licences en vue de la distribution de leur contenu protégé par le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auteur.</w:t>
            </w:r>
            <w:r w:rsidR="00360465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 xml:space="preserve">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 xml:space="preserve">OMPI a coordonné les débats et </w:t>
            </w:r>
            <w:r w:rsidR="001B3634" w:rsidRPr="009365E7">
              <w:rPr>
                <w:szCs w:val="22"/>
                <w:lang w:val="fr-FR"/>
              </w:rPr>
              <w:t>conduit les travaux de rédaction du groupe de travail.</w:t>
            </w:r>
            <w:r w:rsidR="00360465" w:rsidRPr="009365E7">
              <w:rPr>
                <w:szCs w:val="22"/>
                <w:lang w:val="fr-FR"/>
              </w:rPr>
              <w:t xml:space="preserve"> </w:t>
            </w:r>
            <w:r w:rsidR="001B3634" w:rsidRPr="009365E7">
              <w:rPr>
                <w:szCs w:val="22"/>
                <w:lang w:val="fr-FR"/>
              </w:rPr>
              <w:t xml:space="preserve"> Il a été décidé de solliciter la collaboration de </w:t>
            </w:r>
            <w:proofErr w:type="spellStart"/>
            <w:r w:rsidR="001B3634" w:rsidRPr="009365E7">
              <w:rPr>
                <w:szCs w:val="22"/>
                <w:lang w:val="fr-FR"/>
              </w:rPr>
              <w:t>Creative</w:t>
            </w:r>
            <w:proofErr w:type="spellEnd"/>
            <w:r w:rsidR="001B3634" w:rsidRPr="009365E7">
              <w:rPr>
                <w:szCs w:val="22"/>
                <w:lang w:val="fr-FR"/>
              </w:rPr>
              <w:t xml:space="preserve"> Commons (CC) pour créer une licence</w:t>
            </w:r>
            <w:r w:rsidR="002E22BD" w:rsidRPr="009365E7">
              <w:rPr>
                <w:szCs w:val="22"/>
                <w:lang w:val="fr-FR"/>
              </w:rPr>
              <w:t> </w:t>
            </w:r>
            <w:r w:rsidR="001B3634" w:rsidRPr="009365E7">
              <w:rPr>
                <w:szCs w:val="22"/>
                <w:lang w:val="fr-FR"/>
              </w:rPr>
              <w:t>CC adaptée</w:t>
            </w:r>
            <w:r w:rsidR="00A5663A" w:rsidRPr="009365E7">
              <w:rPr>
                <w:szCs w:val="22"/>
                <w:lang w:val="fr-FR"/>
              </w:rPr>
              <w:t xml:space="preserve"> aux </w:t>
            </w:r>
            <w:r w:rsidR="00526EBB" w:rsidRPr="009365E7">
              <w:rPr>
                <w:szCs w:val="22"/>
                <w:lang w:val="fr-FR"/>
              </w:rPr>
              <w:t>organisations intergouvernementales</w:t>
            </w:r>
            <w:r w:rsidR="00A10CB8" w:rsidRPr="009365E7">
              <w:rPr>
                <w:szCs w:val="22"/>
                <w:lang w:val="fr-FR"/>
              </w:rPr>
              <w:t xml:space="preserve"> en adoptant une nouvelle licence </w:t>
            </w:r>
            <w:r w:rsidR="00364D54" w:rsidRPr="009365E7">
              <w:rPr>
                <w:szCs w:val="22"/>
                <w:lang w:val="fr-FR"/>
              </w:rPr>
              <w:t>transposée</w:t>
            </w:r>
            <w:r w:rsidR="00A10CB8" w:rsidRPr="009365E7">
              <w:rPr>
                <w:szCs w:val="22"/>
                <w:lang w:val="fr-FR"/>
              </w:rPr>
              <w:t xml:space="preserve">. </w:t>
            </w:r>
            <w:r w:rsidR="00360465" w:rsidRPr="009365E7">
              <w:rPr>
                <w:szCs w:val="22"/>
                <w:lang w:val="fr-FR"/>
              </w:rPr>
              <w:t xml:space="preserve"> </w:t>
            </w:r>
            <w:r w:rsidR="002E22BD" w:rsidRPr="009365E7">
              <w:rPr>
                <w:szCs w:val="22"/>
                <w:lang w:val="fr-FR"/>
              </w:rPr>
              <w:t>La version finale de la licence </w:t>
            </w:r>
            <w:r w:rsidR="00364D54" w:rsidRPr="009365E7">
              <w:rPr>
                <w:szCs w:val="22"/>
                <w:lang w:val="fr-FR"/>
              </w:rPr>
              <w:t>CC adaptée</w:t>
            </w:r>
            <w:r w:rsidR="00A5663A" w:rsidRPr="009365E7">
              <w:rPr>
                <w:szCs w:val="22"/>
                <w:lang w:val="fr-FR"/>
              </w:rPr>
              <w:t xml:space="preserve"> aux </w:t>
            </w:r>
            <w:r w:rsidR="00526EBB" w:rsidRPr="009365E7">
              <w:rPr>
                <w:szCs w:val="22"/>
                <w:lang w:val="fr-FR"/>
              </w:rPr>
              <w:t>organisations intergouvernementales</w:t>
            </w:r>
            <w:r w:rsidR="00364D54" w:rsidRPr="009365E7">
              <w:rPr>
                <w:szCs w:val="22"/>
                <w:lang w:val="fr-FR"/>
              </w:rPr>
              <w:t xml:space="preserve"> a été </w:t>
            </w:r>
            <w:r w:rsidR="00587B4E" w:rsidRPr="009365E7">
              <w:rPr>
                <w:szCs w:val="22"/>
                <w:lang w:val="fr-FR"/>
              </w:rPr>
              <w:t>adoptée et est prête à être utilisée</w:t>
            </w:r>
            <w:r w:rsidR="00364D54" w:rsidRPr="009365E7">
              <w:rPr>
                <w:szCs w:val="22"/>
                <w:lang w:val="fr-FR"/>
              </w:rPr>
              <w:t>.</w:t>
            </w:r>
          </w:p>
          <w:p w:rsidR="0006368C" w:rsidRPr="009365E7" w:rsidRDefault="0006368C" w:rsidP="007E2282">
            <w:pPr>
              <w:rPr>
                <w:szCs w:val="22"/>
                <w:lang w:val="fr-FR"/>
              </w:rPr>
            </w:pPr>
          </w:p>
          <w:p w:rsidR="0006368C" w:rsidRPr="009365E7" w:rsidRDefault="0006368C" w:rsidP="007E2282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Alors que certaines organisations intergouvernementales utilisent déjà cette licence,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autres sont encore en train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examiner les incidences potentielles liées à sa mise en œuvre.</w:t>
            </w:r>
          </w:p>
          <w:p w:rsidR="00E22519" w:rsidRPr="009365E7" w:rsidRDefault="00E22519" w:rsidP="007E2282">
            <w:pPr>
              <w:rPr>
                <w:szCs w:val="22"/>
                <w:lang w:val="fr-FR"/>
              </w:rPr>
            </w:pPr>
          </w:p>
          <w:p w:rsidR="00E22519" w:rsidRPr="009365E7" w:rsidRDefault="00477104" w:rsidP="001442E9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 xml:space="preserve">Le but de </w:t>
            </w:r>
            <w:r w:rsidR="00F96726" w:rsidRPr="009365E7">
              <w:rPr>
                <w:szCs w:val="22"/>
                <w:lang w:val="fr-FR"/>
              </w:rPr>
              <w:t>cette activité est de répondre plus facilement aux demandes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F96726" w:rsidRPr="009365E7">
              <w:rPr>
                <w:szCs w:val="22"/>
                <w:lang w:val="fr-FR"/>
              </w:rPr>
              <w:t>assistance en vue de la mise en œuvre des politiques du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F96726" w:rsidRPr="009365E7">
              <w:rPr>
                <w:szCs w:val="22"/>
                <w:lang w:val="fr-FR"/>
              </w:rPr>
              <w:t>auteur</w:t>
            </w:r>
            <w:r w:rsidR="00A5663A" w:rsidRPr="009365E7">
              <w:rPr>
                <w:szCs w:val="22"/>
                <w:lang w:val="fr-FR"/>
              </w:rPr>
              <w:t xml:space="preserve"> des </w:t>
            </w:r>
            <w:r w:rsidR="00526EBB" w:rsidRPr="009365E7">
              <w:rPr>
                <w:szCs w:val="22"/>
                <w:lang w:val="fr-FR"/>
              </w:rPr>
              <w:t>organisations intergouvernementales</w:t>
            </w:r>
            <w:r w:rsidR="00F96726" w:rsidRPr="009365E7">
              <w:rPr>
                <w:szCs w:val="22"/>
                <w:lang w:val="fr-FR"/>
              </w:rPr>
              <w:t xml:space="preserve"> qui décident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F96726" w:rsidRPr="009365E7">
              <w:rPr>
                <w:szCs w:val="22"/>
                <w:lang w:val="fr-FR"/>
              </w:rPr>
              <w:t>utiliser la nouvelle lice</w:t>
            </w:r>
            <w:r w:rsidR="002E22BD" w:rsidRPr="009365E7">
              <w:rPr>
                <w:szCs w:val="22"/>
                <w:lang w:val="fr-FR"/>
              </w:rPr>
              <w:t>nce </w:t>
            </w:r>
            <w:r w:rsidR="00F96726" w:rsidRPr="009365E7">
              <w:rPr>
                <w:szCs w:val="22"/>
                <w:lang w:val="fr-FR"/>
              </w:rPr>
              <w:t xml:space="preserve">CC. </w:t>
            </w:r>
            <w:r w:rsidR="00360465" w:rsidRPr="009365E7">
              <w:rPr>
                <w:szCs w:val="22"/>
                <w:lang w:val="fr-FR"/>
              </w:rPr>
              <w:t xml:space="preserve"> </w:t>
            </w:r>
            <w:r w:rsidR="00F96726" w:rsidRPr="009365E7">
              <w:rPr>
                <w:szCs w:val="22"/>
                <w:lang w:val="fr-FR"/>
              </w:rPr>
              <w:t>À la demande</w:t>
            </w:r>
            <w:r w:rsidR="00A5663A" w:rsidRPr="009365E7">
              <w:rPr>
                <w:szCs w:val="22"/>
                <w:lang w:val="fr-FR"/>
              </w:rPr>
              <w:t xml:space="preserve"> des </w:t>
            </w:r>
            <w:r w:rsidR="00526EBB" w:rsidRPr="009365E7">
              <w:rPr>
                <w:szCs w:val="22"/>
                <w:lang w:val="fr-FR"/>
              </w:rPr>
              <w:t xml:space="preserve">organisations intergouvernementales </w:t>
            </w:r>
            <w:r w:rsidR="00F96726" w:rsidRPr="009365E7">
              <w:rPr>
                <w:szCs w:val="22"/>
                <w:lang w:val="fr-FR"/>
              </w:rPr>
              <w:t>participantes, le groupe de travail consultatif poursuivrait ses activités de suivi et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F96726" w:rsidRPr="009365E7">
              <w:rPr>
                <w:szCs w:val="22"/>
                <w:lang w:val="fr-FR"/>
              </w:rPr>
              <w:t xml:space="preserve">orientation du processus de mise en œuvre. </w:t>
            </w:r>
            <w:r w:rsidR="00261CC5" w:rsidRPr="009365E7">
              <w:rPr>
                <w:szCs w:val="22"/>
                <w:lang w:val="fr-FR"/>
              </w:rPr>
              <w:t xml:space="preserve"> </w:t>
            </w:r>
            <w:r w:rsidR="00587B4E" w:rsidRPr="009365E7">
              <w:rPr>
                <w:szCs w:val="22"/>
                <w:lang w:val="fr-FR"/>
              </w:rPr>
              <w:t>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587B4E" w:rsidRPr="009365E7">
              <w:rPr>
                <w:szCs w:val="22"/>
                <w:lang w:val="fr-FR"/>
              </w:rPr>
              <w:t>OMPI pourrait, à la demande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587B4E" w:rsidRPr="009365E7">
              <w:rPr>
                <w:szCs w:val="22"/>
                <w:lang w:val="fr-FR"/>
              </w:rPr>
              <w:t>autres </w:t>
            </w:r>
            <w:r w:rsidR="00526EBB" w:rsidRPr="009365E7">
              <w:rPr>
                <w:szCs w:val="22"/>
                <w:lang w:val="fr-FR"/>
              </w:rPr>
              <w:t>organisations intergouvernementales</w:t>
            </w:r>
            <w:r w:rsidR="00587B4E" w:rsidRPr="009365E7">
              <w:rPr>
                <w:szCs w:val="22"/>
                <w:lang w:val="fr-FR"/>
              </w:rPr>
              <w:t>, aider celles</w:t>
            </w:r>
            <w:r w:rsidR="00D87C56">
              <w:rPr>
                <w:szCs w:val="22"/>
                <w:lang w:val="fr-FR"/>
              </w:rPr>
              <w:noBreakHyphen/>
            </w:r>
            <w:r w:rsidR="00587B4E" w:rsidRPr="009365E7">
              <w:rPr>
                <w:szCs w:val="22"/>
                <w:lang w:val="fr-FR"/>
              </w:rPr>
              <w:t>ci en leur fournissant des informations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587B4E" w:rsidRPr="009365E7">
              <w:rPr>
                <w:szCs w:val="22"/>
                <w:lang w:val="fr-FR"/>
              </w:rPr>
              <w:t>ordre juridique et en partageant ses connaissances en la matière.  En outre,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587B4E" w:rsidRPr="009365E7">
              <w:rPr>
                <w:szCs w:val="22"/>
                <w:lang w:val="fr-FR"/>
              </w:rPr>
              <w:t>OMPI surveillerait les faits nouveaux concernant la version non transposée de la licence CC.  Selon les faits nouveaux intervenus, des révisions de la licence CC adaptée aux </w:t>
            </w:r>
            <w:r w:rsidR="00526EBB" w:rsidRPr="009365E7">
              <w:rPr>
                <w:szCs w:val="22"/>
                <w:lang w:val="fr-FR"/>
              </w:rPr>
              <w:t>organisations intergouvernementales</w:t>
            </w:r>
            <w:r w:rsidR="00587B4E" w:rsidRPr="009365E7">
              <w:rPr>
                <w:szCs w:val="22"/>
                <w:lang w:val="fr-FR"/>
              </w:rPr>
              <w:t xml:space="preserve"> pourraient être nécessaires.</w:t>
            </w:r>
          </w:p>
          <w:p w:rsidR="00B33884" w:rsidRPr="009365E7" w:rsidRDefault="00B33884" w:rsidP="001442E9">
            <w:pPr>
              <w:rPr>
                <w:szCs w:val="22"/>
                <w:lang w:val="fr-FR"/>
              </w:rPr>
            </w:pPr>
          </w:p>
        </w:tc>
      </w:tr>
      <w:tr w:rsidR="00E22519" w:rsidRPr="009365E7" w:rsidTr="00E5239C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Bénéficiaires visés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E22519" w:rsidRPr="009365E7" w:rsidRDefault="001442E9" w:rsidP="009D0850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États membres</w:t>
            </w:r>
            <w:r w:rsidR="0006368C" w:rsidRPr="009365E7">
              <w:rPr>
                <w:szCs w:val="22"/>
                <w:lang w:val="fr-FR"/>
              </w:rPr>
              <w:t>,</w:t>
            </w:r>
            <w:r w:rsidRPr="009365E7">
              <w:rPr>
                <w:szCs w:val="22"/>
                <w:lang w:val="fr-FR"/>
              </w:rPr>
              <w:t xml:space="preserve"> organisations internationales</w:t>
            </w:r>
            <w:r w:rsidR="0006368C" w:rsidRPr="009365E7">
              <w:rPr>
                <w:szCs w:val="22"/>
                <w:lang w:val="fr-FR"/>
              </w:rPr>
              <w:t>,</w:t>
            </w:r>
            <w:r w:rsidR="00360465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>organismes chargés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enseignement ou de la recherche, et société civile</w:t>
            </w:r>
            <w:r w:rsidR="00261CC5" w:rsidRPr="009365E7">
              <w:rPr>
                <w:szCs w:val="22"/>
                <w:lang w:val="fr-FR"/>
              </w:rPr>
              <w:t>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</w:tc>
      </w:tr>
      <w:tr w:rsidR="00E22519" w:rsidRPr="009365E7" w:rsidTr="00E5239C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lastRenderedPageBreak/>
              <w:t>Principaux secteurs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OMPI concernés et liens avec des programmes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OMPI</w:t>
            </w:r>
          </w:p>
        </w:tc>
        <w:tc>
          <w:tcPr>
            <w:tcW w:w="6912" w:type="dxa"/>
            <w:shd w:val="clear" w:color="auto" w:fill="auto"/>
          </w:tcPr>
          <w:p w:rsidR="00A5663A" w:rsidRPr="009365E7" w:rsidRDefault="00A56D1A" w:rsidP="004A40B3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Bureau du c</w:t>
            </w:r>
            <w:r w:rsidR="001442E9" w:rsidRPr="009365E7">
              <w:rPr>
                <w:szCs w:val="22"/>
                <w:lang w:val="fr-FR"/>
              </w:rPr>
              <w:t>onseiller juridique</w:t>
            </w:r>
            <w:r w:rsidR="00E22519" w:rsidRPr="009365E7">
              <w:rPr>
                <w:szCs w:val="22"/>
                <w:lang w:val="fr-FR"/>
              </w:rPr>
              <w:t>, Division</w:t>
            </w:r>
            <w:r w:rsidR="001442E9" w:rsidRPr="009365E7">
              <w:rPr>
                <w:szCs w:val="22"/>
                <w:lang w:val="fr-FR"/>
              </w:rPr>
              <w:t xml:space="preserve"> des communications</w:t>
            </w:r>
            <w:r w:rsidR="00E22519" w:rsidRPr="009365E7">
              <w:rPr>
                <w:szCs w:val="22"/>
                <w:lang w:val="fr-FR"/>
              </w:rPr>
              <w:t xml:space="preserve">, </w:t>
            </w:r>
            <w:r w:rsidR="001442E9" w:rsidRPr="009365E7">
              <w:rPr>
                <w:szCs w:val="22"/>
                <w:lang w:val="fr-FR"/>
              </w:rPr>
              <w:t>et</w:t>
            </w:r>
            <w:r w:rsidR="00E22519" w:rsidRPr="009365E7">
              <w:rPr>
                <w:szCs w:val="22"/>
                <w:lang w:val="fr-FR"/>
              </w:rPr>
              <w:t xml:space="preserve"> </w:t>
            </w:r>
            <w:r w:rsidR="001442E9" w:rsidRPr="009365E7">
              <w:rPr>
                <w:szCs w:val="22"/>
                <w:lang w:val="fr-FR"/>
              </w:rPr>
              <w:t>Division du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1442E9" w:rsidRPr="009365E7">
              <w:rPr>
                <w:szCs w:val="22"/>
                <w:lang w:val="fr-FR"/>
              </w:rPr>
              <w:t>auteur</w:t>
            </w:r>
            <w:r w:rsidR="00E22519" w:rsidRPr="009365E7">
              <w:rPr>
                <w:szCs w:val="22"/>
                <w:lang w:val="fr-FR"/>
              </w:rPr>
              <w:t>.</w:t>
            </w:r>
          </w:p>
          <w:p w:rsidR="00E22519" w:rsidRPr="009365E7" w:rsidRDefault="00E22519" w:rsidP="004A40B3">
            <w:pPr>
              <w:rPr>
                <w:szCs w:val="22"/>
                <w:lang w:val="fr-FR"/>
              </w:rPr>
            </w:pPr>
          </w:p>
          <w:p w:rsidR="00E22519" w:rsidRPr="009365E7" w:rsidRDefault="00D9296D" w:rsidP="00B33884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Cette activité est liée à plusieurs des objectifs stratégiques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OMPI</w:t>
            </w:r>
            <w:r w:rsidR="00595A1C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 xml:space="preserve">: </w:t>
            </w:r>
            <w:r w:rsidR="00360465" w:rsidRPr="009365E7">
              <w:rPr>
                <w:szCs w:val="22"/>
                <w:lang w:val="fr-FR"/>
              </w:rPr>
              <w:t>o</w:t>
            </w:r>
            <w:r w:rsidRPr="009365E7">
              <w:rPr>
                <w:szCs w:val="22"/>
                <w:lang w:val="fr-FR"/>
              </w:rPr>
              <w:t>bjectif</w:t>
            </w:r>
            <w:r w:rsidR="008240C2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 xml:space="preserve">III </w:t>
            </w:r>
            <w:r w:rsidR="00595A1C" w:rsidRPr="009365E7">
              <w:rPr>
                <w:szCs w:val="22"/>
                <w:lang w:val="fr-FR"/>
              </w:rPr>
              <w:t>–</w:t>
            </w:r>
            <w:r w:rsidRPr="009365E7">
              <w:rPr>
                <w:szCs w:val="22"/>
                <w:lang w:val="fr-FR"/>
              </w:rPr>
              <w:t xml:space="preserve"> Favoriser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utilisation de la propriété intellectuelle au service du développement</w:t>
            </w:r>
            <w:r w:rsidR="00071CB3" w:rsidRPr="009365E7">
              <w:rPr>
                <w:szCs w:val="22"/>
                <w:lang w:val="fr-FR"/>
              </w:rPr>
              <w:t>;</w:t>
            </w:r>
            <w:r w:rsidRPr="009365E7">
              <w:rPr>
                <w:szCs w:val="22"/>
                <w:lang w:val="fr-FR"/>
              </w:rPr>
              <w:t xml:space="preserve"> </w:t>
            </w:r>
            <w:r w:rsidR="00360465" w:rsidRPr="009365E7">
              <w:rPr>
                <w:szCs w:val="22"/>
                <w:lang w:val="fr-FR"/>
              </w:rPr>
              <w:t xml:space="preserve"> </w:t>
            </w:r>
            <w:r w:rsidR="00572028" w:rsidRPr="009365E7">
              <w:rPr>
                <w:szCs w:val="22"/>
                <w:lang w:val="fr-FR"/>
              </w:rPr>
              <w:br/>
            </w:r>
            <w:r w:rsidR="00360465" w:rsidRPr="009365E7">
              <w:rPr>
                <w:szCs w:val="22"/>
                <w:lang w:val="fr-FR"/>
              </w:rPr>
              <w:t>o</w:t>
            </w:r>
            <w:r w:rsidR="002E22BD" w:rsidRPr="009365E7">
              <w:rPr>
                <w:szCs w:val="22"/>
                <w:lang w:val="fr-FR"/>
              </w:rPr>
              <w:t>bjectif </w:t>
            </w:r>
            <w:r w:rsidRPr="009365E7">
              <w:rPr>
                <w:szCs w:val="22"/>
                <w:lang w:val="fr-FR"/>
              </w:rPr>
              <w:t xml:space="preserve">VI </w:t>
            </w:r>
            <w:r w:rsidR="00595A1C" w:rsidRPr="009365E7">
              <w:rPr>
                <w:szCs w:val="22"/>
                <w:lang w:val="fr-FR"/>
              </w:rPr>
              <w:t>–</w:t>
            </w:r>
            <w:r w:rsidRPr="009365E7">
              <w:rPr>
                <w:szCs w:val="22"/>
                <w:lang w:val="fr-FR"/>
              </w:rPr>
              <w:t xml:space="preserve"> </w:t>
            </w:r>
            <w:r w:rsidR="00360465" w:rsidRPr="009365E7">
              <w:rPr>
                <w:szCs w:val="22"/>
                <w:lang w:val="fr-FR"/>
              </w:rPr>
              <w:t>C</w:t>
            </w:r>
            <w:r w:rsidRPr="009365E7">
              <w:rPr>
                <w:szCs w:val="22"/>
                <w:lang w:val="fr-FR"/>
              </w:rPr>
              <w:t>oopération internationale pour le respect de la propriété intellectuelle;</w:t>
            </w:r>
            <w:r w:rsidR="00360465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 xml:space="preserve"> et </w:t>
            </w:r>
            <w:r w:rsidR="002E22BD" w:rsidRPr="009365E7">
              <w:rPr>
                <w:szCs w:val="22"/>
                <w:lang w:val="fr-FR"/>
              </w:rPr>
              <w:t>objectif </w:t>
            </w:r>
            <w:r w:rsidR="00360465" w:rsidRPr="009365E7">
              <w:rPr>
                <w:szCs w:val="22"/>
                <w:lang w:val="fr-FR"/>
              </w:rPr>
              <w:t xml:space="preserve">VII </w:t>
            </w:r>
            <w:r w:rsidR="00595A1C" w:rsidRPr="009365E7">
              <w:rPr>
                <w:szCs w:val="22"/>
                <w:lang w:val="fr-FR"/>
              </w:rPr>
              <w:t>–</w:t>
            </w:r>
            <w:r w:rsidRPr="009365E7">
              <w:rPr>
                <w:szCs w:val="22"/>
                <w:lang w:val="fr-FR"/>
              </w:rPr>
              <w:t xml:space="preserve"> </w:t>
            </w:r>
            <w:r w:rsidR="00360465" w:rsidRPr="009365E7">
              <w:rPr>
                <w:szCs w:val="22"/>
                <w:lang w:val="fr-FR"/>
              </w:rPr>
              <w:t>P</w:t>
            </w:r>
            <w:r w:rsidRPr="009365E7">
              <w:rPr>
                <w:szCs w:val="22"/>
                <w:lang w:val="fr-FR"/>
              </w:rPr>
              <w:t>ropriété intellectuelle et enjeux mondiaux</w:t>
            </w:r>
            <w:r w:rsidR="00863373" w:rsidRPr="009365E7">
              <w:rPr>
                <w:szCs w:val="22"/>
                <w:lang w:val="fr-FR"/>
              </w:rPr>
              <w:t>.</w:t>
            </w:r>
          </w:p>
          <w:p w:rsidR="00E5239C" w:rsidRPr="009365E7" w:rsidRDefault="00E5239C" w:rsidP="00B33884">
            <w:pPr>
              <w:rPr>
                <w:szCs w:val="22"/>
                <w:lang w:val="fr-FR"/>
              </w:rPr>
            </w:pPr>
          </w:p>
        </w:tc>
      </w:tr>
      <w:tr w:rsidR="00E22519" w:rsidRPr="009365E7" w:rsidTr="00E5239C">
        <w:trPr>
          <w:cantSplit/>
          <w:trHeight w:val="1417"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Étapes</w:t>
            </w: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E22519" w:rsidRPr="009365E7" w:rsidRDefault="002E22BD" w:rsidP="00AA40CA">
            <w:pPr>
              <w:pStyle w:val="ListParagraph"/>
              <w:numPr>
                <w:ilvl w:val="1"/>
                <w:numId w:val="4"/>
              </w:numPr>
              <w:tabs>
                <w:tab w:val="clear" w:pos="1701"/>
                <w:tab w:val="left" w:pos="899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i</w:t>
            </w:r>
            <w:r w:rsidR="00E22519" w:rsidRPr="009365E7">
              <w:rPr>
                <w:szCs w:val="22"/>
                <w:lang w:val="fr-FR"/>
              </w:rPr>
              <w:t>dentif</w:t>
            </w:r>
            <w:r w:rsidR="00554D55" w:rsidRPr="009365E7">
              <w:rPr>
                <w:szCs w:val="22"/>
                <w:lang w:val="fr-FR"/>
              </w:rPr>
              <w:t>ier les catégories de matériel protégé par le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554D55" w:rsidRPr="009365E7">
              <w:rPr>
                <w:szCs w:val="22"/>
                <w:lang w:val="fr-FR"/>
              </w:rPr>
              <w:t>auteur qui doit être distribué sous licence</w:t>
            </w:r>
            <w:r w:rsidR="0018472B" w:rsidRPr="009365E7">
              <w:rPr>
                <w:szCs w:val="22"/>
                <w:lang w:val="fr-FR"/>
              </w:rPr>
              <w:t> </w:t>
            </w:r>
            <w:r w:rsidR="00554D55" w:rsidRPr="009365E7">
              <w:rPr>
                <w:szCs w:val="22"/>
                <w:lang w:val="fr-FR"/>
              </w:rPr>
              <w:t>CC par</w:t>
            </w:r>
            <w:r w:rsidR="00A5663A" w:rsidRPr="009365E7">
              <w:rPr>
                <w:szCs w:val="22"/>
                <w:lang w:val="fr-FR"/>
              </w:rPr>
              <w:t xml:space="preserve"> des </w:t>
            </w:r>
            <w:r w:rsidR="00526EBB" w:rsidRPr="009365E7">
              <w:rPr>
                <w:szCs w:val="22"/>
                <w:lang w:val="fr-FR"/>
              </w:rPr>
              <w:t>organisations intergouvernementales</w:t>
            </w:r>
            <w:r w:rsidR="00E22519" w:rsidRPr="009365E7">
              <w:rPr>
                <w:szCs w:val="22"/>
                <w:lang w:val="fr-FR"/>
              </w:rPr>
              <w:t>;</w:t>
            </w:r>
          </w:p>
          <w:p w:rsidR="00E22519" w:rsidRPr="009365E7" w:rsidRDefault="00E22519" w:rsidP="00AA40CA">
            <w:pPr>
              <w:pStyle w:val="ListParagraph"/>
              <w:tabs>
                <w:tab w:val="left" w:pos="899"/>
              </w:tabs>
              <w:ind w:left="459"/>
              <w:rPr>
                <w:szCs w:val="22"/>
                <w:lang w:val="fr-FR"/>
              </w:rPr>
            </w:pPr>
          </w:p>
          <w:p w:rsidR="00554D55" w:rsidRPr="009365E7" w:rsidRDefault="00CE0A83" w:rsidP="00AA40CA">
            <w:pPr>
              <w:pStyle w:val="ListParagraph"/>
              <w:numPr>
                <w:ilvl w:val="1"/>
                <w:numId w:val="4"/>
              </w:numPr>
              <w:tabs>
                <w:tab w:val="clear" w:pos="1701"/>
                <w:tab w:val="left" w:pos="899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recenser les éléments essentiels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une</w:t>
            </w:r>
            <w:r w:rsidR="00554D55" w:rsidRPr="009365E7">
              <w:rPr>
                <w:szCs w:val="22"/>
                <w:lang w:val="fr-FR"/>
              </w:rPr>
              <w:t xml:space="preserve"> politique relative au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554D55" w:rsidRPr="009365E7">
              <w:rPr>
                <w:szCs w:val="22"/>
                <w:lang w:val="fr-FR"/>
              </w:rPr>
              <w:t>auteur en vue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554D55" w:rsidRPr="009365E7">
              <w:rPr>
                <w:szCs w:val="22"/>
                <w:lang w:val="fr-FR"/>
              </w:rPr>
              <w:t>application de la licence</w:t>
            </w:r>
            <w:r w:rsidR="0018472B" w:rsidRPr="009365E7">
              <w:rPr>
                <w:szCs w:val="22"/>
                <w:lang w:val="fr-FR"/>
              </w:rPr>
              <w:t> </w:t>
            </w:r>
            <w:r w:rsidR="00554D55" w:rsidRPr="009365E7">
              <w:rPr>
                <w:szCs w:val="22"/>
                <w:lang w:val="fr-FR"/>
              </w:rPr>
              <w:t>CC</w:t>
            </w:r>
            <w:r w:rsidR="00A5663A" w:rsidRPr="009365E7">
              <w:rPr>
                <w:szCs w:val="22"/>
                <w:lang w:val="fr-FR"/>
              </w:rPr>
              <w:t xml:space="preserve"> des </w:t>
            </w:r>
            <w:r w:rsidR="00526EBB" w:rsidRPr="009365E7">
              <w:rPr>
                <w:szCs w:val="22"/>
                <w:lang w:val="fr-FR"/>
              </w:rPr>
              <w:t>organisations intergouvernementales</w:t>
            </w:r>
            <w:r w:rsidR="00554D55" w:rsidRPr="009365E7">
              <w:rPr>
                <w:szCs w:val="22"/>
                <w:lang w:val="fr-FR"/>
              </w:rPr>
              <w:t>;</w:t>
            </w:r>
          </w:p>
          <w:p w:rsidR="00E22519" w:rsidRPr="009365E7" w:rsidRDefault="00E22519" w:rsidP="00AA40CA">
            <w:pPr>
              <w:pStyle w:val="ListParagraph"/>
              <w:tabs>
                <w:tab w:val="left" w:pos="899"/>
              </w:tabs>
              <w:ind w:left="459"/>
              <w:rPr>
                <w:szCs w:val="22"/>
                <w:lang w:val="fr-FR"/>
              </w:rPr>
            </w:pPr>
          </w:p>
          <w:p w:rsidR="00554D55" w:rsidRPr="009365E7" w:rsidRDefault="002E22BD" w:rsidP="00AA40CA">
            <w:pPr>
              <w:pStyle w:val="ListParagraph"/>
              <w:numPr>
                <w:ilvl w:val="1"/>
                <w:numId w:val="4"/>
              </w:numPr>
              <w:tabs>
                <w:tab w:val="clear" w:pos="1701"/>
                <w:tab w:val="left" w:pos="899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s</w:t>
            </w:r>
            <w:r w:rsidR="00554D55" w:rsidRPr="009365E7">
              <w:rPr>
                <w:szCs w:val="22"/>
                <w:lang w:val="fr-FR"/>
              </w:rPr>
              <w:t xml:space="preserve">ur demande, </w:t>
            </w:r>
            <w:proofErr w:type="gramStart"/>
            <w:r w:rsidR="00570045" w:rsidRPr="009365E7">
              <w:rPr>
                <w:szCs w:val="22"/>
                <w:lang w:val="fr-FR"/>
              </w:rPr>
              <w:t>informer</w:t>
            </w:r>
            <w:proofErr w:type="gramEnd"/>
            <w:r w:rsidR="00570045" w:rsidRPr="009365E7">
              <w:rPr>
                <w:szCs w:val="22"/>
                <w:lang w:val="fr-FR"/>
              </w:rPr>
              <w:t xml:space="preserve">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570045" w:rsidRPr="009365E7">
              <w:rPr>
                <w:szCs w:val="22"/>
                <w:lang w:val="fr-FR"/>
              </w:rPr>
              <w:t xml:space="preserve">autres </w:t>
            </w:r>
            <w:r w:rsidR="00526EBB" w:rsidRPr="009365E7">
              <w:rPr>
                <w:szCs w:val="22"/>
                <w:lang w:val="fr-FR"/>
              </w:rPr>
              <w:t>organisations intergouvernementales</w:t>
            </w:r>
            <w:r w:rsidR="00570045" w:rsidRPr="009365E7">
              <w:rPr>
                <w:szCs w:val="22"/>
                <w:lang w:val="fr-FR"/>
              </w:rPr>
              <w:t xml:space="preserve"> sur la manière dont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570045" w:rsidRPr="009365E7">
              <w:rPr>
                <w:szCs w:val="22"/>
                <w:lang w:val="fr-FR"/>
              </w:rPr>
              <w:t>OMPI a appliqué sa propre politique du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570045" w:rsidRPr="009365E7">
              <w:rPr>
                <w:szCs w:val="22"/>
                <w:lang w:val="fr-FR"/>
              </w:rPr>
              <w:t>auteur;</w:t>
            </w:r>
          </w:p>
          <w:p w:rsidR="00E22519" w:rsidRPr="009365E7" w:rsidRDefault="00E22519" w:rsidP="00AA40CA">
            <w:pPr>
              <w:pStyle w:val="ListParagraph"/>
              <w:tabs>
                <w:tab w:val="left" w:pos="899"/>
              </w:tabs>
              <w:ind w:left="459"/>
              <w:rPr>
                <w:szCs w:val="22"/>
                <w:lang w:val="fr-FR"/>
              </w:rPr>
            </w:pPr>
          </w:p>
          <w:p w:rsidR="00570045" w:rsidRPr="009365E7" w:rsidRDefault="002E22BD" w:rsidP="00AA40CA">
            <w:pPr>
              <w:pStyle w:val="ListParagraph"/>
              <w:numPr>
                <w:ilvl w:val="1"/>
                <w:numId w:val="4"/>
              </w:numPr>
              <w:tabs>
                <w:tab w:val="clear" w:pos="1701"/>
                <w:tab w:val="left" w:pos="899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e</w:t>
            </w:r>
            <w:r w:rsidR="00570045" w:rsidRPr="009365E7">
              <w:rPr>
                <w:szCs w:val="22"/>
                <w:lang w:val="fr-FR"/>
              </w:rPr>
              <w:t>ntretenir le débat et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570045" w:rsidRPr="009365E7">
              <w:rPr>
                <w:szCs w:val="22"/>
                <w:lang w:val="fr-FR"/>
              </w:rPr>
              <w:t>échange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570045" w:rsidRPr="009365E7">
              <w:rPr>
                <w:szCs w:val="22"/>
                <w:lang w:val="fr-FR"/>
              </w:rPr>
              <w:t xml:space="preserve">expériences et de pratiques recommandées entre </w:t>
            </w:r>
            <w:r w:rsidR="00526EBB" w:rsidRPr="009365E7">
              <w:rPr>
                <w:szCs w:val="22"/>
                <w:lang w:val="fr-FR"/>
              </w:rPr>
              <w:t>organisations intergouvernementales</w:t>
            </w:r>
            <w:r w:rsidR="00570045" w:rsidRPr="009365E7">
              <w:rPr>
                <w:szCs w:val="22"/>
                <w:lang w:val="fr-FR"/>
              </w:rPr>
              <w:t xml:space="preserve"> participantes</w:t>
            </w:r>
            <w:r w:rsidR="00CE0A83" w:rsidRPr="009365E7">
              <w:rPr>
                <w:szCs w:val="22"/>
                <w:lang w:val="fr-FR"/>
              </w:rPr>
              <w:t>, y</w:t>
            </w:r>
            <w:r w:rsidR="00595A1C" w:rsidRPr="009365E7">
              <w:rPr>
                <w:szCs w:val="22"/>
                <w:lang w:val="fr-FR"/>
              </w:rPr>
              <w:t> </w:t>
            </w:r>
            <w:r w:rsidR="00CE0A83" w:rsidRPr="009365E7">
              <w:rPr>
                <w:szCs w:val="22"/>
                <w:lang w:val="fr-FR"/>
              </w:rPr>
              <w:t>compris par des réunions sur place</w:t>
            </w:r>
            <w:r w:rsidR="00570045" w:rsidRPr="009365E7">
              <w:rPr>
                <w:szCs w:val="22"/>
                <w:lang w:val="fr-FR"/>
              </w:rPr>
              <w:t>;</w:t>
            </w:r>
          </w:p>
          <w:p w:rsidR="00E22519" w:rsidRPr="009365E7" w:rsidRDefault="00E22519" w:rsidP="00AA40CA">
            <w:pPr>
              <w:pStyle w:val="ListParagraph"/>
              <w:tabs>
                <w:tab w:val="left" w:pos="899"/>
              </w:tabs>
              <w:ind w:left="459"/>
              <w:rPr>
                <w:szCs w:val="22"/>
                <w:lang w:val="fr-FR"/>
              </w:rPr>
            </w:pPr>
          </w:p>
          <w:p w:rsidR="00CE0A83" w:rsidRPr="009365E7" w:rsidRDefault="002E22BD" w:rsidP="00AA40CA">
            <w:pPr>
              <w:pStyle w:val="ListParagraph"/>
              <w:numPr>
                <w:ilvl w:val="1"/>
                <w:numId w:val="4"/>
              </w:numPr>
              <w:tabs>
                <w:tab w:val="clear" w:pos="1701"/>
                <w:tab w:val="left" w:pos="899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i</w:t>
            </w:r>
            <w:r w:rsidR="00570045" w:rsidRPr="009365E7">
              <w:rPr>
                <w:szCs w:val="22"/>
                <w:lang w:val="fr-FR"/>
              </w:rPr>
              <w:t>nformer les parties prenantes des conditions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570045" w:rsidRPr="009365E7">
              <w:rPr>
                <w:szCs w:val="22"/>
                <w:lang w:val="fr-FR"/>
              </w:rPr>
              <w:t>utilisation de la licence</w:t>
            </w:r>
            <w:r w:rsidRPr="009365E7">
              <w:rPr>
                <w:szCs w:val="22"/>
                <w:lang w:val="fr-FR"/>
              </w:rPr>
              <w:t> </w:t>
            </w:r>
            <w:r w:rsidR="00570045" w:rsidRPr="009365E7">
              <w:rPr>
                <w:szCs w:val="22"/>
                <w:lang w:val="fr-FR"/>
              </w:rPr>
              <w:t>CC</w:t>
            </w:r>
            <w:r w:rsidR="00A5663A" w:rsidRPr="009365E7">
              <w:rPr>
                <w:szCs w:val="22"/>
                <w:lang w:val="fr-FR"/>
              </w:rPr>
              <w:t xml:space="preserve"> des </w:t>
            </w:r>
            <w:r w:rsidR="00526EBB" w:rsidRPr="009365E7">
              <w:rPr>
                <w:szCs w:val="22"/>
                <w:lang w:val="fr-FR"/>
              </w:rPr>
              <w:t>organisations intergouvernementales</w:t>
            </w:r>
            <w:r w:rsidR="00CE0A83" w:rsidRPr="009365E7">
              <w:rPr>
                <w:szCs w:val="22"/>
                <w:lang w:val="fr-FR"/>
              </w:rPr>
              <w:t xml:space="preserve"> et de son incidence;</w:t>
            </w:r>
            <w:r w:rsidR="00307EEB" w:rsidRPr="009365E7">
              <w:rPr>
                <w:szCs w:val="22"/>
                <w:lang w:val="fr-FR"/>
              </w:rPr>
              <w:t xml:space="preserve">  et</w:t>
            </w:r>
          </w:p>
          <w:p w:rsidR="00CE0A83" w:rsidRPr="009365E7" w:rsidRDefault="00CE0A83" w:rsidP="00AA40CA">
            <w:pPr>
              <w:pStyle w:val="ListParagraph"/>
              <w:tabs>
                <w:tab w:val="left" w:pos="899"/>
              </w:tabs>
              <w:ind w:left="459"/>
              <w:rPr>
                <w:szCs w:val="22"/>
                <w:lang w:val="fr-FR"/>
              </w:rPr>
            </w:pPr>
          </w:p>
          <w:p w:rsidR="00CE0A83" w:rsidRPr="009365E7" w:rsidRDefault="00CE0A83" w:rsidP="00AA40CA">
            <w:pPr>
              <w:pStyle w:val="ListParagraph"/>
              <w:numPr>
                <w:ilvl w:val="1"/>
                <w:numId w:val="4"/>
              </w:numPr>
              <w:tabs>
                <w:tab w:val="clear" w:pos="1701"/>
                <w:tab w:val="left" w:pos="899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maintenir le dialogue avec</w:t>
            </w:r>
            <w:r w:rsidR="00E5239C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>CC et envisager des révisions de la licence CC adaptée aux </w:t>
            </w:r>
            <w:r w:rsidR="00526EBB" w:rsidRPr="009365E7">
              <w:rPr>
                <w:szCs w:val="22"/>
                <w:lang w:val="fr-FR"/>
              </w:rPr>
              <w:t>organisations intergouvernementales</w:t>
            </w:r>
            <w:r w:rsidRPr="009365E7">
              <w:rPr>
                <w:szCs w:val="22"/>
                <w:lang w:val="fr-FR"/>
              </w:rPr>
              <w:t xml:space="preserve"> compte tenu des faits nouveaux intervenus concernant la version non transposée de la licence CC.</w:t>
            </w:r>
          </w:p>
          <w:p w:rsidR="00E22519" w:rsidRPr="009365E7" w:rsidRDefault="00E22519" w:rsidP="00E06EE2">
            <w:pPr>
              <w:pStyle w:val="ListParagraph"/>
              <w:ind w:left="0"/>
              <w:rPr>
                <w:szCs w:val="22"/>
                <w:lang w:val="fr-FR"/>
              </w:rPr>
            </w:pPr>
          </w:p>
        </w:tc>
      </w:tr>
      <w:tr w:rsidR="00E22519" w:rsidRPr="009365E7" w:rsidTr="00E5239C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Durée globale</w:t>
            </w: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E22519" w:rsidRPr="009365E7" w:rsidRDefault="00E22519" w:rsidP="004A662B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24</w:t>
            </w:r>
            <w:r w:rsidR="002E22BD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>mo</w:t>
            </w:r>
            <w:r w:rsidR="00570045" w:rsidRPr="009365E7">
              <w:rPr>
                <w:szCs w:val="22"/>
                <w:lang w:val="fr-FR"/>
              </w:rPr>
              <w:t>i</w:t>
            </w:r>
            <w:r w:rsidRPr="009365E7">
              <w:rPr>
                <w:szCs w:val="22"/>
                <w:lang w:val="fr-FR"/>
              </w:rPr>
              <w:t>s</w:t>
            </w:r>
            <w:r w:rsidR="00AA40CA">
              <w:rPr>
                <w:szCs w:val="22"/>
                <w:lang w:val="fr-FR"/>
              </w:rPr>
              <w:t>.</w:t>
            </w:r>
          </w:p>
          <w:p w:rsidR="00E22519" w:rsidRPr="009365E7" w:rsidRDefault="00E22519" w:rsidP="004A662B">
            <w:pPr>
              <w:rPr>
                <w:szCs w:val="22"/>
                <w:lang w:val="fr-FR"/>
              </w:rPr>
            </w:pPr>
          </w:p>
        </w:tc>
      </w:tr>
      <w:tr w:rsidR="00E22519" w:rsidRPr="009365E7" w:rsidTr="00E5239C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lastRenderedPageBreak/>
              <w:t>Budget</w:t>
            </w:r>
            <w:r w:rsidR="002C1E7C" w:rsidRPr="009365E7">
              <w:rPr>
                <w:i/>
                <w:szCs w:val="22"/>
                <w:lang w:val="fr-FR"/>
              </w:rPr>
              <w:t> </w:t>
            </w:r>
            <w:r w:rsidRPr="009365E7">
              <w:rPr>
                <w:i/>
                <w:szCs w:val="22"/>
                <w:lang w:val="fr-FR"/>
              </w:rPr>
              <w:t>: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A5663A" w:rsidRPr="009365E7" w:rsidRDefault="00570045" w:rsidP="008225B4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REMARQUE</w:t>
            </w:r>
            <w:r w:rsidR="002E22BD" w:rsidRPr="009365E7">
              <w:rPr>
                <w:szCs w:val="22"/>
                <w:lang w:val="fr-FR"/>
              </w:rPr>
              <w:t> </w:t>
            </w:r>
            <w:r w:rsidR="00071CB3" w:rsidRPr="009365E7">
              <w:rPr>
                <w:szCs w:val="22"/>
                <w:lang w:val="fr-FR"/>
              </w:rPr>
              <w:t xml:space="preserve">: </w:t>
            </w:r>
            <w:r w:rsidRPr="009365E7">
              <w:rPr>
                <w:szCs w:val="22"/>
                <w:lang w:val="fr-FR"/>
              </w:rPr>
              <w:t>Il n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 pas été inscrit de ressources humaines ni financières affectées à cette activité au programme et budget pour</w:t>
            </w:r>
            <w:r w:rsidR="00595A1C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>2014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2015.  De nouvelles ressources devront être identifiées en conséquence.</w:t>
            </w:r>
          </w:p>
          <w:p w:rsidR="00E22519" w:rsidRPr="009365E7" w:rsidRDefault="00E22519" w:rsidP="008225B4">
            <w:pPr>
              <w:rPr>
                <w:szCs w:val="22"/>
                <w:lang w:val="fr-FR"/>
              </w:rPr>
            </w:pPr>
          </w:p>
          <w:p w:rsidR="00E22519" w:rsidRPr="009365E7" w:rsidRDefault="00360465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 xml:space="preserve">Dépenses </w:t>
            </w:r>
            <w:r w:rsidR="00E22519" w:rsidRPr="009365E7">
              <w:rPr>
                <w:i/>
                <w:szCs w:val="22"/>
                <w:lang w:val="fr-FR"/>
              </w:rPr>
              <w:t>autres que les dépenses de personnel</w:t>
            </w:r>
            <w:r w:rsidR="008240C2" w:rsidRPr="009365E7">
              <w:rPr>
                <w:i/>
                <w:szCs w:val="22"/>
                <w:lang w:val="fr-FR"/>
              </w:rPr>
              <w:t> </w:t>
            </w:r>
            <w:r w:rsidR="00E22519" w:rsidRPr="009365E7">
              <w:rPr>
                <w:i/>
                <w:szCs w:val="22"/>
                <w:lang w:val="fr-FR"/>
              </w:rPr>
              <w:t>:</w:t>
            </w:r>
          </w:p>
          <w:p w:rsidR="00E5239C" w:rsidRPr="009365E7" w:rsidRDefault="00E5239C" w:rsidP="00E22519">
            <w:pPr>
              <w:rPr>
                <w:szCs w:val="22"/>
                <w:lang w:val="fr-FR"/>
              </w:rPr>
            </w:pPr>
          </w:p>
          <w:tbl>
            <w:tblPr>
              <w:tblW w:w="499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40"/>
              <w:gridCol w:w="3341"/>
            </w:tblGrid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i/>
                      <w:szCs w:val="22"/>
                      <w:lang w:val="fr-FR"/>
                    </w:rPr>
                  </w:pPr>
                  <w:r w:rsidRPr="009365E7">
                    <w:rPr>
                      <w:i/>
                      <w:szCs w:val="22"/>
                      <w:lang w:val="fr-FR"/>
                    </w:rPr>
                    <w:t>Voyages et bourses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Missions de fonctionnaires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CE0A83" w:rsidP="00CE0A83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14</w:t>
                  </w:r>
                  <w:r w:rsidR="00E22519" w:rsidRPr="009365E7">
                    <w:rPr>
                      <w:szCs w:val="22"/>
                      <w:lang w:val="fr-FR"/>
                    </w:rPr>
                    <w:t> 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Voyages de tiers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Bourses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i/>
                      <w:szCs w:val="22"/>
                      <w:lang w:val="fr-FR"/>
                    </w:rPr>
                  </w:pPr>
                  <w:r w:rsidRPr="009365E7">
                    <w:rPr>
                      <w:i/>
                      <w:szCs w:val="22"/>
                      <w:lang w:val="fr-FR"/>
                    </w:rPr>
                    <w:t>Services contractuels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Conférences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Honoraires d</w:t>
                  </w:r>
                  <w:r w:rsidR="001D1037" w:rsidRPr="009365E7">
                    <w:rPr>
                      <w:szCs w:val="22"/>
                      <w:lang w:val="fr-FR"/>
                    </w:rPr>
                    <w:t>’</w:t>
                  </w:r>
                  <w:r w:rsidRPr="009365E7">
                    <w:rPr>
                      <w:szCs w:val="22"/>
                      <w:lang w:val="fr-FR"/>
                    </w:rPr>
                    <w:t>experts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Publications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Autres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10 000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i/>
                      <w:szCs w:val="22"/>
                      <w:lang w:val="fr-FR"/>
                    </w:rPr>
                  </w:pPr>
                  <w:r w:rsidRPr="009365E7">
                    <w:rPr>
                      <w:i/>
                      <w:szCs w:val="22"/>
                      <w:lang w:val="fr-FR"/>
                    </w:rPr>
                    <w:t>Matériel et fournitures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Matériel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Fournitures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b/>
                      <w:szCs w:val="22"/>
                      <w:lang w:val="fr-FR"/>
                    </w:rPr>
                  </w:pPr>
                  <w:r w:rsidRPr="009365E7">
                    <w:rPr>
                      <w:b/>
                      <w:szCs w:val="22"/>
                      <w:lang w:val="fr-FR"/>
                    </w:rPr>
                    <w:t>TOTAL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CE0A83" w:rsidP="00E22519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24</w:t>
                  </w:r>
                  <w:r w:rsidR="00E22519" w:rsidRPr="009365E7">
                    <w:rPr>
                      <w:szCs w:val="22"/>
                      <w:lang w:val="fr-FR"/>
                    </w:rPr>
                    <w:t> 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</w:tr>
          </w:tbl>
          <w:p w:rsidR="00E22519" w:rsidRPr="009365E7" w:rsidRDefault="00E22519" w:rsidP="008225B4">
            <w:pPr>
              <w:rPr>
                <w:szCs w:val="22"/>
                <w:lang w:val="fr-FR"/>
              </w:rPr>
            </w:pPr>
          </w:p>
          <w:p w:rsidR="00E22519" w:rsidRPr="009365E7" w:rsidRDefault="00570045" w:rsidP="008225B4">
            <w:pPr>
              <w:rPr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Dépenses de personnel</w:t>
            </w:r>
            <w:r w:rsidR="002E22BD" w:rsidRPr="009365E7">
              <w:rPr>
                <w:i/>
                <w:szCs w:val="22"/>
                <w:lang w:val="fr-FR"/>
              </w:rPr>
              <w:t> </w:t>
            </w:r>
            <w:r w:rsidR="00071CB3" w:rsidRPr="009365E7">
              <w:rPr>
                <w:i/>
                <w:szCs w:val="22"/>
                <w:lang w:val="fr-FR"/>
              </w:rPr>
              <w:t>:</w:t>
            </w:r>
            <w:r w:rsidR="00071CB3" w:rsidRPr="009365E7">
              <w:rPr>
                <w:szCs w:val="22"/>
                <w:lang w:val="fr-FR"/>
              </w:rPr>
              <w:t xml:space="preserve"> </w:t>
            </w:r>
            <w:r w:rsidR="00A56D1A" w:rsidRPr="009365E7">
              <w:rPr>
                <w:szCs w:val="22"/>
                <w:lang w:val="fr-FR"/>
              </w:rPr>
              <w:t>le Bureau du c</w:t>
            </w:r>
            <w:r w:rsidRPr="009365E7">
              <w:rPr>
                <w:szCs w:val="22"/>
                <w:lang w:val="fr-FR"/>
              </w:rPr>
              <w:t>onseiller juridique, la Division du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auteur et la Division des communications, le cas échéant, assureront la coordination et la conduite des activités nécessaires</w:t>
            </w:r>
            <w:r w:rsidR="00863373" w:rsidRPr="009365E7">
              <w:rPr>
                <w:szCs w:val="22"/>
                <w:lang w:val="fr-FR"/>
              </w:rPr>
              <w:t xml:space="preserve"> </w:t>
            </w:r>
            <w:r w:rsidR="009115C5" w:rsidRPr="009365E7">
              <w:rPr>
                <w:szCs w:val="22"/>
                <w:lang w:val="fr-FR"/>
              </w:rPr>
              <w:t>(D</w:t>
            </w:r>
            <w:r w:rsidR="00D87C56">
              <w:rPr>
                <w:szCs w:val="22"/>
                <w:lang w:val="fr-FR"/>
              </w:rPr>
              <w:noBreakHyphen/>
            </w:r>
            <w:r w:rsidR="009115C5" w:rsidRPr="009365E7">
              <w:rPr>
                <w:szCs w:val="22"/>
                <w:lang w:val="fr-FR"/>
              </w:rPr>
              <w:t>1/P</w:t>
            </w:r>
            <w:r w:rsidR="00D87C56">
              <w:rPr>
                <w:szCs w:val="22"/>
                <w:lang w:val="fr-FR"/>
              </w:rPr>
              <w:noBreakHyphen/>
            </w:r>
            <w:r w:rsidR="009115C5" w:rsidRPr="009365E7">
              <w:rPr>
                <w:szCs w:val="22"/>
                <w:lang w:val="fr-FR"/>
              </w:rPr>
              <w:t>5</w:t>
            </w:r>
            <w:r w:rsidR="002E22BD" w:rsidRPr="009365E7">
              <w:rPr>
                <w:szCs w:val="22"/>
                <w:lang w:val="fr-FR"/>
              </w:rPr>
              <w:t> </w:t>
            </w:r>
            <w:r w:rsidR="00071CB3" w:rsidRPr="009365E7">
              <w:rPr>
                <w:szCs w:val="22"/>
                <w:lang w:val="fr-FR"/>
              </w:rPr>
              <w:t xml:space="preserve">: </w:t>
            </w:r>
            <w:r w:rsidR="009115C5" w:rsidRPr="009365E7">
              <w:rPr>
                <w:szCs w:val="22"/>
                <w:lang w:val="fr-FR"/>
              </w:rPr>
              <w:t>10%;  P</w:t>
            </w:r>
            <w:r w:rsidR="00D87C56">
              <w:rPr>
                <w:szCs w:val="22"/>
                <w:lang w:val="fr-FR"/>
              </w:rPr>
              <w:noBreakHyphen/>
            </w:r>
            <w:r w:rsidR="009115C5" w:rsidRPr="009365E7">
              <w:rPr>
                <w:szCs w:val="22"/>
                <w:lang w:val="fr-FR"/>
              </w:rPr>
              <w:t>3/P</w:t>
            </w:r>
            <w:r w:rsidR="00D87C56">
              <w:rPr>
                <w:szCs w:val="22"/>
                <w:lang w:val="fr-FR"/>
              </w:rPr>
              <w:noBreakHyphen/>
            </w:r>
            <w:r w:rsidR="009115C5" w:rsidRPr="009365E7">
              <w:rPr>
                <w:szCs w:val="22"/>
                <w:lang w:val="fr-FR"/>
              </w:rPr>
              <w:t>2</w:t>
            </w:r>
            <w:r w:rsidR="002E22BD" w:rsidRPr="009365E7">
              <w:rPr>
                <w:szCs w:val="22"/>
                <w:lang w:val="fr-FR"/>
              </w:rPr>
              <w:t> </w:t>
            </w:r>
            <w:r w:rsidR="00071CB3" w:rsidRPr="009365E7">
              <w:rPr>
                <w:szCs w:val="22"/>
                <w:lang w:val="fr-FR"/>
              </w:rPr>
              <w:t xml:space="preserve">: </w:t>
            </w:r>
            <w:r w:rsidR="009115C5" w:rsidRPr="009365E7">
              <w:rPr>
                <w:szCs w:val="22"/>
                <w:lang w:val="fr-FR"/>
              </w:rPr>
              <w:t>20%)</w:t>
            </w:r>
            <w:r w:rsidR="00572028" w:rsidRPr="009365E7">
              <w:rPr>
                <w:szCs w:val="22"/>
                <w:lang w:val="fr-FR"/>
              </w:rPr>
              <w:t>.</w:t>
            </w:r>
          </w:p>
          <w:p w:rsidR="00E22519" w:rsidRPr="009365E7" w:rsidRDefault="00E22519" w:rsidP="008225B4">
            <w:pPr>
              <w:rPr>
                <w:szCs w:val="22"/>
                <w:lang w:val="fr-FR"/>
              </w:rPr>
            </w:pPr>
          </w:p>
        </w:tc>
      </w:tr>
    </w:tbl>
    <w:p w:rsidR="006E6008" w:rsidRPr="009365E7" w:rsidRDefault="006E6008" w:rsidP="006E6008">
      <w:pPr>
        <w:rPr>
          <w:szCs w:val="22"/>
          <w:lang w:val="fr-FR"/>
        </w:rPr>
      </w:pPr>
    </w:p>
    <w:p w:rsidR="00B67D5A" w:rsidRPr="009365E7" w:rsidRDefault="00B67D5A" w:rsidP="006E6008">
      <w:pPr>
        <w:rPr>
          <w:szCs w:val="22"/>
          <w:lang w:val="fr-FR"/>
        </w:rPr>
      </w:pPr>
    </w:p>
    <w:p w:rsidR="00324B00" w:rsidRPr="009365E7" w:rsidRDefault="00324B00" w:rsidP="00EB0C54">
      <w:pPr>
        <w:rPr>
          <w:szCs w:val="22"/>
          <w:lang w:val="fr-FR"/>
        </w:rPr>
      </w:pPr>
    </w:p>
    <w:p w:rsidR="00B46566" w:rsidRPr="009365E7" w:rsidRDefault="008B3C5E" w:rsidP="00EB0C54">
      <w:pPr>
        <w:pStyle w:val="Endofdocument-Annex"/>
        <w:rPr>
          <w:lang w:val="fr-FR"/>
        </w:rPr>
      </w:pPr>
      <w:r w:rsidRPr="009365E7">
        <w:rPr>
          <w:lang w:val="fr-FR"/>
        </w:rPr>
        <w:t>[</w:t>
      </w:r>
      <w:r w:rsidR="00D9296D" w:rsidRPr="009365E7">
        <w:rPr>
          <w:lang w:val="fr-FR"/>
        </w:rPr>
        <w:t>L</w:t>
      </w:r>
      <w:r w:rsidR="001D1037" w:rsidRPr="009365E7">
        <w:rPr>
          <w:lang w:val="fr-FR"/>
        </w:rPr>
        <w:t>’</w:t>
      </w:r>
      <w:r w:rsidR="00D9296D" w:rsidRPr="009365E7">
        <w:rPr>
          <w:lang w:val="fr-FR"/>
        </w:rPr>
        <w:t>a</w:t>
      </w:r>
      <w:r w:rsidRPr="009365E7">
        <w:rPr>
          <w:lang w:val="fr-FR"/>
        </w:rPr>
        <w:t>nnex</w:t>
      </w:r>
      <w:r w:rsidR="00D9296D" w:rsidRPr="009365E7">
        <w:rPr>
          <w:lang w:val="fr-FR"/>
        </w:rPr>
        <w:t>e</w:t>
      </w:r>
      <w:r w:rsidRPr="009365E7">
        <w:rPr>
          <w:lang w:val="fr-FR"/>
        </w:rPr>
        <w:t xml:space="preserve"> III </w:t>
      </w:r>
      <w:r w:rsidR="00D9296D" w:rsidRPr="009365E7">
        <w:rPr>
          <w:lang w:val="fr-FR"/>
        </w:rPr>
        <w:t>suit</w:t>
      </w:r>
      <w:r w:rsidRPr="009365E7">
        <w:rPr>
          <w:lang w:val="fr-FR"/>
        </w:rPr>
        <w:t>]</w:t>
      </w:r>
    </w:p>
    <w:p w:rsidR="00384DC7" w:rsidRPr="009365E7" w:rsidRDefault="00384DC7" w:rsidP="00384DC7">
      <w:pPr>
        <w:widowControl w:val="0"/>
        <w:autoSpaceDE w:val="0"/>
        <w:autoSpaceDN w:val="0"/>
        <w:spacing w:line="384" w:lineRule="auto"/>
        <w:textAlignment w:val="baseline"/>
        <w:rPr>
          <w:szCs w:val="22"/>
          <w:lang w:val="fr-FR"/>
        </w:rPr>
      </w:pPr>
    </w:p>
    <w:p w:rsidR="00FF7925" w:rsidRPr="009365E7" w:rsidRDefault="00FF7925" w:rsidP="009509CA">
      <w:pPr>
        <w:widowControl w:val="0"/>
        <w:autoSpaceDE w:val="0"/>
        <w:autoSpaceDN w:val="0"/>
        <w:spacing w:line="384" w:lineRule="auto"/>
        <w:jc w:val="center"/>
        <w:textAlignment w:val="baseline"/>
        <w:rPr>
          <w:bCs/>
          <w:szCs w:val="28"/>
          <w:lang w:val="fr-FR"/>
        </w:rPr>
        <w:sectPr w:rsidR="00FF7925" w:rsidRPr="009365E7" w:rsidSect="007F5242">
          <w:headerReference w:type="default" r:id="rId18"/>
          <w:headerReference w:type="first" r:id="rId19"/>
          <w:pgSz w:w="11907" w:h="16840" w:code="9"/>
          <w:pgMar w:top="567" w:right="1134" w:bottom="1418" w:left="1418" w:header="510" w:footer="1021" w:gutter="0"/>
          <w:pgNumType w:start="1"/>
          <w:cols w:space="708"/>
          <w:titlePg/>
          <w:docGrid w:linePitch="360"/>
        </w:sectPr>
      </w:pPr>
    </w:p>
    <w:p w:rsidR="009509CA" w:rsidRPr="009365E7" w:rsidRDefault="0066423B" w:rsidP="009509CA">
      <w:pPr>
        <w:widowControl w:val="0"/>
        <w:autoSpaceDE w:val="0"/>
        <w:autoSpaceDN w:val="0"/>
        <w:spacing w:line="384" w:lineRule="auto"/>
        <w:jc w:val="center"/>
        <w:textAlignment w:val="baseline"/>
        <w:rPr>
          <w:b/>
          <w:bCs/>
          <w:szCs w:val="28"/>
          <w:lang w:val="fr-FR"/>
        </w:rPr>
      </w:pPr>
      <w:r w:rsidRPr="009365E7">
        <w:rPr>
          <w:b/>
          <w:bCs/>
          <w:szCs w:val="28"/>
          <w:lang w:val="fr-FR"/>
        </w:rPr>
        <w:lastRenderedPageBreak/>
        <w:t>PLAN DE MISE EN ŒUVRE DE L</w:t>
      </w:r>
      <w:r w:rsidR="001D1037" w:rsidRPr="009365E7">
        <w:rPr>
          <w:b/>
          <w:bCs/>
          <w:szCs w:val="28"/>
          <w:lang w:val="fr-FR"/>
        </w:rPr>
        <w:t>’</w:t>
      </w:r>
      <w:r w:rsidR="002E22BD" w:rsidRPr="009365E7">
        <w:rPr>
          <w:b/>
          <w:bCs/>
          <w:szCs w:val="28"/>
          <w:lang w:val="fr-FR"/>
        </w:rPr>
        <w:t>ACTIVITÉ </w:t>
      </w:r>
      <w:r w:rsidR="009509CA" w:rsidRPr="009365E7">
        <w:rPr>
          <w:b/>
          <w:bCs/>
          <w:szCs w:val="28"/>
          <w:lang w:val="fr-FR"/>
        </w:rPr>
        <w:t>3</w:t>
      </w:r>
    </w:p>
    <w:p w:rsidR="0023174A" w:rsidRPr="009365E7" w:rsidRDefault="0023174A" w:rsidP="0014085A">
      <w:pPr>
        <w:rPr>
          <w:szCs w:val="22"/>
          <w:lang w:val="fr-F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E22519" w:rsidRPr="009365E7" w:rsidTr="00672034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Intitulé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activité/initiative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CA3DE0" w:rsidRPr="009365E7" w:rsidRDefault="00CA3DE0" w:rsidP="00CA3DE0">
            <w:pPr>
              <w:pStyle w:val="std"/>
              <w:rPr>
                <w:szCs w:val="22"/>
                <w:lang w:val="fr-FR" w:eastAsia="en-US"/>
              </w:rPr>
            </w:pPr>
            <w:r w:rsidRPr="009365E7">
              <w:rPr>
                <w:szCs w:val="22"/>
                <w:lang w:val="fr-FR" w:eastAsia="en-US"/>
              </w:rPr>
              <w:t>Élaboration d</w:t>
            </w:r>
            <w:r w:rsidR="001D1037" w:rsidRPr="009365E7">
              <w:rPr>
                <w:szCs w:val="22"/>
                <w:lang w:val="fr-FR" w:eastAsia="en-US"/>
              </w:rPr>
              <w:t>’</w:t>
            </w:r>
            <w:r w:rsidRPr="009365E7">
              <w:rPr>
                <w:szCs w:val="22"/>
                <w:lang w:val="fr-FR" w:eastAsia="en-US"/>
              </w:rPr>
              <w:t xml:space="preserve">un module de formation sur la concession de licences </w:t>
            </w:r>
            <w:r w:rsidR="0006368C" w:rsidRPr="009365E7">
              <w:rPr>
                <w:szCs w:val="22"/>
                <w:lang w:val="fr-FR" w:eastAsia="en-US"/>
              </w:rPr>
              <w:t xml:space="preserve">de logiciels </w:t>
            </w:r>
            <w:r w:rsidRPr="009365E7">
              <w:rPr>
                <w:szCs w:val="22"/>
                <w:lang w:val="fr-FR" w:eastAsia="en-US"/>
              </w:rPr>
              <w:t xml:space="preserve">et </w:t>
            </w:r>
            <w:r w:rsidR="00A93B83" w:rsidRPr="009365E7">
              <w:rPr>
                <w:szCs w:val="22"/>
                <w:lang w:val="fr-FR" w:eastAsia="en-US"/>
              </w:rPr>
              <w:t>les</w:t>
            </w:r>
            <w:r w:rsidRPr="009365E7">
              <w:rPr>
                <w:szCs w:val="22"/>
                <w:lang w:val="fr-FR" w:eastAsia="en-US"/>
              </w:rPr>
              <w:t xml:space="preserve"> logiciels libres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</w:tc>
      </w:tr>
      <w:tr w:rsidR="00E22519" w:rsidRPr="009365E7" w:rsidTr="00672034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Brève description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activité/initiative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CA3DE0" w:rsidRPr="009365E7" w:rsidRDefault="00CA3DE0" w:rsidP="0090363E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E22519" w:rsidRPr="009365E7">
              <w:rPr>
                <w:szCs w:val="22"/>
                <w:lang w:val="fr-FR"/>
              </w:rPr>
              <w:t>objecti</w:t>
            </w:r>
            <w:r w:rsidRPr="009365E7">
              <w:rPr>
                <w:szCs w:val="22"/>
                <w:lang w:val="fr-FR"/>
              </w:rPr>
              <w:t>f de cette activité est de concevoir un module de formation sur les questions de propriété intellectuelle</w:t>
            </w:r>
            <w:r w:rsidR="00A0366F" w:rsidRPr="009365E7">
              <w:rPr>
                <w:szCs w:val="22"/>
                <w:lang w:val="fr-FR"/>
              </w:rPr>
              <w:t xml:space="preserve"> relatives à la concession de licences sur des logiciels.</w:t>
            </w:r>
            <w:r w:rsidR="006B43F8" w:rsidRPr="009365E7">
              <w:rPr>
                <w:szCs w:val="22"/>
                <w:lang w:val="fr-FR"/>
              </w:rPr>
              <w:t xml:space="preserve"> </w:t>
            </w:r>
            <w:r w:rsidR="00A0366F" w:rsidRPr="009365E7">
              <w:rPr>
                <w:szCs w:val="22"/>
                <w:lang w:val="fr-FR"/>
              </w:rPr>
              <w:t xml:space="preserve"> Ce module pourrait être utilisé par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A0366F" w:rsidRPr="009365E7">
              <w:rPr>
                <w:szCs w:val="22"/>
                <w:lang w:val="fr-FR"/>
              </w:rPr>
              <w:t>Académie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A0366F" w:rsidRPr="009365E7">
              <w:rPr>
                <w:szCs w:val="22"/>
                <w:lang w:val="fr-FR"/>
              </w:rPr>
              <w:t>OMPI et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A0366F" w:rsidRPr="009365E7">
              <w:rPr>
                <w:szCs w:val="22"/>
                <w:lang w:val="fr-FR"/>
              </w:rPr>
              <w:t>autres unités pour dispenser des formations et renforcer les capacités.</w:t>
            </w:r>
            <w:r w:rsidR="0076035C" w:rsidRPr="009365E7">
              <w:rPr>
                <w:szCs w:val="22"/>
                <w:lang w:val="fr-FR"/>
              </w:rPr>
              <w:t xml:space="preserve"> </w:t>
            </w:r>
            <w:r w:rsidR="006B43F8" w:rsidRPr="009365E7">
              <w:rPr>
                <w:szCs w:val="22"/>
                <w:lang w:val="fr-FR"/>
              </w:rPr>
              <w:t xml:space="preserve"> </w:t>
            </w:r>
            <w:r w:rsidR="0076035C" w:rsidRPr="009365E7">
              <w:rPr>
                <w:szCs w:val="22"/>
                <w:lang w:val="fr-FR"/>
              </w:rPr>
              <w:t>Un module de formation spécialement conçu faciliterait la diffusion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76035C" w:rsidRPr="009365E7">
              <w:rPr>
                <w:szCs w:val="22"/>
                <w:lang w:val="fr-FR"/>
              </w:rPr>
              <w:t>informations utiles sur des stratégies possibles de conception de logiciels, leurs coûts et leurs incidences.</w:t>
            </w:r>
            <w:r w:rsidR="00A93B83" w:rsidRPr="009365E7">
              <w:rPr>
                <w:szCs w:val="22"/>
                <w:lang w:val="fr-FR"/>
              </w:rPr>
              <w:t xml:space="preserve">  Ce module </w:t>
            </w:r>
            <w:r w:rsidR="005C23E2" w:rsidRPr="009365E7">
              <w:rPr>
                <w:szCs w:val="22"/>
                <w:lang w:val="fr-FR"/>
              </w:rPr>
              <w:t>couvrirait un éventail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5C23E2" w:rsidRPr="009365E7">
              <w:rPr>
                <w:szCs w:val="22"/>
                <w:lang w:val="fr-FR"/>
              </w:rPr>
              <w:t>opinions équilibré et traiterait des avantages et des risques potentiels liés à différentes options.</w:t>
            </w:r>
          </w:p>
          <w:p w:rsidR="00E22519" w:rsidRPr="009365E7" w:rsidRDefault="00E22519" w:rsidP="0090363E">
            <w:pPr>
              <w:rPr>
                <w:szCs w:val="22"/>
                <w:lang w:val="fr-FR"/>
              </w:rPr>
            </w:pPr>
          </w:p>
          <w:p w:rsidR="00E22519" w:rsidRPr="009365E7" w:rsidRDefault="0076035C" w:rsidP="0090363E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Cette activité permettrait de</w:t>
            </w:r>
            <w:r w:rsidR="002E22BD" w:rsidRPr="009365E7">
              <w:rPr>
                <w:szCs w:val="22"/>
                <w:lang w:val="fr-FR"/>
              </w:rPr>
              <w:t> </w:t>
            </w:r>
            <w:r w:rsidR="00E22519" w:rsidRPr="009365E7">
              <w:rPr>
                <w:szCs w:val="22"/>
                <w:lang w:val="fr-FR"/>
              </w:rPr>
              <w:t>:</w:t>
            </w:r>
          </w:p>
          <w:p w:rsidR="00E22519" w:rsidRPr="009365E7" w:rsidRDefault="00E22519" w:rsidP="0090363E">
            <w:pPr>
              <w:rPr>
                <w:szCs w:val="22"/>
                <w:lang w:val="fr-FR"/>
              </w:rPr>
            </w:pPr>
          </w:p>
          <w:p w:rsidR="002E22BD" w:rsidRPr="009365E7" w:rsidRDefault="002E22BD" w:rsidP="00672034">
            <w:pPr>
              <w:numPr>
                <w:ilvl w:val="0"/>
                <w:numId w:val="2"/>
              </w:numPr>
              <w:tabs>
                <w:tab w:val="clear" w:pos="1134"/>
                <w:tab w:val="left" w:pos="891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f</w:t>
            </w:r>
            <w:r w:rsidR="0076035C" w:rsidRPr="009365E7">
              <w:rPr>
                <w:szCs w:val="22"/>
                <w:lang w:val="fr-FR"/>
              </w:rPr>
              <w:t>aire mieux connaître les possibilités et les incidences des logiciels protégés et libres</w:t>
            </w:r>
            <w:r w:rsidRPr="009365E7">
              <w:rPr>
                <w:szCs w:val="22"/>
                <w:lang w:val="fr-FR"/>
              </w:rPr>
              <w:t xml:space="preserve">; </w:t>
            </w:r>
            <w:r w:rsidR="005C23E2" w:rsidRPr="009365E7">
              <w:rPr>
                <w:szCs w:val="22"/>
                <w:lang w:val="fr-FR"/>
              </w:rPr>
              <w:t xml:space="preserve"> et</w:t>
            </w:r>
          </w:p>
          <w:p w:rsidR="002E22BD" w:rsidRPr="009365E7" w:rsidRDefault="002E22BD" w:rsidP="00672034">
            <w:pPr>
              <w:tabs>
                <w:tab w:val="left" w:pos="891"/>
              </w:tabs>
              <w:ind w:left="459"/>
              <w:rPr>
                <w:szCs w:val="22"/>
                <w:lang w:val="fr-FR"/>
              </w:rPr>
            </w:pPr>
          </w:p>
          <w:p w:rsidR="00496847" w:rsidRPr="009365E7" w:rsidRDefault="002E22BD" w:rsidP="00672034">
            <w:pPr>
              <w:numPr>
                <w:ilvl w:val="0"/>
                <w:numId w:val="2"/>
              </w:numPr>
              <w:tabs>
                <w:tab w:val="clear" w:pos="1134"/>
                <w:tab w:val="left" w:pos="891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c</w:t>
            </w:r>
            <w:r w:rsidR="00E22519" w:rsidRPr="009365E7">
              <w:rPr>
                <w:szCs w:val="22"/>
                <w:lang w:val="fr-FR"/>
              </w:rPr>
              <w:t>r</w:t>
            </w:r>
            <w:r w:rsidR="00496847" w:rsidRPr="009365E7">
              <w:rPr>
                <w:szCs w:val="22"/>
                <w:lang w:val="fr-FR"/>
              </w:rPr>
              <w:t>éer des sources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496847" w:rsidRPr="009365E7">
              <w:rPr>
                <w:szCs w:val="22"/>
                <w:lang w:val="fr-FR"/>
              </w:rPr>
              <w:t>information utiles, contenant des exemples concrets et une bibliographie portant sur la concession de licences sur des logiciels, qu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496847" w:rsidRPr="009365E7">
              <w:rPr>
                <w:szCs w:val="22"/>
                <w:lang w:val="fr-FR"/>
              </w:rPr>
              <w:t>ils soient protégés ou libres, en mettant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496847" w:rsidRPr="009365E7">
              <w:rPr>
                <w:szCs w:val="22"/>
                <w:lang w:val="fr-FR"/>
              </w:rPr>
              <w:t>accent sur les besoins des pays en développement.</w:t>
            </w:r>
          </w:p>
          <w:p w:rsidR="00E22519" w:rsidRPr="009365E7" w:rsidRDefault="00E22519" w:rsidP="0090363E">
            <w:pPr>
              <w:rPr>
                <w:szCs w:val="22"/>
                <w:lang w:val="fr-FR"/>
              </w:rPr>
            </w:pPr>
          </w:p>
          <w:p w:rsidR="00496847" w:rsidRPr="009365E7" w:rsidRDefault="00496847" w:rsidP="0090363E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La conception de ce module de formation et des supports connexes serait assurée par deux</w:t>
            </w:r>
            <w:r w:rsidR="00595A1C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 xml:space="preserve">consultants extérieurs possédant une expertise reconnue sur le sujet, </w:t>
            </w:r>
            <w:r w:rsidR="006B43F8" w:rsidRPr="009365E7">
              <w:rPr>
                <w:szCs w:val="22"/>
                <w:lang w:val="fr-FR"/>
              </w:rPr>
              <w:t xml:space="preserve">et, </w:t>
            </w:r>
            <w:r w:rsidRPr="009365E7">
              <w:rPr>
                <w:szCs w:val="22"/>
                <w:lang w:val="fr-FR"/>
              </w:rPr>
              <w:t>dans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idéal, des connaissances précises sur</w:t>
            </w:r>
            <w:r w:rsidR="00A54F3B" w:rsidRPr="009365E7">
              <w:rPr>
                <w:szCs w:val="22"/>
                <w:lang w:val="fr-FR"/>
              </w:rPr>
              <w:t xml:space="preserve"> les logiciels libres et protégés.</w:t>
            </w:r>
          </w:p>
          <w:p w:rsidR="00E22519" w:rsidRPr="009365E7" w:rsidRDefault="00E22519" w:rsidP="0090363E">
            <w:pPr>
              <w:rPr>
                <w:szCs w:val="22"/>
                <w:lang w:val="fr-FR"/>
              </w:rPr>
            </w:pPr>
          </w:p>
        </w:tc>
      </w:tr>
      <w:tr w:rsidR="00E22519" w:rsidRPr="009365E7" w:rsidTr="00672034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Bénéficiaires visés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E22519" w:rsidRPr="009365E7" w:rsidRDefault="00A54F3B" w:rsidP="009D0850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États membres</w:t>
            </w:r>
            <w:r w:rsidR="0006368C" w:rsidRPr="009365E7">
              <w:rPr>
                <w:szCs w:val="22"/>
                <w:lang w:val="fr-FR"/>
              </w:rPr>
              <w:t>,</w:t>
            </w:r>
            <w:r w:rsidR="00E22519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>organismes chargés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enseignement ou de la recherche et organisations de la société civile</w:t>
            </w:r>
            <w:r w:rsidR="002E22BD" w:rsidRPr="009365E7">
              <w:rPr>
                <w:szCs w:val="22"/>
                <w:lang w:val="fr-FR"/>
              </w:rPr>
              <w:t>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</w:tc>
      </w:tr>
      <w:tr w:rsidR="00E22519" w:rsidRPr="009365E7" w:rsidTr="00672034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Principaux secteurs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OMPI concernés et liens avec des programmes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OMPI</w:t>
            </w:r>
          </w:p>
        </w:tc>
        <w:tc>
          <w:tcPr>
            <w:tcW w:w="6912" w:type="dxa"/>
            <w:shd w:val="clear" w:color="auto" w:fill="auto"/>
          </w:tcPr>
          <w:p w:rsidR="00A5663A" w:rsidRPr="009365E7" w:rsidRDefault="00A54F3B" w:rsidP="00AB45CC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Division du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 xml:space="preserve">auteur et </w:t>
            </w:r>
            <w:r w:rsidR="00E22519" w:rsidRPr="009365E7">
              <w:rPr>
                <w:szCs w:val="22"/>
                <w:lang w:val="fr-FR"/>
              </w:rPr>
              <w:t>Acad</w:t>
            </w:r>
            <w:r w:rsidRPr="009365E7">
              <w:rPr>
                <w:szCs w:val="22"/>
                <w:lang w:val="fr-FR"/>
              </w:rPr>
              <w:t>émie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OM</w:t>
            </w:r>
            <w:r w:rsidR="009B40AD" w:rsidRPr="009365E7">
              <w:rPr>
                <w:szCs w:val="22"/>
                <w:lang w:val="fr-FR"/>
              </w:rPr>
              <w:t>P</w:t>
            </w:r>
            <w:r w:rsidRPr="009365E7">
              <w:rPr>
                <w:szCs w:val="22"/>
                <w:lang w:val="fr-FR"/>
              </w:rPr>
              <w:t>I</w:t>
            </w:r>
            <w:r w:rsidR="00E22519" w:rsidRPr="009365E7">
              <w:rPr>
                <w:szCs w:val="22"/>
                <w:lang w:val="fr-FR"/>
              </w:rPr>
              <w:t>.</w:t>
            </w:r>
          </w:p>
          <w:p w:rsidR="00E22519" w:rsidRPr="009365E7" w:rsidRDefault="00E22519" w:rsidP="00AB45CC">
            <w:pPr>
              <w:rPr>
                <w:szCs w:val="22"/>
                <w:lang w:val="fr-FR"/>
              </w:rPr>
            </w:pPr>
          </w:p>
          <w:p w:rsidR="00A54F3B" w:rsidRPr="009365E7" w:rsidRDefault="00A54F3B" w:rsidP="00AB45CC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Cette activité est liée à plusieurs des o</w:t>
            </w:r>
            <w:r w:rsidR="006B43F8" w:rsidRPr="009365E7">
              <w:rPr>
                <w:szCs w:val="22"/>
                <w:lang w:val="fr-FR"/>
              </w:rPr>
              <w:t>bjectifs stratégiques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6B43F8" w:rsidRPr="009365E7">
              <w:rPr>
                <w:szCs w:val="22"/>
                <w:lang w:val="fr-FR"/>
              </w:rPr>
              <w:t>OMPI</w:t>
            </w:r>
            <w:r w:rsidR="00595A1C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>: objectif</w:t>
            </w:r>
            <w:r w:rsidR="002E22BD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 xml:space="preserve">III </w:t>
            </w:r>
            <w:r w:rsidR="00595A1C" w:rsidRPr="009365E7">
              <w:rPr>
                <w:szCs w:val="22"/>
                <w:lang w:val="fr-FR"/>
              </w:rPr>
              <w:t>–</w:t>
            </w:r>
            <w:r w:rsidRPr="009365E7">
              <w:rPr>
                <w:szCs w:val="22"/>
                <w:lang w:val="fr-FR"/>
              </w:rPr>
              <w:t xml:space="preserve"> </w:t>
            </w:r>
            <w:r w:rsidR="006B43F8" w:rsidRPr="009365E7">
              <w:rPr>
                <w:szCs w:val="22"/>
                <w:lang w:val="fr-FR"/>
              </w:rPr>
              <w:t>F</w:t>
            </w:r>
            <w:r w:rsidRPr="009365E7">
              <w:rPr>
                <w:szCs w:val="22"/>
                <w:lang w:val="fr-FR"/>
              </w:rPr>
              <w:t>avoriser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utilisation de la propriété intellectuelle au service du développement et objectif</w:t>
            </w:r>
            <w:r w:rsidR="002E22BD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 xml:space="preserve">V </w:t>
            </w:r>
            <w:r w:rsidR="00595A1C" w:rsidRPr="009365E7">
              <w:rPr>
                <w:szCs w:val="22"/>
                <w:lang w:val="fr-FR"/>
              </w:rPr>
              <w:t>–</w:t>
            </w:r>
            <w:r w:rsidRPr="009365E7">
              <w:rPr>
                <w:szCs w:val="22"/>
                <w:lang w:val="fr-FR"/>
              </w:rPr>
              <w:t xml:space="preserve"> </w:t>
            </w:r>
            <w:r w:rsidR="006B43F8" w:rsidRPr="009365E7">
              <w:rPr>
                <w:szCs w:val="22"/>
                <w:lang w:val="fr-FR"/>
              </w:rPr>
              <w:t>S</w:t>
            </w:r>
            <w:r w:rsidRPr="009365E7">
              <w:rPr>
                <w:szCs w:val="22"/>
                <w:lang w:val="fr-FR"/>
              </w:rPr>
              <w:t>ource de références mondiale pour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information et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analyse en matière de propriété intellectuelle.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</w:tc>
      </w:tr>
      <w:tr w:rsidR="00E22519" w:rsidRPr="009365E7" w:rsidTr="00672034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lastRenderedPageBreak/>
              <w:t>Étapes</w:t>
            </w: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E22519" w:rsidRPr="009365E7" w:rsidRDefault="002E22BD" w:rsidP="00672034">
            <w:pPr>
              <w:pStyle w:val="ListParagraph"/>
              <w:numPr>
                <w:ilvl w:val="1"/>
                <w:numId w:val="2"/>
              </w:numPr>
              <w:tabs>
                <w:tab w:val="clear" w:pos="1701"/>
                <w:tab w:val="left" w:pos="891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s</w:t>
            </w:r>
            <w:r w:rsidR="00A54F3B" w:rsidRPr="009365E7">
              <w:rPr>
                <w:szCs w:val="22"/>
                <w:lang w:val="fr-FR"/>
              </w:rPr>
              <w:t>élection de deux</w:t>
            </w:r>
            <w:r w:rsidR="00595A1C" w:rsidRPr="009365E7">
              <w:rPr>
                <w:szCs w:val="22"/>
                <w:lang w:val="fr-FR"/>
              </w:rPr>
              <w:t> </w:t>
            </w:r>
            <w:r w:rsidR="00A54F3B" w:rsidRPr="009365E7">
              <w:rPr>
                <w:szCs w:val="22"/>
                <w:lang w:val="fr-FR"/>
              </w:rPr>
              <w:t>consultants extérieurs qualifiés possédant une connaissance approfondie de la concession de licences sur des logiciels libres et/ou protégés</w:t>
            </w:r>
            <w:r w:rsidR="00E22519" w:rsidRPr="009365E7">
              <w:rPr>
                <w:szCs w:val="22"/>
                <w:lang w:val="fr-FR"/>
              </w:rPr>
              <w:t>;</w:t>
            </w:r>
          </w:p>
          <w:p w:rsidR="00E22519" w:rsidRPr="009365E7" w:rsidRDefault="00E22519" w:rsidP="00672034">
            <w:pPr>
              <w:pStyle w:val="ListParagraph"/>
              <w:tabs>
                <w:tab w:val="left" w:pos="891"/>
              </w:tabs>
              <w:ind w:left="459"/>
              <w:rPr>
                <w:szCs w:val="22"/>
                <w:lang w:val="fr-FR"/>
              </w:rPr>
            </w:pPr>
          </w:p>
          <w:p w:rsidR="00E22519" w:rsidRPr="009365E7" w:rsidRDefault="002E22BD" w:rsidP="00672034">
            <w:pPr>
              <w:pStyle w:val="ListParagraph"/>
              <w:numPr>
                <w:ilvl w:val="1"/>
                <w:numId w:val="2"/>
              </w:numPr>
              <w:tabs>
                <w:tab w:val="clear" w:pos="1701"/>
                <w:tab w:val="left" w:pos="891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a</w:t>
            </w:r>
            <w:r w:rsidR="00A54F3B" w:rsidRPr="009365E7">
              <w:rPr>
                <w:szCs w:val="22"/>
                <w:lang w:val="fr-FR"/>
              </w:rPr>
              <w:t xml:space="preserve">doption </w:t>
            </w:r>
            <w:r w:rsidR="00A93B83" w:rsidRPr="009365E7">
              <w:rPr>
                <w:szCs w:val="22"/>
                <w:lang w:val="fr-FR"/>
              </w:rPr>
              <w:t>de services contractuels de personnes</w:t>
            </w:r>
            <w:r w:rsidR="00A54F3B" w:rsidRPr="009365E7">
              <w:rPr>
                <w:szCs w:val="22"/>
                <w:lang w:val="fr-FR"/>
              </w:rPr>
              <w:t xml:space="preserve"> et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A54F3B" w:rsidRPr="009365E7">
              <w:rPr>
                <w:szCs w:val="22"/>
                <w:lang w:val="fr-FR"/>
              </w:rPr>
              <w:t>un mandat</w:t>
            </w:r>
            <w:r w:rsidR="00E22519" w:rsidRPr="009365E7">
              <w:rPr>
                <w:szCs w:val="22"/>
                <w:lang w:val="fr-FR"/>
              </w:rPr>
              <w:t>;</w:t>
            </w:r>
          </w:p>
          <w:p w:rsidR="00E22519" w:rsidRPr="009365E7" w:rsidRDefault="00E22519" w:rsidP="00672034">
            <w:pPr>
              <w:pStyle w:val="ListParagraph"/>
              <w:tabs>
                <w:tab w:val="left" w:pos="891"/>
              </w:tabs>
              <w:ind w:left="459"/>
              <w:rPr>
                <w:szCs w:val="22"/>
                <w:lang w:val="fr-FR"/>
              </w:rPr>
            </w:pPr>
          </w:p>
          <w:p w:rsidR="00E22519" w:rsidRPr="009365E7" w:rsidRDefault="002E22BD" w:rsidP="00672034">
            <w:pPr>
              <w:pStyle w:val="ListParagraph"/>
              <w:numPr>
                <w:ilvl w:val="1"/>
                <w:numId w:val="2"/>
              </w:numPr>
              <w:tabs>
                <w:tab w:val="clear" w:pos="1701"/>
                <w:tab w:val="left" w:pos="891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c</w:t>
            </w:r>
            <w:r w:rsidR="00A54F3B" w:rsidRPr="009365E7">
              <w:rPr>
                <w:szCs w:val="22"/>
                <w:lang w:val="fr-FR"/>
              </w:rPr>
              <w:t>onception du module de formation</w:t>
            </w:r>
            <w:r w:rsidR="00E22519" w:rsidRPr="009365E7">
              <w:rPr>
                <w:szCs w:val="22"/>
                <w:lang w:val="fr-FR"/>
              </w:rPr>
              <w:t>;</w:t>
            </w:r>
          </w:p>
          <w:p w:rsidR="00E22519" w:rsidRPr="009365E7" w:rsidRDefault="00E22519" w:rsidP="00672034">
            <w:pPr>
              <w:pStyle w:val="ListParagraph"/>
              <w:tabs>
                <w:tab w:val="left" w:pos="891"/>
              </w:tabs>
              <w:ind w:left="459"/>
              <w:rPr>
                <w:szCs w:val="22"/>
                <w:lang w:val="fr-FR"/>
              </w:rPr>
            </w:pPr>
          </w:p>
          <w:p w:rsidR="00E22519" w:rsidRPr="009365E7" w:rsidRDefault="002E22BD" w:rsidP="00672034">
            <w:pPr>
              <w:pStyle w:val="ListParagraph"/>
              <w:numPr>
                <w:ilvl w:val="1"/>
                <w:numId w:val="2"/>
              </w:numPr>
              <w:tabs>
                <w:tab w:val="clear" w:pos="1701"/>
                <w:tab w:val="left" w:pos="891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e</w:t>
            </w:r>
            <w:r w:rsidR="00A54F3B" w:rsidRPr="009365E7">
              <w:rPr>
                <w:szCs w:val="22"/>
                <w:lang w:val="fr-FR"/>
              </w:rPr>
              <w:t>xamen du</w:t>
            </w:r>
            <w:r w:rsidR="00E22519" w:rsidRPr="009365E7">
              <w:rPr>
                <w:szCs w:val="22"/>
                <w:lang w:val="fr-FR"/>
              </w:rPr>
              <w:t xml:space="preserve"> module </w:t>
            </w:r>
            <w:r w:rsidR="00A54F3B" w:rsidRPr="009365E7">
              <w:rPr>
                <w:szCs w:val="22"/>
                <w:lang w:val="fr-FR"/>
              </w:rPr>
              <w:t>pour approbation ou modification</w:t>
            </w:r>
            <w:r w:rsidR="00E22519" w:rsidRPr="009365E7">
              <w:rPr>
                <w:szCs w:val="22"/>
                <w:lang w:val="fr-FR"/>
              </w:rPr>
              <w:t>;</w:t>
            </w:r>
          </w:p>
          <w:p w:rsidR="00E22519" w:rsidRPr="009365E7" w:rsidRDefault="00E22519" w:rsidP="00672034">
            <w:pPr>
              <w:pStyle w:val="ListParagraph"/>
              <w:tabs>
                <w:tab w:val="left" w:pos="891"/>
              </w:tabs>
              <w:ind w:left="459"/>
              <w:rPr>
                <w:szCs w:val="22"/>
                <w:lang w:val="fr-FR"/>
              </w:rPr>
            </w:pPr>
          </w:p>
          <w:p w:rsidR="00A5663A" w:rsidRPr="009365E7" w:rsidRDefault="002E22BD" w:rsidP="00672034">
            <w:pPr>
              <w:pStyle w:val="ListParagraph"/>
              <w:numPr>
                <w:ilvl w:val="1"/>
                <w:numId w:val="2"/>
              </w:numPr>
              <w:tabs>
                <w:tab w:val="clear" w:pos="1701"/>
                <w:tab w:val="left" w:pos="891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p</w:t>
            </w:r>
            <w:r w:rsidR="00E22519" w:rsidRPr="009365E7">
              <w:rPr>
                <w:szCs w:val="22"/>
                <w:lang w:val="fr-FR"/>
              </w:rPr>
              <w:t xml:space="preserve">ublication </w:t>
            </w:r>
            <w:r w:rsidR="00A54F3B" w:rsidRPr="009365E7">
              <w:rPr>
                <w:szCs w:val="22"/>
                <w:lang w:val="fr-FR"/>
              </w:rPr>
              <w:t>et diffusion du</w:t>
            </w:r>
            <w:r w:rsidR="00E22519" w:rsidRPr="009365E7">
              <w:rPr>
                <w:szCs w:val="22"/>
                <w:lang w:val="fr-FR"/>
              </w:rPr>
              <w:t xml:space="preserve"> module;</w:t>
            </w:r>
            <w:r w:rsidR="00A93B83" w:rsidRPr="009365E7">
              <w:rPr>
                <w:szCs w:val="22"/>
                <w:lang w:val="fr-FR"/>
              </w:rPr>
              <w:t xml:space="preserve">  et</w:t>
            </w:r>
          </w:p>
          <w:p w:rsidR="00E22519" w:rsidRPr="009365E7" w:rsidRDefault="00E22519" w:rsidP="00672034">
            <w:pPr>
              <w:pStyle w:val="ListParagraph"/>
              <w:tabs>
                <w:tab w:val="left" w:pos="891"/>
              </w:tabs>
              <w:ind w:left="459"/>
              <w:rPr>
                <w:szCs w:val="22"/>
                <w:lang w:val="fr-FR"/>
              </w:rPr>
            </w:pPr>
          </w:p>
          <w:p w:rsidR="00E22519" w:rsidRPr="009365E7" w:rsidRDefault="002E22BD" w:rsidP="00672034">
            <w:pPr>
              <w:pStyle w:val="ListParagraph"/>
              <w:numPr>
                <w:ilvl w:val="1"/>
                <w:numId w:val="2"/>
              </w:numPr>
              <w:tabs>
                <w:tab w:val="clear" w:pos="1701"/>
                <w:tab w:val="left" w:pos="891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l</w:t>
            </w:r>
            <w:r w:rsidR="00E22519" w:rsidRPr="009365E7">
              <w:rPr>
                <w:szCs w:val="22"/>
                <w:lang w:val="fr-FR"/>
              </w:rPr>
              <w:t>a</w:t>
            </w:r>
            <w:r w:rsidR="00A54F3B" w:rsidRPr="009365E7">
              <w:rPr>
                <w:szCs w:val="22"/>
                <w:lang w:val="fr-FR"/>
              </w:rPr>
              <w:t xml:space="preserve">ncement du module et intégration dans des </w:t>
            </w:r>
            <w:r w:rsidR="0006368C" w:rsidRPr="009365E7">
              <w:rPr>
                <w:szCs w:val="22"/>
                <w:lang w:val="fr-FR"/>
              </w:rPr>
              <w:t xml:space="preserve">activités </w:t>
            </w:r>
            <w:r w:rsidR="00A54F3B" w:rsidRPr="009365E7">
              <w:rPr>
                <w:szCs w:val="22"/>
                <w:lang w:val="fr-FR"/>
              </w:rPr>
              <w:t xml:space="preserve">de formation et </w:t>
            </w:r>
            <w:r w:rsidR="0006368C" w:rsidRPr="009365E7">
              <w:rPr>
                <w:szCs w:val="22"/>
                <w:lang w:val="fr-FR"/>
              </w:rPr>
              <w:t>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06368C" w:rsidRPr="009365E7">
              <w:rPr>
                <w:szCs w:val="22"/>
                <w:lang w:val="fr-FR"/>
              </w:rPr>
              <w:t>a</w:t>
            </w:r>
            <w:r w:rsidR="00A54F3B" w:rsidRPr="009365E7">
              <w:rPr>
                <w:szCs w:val="22"/>
                <w:lang w:val="fr-FR"/>
              </w:rPr>
              <w:t>utres</w:t>
            </w:r>
            <w:r w:rsidR="0006368C" w:rsidRPr="009365E7">
              <w:rPr>
                <w:szCs w:val="22"/>
                <w:lang w:val="fr-FR"/>
              </w:rPr>
              <w:t xml:space="preserve"> programmes</w:t>
            </w:r>
            <w:r w:rsidR="00E22519" w:rsidRPr="009365E7">
              <w:rPr>
                <w:szCs w:val="22"/>
                <w:lang w:val="fr-FR"/>
              </w:rPr>
              <w:t>.</w:t>
            </w:r>
          </w:p>
          <w:p w:rsidR="00863373" w:rsidRPr="009365E7" w:rsidRDefault="00863373" w:rsidP="00863373">
            <w:pPr>
              <w:pStyle w:val="ListParagraph"/>
              <w:ind w:left="1134"/>
              <w:rPr>
                <w:szCs w:val="22"/>
                <w:lang w:val="fr-FR"/>
              </w:rPr>
            </w:pPr>
          </w:p>
        </w:tc>
      </w:tr>
      <w:tr w:rsidR="00E22519" w:rsidRPr="009365E7" w:rsidTr="00672034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Durée globale</w:t>
            </w: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E22519" w:rsidRPr="009365E7" w:rsidRDefault="00E22519" w:rsidP="00441F7E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12</w:t>
            </w:r>
            <w:r w:rsidR="002E22BD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>mo</w:t>
            </w:r>
            <w:r w:rsidR="0096260A" w:rsidRPr="009365E7">
              <w:rPr>
                <w:szCs w:val="22"/>
                <w:lang w:val="fr-FR"/>
              </w:rPr>
              <w:t>i</w:t>
            </w:r>
            <w:r w:rsidRPr="009365E7">
              <w:rPr>
                <w:szCs w:val="22"/>
                <w:lang w:val="fr-FR"/>
              </w:rPr>
              <w:t>s</w:t>
            </w:r>
            <w:r w:rsidR="00AA40CA">
              <w:rPr>
                <w:szCs w:val="22"/>
                <w:lang w:val="fr-FR"/>
              </w:rPr>
              <w:t>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</w:tc>
      </w:tr>
      <w:tr w:rsidR="00E22519" w:rsidRPr="009365E7" w:rsidTr="00672034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Budget</w:t>
            </w:r>
            <w:r w:rsidR="002C1E7C" w:rsidRPr="009365E7">
              <w:rPr>
                <w:i/>
                <w:szCs w:val="22"/>
                <w:lang w:val="fr-FR"/>
              </w:rPr>
              <w:t> </w:t>
            </w:r>
            <w:r w:rsidRPr="009365E7">
              <w:rPr>
                <w:i/>
                <w:szCs w:val="22"/>
                <w:lang w:val="fr-FR"/>
              </w:rPr>
              <w:t>: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E22519" w:rsidRPr="009365E7" w:rsidRDefault="0096260A" w:rsidP="00D33A6C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REMARQUE</w:t>
            </w:r>
            <w:r w:rsidR="002E22BD" w:rsidRPr="009365E7">
              <w:rPr>
                <w:szCs w:val="22"/>
                <w:lang w:val="fr-FR"/>
              </w:rPr>
              <w:t> </w:t>
            </w:r>
            <w:r w:rsidR="00071CB3" w:rsidRPr="009365E7">
              <w:rPr>
                <w:szCs w:val="22"/>
                <w:lang w:val="fr-FR"/>
              </w:rPr>
              <w:t xml:space="preserve">: </w:t>
            </w:r>
            <w:r w:rsidRPr="009365E7">
              <w:rPr>
                <w:szCs w:val="22"/>
                <w:lang w:val="fr-FR"/>
              </w:rPr>
              <w:t>Il n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 pas été inscrit de ressources humaines ni financières affectées à cette activité au programme et budget pour</w:t>
            </w:r>
            <w:r w:rsidR="00595A1C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>2014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2015.  De nouvelles ressources devront être identifiées en conséquence.</w:t>
            </w:r>
          </w:p>
          <w:p w:rsidR="00E22519" w:rsidRPr="009365E7" w:rsidRDefault="00E22519" w:rsidP="00D33A6C">
            <w:pPr>
              <w:rPr>
                <w:szCs w:val="22"/>
                <w:lang w:val="fr-FR"/>
              </w:rPr>
            </w:pPr>
          </w:p>
          <w:p w:rsidR="00E22519" w:rsidRPr="009365E7" w:rsidRDefault="00360465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 xml:space="preserve">Dépenses </w:t>
            </w:r>
            <w:r w:rsidR="00E22519" w:rsidRPr="009365E7">
              <w:rPr>
                <w:i/>
                <w:szCs w:val="22"/>
                <w:lang w:val="fr-FR"/>
              </w:rPr>
              <w:t>autres que les dépenses de personnel</w:t>
            </w:r>
            <w:r w:rsidR="002E22BD" w:rsidRPr="009365E7">
              <w:rPr>
                <w:i/>
                <w:szCs w:val="22"/>
                <w:lang w:val="fr-FR"/>
              </w:rPr>
              <w:t> </w:t>
            </w:r>
            <w:r w:rsidR="00E22519" w:rsidRPr="009365E7">
              <w:rPr>
                <w:i/>
                <w:szCs w:val="22"/>
                <w:lang w:val="fr-FR"/>
              </w:rPr>
              <w:t>:</w:t>
            </w:r>
          </w:p>
          <w:p w:rsidR="00B57EA1" w:rsidRPr="009365E7" w:rsidRDefault="00B57EA1" w:rsidP="00E22519">
            <w:pPr>
              <w:rPr>
                <w:i/>
                <w:szCs w:val="22"/>
                <w:lang w:val="fr-FR"/>
              </w:rPr>
            </w:pPr>
          </w:p>
          <w:tbl>
            <w:tblPr>
              <w:tblW w:w="499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40"/>
              <w:gridCol w:w="3341"/>
            </w:tblGrid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i/>
                      <w:szCs w:val="22"/>
                      <w:lang w:val="fr-FR"/>
                    </w:rPr>
                  </w:pPr>
                  <w:r w:rsidRPr="009365E7">
                    <w:rPr>
                      <w:i/>
                      <w:szCs w:val="22"/>
                      <w:lang w:val="fr-FR"/>
                    </w:rPr>
                    <w:t>Voyages et bourses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Missions de fonctionnaires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Voyages de tiers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Bourses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i/>
                      <w:szCs w:val="22"/>
                      <w:lang w:val="fr-FR"/>
                    </w:rPr>
                  </w:pPr>
                  <w:r w:rsidRPr="009365E7">
                    <w:rPr>
                      <w:i/>
                      <w:szCs w:val="22"/>
                      <w:lang w:val="fr-FR"/>
                    </w:rPr>
                    <w:t>Services contractuels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Conférences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Honoraires d</w:t>
                  </w:r>
                  <w:r w:rsidR="001D1037" w:rsidRPr="009365E7">
                    <w:rPr>
                      <w:szCs w:val="22"/>
                      <w:lang w:val="fr-FR"/>
                    </w:rPr>
                    <w:t>’</w:t>
                  </w:r>
                  <w:r w:rsidRPr="009365E7">
                    <w:rPr>
                      <w:szCs w:val="22"/>
                      <w:lang w:val="fr-FR"/>
                    </w:rPr>
                    <w:t>experts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30 000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Publications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20 000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Autres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i/>
                      <w:szCs w:val="22"/>
                      <w:lang w:val="fr-FR"/>
                    </w:rPr>
                  </w:pPr>
                  <w:r w:rsidRPr="009365E7">
                    <w:rPr>
                      <w:i/>
                      <w:szCs w:val="22"/>
                      <w:lang w:val="fr-FR"/>
                    </w:rPr>
                    <w:t>Matériel et fournitures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Matériel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Fournitures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b/>
                      <w:szCs w:val="22"/>
                      <w:lang w:val="fr-FR"/>
                    </w:rPr>
                  </w:pPr>
                  <w:r w:rsidRPr="009365E7">
                    <w:rPr>
                      <w:b/>
                      <w:szCs w:val="22"/>
                      <w:lang w:val="fr-FR"/>
                    </w:rPr>
                    <w:t>TOTAL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50 000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</w:tr>
          </w:tbl>
          <w:p w:rsidR="00E22519" w:rsidRPr="009365E7" w:rsidRDefault="00E22519" w:rsidP="00D33A6C">
            <w:pPr>
              <w:rPr>
                <w:szCs w:val="22"/>
                <w:lang w:val="fr-FR"/>
              </w:rPr>
            </w:pPr>
          </w:p>
          <w:p w:rsidR="00E22519" w:rsidRPr="009365E7" w:rsidRDefault="00046B6D" w:rsidP="00D33A6C">
            <w:pPr>
              <w:rPr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Dépenses de personnel</w:t>
            </w:r>
            <w:r w:rsidR="002E22BD" w:rsidRPr="009365E7">
              <w:rPr>
                <w:i/>
                <w:szCs w:val="22"/>
                <w:lang w:val="fr-FR"/>
              </w:rPr>
              <w:t> </w:t>
            </w:r>
            <w:r w:rsidR="00071CB3" w:rsidRPr="009365E7">
              <w:rPr>
                <w:i/>
                <w:szCs w:val="22"/>
                <w:lang w:val="fr-FR"/>
              </w:rPr>
              <w:t>:</w:t>
            </w:r>
            <w:r w:rsidR="00071CB3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>la Division du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auteur et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Académie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OMPI assureront la coordination et la conduite des activités nécessaires (D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1/P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5</w:t>
            </w:r>
            <w:r w:rsidR="002E22BD" w:rsidRPr="009365E7">
              <w:rPr>
                <w:szCs w:val="22"/>
                <w:lang w:val="fr-FR"/>
              </w:rPr>
              <w:t> </w:t>
            </w:r>
            <w:r w:rsidR="00071CB3" w:rsidRPr="009365E7">
              <w:rPr>
                <w:szCs w:val="22"/>
                <w:lang w:val="fr-FR"/>
              </w:rPr>
              <w:t xml:space="preserve">: </w:t>
            </w:r>
            <w:r w:rsidRPr="009365E7">
              <w:rPr>
                <w:szCs w:val="22"/>
                <w:lang w:val="fr-FR"/>
              </w:rPr>
              <w:t>5%;  P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3/P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2</w:t>
            </w:r>
            <w:r w:rsidR="002E22BD" w:rsidRPr="009365E7">
              <w:rPr>
                <w:szCs w:val="22"/>
                <w:lang w:val="fr-FR"/>
              </w:rPr>
              <w:t> </w:t>
            </w:r>
            <w:r w:rsidR="00071CB3" w:rsidRPr="009365E7">
              <w:rPr>
                <w:szCs w:val="22"/>
                <w:lang w:val="fr-FR"/>
              </w:rPr>
              <w:t xml:space="preserve">: </w:t>
            </w:r>
            <w:r w:rsidRPr="009365E7">
              <w:rPr>
                <w:szCs w:val="22"/>
                <w:lang w:val="fr-FR"/>
              </w:rPr>
              <w:t>10%).</w:t>
            </w:r>
          </w:p>
          <w:p w:rsidR="00E22519" w:rsidRPr="009365E7" w:rsidRDefault="00E22519" w:rsidP="00D33A6C">
            <w:pPr>
              <w:rPr>
                <w:szCs w:val="22"/>
                <w:lang w:val="fr-FR"/>
              </w:rPr>
            </w:pPr>
          </w:p>
        </w:tc>
      </w:tr>
    </w:tbl>
    <w:p w:rsidR="00992FCB" w:rsidRPr="009365E7" w:rsidRDefault="00992FCB">
      <w:pPr>
        <w:rPr>
          <w:szCs w:val="22"/>
          <w:lang w:val="fr-FR"/>
        </w:rPr>
      </w:pPr>
    </w:p>
    <w:p w:rsidR="00076221" w:rsidRPr="009365E7" w:rsidRDefault="00076221">
      <w:pPr>
        <w:rPr>
          <w:szCs w:val="22"/>
          <w:lang w:val="fr-FR"/>
        </w:rPr>
      </w:pPr>
    </w:p>
    <w:p w:rsidR="009509CA" w:rsidRPr="009365E7" w:rsidRDefault="009509CA" w:rsidP="002D3895">
      <w:pPr>
        <w:tabs>
          <w:tab w:val="left" w:pos="5529"/>
        </w:tabs>
        <w:rPr>
          <w:szCs w:val="22"/>
          <w:lang w:val="fr-FR"/>
        </w:rPr>
      </w:pPr>
    </w:p>
    <w:p w:rsidR="003236FB" w:rsidRPr="009365E7" w:rsidRDefault="003236FB" w:rsidP="00EB0C54">
      <w:pPr>
        <w:pStyle w:val="Endofdocument-Annex"/>
        <w:rPr>
          <w:lang w:val="fr-FR"/>
        </w:rPr>
      </w:pPr>
      <w:r w:rsidRPr="009365E7">
        <w:rPr>
          <w:lang w:val="fr-FR"/>
        </w:rPr>
        <w:t>[</w:t>
      </w:r>
      <w:r w:rsidR="0096260A" w:rsidRPr="009365E7">
        <w:rPr>
          <w:lang w:val="fr-FR"/>
        </w:rPr>
        <w:t>L</w:t>
      </w:r>
      <w:r w:rsidR="001D1037" w:rsidRPr="009365E7">
        <w:rPr>
          <w:lang w:val="fr-FR"/>
        </w:rPr>
        <w:t>’</w:t>
      </w:r>
      <w:r w:rsidR="0096260A" w:rsidRPr="009365E7">
        <w:rPr>
          <w:lang w:val="fr-FR"/>
        </w:rPr>
        <w:t>a</w:t>
      </w:r>
      <w:r w:rsidRPr="009365E7">
        <w:rPr>
          <w:lang w:val="fr-FR"/>
        </w:rPr>
        <w:t>nnex</w:t>
      </w:r>
      <w:r w:rsidR="0096260A" w:rsidRPr="009365E7">
        <w:rPr>
          <w:lang w:val="fr-FR"/>
        </w:rPr>
        <w:t>e</w:t>
      </w:r>
      <w:r w:rsidRPr="009365E7">
        <w:rPr>
          <w:lang w:val="fr-FR"/>
        </w:rPr>
        <w:t xml:space="preserve"> IV </w:t>
      </w:r>
      <w:r w:rsidR="0096260A" w:rsidRPr="009365E7">
        <w:rPr>
          <w:lang w:val="fr-FR"/>
        </w:rPr>
        <w:t>suit</w:t>
      </w:r>
      <w:r w:rsidRPr="009365E7">
        <w:rPr>
          <w:lang w:val="fr-FR"/>
        </w:rPr>
        <w:t>]</w:t>
      </w:r>
    </w:p>
    <w:p w:rsidR="009509CA" w:rsidRPr="009365E7" w:rsidRDefault="009509CA">
      <w:pPr>
        <w:rPr>
          <w:szCs w:val="22"/>
          <w:lang w:val="fr-FR"/>
        </w:rPr>
      </w:pPr>
    </w:p>
    <w:p w:rsidR="009509CA" w:rsidRPr="009365E7" w:rsidRDefault="009509CA">
      <w:pPr>
        <w:rPr>
          <w:szCs w:val="22"/>
          <w:lang w:val="fr-FR"/>
        </w:rPr>
      </w:pPr>
    </w:p>
    <w:p w:rsidR="00FF7925" w:rsidRPr="009365E7" w:rsidRDefault="00FF7925">
      <w:pPr>
        <w:rPr>
          <w:szCs w:val="22"/>
          <w:lang w:val="fr-FR"/>
        </w:rPr>
        <w:sectPr w:rsidR="00FF7925" w:rsidRPr="009365E7" w:rsidSect="007F5242">
          <w:headerReference w:type="default" r:id="rId20"/>
          <w:headerReference w:type="first" r:id="rId21"/>
          <w:pgSz w:w="11907" w:h="16840" w:code="9"/>
          <w:pgMar w:top="567" w:right="1134" w:bottom="1418" w:left="1418" w:header="510" w:footer="1021" w:gutter="0"/>
          <w:pgNumType w:start="1"/>
          <w:cols w:space="708"/>
          <w:titlePg/>
          <w:docGrid w:linePitch="360"/>
        </w:sectPr>
      </w:pPr>
    </w:p>
    <w:p w:rsidR="009509CA" w:rsidRPr="009365E7" w:rsidRDefault="0066423B" w:rsidP="009509CA">
      <w:pPr>
        <w:widowControl w:val="0"/>
        <w:autoSpaceDE w:val="0"/>
        <w:autoSpaceDN w:val="0"/>
        <w:spacing w:line="384" w:lineRule="auto"/>
        <w:jc w:val="center"/>
        <w:textAlignment w:val="baseline"/>
        <w:rPr>
          <w:b/>
          <w:bCs/>
          <w:szCs w:val="28"/>
          <w:lang w:val="fr-FR"/>
        </w:rPr>
      </w:pPr>
      <w:r w:rsidRPr="009365E7">
        <w:rPr>
          <w:b/>
          <w:bCs/>
          <w:szCs w:val="28"/>
          <w:lang w:val="fr-FR"/>
        </w:rPr>
        <w:lastRenderedPageBreak/>
        <w:t>PLAN DE MISE EN ŒUVRE DE L</w:t>
      </w:r>
      <w:r w:rsidR="001D1037" w:rsidRPr="009365E7">
        <w:rPr>
          <w:b/>
          <w:bCs/>
          <w:szCs w:val="28"/>
          <w:lang w:val="fr-FR"/>
        </w:rPr>
        <w:t>’</w:t>
      </w:r>
      <w:r w:rsidR="002E22BD" w:rsidRPr="009365E7">
        <w:rPr>
          <w:b/>
          <w:bCs/>
          <w:szCs w:val="28"/>
          <w:lang w:val="fr-FR"/>
        </w:rPr>
        <w:t>ACTIVITÉ </w:t>
      </w:r>
      <w:r w:rsidR="009509CA" w:rsidRPr="009365E7">
        <w:rPr>
          <w:b/>
          <w:bCs/>
          <w:szCs w:val="28"/>
          <w:lang w:val="fr-FR"/>
        </w:rPr>
        <w:t>4</w:t>
      </w:r>
    </w:p>
    <w:p w:rsidR="00076221" w:rsidRPr="009365E7" w:rsidRDefault="00076221">
      <w:pPr>
        <w:rPr>
          <w:szCs w:val="22"/>
          <w:lang w:val="fr-F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E22519" w:rsidRPr="009365E7" w:rsidTr="00E06EE2"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Intitulé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activité/initiative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CA3DE0" w:rsidRPr="009365E7" w:rsidRDefault="00CA3DE0" w:rsidP="00CA3DE0">
            <w:pPr>
              <w:pStyle w:val="std"/>
              <w:rPr>
                <w:szCs w:val="22"/>
                <w:lang w:val="fr-FR" w:eastAsia="en-US"/>
              </w:rPr>
            </w:pPr>
            <w:r w:rsidRPr="009365E7">
              <w:rPr>
                <w:szCs w:val="22"/>
                <w:lang w:val="fr-FR" w:eastAsia="en-US"/>
              </w:rPr>
              <w:t>Intégration de la concession de licences ouvertes dans les cours et programmes de formation de l</w:t>
            </w:r>
            <w:r w:rsidR="001D1037" w:rsidRPr="009365E7">
              <w:rPr>
                <w:szCs w:val="22"/>
                <w:lang w:val="fr-FR" w:eastAsia="en-US"/>
              </w:rPr>
              <w:t>’</w:t>
            </w:r>
            <w:r w:rsidRPr="009365E7">
              <w:rPr>
                <w:szCs w:val="22"/>
                <w:lang w:val="fr-FR" w:eastAsia="en-US"/>
              </w:rPr>
              <w:t>OMPI relatifs au droit d</w:t>
            </w:r>
            <w:r w:rsidR="001D1037" w:rsidRPr="009365E7">
              <w:rPr>
                <w:szCs w:val="22"/>
                <w:lang w:val="fr-FR" w:eastAsia="en-US"/>
              </w:rPr>
              <w:t>’</w:t>
            </w:r>
            <w:r w:rsidRPr="009365E7">
              <w:rPr>
                <w:szCs w:val="22"/>
                <w:lang w:val="fr-FR" w:eastAsia="en-US"/>
              </w:rPr>
              <w:t>auteur</w:t>
            </w:r>
          </w:p>
          <w:p w:rsidR="00CA3DE0" w:rsidRPr="009365E7" w:rsidRDefault="00CA3DE0" w:rsidP="00D33A6C">
            <w:pPr>
              <w:rPr>
                <w:szCs w:val="22"/>
                <w:lang w:val="fr-FR"/>
              </w:rPr>
            </w:pPr>
          </w:p>
        </w:tc>
      </w:tr>
      <w:tr w:rsidR="00E22519" w:rsidRPr="009365E7" w:rsidTr="00E06EE2"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Brève description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activité/initiative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046B6D" w:rsidRPr="009365E7" w:rsidRDefault="00046B6D" w:rsidP="00076221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OMPI propose un certain nombre de formations liées au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auteur dans le cadre de ses cours généraux, de ses cours spécialisés et de son programme de perfectionnement des cadres.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  <w:p w:rsidR="00046B6D" w:rsidRPr="009365E7" w:rsidRDefault="00046B6D" w:rsidP="009D0850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Pour faire mieux connaître la conception de logiciels libres dans le contexte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ensemble du système du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auteur, il est important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 xml:space="preserve">intégrer ce thème dans des programmes de formation </w:t>
            </w:r>
            <w:r w:rsidR="006B43F8" w:rsidRPr="009365E7">
              <w:rPr>
                <w:szCs w:val="22"/>
                <w:lang w:val="fr-FR"/>
              </w:rPr>
              <w:t>portant sur</w:t>
            </w:r>
            <w:r w:rsidRPr="009365E7">
              <w:rPr>
                <w:szCs w:val="22"/>
                <w:lang w:val="fr-FR"/>
              </w:rPr>
              <w:t xml:space="preserve"> la concession de licences et des sujets connexes.</w:t>
            </w:r>
            <w:r w:rsidR="004302C7" w:rsidRPr="009365E7">
              <w:rPr>
                <w:szCs w:val="22"/>
                <w:lang w:val="fr-FR"/>
              </w:rPr>
              <w:t xml:space="preserve">  Cela pourrait consister à présenter un éventail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4302C7" w:rsidRPr="009365E7">
              <w:rPr>
                <w:szCs w:val="22"/>
                <w:lang w:val="fr-FR"/>
              </w:rPr>
              <w:t>opinions équilibré et à traiter des avantages et des risques potentiels liés à différentes options.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  <w:p w:rsidR="00A5663A" w:rsidRPr="009365E7" w:rsidRDefault="00046B6D" w:rsidP="009D0850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Des experts en concession de licences sur la conception de logiciels pourraient en outre être invités à dispenser des cours dans ce domaine.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</w:tc>
      </w:tr>
      <w:tr w:rsidR="00E22519" w:rsidRPr="009365E7" w:rsidTr="00E06EE2"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Bénéficiaires visés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E22519" w:rsidRPr="009365E7" w:rsidRDefault="00046B6D" w:rsidP="00A808DC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États membres</w:t>
            </w:r>
            <w:r w:rsidR="0006368C" w:rsidRPr="009365E7">
              <w:rPr>
                <w:szCs w:val="22"/>
                <w:lang w:val="fr-FR"/>
              </w:rPr>
              <w:t>,</w:t>
            </w:r>
            <w:r w:rsidR="006B43F8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>secteur privé</w:t>
            </w:r>
            <w:r w:rsidR="0006368C" w:rsidRPr="009365E7">
              <w:rPr>
                <w:szCs w:val="22"/>
                <w:lang w:val="fr-FR"/>
              </w:rPr>
              <w:t>,</w:t>
            </w:r>
            <w:r w:rsidR="006B43F8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>organismes chargés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enseignement ou de la recherch</w:t>
            </w:r>
            <w:r w:rsidR="009B40AD" w:rsidRPr="009365E7">
              <w:rPr>
                <w:szCs w:val="22"/>
                <w:lang w:val="fr-FR"/>
              </w:rPr>
              <w:t>e</w:t>
            </w:r>
            <w:r w:rsidR="0006368C" w:rsidRPr="009365E7">
              <w:rPr>
                <w:szCs w:val="22"/>
                <w:lang w:val="fr-FR"/>
              </w:rPr>
              <w:t>,</w:t>
            </w:r>
            <w:r w:rsidRPr="009365E7">
              <w:rPr>
                <w:szCs w:val="22"/>
                <w:lang w:val="fr-FR"/>
              </w:rPr>
              <w:t xml:space="preserve"> chercheurs dans le domaine de la propriété intellectuelle</w:t>
            </w:r>
            <w:r w:rsidR="0006368C" w:rsidRPr="009365E7">
              <w:rPr>
                <w:szCs w:val="22"/>
                <w:lang w:val="fr-FR"/>
              </w:rPr>
              <w:t>, et</w:t>
            </w:r>
            <w:r w:rsidR="006B43F8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>organisations de la société civile</w:t>
            </w:r>
            <w:r w:rsidRPr="009365E7">
              <w:rPr>
                <w:lang w:val="fr-FR"/>
              </w:rPr>
              <w:t>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</w:tc>
      </w:tr>
      <w:tr w:rsidR="00E22519" w:rsidRPr="009365E7" w:rsidTr="00E06EE2"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Principaux secteurs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OMPI concernés et liens avec des programmes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OMPI</w:t>
            </w:r>
          </w:p>
        </w:tc>
        <w:tc>
          <w:tcPr>
            <w:tcW w:w="6912" w:type="dxa"/>
            <w:shd w:val="clear" w:color="auto" w:fill="auto"/>
          </w:tcPr>
          <w:p w:rsidR="00E22519" w:rsidRPr="009365E7" w:rsidRDefault="00046B6D" w:rsidP="00A808DC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Division du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auteur et Académie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OM</w:t>
            </w:r>
            <w:r w:rsidR="009B40AD" w:rsidRPr="009365E7">
              <w:rPr>
                <w:szCs w:val="22"/>
                <w:lang w:val="fr-FR"/>
              </w:rPr>
              <w:t>P</w:t>
            </w:r>
            <w:r w:rsidRPr="009365E7">
              <w:rPr>
                <w:szCs w:val="22"/>
                <w:lang w:val="fr-FR"/>
              </w:rPr>
              <w:t>I</w:t>
            </w:r>
            <w:r w:rsidR="00E22519" w:rsidRPr="009365E7">
              <w:rPr>
                <w:szCs w:val="22"/>
                <w:lang w:val="fr-FR"/>
              </w:rPr>
              <w:t>.</w:t>
            </w:r>
          </w:p>
          <w:p w:rsidR="00E22519" w:rsidRPr="009365E7" w:rsidRDefault="00E22519" w:rsidP="00A808DC">
            <w:pPr>
              <w:rPr>
                <w:szCs w:val="22"/>
                <w:lang w:val="fr-FR"/>
              </w:rPr>
            </w:pPr>
          </w:p>
          <w:p w:rsidR="00046B6D" w:rsidRPr="009365E7" w:rsidRDefault="00046B6D" w:rsidP="00046B6D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Cette activité est liée à plusieurs des objectifs stratégiques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OMPI</w:t>
            </w:r>
            <w:r w:rsidR="002E22BD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>: objectif</w:t>
            </w:r>
            <w:r w:rsidR="002E22BD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 xml:space="preserve">III </w:t>
            </w:r>
            <w:r w:rsidR="00595A1C" w:rsidRPr="009365E7">
              <w:rPr>
                <w:szCs w:val="22"/>
                <w:lang w:val="fr-FR"/>
              </w:rPr>
              <w:t>–</w:t>
            </w:r>
            <w:r w:rsidRPr="009365E7">
              <w:rPr>
                <w:szCs w:val="22"/>
                <w:lang w:val="fr-FR"/>
              </w:rPr>
              <w:t xml:space="preserve"> </w:t>
            </w:r>
            <w:r w:rsidR="006B43F8" w:rsidRPr="009365E7">
              <w:rPr>
                <w:szCs w:val="22"/>
                <w:lang w:val="fr-FR"/>
              </w:rPr>
              <w:t>F</w:t>
            </w:r>
            <w:r w:rsidRPr="009365E7">
              <w:rPr>
                <w:szCs w:val="22"/>
                <w:lang w:val="fr-FR"/>
              </w:rPr>
              <w:t>avoriser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utilisation de la propriété intellectuelle au service du développement et objectif</w:t>
            </w:r>
            <w:r w:rsidR="002E22BD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 xml:space="preserve">V </w:t>
            </w:r>
            <w:r w:rsidR="00595A1C" w:rsidRPr="009365E7">
              <w:rPr>
                <w:szCs w:val="22"/>
                <w:lang w:val="fr-FR"/>
              </w:rPr>
              <w:t>–</w:t>
            </w:r>
            <w:r w:rsidRPr="009365E7">
              <w:rPr>
                <w:szCs w:val="22"/>
                <w:lang w:val="fr-FR"/>
              </w:rPr>
              <w:t xml:space="preserve"> </w:t>
            </w:r>
            <w:r w:rsidR="006B43F8" w:rsidRPr="009365E7">
              <w:rPr>
                <w:szCs w:val="22"/>
                <w:lang w:val="fr-FR"/>
              </w:rPr>
              <w:t>S</w:t>
            </w:r>
            <w:r w:rsidRPr="009365E7">
              <w:rPr>
                <w:szCs w:val="22"/>
                <w:lang w:val="fr-FR"/>
              </w:rPr>
              <w:t>ource de références mondiale pour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information et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analyse en matière de propriété intellectuelle.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</w:tc>
      </w:tr>
      <w:tr w:rsidR="00E22519" w:rsidRPr="009365E7" w:rsidTr="00E06EE2"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Étapes</w:t>
            </w: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E22519" w:rsidRPr="009365E7" w:rsidRDefault="002E22BD" w:rsidP="00B57EA1">
            <w:pPr>
              <w:pStyle w:val="ListParagraph"/>
              <w:numPr>
                <w:ilvl w:val="1"/>
                <w:numId w:val="7"/>
              </w:numPr>
              <w:tabs>
                <w:tab w:val="clear" w:pos="1701"/>
                <w:tab w:val="left" w:pos="867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s</w:t>
            </w:r>
            <w:r w:rsidR="00046B6D" w:rsidRPr="009365E7">
              <w:rPr>
                <w:szCs w:val="22"/>
                <w:lang w:val="fr-FR"/>
              </w:rPr>
              <w:t xml:space="preserve">élection de </w:t>
            </w:r>
            <w:r w:rsidR="00CC4837" w:rsidRPr="009365E7">
              <w:rPr>
                <w:szCs w:val="22"/>
                <w:lang w:val="fr-FR"/>
              </w:rPr>
              <w:t>cours appropriés intégrant le thème visé</w:t>
            </w:r>
            <w:r w:rsidR="00E22519" w:rsidRPr="009365E7">
              <w:rPr>
                <w:szCs w:val="22"/>
                <w:lang w:val="fr-FR"/>
              </w:rPr>
              <w:t>;</w:t>
            </w:r>
          </w:p>
          <w:p w:rsidR="00E22519" w:rsidRPr="009365E7" w:rsidRDefault="00E22519" w:rsidP="00B57EA1">
            <w:pPr>
              <w:pStyle w:val="ListParagraph"/>
              <w:tabs>
                <w:tab w:val="left" w:pos="867"/>
              </w:tabs>
              <w:ind w:left="459"/>
              <w:rPr>
                <w:szCs w:val="22"/>
                <w:lang w:val="fr-FR"/>
              </w:rPr>
            </w:pPr>
          </w:p>
          <w:p w:rsidR="00E22519" w:rsidRPr="009365E7" w:rsidRDefault="002E22BD" w:rsidP="00B57EA1">
            <w:pPr>
              <w:pStyle w:val="ListParagraph"/>
              <w:numPr>
                <w:ilvl w:val="1"/>
                <w:numId w:val="7"/>
              </w:numPr>
              <w:tabs>
                <w:tab w:val="clear" w:pos="1701"/>
                <w:tab w:val="left" w:pos="867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i</w:t>
            </w:r>
            <w:r w:rsidR="00CC4837" w:rsidRPr="009365E7">
              <w:rPr>
                <w:szCs w:val="22"/>
                <w:lang w:val="fr-FR"/>
              </w:rPr>
              <w:t>ntégration de thèmes particuliers dans les programmes et sessions de formation</w:t>
            </w:r>
            <w:r w:rsidR="00E22519" w:rsidRPr="009365E7">
              <w:rPr>
                <w:szCs w:val="22"/>
                <w:lang w:val="fr-FR"/>
              </w:rPr>
              <w:t>;</w:t>
            </w:r>
          </w:p>
          <w:p w:rsidR="00E22519" w:rsidRPr="009365E7" w:rsidRDefault="00E22519" w:rsidP="00B57EA1">
            <w:pPr>
              <w:pStyle w:val="ListParagraph"/>
              <w:tabs>
                <w:tab w:val="left" w:pos="867"/>
              </w:tabs>
              <w:ind w:left="459"/>
              <w:rPr>
                <w:szCs w:val="22"/>
                <w:lang w:val="fr-FR"/>
              </w:rPr>
            </w:pPr>
          </w:p>
          <w:p w:rsidR="004302C7" w:rsidRPr="009365E7" w:rsidRDefault="004302C7" w:rsidP="00B57EA1">
            <w:pPr>
              <w:pStyle w:val="ListParagraph"/>
              <w:numPr>
                <w:ilvl w:val="1"/>
                <w:numId w:val="7"/>
              </w:numPr>
              <w:tabs>
                <w:tab w:val="clear" w:pos="1701"/>
                <w:tab w:val="left" w:pos="867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identification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experts spécialisés dans la concession de licences de logiciels;  et</w:t>
            </w:r>
          </w:p>
          <w:p w:rsidR="004302C7" w:rsidRPr="009365E7" w:rsidRDefault="004302C7" w:rsidP="00B57EA1">
            <w:pPr>
              <w:pStyle w:val="ListParagraph"/>
              <w:tabs>
                <w:tab w:val="left" w:pos="867"/>
              </w:tabs>
              <w:ind w:left="459"/>
              <w:rPr>
                <w:szCs w:val="22"/>
                <w:lang w:val="fr-FR"/>
              </w:rPr>
            </w:pPr>
          </w:p>
          <w:p w:rsidR="004302C7" w:rsidRPr="009365E7" w:rsidRDefault="004302C7" w:rsidP="00B57EA1">
            <w:pPr>
              <w:pStyle w:val="ListParagraph"/>
              <w:numPr>
                <w:ilvl w:val="1"/>
                <w:numId w:val="7"/>
              </w:numPr>
              <w:tabs>
                <w:tab w:val="clear" w:pos="1701"/>
                <w:tab w:val="left" w:pos="867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invitation des experts à participer aux réunions ou activités correspondantes.</w:t>
            </w:r>
          </w:p>
          <w:p w:rsidR="00E22519" w:rsidRPr="009365E7" w:rsidRDefault="00E22519" w:rsidP="00800255">
            <w:pPr>
              <w:rPr>
                <w:szCs w:val="22"/>
                <w:lang w:val="fr-FR"/>
              </w:rPr>
            </w:pPr>
          </w:p>
        </w:tc>
      </w:tr>
      <w:tr w:rsidR="00E22519" w:rsidRPr="009365E7" w:rsidTr="00E06EE2"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Durée globale</w:t>
            </w: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E22519" w:rsidRPr="009365E7" w:rsidRDefault="002E22BD" w:rsidP="009D0850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24 </w:t>
            </w:r>
            <w:r w:rsidR="00E22519" w:rsidRPr="009365E7">
              <w:rPr>
                <w:szCs w:val="22"/>
                <w:lang w:val="fr-FR"/>
              </w:rPr>
              <w:t>mo</w:t>
            </w:r>
            <w:r w:rsidR="00CC4837" w:rsidRPr="009365E7">
              <w:rPr>
                <w:szCs w:val="22"/>
                <w:lang w:val="fr-FR"/>
              </w:rPr>
              <w:t>i</w:t>
            </w:r>
            <w:r w:rsidR="00E22519" w:rsidRPr="009365E7">
              <w:rPr>
                <w:szCs w:val="22"/>
                <w:lang w:val="fr-FR"/>
              </w:rPr>
              <w:t>s</w:t>
            </w:r>
            <w:r w:rsidR="00AA40CA">
              <w:rPr>
                <w:szCs w:val="22"/>
                <w:lang w:val="fr-FR"/>
              </w:rPr>
              <w:t>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</w:tc>
      </w:tr>
      <w:tr w:rsidR="00E22519" w:rsidRPr="009365E7" w:rsidTr="00B33884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lastRenderedPageBreak/>
              <w:t>Budget</w:t>
            </w:r>
            <w:r w:rsidR="002C1E7C" w:rsidRPr="009365E7">
              <w:rPr>
                <w:i/>
                <w:szCs w:val="22"/>
                <w:lang w:val="fr-FR"/>
              </w:rPr>
              <w:t> </w:t>
            </w:r>
            <w:r w:rsidRPr="009365E7">
              <w:rPr>
                <w:i/>
                <w:szCs w:val="22"/>
                <w:lang w:val="fr-FR"/>
              </w:rPr>
              <w:t>: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A5663A" w:rsidRPr="009365E7" w:rsidRDefault="0096260A" w:rsidP="00BE07B5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REMARQUE</w:t>
            </w:r>
            <w:r w:rsidR="002E22BD" w:rsidRPr="009365E7">
              <w:rPr>
                <w:szCs w:val="22"/>
                <w:lang w:val="fr-FR"/>
              </w:rPr>
              <w:t> :</w:t>
            </w:r>
            <w:r w:rsidR="00071CB3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>Il n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 pas été inscrit de ressources humaines ni financières affectées à cette activité au programme et budget pour</w:t>
            </w:r>
            <w:r w:rsidR="00595A1C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>2014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2015.  De nouvelles ressources devront être identifiées en conséquence</w:t>
            </w:r>
            <w:r w:rsidR="00E22519" w:rsidRPr="009365E7">
              <w:rPr>
                <w:szCs w:val="22"/>
                <w:lang w:val="fr-FR"/>
              </w:rPr>
              <w:t>.</w:t>
            </w:r>
          </w:p>
          <w:p w:rsidR="00E22519" w:rsidRPr="009365E7" w:rsidRDefault="00E22519" w:rsidP="00BE07B5">
            <w:pPr>
              <w:rPr>
                <w:szCs w:val="22"/>
                <w:lang w:val="fr-FR"/>
              </w:rPr>
            </w:pPr>
          </w:p>
          <w:p w:rsidR="00E22519" w:rsidRPr="009365E7" w:rsidRDefault="00360465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 xml:space="preserve">Dépenses </w:t>
            </w:r>
            <w:r w:rsidR="00E22519" w:rsidRPr="009365E7">
              <w:rPr>
                <w:i/>
                <w:szCs w:val="22"/>
                <w:lang w:val="fr-FR"/>
              </w:rPr>
              <w:t>autres que les dépenses de personnel</w:t>
            </w:r>
            <w:r w:rsidR="00687FA5" w:rsidRPr="009365E7">
              <w:rPr>
                <w:i/>
                <w:szCs w:val="22"/>
                <w:lang w:val="fr-FR"/>
              </w:rPr>
              <w:t> </w:t>
            </w:r>
            <w:r w:rsidR="00E22519" w:rsidRPr="009365E7">
              <w:rPr>
                <w:i/>
                <w:szCs w:val="22"/>
                <w:lang w:val="fr-FR"/>
              </w:rPr>
              <w:t>:</w:t>
            </w:r>
          </w:p>
          <w:p w:rsidR="00B57EA1" w:rsidRPr="009365E7" w:rsidRDefault="00B57EA1" w:rsidP="00E22519">
            <w:pPr>
              <w:rPr>
                <w:i/>
                <w:szCs w:val="22"/>
                <w:lang w:val="fr-FR"/>
              </w:rPr>
            </w:pPr>
          </w:p>
          <w:tbl>
            <w:tblPr>
              <w:tblW w:w="499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40"/>
              <w:gridCol w:w="3341"/>
            </w:tblGrid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i/>
                      <w:szCs w:val="22"/>
                      <w:lang w:val="fr-FR"/>
                    </w:rPr>
                  </w:pPr>
                  <w:r w:rsidRPr="009365E7">
                    <w:rPr>
                      <w:i/>
                      <w:szCs w:val="22"/>
                      <w:lang w:val="fr-FR"/>
                    </w:rPr>
                    <w:t>Voyages et bourses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Missions de fonctionnaires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10 000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Voyages de tiers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30 000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Bourses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i/>
                      <w:szCs w:val="22"/>
                      <w:lang w:val="fr-FR"/>
                    </w:rPr>
                  </w:pPr>
                  <w:r w:rsidRPr="009365E7">
                    <w:rPr>
                      <w:i/>
                      <w:szCs w:val="22"/>
                      <w:lang w:val="fr-FR"/>
                    </w:rPr>
                    <w:t>Services contractuels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Conférences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Honoraires d</w:t>
                  </w:r>
                  <w:r w:rsidR="001D1037" w:rsidRPr="009365E7">
                    <w:rPr>
                      <w:szCs w:val="22"/>
                      <w:lang w:val="fr-FR"/>
                    </w:rPr>
                    <w:t>’</w:t>
                  </w:r>
                  <w:r w:rsidRPr="009365E7">
                    <w:rPr>
                      <w:szCs w:val="22"/>
                      <w:lang w:val="fr-FR"/>
                    </w:rPr>
                    <w:t>experts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Publications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Autres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i/>
                      <w:szCs w:val="22"/>
                      <w:lang w:val="fr-FR"/>
                    </w:rPr>
                  </w:pPr>
                  <w:r w:rsidRPr="009365E7">
                    <w:rPr>
                      <w:i/>
                      <w:szCs w:val="22"/>
                      <w:lang w:val="fr-FR"/>
                    </w:rPr>
                    <w:t>Matériel et fournitures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Matériel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Fournitures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b/>
                      <w:szCs w:val="22"/>
                      <w:lang w:val="fr-FR"/>
                    </w:rPr>
                  </w:pPr>
                  <w:r w:rsidRPr="009365E7">
                    <w:rPr>
                      <w:b/>
                      <w:szCs w:val="22"/>
                      <w:lang w:val="fr-FR"/>
                    </w:rPr>
                    <w:t>TOTAL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40 000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</w:tr>
          </w:tbl>
          <w:p w:rsidR="00E22519" w:rsidRPr="009365E7" w:rsidRDefault="00E22519" w:rsidP="00BE07B5">
            <w:pPr>
              <w:rPr>
                <w:szCs w:val="22"/>
                <w:lang w:val="fr-FR"/>
              </w:rPr>
            </w:pPr>
          </w:p>
          <w:p w:rsidR="00E22519" w:rsidRPr="009365E7" w:rsidRDefault="00CC4837" w:rsidP="00BE07B5">
            <w:pPr>
              <w:rPr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Dépenses de personnel</w:t>
            </w:r>
            <w:r w:rsidR="00687FA5" w:rsidRPr="009365E7">
              <w:rPr>
                <w:i/>
                <w:szCs w:val="22"/>
                <w:lang w:val="fr-FR"/>
              </w:rPr>
              <w:t> </w:t>
            </w:r>
            <w:r w:rsidR="00071CB3" w:rsidRPr="009365E7">
              <w:rPr>
                <w:i/>
                <w:szCs w:val="22"/>
                <w:lang w:val="fr-FR"/>
              </w:rPr>
              <w:t>:</w:t>
            </w:r>
            <w:r w:rsidR="00071CB3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>la Division du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auteur et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Académie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OMPI assureront la coordination et la conduite des activités nécessaires</w:t>
            </w:r>
            <w:r w:rsidR="00863373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>(D1/P5</w:t>
            </w:r>
            <w:r w:rsidR="00687FA5" w:rsidRPr="009365E7">
              <w:rPr>
                <w:szCs w:val="22"/>
                <w:lang w:val="fr-FR"/>
              </w:rPr>
              <w:t> </w:t>
            </w:r>
            <w:r w:rsidR="00071CB3" w:rsidRPr="009365E7">
              <w:rPr>
                <w:szCs w:val="22"/>
                <w:lang w:val="fr-FR"/>
              </w:rPr>
              <w:t xml:space="preserve">: </w:t>
            </w:r>
            <w:r w:rsidRPr="009365E7">
              <w:rPr>
                <w:szCs w:val="22"/>
                <w:lang w:val="fr-FR"/>
              </w:rPr>
              <w:t>5%;  P3/P2</w:t>
            </w:r>
            <w:r w:rsidR="00687FA5" w:rsidRPr="009365E7">
              <w:rPr>
                <w:szCs w:val="22"/>
                <w:lang w:val="fr-FR"/>
              </w:rPr>
              <w:t> </w:t>
            </w:r>
            <w:r w:rsidR="00071CB3" w:rsidRPr="009365E7">
              <w:rPr>
                <w:szCs w:val="22"/>
                <w:lang w:val="fr-FR"/>
              </w:rPr>
              <w:t xml:space="preserve">: </w:t>
            </w:r>
            <w:r w:rsidRPr="009365E7">
              <w:rPr>
                <w:szCs w:val="22"/>
                <w:lang w:val="fr-FR"/>
              </w:rPr>
              <w:t>10%).</w:t>
            </w:r>
          </w:p>
          <w:p w:rsidR="00E22519" w:rsidRPr="009365E7" w:rsidRDefault="00E22519" w:rsidP="00BE07B5">
            <w:pPr>
              <w:rPr>
                <w:szCs w:val="22"/>
                <w:lang w:val="fr-FR"/>
              </w:rPr>
            </w:pPr>
          </w:p>
        </w:tc>
      </w:tr>
    </w:tbl>
    <w:p w:rsidR="00076221" w:rsidRPr="009365E7" w:rsidRDefault="00076221">
      <w:pPr>
        <w:rPr>
          <w:szCs w:val="22"/>
          <w:lang w:val="fr-FR"/>
        </w:rPr>
      </w:pPr>
    </w:p>
    <w:p w:rsidR="00D41FAB" w:rsidRPr="009365E7" w:rsidRDefault="00D41FAB">
      <w:pPr>
        <w:rPr>
          <w:szCs w:val="22"/>
          <w:lang w:val="fr-FR"/>
        </w:rPr>
      </w:pPr>
    </w:p>
    <w:p w:rsidR="009509CA" w:rsidRPr="009365E7" w:rsidRDefault="009509CA">
      <w:pPr>
        <w:rPr>
          <w:szCs w:val="22"/>
          <w:lang w:val="fr-FR"/>
        </w:rPr>
      </w:pPr>
    </w:p>
    <w:p w:rsidR="003236FB" w:rsidRPr="009365E7" w:rsidRDefault="003236FB" w:rsidP="00EB0C54">
      <w:pPr>
        <w:pStyle w:val="Endofdocument-Annex"/>
        <w:rPr>
          <w:i/>
          <w:lang w:val="fr-FR"/>
        </w:rPr>
      </w:pPr>
      <w:r w:rsidRPr="009365E7">
        <w:rPr>
          <w:lang w:val="fr-FR"/>
        </w:rPr>
        <w:t>[</w:t>
      </w:r>
      <w:r w:rsidR="00CC4837" w:rsidRPr="009365E7">
        <w:rPr>
          <w:lang w:val="fr-FR"/>
        </w:rPr>
        <w:t>L</w:t>
      </w:r>
      <w:r w:rsidR="001D1037" w:rsidRPr="009365E7">
        <w:rPr>
          <w:lang w:val="fr-FR"/>
        </w:rPr>
        <w:t>’</w:t>
      </w:r>
      <w:r w:rsidR="00CC4837" w:rsidRPr="009365E7">
        <w:rPr>
          <w:lang w:val="fr-FR"/>
        </w:rPr>
        <w:t>a</w:t>
      </w:r>
      <w:r w:rsidRPr="009365E7">
        <w:rPr>
          <w:lang w:val="fr-FR"/>
        </w:rPr>
        <w:t>nnex</w:t>
      </w:r>
      <w:r w:rsidR="00CC4837" w:rsidRPr="009365E7">
        <w:rPr>
          <w:lang w:val="fr-FR"/>
        </w:rPr>
        <w:t>e</w:t>
      </w:r>
      <w:r w:rsidRPr="009365E7">
        <w:rPr>
          <w:lang w:val="fr-FR"/>
        </w:rPr>
        <w:t xml:space="preserve"> V </w:t>
      </w:r>
      <w:r w:rsidR="00CC4837" w:rsidRPr="009365E7">
        <w:rPr>
          <w:lang w:val="fr-FR"/>
        </w:rPr>
        <w:t>suit</w:t>
      </w:r>
      <w:r w:rsidRPr="009365E7">
        <w:rPr>
          <w:lang w:val="fr-FR"/>
        </w:rPr>
        <w:t>]</w:t>
      </w:r>
    </w:p>
    <w:p w:rsidR="009509CA" w:rsidRPr="009365E7" w:rsidRDefault="009509CA">
      <w:pPr>
        <w:rPr>
          <w:szCs w:val="22"/>
          <w:lang w:val="fr-FR"/>
        </w:rPr>
      </w:pPr>
    </w:p>
    <w:p w:rsidR="009509CA" w:rsidRPr="009365E7" w:rsidRDefault="009509CA">
      <w:pPr>
        <w:rPr>
          <w:szCs w:val="22"/>
          <w:lang w:val="fr-FR"/>
        </w:rPr>
      </w:pPr>
    </w:p>
    <w:p w:rsidR="009509CA" w:rsidRPr="009365E7" w:rsidRDefault="009509CA">
      <w:pPr>
        <w:rPr>
          <w:szCs w:val="22"/>
          <w:lang w:val="fr-FR"/>
        </w:rPr>
      </w:pPr>
    </w:p>
    <w:p w:rsidR="00FF7925" w:rsidRPr="009365E7" w:rsidRDefault="00FF7925" w:rsidP="00A61D99">
      <w:pPr>
        <w:widowControl w:val="0"/>
        <w:autoSpaceDE w:val="0"/>
        <w:autoSpaceDN w:val="0"/>
        <w:spacing w:line="384" w:lineRule="auto"/>
        <w:textAlignment w:val="baseline"/>
        <w:rPr>
          <w:szCs w:val="22"/>
          <w:lang w:val="fr-FR"/>
        </w:rPr>
        <w:sectPr w:rsidR="00FF7925" w:rsidRPr="009365E7" w:rsidSect="007F5242">
          <w:headerReference w:type="default" r:id="rId22"/>
          <w:headerReference w:type="first" r:id="rId23"/>
          <w:pgSz w:w="11907" w:h="16840" w:code="9"/>
          <w:pgMar w:top="567" w:right="1134" w:bottom="1418" w:left="1418" w:header="510" w:footer="1021" w:gutter="0"/>
          <w:pgNumType w:start="1"/>
          <w:cols w:space="708"/>
          <w:titlePg/>
          <w:docGrid w:linePitch="360"/>
        </w:sectPr>
      </w:pPr>
    </w:p>
    <w:p w:rsidR="009509CA" w:rsidRPr="009365E7" w:rsidRDefault="0066423B" w:rsidP="006041A1">
      <w:pPr>
        <w:widowControl w:val="0"/>
        <w:autoSpaceDE w:val="0"/>
        <w:autoSpaceDN w:val="0"/>
        <w:spacing w:line="384" w:lineRule="auto"/>
        <w:jc w:val="center"/>
        <w:textAlignment w:val="baseline"/>
        <w:rPr>
          <w:b/>
          <w:bCs/>
          <w:szCs w:val="28"/>
          <w:lang w:val="fr-FR"/>
        </w:rPr>
      </w:pPr>
      <w:r w:rsidRPr="009365E7">
        <w:rPr>
          <w:b/>
          <w:bCs/>
          <w:szCs w:val="28"/>
          <w:lang w:val="fr-FR"/>
        </w:rPr>
        <w:lastRenderedPageBreak/>
        <w:t>PLAN DE MISE EN ŒUVRE DE L</w:t>
      </w:r>
      <w:r w:rsidR="001D1037" w:rsidRPr="009365E7">
        <w:rPr>
          <w:b/>
          <w:bCs/>
          <w:szCs w:val="28"/>
          <w:lang w:val="fr-FR"/>
        </w:rPr>
        <w:t>’</w:t>
      </w:r>
      <w:r w:rsidR="00687FA5" w:rsidRPr="009365E7">
        <w:rPr>
          <w:b/>
          <w:bCs/>
          <w:szCs w:val="28"/>
          <w:lang w:val="fr-FR"/>
        </w:rPr>
        <w:t>ACTIVITÉ </w:t>
      </w:r>
      <w:r w:rsidR="009509CA" w:rsidRPr="009365E7">
        <w:rPr>
          <w:b/>
          <w:bCs/>
          <w:szCs w:val="28"/>
          <w:lang w:val="fr-FR"/>
        </w:rPr>
        <w:t>5</w:t>
      </w:r>
    </w:p>
    <w:p w:rsidR="00D41FAB" w:rsidRPr="009365E7" w:rsidRDefault="00D41FAB">
      <w:pPr>
        <w:rPr>
          <w:szCs w:val="22"/>
          <w:lang w:val="fr-F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E22519" w:rsidRPr="009365E7" w:rsidTr="00B57EA1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Intitulé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activité/initiative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CA3DE0" w:rsidRPr="009365E7" w:rsidRDefault="00CA3DE0" w:rsidP="00CA3DE0">
            <w:pPr>
              <w:pStyle w:val="std"/>
              <w:rPr>
                <w:szCs w:val="22"/>
                <w:lang w:val="fr-FR" w:eastAsia="en-US"/>
              </w:rPr>
            </w:pPr>
            <w:r w:rsidRPr="009365E7">
              <w:rPr>
                <w:szCs w:val="22"/>
                <w:lang w:val="fr-FR" w:eastAsia="en-US"/>
              </w:rPr>
              <w:t xml:space="preserve">Élaboration </w:t>
            </w:r>
            <w:r w:rsidR="0006368C" w:rsidRPr="009365E7">
              <w:rPr>
                <w:szCs w:val="22"/>
                <w:lang w:val="fr-FR" w:eastAsia="en-US"/>
              </w:rPr>
              <w:t>d</w:t>
            </w:r>
            <w:r w:rsidR="001D1037" w:rsidRPr="009365E7">
              <w:rPr>
                <w:szCs w:val="22"/>
                <w:lang w:val="fr-FR" w:eastAsia="en-US"/>
              </w:rPr>
              <w:t>’</w:t>
            </w:r>
            <w:r w:rsidR="0006368C" w:rsidRPr="009365E7">
              <w:rPr>
                <w:szCs w:val="22"/>
                <w:lang w:val="fr-FR" w:eastAsia="en-US"/>
              </w:rPr>
              <w:t>informations à usage interne à l</w:t>
            </w:r>
            <w:r w:rsidR="001D1037" w:rsidRPr="009365E7">
              <w:rPr>
                <w:szCs w:val="22"/>
                <w:lang w:val="fr-FR" w:eastAsia="en-US"/>
              </w:rPr>
              <w:t>’</w:t>
            </w:r>
            <w:r w:rsidR="0006368C" w:rsidRPr="009365E7">
              <w:rPr>
                <w:szCs w:val="22"/>
                <w:lang w:val="fr-FR" w:eastAsia="en-US"/>
              </w:rPr>
              <w:t xml:space="preserve">OMPI </w:t>
            </w:r>
            <w:r w:rsidR="005577CF" w:rsidRPr="009365E7">
              <w:rPr>
                <w:szCs w:val="22"/>
                <w:lang w:val="fr-FR" w:eastAsia="en-US"/>
              </w:rPr>
              <w:t>sur les</w:t>
            </w:r>
            <w:r w:rsidRPr="009365E7">
              <w:rPr>
                <w:szCs w:val="22"/>
                <w:lang w:val="fr-FR" w:eastAsia="en-US"/>
              </w:rPr>
              <w:t xml:space="preserve"> politiques en matière de droit d</w:t>
            </w:r>
            <w:r w:rsidR="001D1037" w:rsidRPr="009365E7">
              <w:rPr>
                <w:szCs w:val="22"/>
                <w:lang w:val="fr-FR" w:eastAsia="en-US"/>
              </w:rPr>
              <w:t>’</w:t>
            </w:r>
            <w:r w:rsidRPr="009365E7">
              <w:rPr>
                <w:szCs w:val="22"/>
                <w:lang w:val="fr-FR" w:eastAsia="en-US"/>
              </w:rPr>
              <w:t xml:space="preserve">auteur et </w:t>
            </w:r>
            <w:r w:rsidR="005577CF" w:rsidRPr="009365E7">
              <w:rPr>
                <w:szCs w:val="22"/>
                <w:lang w:val="fr-FR" w:eastAsia="en-US"/>
              </w:rPr>
              <w:t>les</w:t>
            </w:r>
            <w:r w:rsidRPr="009365E7">
              <w:rPr>
                <w:szCs w:val="22"/>
                <w:lang w:val="fr-FR" w:eastAsia="en-US"/>
              </w:rPr>
              <w:t xml:space="preserve"> dispositions juridiques concernant les diverses stratégies en matière de droit d</w:t>
            </w:r>
            <w:r w:rsidR="001D1037" w:rsidRPr="009365E7">
              <w:rPr>
                <w:szCs w:val="22"/>
                <w:lang w:val="fr-FR" w:eastAsia="en-US"/>
              </w:rPr>
              <w:t>’</w:t>
            </w:r>
            <w:r w:rsidRPr="009365E7">
              <w:rPr>
                <w:szCs w:val="22"/>
                <w:lang w:val="fr-FR" w:eastAsia="en-US"/>
              </w:rPr>
              <w:t>auteur relatives à l</w:t>
            </w:r>
            <w:r w:rsidR="001D1037" w:rsidRPr="009365E7">
              <w:rPr>
                <w:szCs w:val="22"/>
                <w:lang w:val="fr-FR" w:eastAsia="en-US"/>
              </w:rPr>
              <w:t>’</w:t>
            </w:r>
            <w:r w:rsidRPr="009365E7">
              <w:rPr>
                <w:szCs w:val="22"/>
                <w:lang w:val="fr-FR" w:eastAsia="en-US"/>
              </w:rPr>
              <w:t>information émanant du secteur public</w:t>
            </w:r>
          </w:p>
          <w:p w:rsidR="00CA3DE0" w:rsidRPr="009365E7" w:rsidRDefault="00CA3DE0" w:rsidP="009D0850">
            <w:pPr>
              <w:rPr>
                <w:szCs w:val="22"/>
                <w:lang w:val="fr-FR"/>
              </w:rPr>
            </w:pPr>
          </w:p>
        </w:tc>
      </w:tr>
      <w:tr w:rsidR="00E22519" w:rsidRPr="009365E7" w:rsidTr="00B57EA1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Brève description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activité/initiative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CC4837" w:rsidRPr="009365E7" w:rsidRDefault="00CC4837" w:rsidP="00342BF1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 xml:space="preserve">Les États </w:t>
            </w:r>
            <w:r w:rsidR="00CF4153" w:rsidRPr="009365E7">
              <w:rPr>
                <w:szCs w:val="22"/>
                <w:lang w:val="fr-FR"/>
              </w:rPr>
              <w:t>memb</w:t>
            </w:r>
            <w:r w:rsidRPr="009365E7">
              <w:rPr>
                <w:szCs w:val="22"/>
                <w:lang w:val="fr-FR"/>
              </w:rPr>
              <w:t>r</w:t>
            </w:r>
            <w:r w:rsidR="00CF4153" w:rsidRPr="009365E7">
              <w:rPr>
                <w:szCs w:val="22"/>
                <w:lang w:val="fr-FR"/>
              </w:rPr>
              <w:t>e</w:t>
            </w:r>
            <w:r w:rsidRPr="009365E7">
              <w:rPr>
                <w:szCs w:val="22"/>
                <w:lang w:val="fr-FR"/>
              </w:rPr>
              <w:t xml:space="preserve">s ont abordé </w:t>
            </w:r>
            <w:r w:rsidR="006F3D2A" w:rsidRPr="009365E7">
              <w:rPr>
                <w:szCs w:val="22"/>
                <w:lang w:val="fr-FR"/>
              </w:rPr>
              <w:t xml:space="preserve">de diverses manières </w:t>
            </w:r>
            <w:r w:rsidRPr="009365E7">
              <w:rPr>
                <w:szCs w:val="22"/>
                <w:lang w:val="fr-FR"/>
              </w:rPr>
              <w:t>la question de la politique en matière de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auteur relatif à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 xml:space="preserve">information émanant du secteur public. </w:t>
            </w:r>
            <w:r w:rsidR="006B43F8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>À la lumière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 xml:space="preserve">intérêt croissant que manifestent les pouvoirs publics et </w:t>
            </w:r>
            <w:r w:rsidR="00CF4153" w:rsidRPr="009365E7">
              <w:rPr>
                <w:szCs w:val="22"/>
                <w:lang w:val="fr-FR"/>
              </w:rPr>
              <w:t>les parties prenantes,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CF4153" w:rsidRPr="009365E7">
              <w:rPr>
                <w:szCs w:val="22"/>
                <w:lang w:val="fr-FR"/>
              </w:rPr>
              <w:t xml:space="preserve">OMPI pourrait être invitée à fournir des informations </w:t>
            </w:r>
            <w:r w:rsidR="0006368C" w:rsidRPr="009365E7">
              <w:rPr>
                <w:szCs w:val="22"/>
                <w:lang w:val="fr-FR"/>
              </w:rPr>
              <w:t xml:space="preserve">ciblées par pays </w:t>
            </w:r>
            <w:r w:rsidR="00CF4153" w:rsidRPr="009365E7">
              <w:rPr>
                <w:szCs w:val="22"/>
                <w:lang w:val="fr-FR"/>
              </w:rPr>
              <w:t>et une aide juridique sur des questions relatives au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CF4153" w:rsidRPr="009365E7">
              <w:rPr>
                <w:szCs w:val="22"/>
                <w:lang w:val="fr-FR"/>
              </w:rPr>
              <w:t>auteur et à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CF4153" w:rsidRPr="009365E7">
              <w:rPr>
                <w:szCs w:val="22"/>
                <w:lang w:val="fr-FR"/>
              </w:rPr>
              <w:t>information émanant du secteur public</w:t>
            </w:r>
            <w:r w:rsidR="00687FA5" w:rsidRPr="009365E7">
              <w:rPr>
                <w:szCs w:val="22"/>
                <w:lang w:val="fr-FR"/>
              </w:rPr>
              <w:t>.</w:t>
            </w:r>
          </w:p>
          <w:p w:rsidR="00E22519" w:rsidRPr="009365E7" w:rsidRDefault="00E22519" w:rsidP="00342BF1">
            <w:pPr>
              <w:rPr>
                <w:szCs w:val="22"/>
                <w:lang w:val="fr-FR"/>
              </w:rPr>
            </w:pPr>
          </w:p>
          <w:p w:rsidR="00085019" w:rsidRPr="009365E7" w:rsidRDefault="00CF4153" w:rsidP="00342BF1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 xml:space="preserve">En réponse à des demandes formulées par des États membres, des </w:t>
            </w:r>
            <w:r w:rsidR="00AE371A" w:rsidRPr="009365E7">
              <w:rPr>
                <w:szCs w:val="22"/>
                <w:lang w:val="fr-FR"/>
              </w:rPr>
              <w:t>supports</w:t>
            </w:r>
            <w:r w:rsidR="006F3D2A" w:rsidRPr="009365E7">
              <w:rPr>
                <w:szCs w:val="22"/>
                <w:lang w:val="fr-FR"/>
              </w:rPr>
              <w:t xml:space="preserve"> utiles pourraient être produits pour prodiguer des conseils en matière de législation. </w:t>
            </w:r>
            <w:r w:rsidR="006B43F8" w:rsidRPr="009365E7">
              <w:rPr>
                <w:szCs w:val="22"/>
                <w:lang w:val="fr-FR"/>
              </w:rPr>
              <w:t xml:space="preserve"> C</w:t>
            </w:r>
            <w:r w:rsidR="006F3D2A" w:rsidRPr="009365E7">
              <w:rPr>
                <w:szCs w:val="22"/>
                <w:lang w:val="fr-FR"/>
              </w:rPr>
              <w:t xml:space="preserve">es </w:t>
            </w:r>
            <w:r w:rsidR="00AE371A" w:rsidRPr="009365E7">
              <w:rPr>
                <w:szCs w:val="22"/>
                <w:lang w:val="fr-FR"/>
              </w:rPr>
              <w:t>supports</w:t>
            </w:r>
            <w:r w:rsidR="006F3D2A" w:rsidRPr="009365E7">
              <w:rPr>
                <w:szCs w:val="22"/>
                <w:lang w:val="fr-FR"/>
              </w:rPr>
              <w:t xml:space="preserve"> exposeraient et e</w:t>
            </w:r>
            <w:r w:rsidR="00AE371A" w:rsidRPr="009365E7">
              <w:rPr>
                <w:szCs w:val="22"/>
                <w:lang w:val="fr-FR"/>
              </w:rPr>
              <w:t>xpliqueraient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AE371A" w:rsidRPr="009365E7">
              <w:rPr>
                <w:szCs w:val="22"/>
                <w:lang w:val="fr-FR"/>
              </w:rPr>
              <w:t>incidence des options législatives</w:t>
            </w:r>
            <w:r w:rsidR="000A3347" w:rsidRPr="009365E7">
              <w:rPr>
                <w:szCs w:val="22"/>
                <w:lang w:val="fr-FR"/>
              </w:rPr>
              <w:t>, et tiendraient compte des différents</w:t>
            </w:r>
            <w:r w:rsidR="00AE371A" w:rsidRPr="009365E7">
              <w:rPr>
                <w:szCs w:val="22"/>
                <w:lang w:val="fr-FR"/>
              </w:rPr>
              <w:t xml:space="preserve"> systèmes juridiques</w:t>
            </w:r>
            <w:r w:rsidR="00085019" w:rsidRPr="009365E7">
              <w:rPr>
                <w:szCs w:val="22"/>
                <w:lang w:val="fr-FR"/>
              </w:rPr>
              <w:t xml:space="preserve"> (</w:t>
            </w:r>
            <w:r w:rsidR="001D1037" w:rsidRPr="009365E7">
              <w:rPr>
                <w:szCs w:val="22"/>
                <w:lang w:val="fr-FR"/>
              </w:rPr>
              <w:t>à savoir</w:t>
            </w:r>
            <w:r w:rsidR="00AE371A" w:rsidRPr="009365E7">
              <w:rPr>
                <w:szCs w:val="22"/>
                <w:lang w:val="fr-FR"/>
              </w:rPr>
              <w:t xml:space="preserve"> le droit civil et la Common </w:t>
            </w:r>
            <w:proofErr w:type="spellStart"/>
            <w:r w:rsidR="00AE371A" w:rsidRPr="009365E7">
              <w:rPr>
                <w:szCs w:val="22"/>
                <w:lang w:val="fr-FR"/>
              </w:rPr>
              <w:t>law</w:t>
            </w:r>
            <w:proofErr w:type="spellEnd"/>
            <w:r w:rsidR="00085019" w:rsidRPr="009365E7">
              <w:rPr>
                <w:szCs w:val="22"/>
                <w:lang w:val="fr-FR"/>
              </w:rPr>
              <w:t>) et des niveaux de développement pour répondre aux demandes des États membres</w:t>
            </w:r>
            <w:r w:rsidR="00AE371A" w:rsidRPr="009365E7">
              <w:rPr>
                <w:szCs w:val="22"/>
                <w:lang w:val="fr-FR"/>
              </w:rPr>
              <w:t>.</w:t>
            </w:r>
          </w:p>
          <w:p w:rsidR="00085019" w:rsidRPr="009365E7" w:rsidRDefault="00085019" w:rsidP="00342BF1">
            <w:pPr>
              <w:rPr>
                <w:szCs w:val="22"/>
                <w:lang w:val="fr-FR"/>
              </w:rPr>
            </w:pPr>
          </w:p>
          <w:p w:rsidR="00CF4153" w:rsidRPr="009365E7" w:rsidRDefault="00AE371A" w:rsidP="00342BF1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Deux</w:t>
            </w:r>
            <w:r w:rsidR="00687FA5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>consultants extérieurs, chacun expert dans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un de ces systèmes juridiques, collaboreraient à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élaboration de ces supports.</w:t>
            </w:r>
          </w:p>
          <w:p w:rsidR="00E22519" w:rsidRPr="009365E7" w:rsidRDefault="00E22519" w:rsidP="00800255">
            <w:pPr>
              <w:rPr>
                <w:szCs w:val="22"/>
                <w:lang w:val="fr-FR"/>
              </w:rPr>
            </w:pPr>
          </w:p>
        </w:tc>
      </w:tr>
      <w:tr w:rsidR="00E22519" w:rsidRPr="009365E7" w:rsidTr="00B57EA1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Bénéficiaires visés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A5663A" w:rsidRPr="009365E7" w:rsidRDefault="00AE371A" w:rsidP="00B86C6C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États membres et organisations de la société civile</w:t>
            </w:r>
            <w:r w:rsidR="00E22519" w:rsidRPr="009365E7">
              <w:rPr>
                <w:szCs w:val="22"/>
                <w:lang w:val="fr-FR"/>
              </w:rPr>
              <w:t>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</w:tc>
      </w:tr>
      <w:tr w:rsidR="00E22519" w:rsidRPr="009365E7" w:rsidTr="00B57EA1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Principaux secteurs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OMPI concernés et liens avec des programmes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OMPI</w:t>
            </w:r>
          </w:p>
        </w:tc>
        <w:tc>
          <w:tcPr>
            <w:tcW w:w="6912" w:type="dxa"/>
            <w:shd w:val="clear" w:color="auto" w:fill="auto"/>
          </w:tcPr>
          <w:p w:rsidR="00A5663A" w:rsidRPr="009365E7" w:rsidRDefault="00AE371A" w:rsidP="009D0850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Division du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auteur</w:t>
            </w:r>
            <w:r w:rsidR="00AA40CA">
              <w:rPr>
                <w:szCs w:val="22"/>
                <w:lang w:val="fr-FR"/>
              </w:rPr>
              <w:t>.</w:t>
            </w:r>
          </w:p>
          <w:p w:rsidR="00AE371A" w:rsidRPr="009365E7" w:rsidRDefault="00AE371A" w:rsidP="009D0850">
            <w:pPr>
              <w:rPr>
                <w:szCs w:val="22"/>
                <w:lang w:val="fr-FR"/>
              </w:rPr>
            </w:pPr>
          </w:p>
          <w:p w:rsidR="00AE371A" w:rsidRPr="009365E7" w:rsidRDefault="00AE371A" w:rsidP="00AE371A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Cette activité est liée à plusieurs des objectifs stratégiques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OMPI</w:t>
            </w:r>
            <w:r w:rsidR="00595A1C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>: objectif</w:t>
            </w:r>
            <w:r w:rsidR="00687FA5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 xml:space="preserve">I </w:t>
            </w:r>
            <w:r w:rsidR="00595A1C" w:rsidRPr="009365E7">
              <w:rPr>
                <w:szCs w:val="22"/>
                <w:lang w:val="fr-FR"/>
              </w:rPr>
              <w:t>–</w:t>
            </w:r>
            <w:r w:rsidRPr="009365E7">
              <w:rPr>
                <w:szCs w:val="22"/>
                <w:lang w:val="fr-FR"/>
              </w:rPr>
              <w:t xml:space="preserve"> Évolution équilibrée du cadre normatif international de la propriété intellectuelle; </w:t>
            </w:r>
            <w:r w:rsidR="00595A1C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>objectif</w:t>
            </w:r>
            <w:r w:rsidR="00687FA5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 xml:space="preserve">III </w:t>
            </w:r>
            <w:r w:rsidR="00595A1C" w:rsidRPr="009365E7">
              <w:rPr>
                <w:szCs w:val="22"/>
                <w:lang w:val="fr-FR"/>
              </w:rPr>
              <w:t>–</w:t>
            </w:r>
            <w:r w:rsidRPr="009365E7">
              <w:rPr>
                <w:szCs w:val="22"/>
                <w:lang w:val="fr-FR"/>
              </w:rPr>
              <w:t xml:space="preserve"> </w:t>
            </w:r>
            <w:r w:rsidR="006B43F8" w:rsidRPr="009365E7">
              <w:rPr>
                <w:szCs w:val="22"/>
                <w:lang w:val="fr-FR"/>
              </w:rPr>
              <w:t>F</w:t>
            </w:r>
            <w:r w:rsidRPr="009365E7">
              <w:rPr>
                <w:szCs w:val="22"/>
                <w:lang w:val="fr-FR"/>
              </w:rPr>
              <w:t>avoriser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utilisation de la propriété intellectuelle au service du développement et objectif</w:t>
            </w:r>
            <w:r w:rsidR="00687FA5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 xml:space="preserve">V </w:t>
            </w:r>
            <w:r w:rsidR="00595A1C" w:rsidRPr="009365E7">
              <w:rPr>
                <w:szCs w:val="22"/>
                <w:lang w:val="fr-FR"/>
              </w:rPr>
              <w:t>–</w:t>
            </w:r>
            <w:r w:rsidRPr="009365E7">
              <w:rPr>
                <w:szCs w:val="22"/>
                <w:lang w:val="fr-FR"/>
              </w:rPr>
              <w:t xml:space="preserve"> </w:t>
            </w:r>
            <w:r w:rsidR="006B43F8" w:rsidRPr="009365E7">
              <w:rPr>
                <w:szCs w:val="22"/>
                <w:lang w:val="fr-FR"/>
              </w:rPr>
              <w:t>S</w:t>
            </w:r>
            <w:r w:rsidRPr="009365E7">
              <w:rPr>
                <w:szCs w:val="22"/>
                <w:lang w:val="fr-FR"/>
              </w:rPr>
              <w:t>ource de références mondiale pour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information et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analyse en matière de propriété intellectuelle.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</w:tc>
      </w:tr>
      <w:tr w:rsidR="00E22519" w:rsidRPr="009365E7" w:rsidTr="00B57EA1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Étapes</w:t>
            </w: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A5663A" w:rsidRPr="009365E7" w:rsidRDefault="00687FA5" w:rsidP="00B57EA1">
            <w:pPr>
              <w:pStyle w:val="ListParagraph"/>
              <w:numPr>
                <w:ilvl w:val="1"/>
                <w:numId w:val="8"/>
              </w:numPr>
              <w:tabs>
                <w:tab w:val="clear" w:pos="1701"/>
                <w:tab w:val="left" w:pos="891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s</w:t>
            </w:r>
            <w:r w:rsidR="00AE371A" w:rsidRPr="009365E7">
              <w:rPr>
                <w:szCs w:val="22"/>
                <w:lang w:val="fr-FR"/>
              </w:rPr>
              <w:t>élection de deux</w:t>
            </w:r>
            <w:r w:rsidR="00595A1C" w:rsidRPr="009365E7">
              <w:rPr>
                <w:szCs w:val="22"/>
                <w:lang w:val="fr-FR"/>
              </w:rPr>
              <w:t> </w:t>
            </w:r>
            <w:r w:rsidR="00AE371A" w:rsidRPr="009365E7">
              <w:rPr>
                <w:szCs w:val="22"/>
                <w:lang w:val="fr-FR"/>
              </w:rPr>
              <w:t>consultants extérieurs qualifiés, possédant une connaissance approfondie</w:t>
            </w:r>
            <w:r w:rsidR="00763784" w:rsidRPr="009365E7">
              <w:rPr>
                <w:szCs w:val="22"/>
                <w:lang w:val="fr-FR"/>
              </w:rPr>
              <w:t xml:space="preserve"> de</w:t>
            </w:r>
            <w:r w:rsidR="00AE371A" w:rsidRPr="009365E7">
              <w:rPr>
                <w:szCs w:val="22"/>
                <w:lang w:val="fr-FR"/>
              </w:rPr>
              <w:t xml:space="preserve"> </w:t>
            </w:r>
            <w:r w:rsidR="00763784" w:rsidRPr="009365E7">
              <w:rPr>
                <w:szCs w:val="22"/>
                <w:lang w:val="fr-FR"/>
              </w:rPr>
              <w:t>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763784" w:rsidRPr="009365E7">
              <w:rPr>
                <w:szCs w:val="22"/>
                <w:lang w:val="fr-FR"/>
              </w:rPr>
              <w:t>information émanant du secteur public</w:t>
            </w:r>
            <w:r w:rsidR="00071CB3" w:rsidRPr="009365E7">
              <w:rPr>
                <w:szCs w:val="22"/>
                <w:lang w:val="fr-FR"/>
              </w:rPr>
              <w:t>;</w:t>
            </w:r>
          </w:p>
          <w:p w:rsidR="00763784" w:rsidRPr="009365E7" w:rsidRDefault="00763784" w:rsidP="00B57EA1">
            <w:pPr>
              <w:pStyle w:val="ListParagraph"/>
              <w:tabs>
                <w:tab w:val="left" w:pos="891"/>
              </w:tabs>
              <w:ind w:left="459"/>
              <w:rPr>
                <w:szCs w:val="22"/>
                <w:lang w:val="fr-FR"/>
              </w:rPr>
            </w:pPr>
          </w:p>
          <w:p w:rsidR="00E22519" w:rsidRPr="009365E7" w:rsidRDefault="00687FA5" w:rsidP="00B57EA1">
            <w:pPr>
              <w:pStyle w:val="ListParagraph"/>
              <w:numPr>
                <w:ilvl w:val="1"/>
                <w:numId w:val="8"/>
              </w:numPr>
              <w:tabs>
                <w:tab w:val="clear" w:pos="1701"/>
                <w:tab w:val="left" w:pos="891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a</w:t>
            </w:r>
            <w:r w:rsidR="00763784" w:rsidRPr="009365E7">
              <w:rPr>
                <w:szCs w:val="22"/>
                <w:lang w:val="fr-FR"/>
              </w:rPr>
              <w:t xml:space="preserve">doption </w:t>
            </w:r>
            <w:r w:rsidR="00085019" w:rsidRPr="009365E7">
              <w:rPr>
                <w:szCs w:val="22"/>
                <w:lang w:val="fr-FR"/>
              </w:rPr>
              <w:t>de services contractuels de personnes</w:t>
            </w:r>
            <w:r w:rsidR="00763784" w:rsidRPr="009365E7">
              <w:rPr>
                <w:szCs w:val="22"/>
                <w:lang w:val="fr-FR"/>
              </w:rPr>
              <w:t xml:space="preserve"> et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763784" w:rsidRPr="009365E7">
              <w:rPr>
                <w:szCs w:val="22"/>
                <w:lang w:val="fr-FR"/>
              </w:rPr>
              <w:t>un mandat</w:t>
            </w:r>
            <w:r w:rsidR="00E22519" w:rsidRPr="009365E7">
              <w:rPr>
                <w:szCs w:val="22"/>
                <w:lang w:val="fr-FR"/>
              </w:rPr>
              <w:t>;</w:t>
            </w:r>
          </w:p>
          <w:p w:rsidR="00E22519" w:rsidRPr="009365E7" w:rsidRDefault="00E22519" w:rsidP="00B57EA1">
            <w:pPr>
              <w:pStyle w:val="ListParagraph"/>
              <w:tabs>
                <w:tab w:val="left" w:pos="891"/>
              </w:tabs>
              <w:ind w:left="459"/>
              <w:rPr>
                <w:szCs w:val="22"/>
                <w:lang w:val="fr-FR"/>
              </w:rPr>
            </w:pPr>
          </w:p>
          <w:p w:rsidR="00E22519" w:rsidRPr="009365E7" w:rsidRDefault="00687FA5" w:rsidP="00B57EA1">
            <w:pPr>
              <w:pStyle w:val="ListParagraph"/>
              <w:numPr>
                <w:ilvl w:val="1"/>
                <w:numId w:val="8"/>
              </w:numPr>
              <w:tabs>
                <w:tab w:val="clear" w:pos="1701"/>
                <w:tab w:val="left" w:pos="891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é</w:t>
            </w:r>
            <w:r w:rsidR="00763784" w:rsidRPr="009365E7">
              <w:rPr>
                <w:szCs w:val="22"/>
                <w:lang w:val="fr-FR"/>
              </w:rPr>
              <w:t>laboration des supports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E22519" w:rsidRPr="009365E7">
              <w:rPr>
                <w:szCs w:val="22"/>
                <w:lang w:val="fr-FR"/>
              </w:rPr>
              <w:t xml:space="preserve">information </w:t>
            </w:r>
            <w:r w:rsidR="00763784" w:rsidRPr="009365E7">
              <w:rPr>
                <w:szCs w:val="22"/>
                <w:lang w:val="fr-FR"/>
              </w:rPr>
              <w:t>et des modèles de dispositions</w:t>
            </w:r>
            <w:r w:rsidR="00E22519" w:rsidRPr="009365E7">
              <w:rPr>
                <w:szCs w:val="22"/>
                <w:lang w:val="fr-FR"/>
              </w:rPr>
              <w:t>;</w:t>
            </w:r>
            <w:r w:rsidR="00526EBB" w:rsidRPr="009365E7">
              <w:rPr>
                <w:szCs w:val="22"/>
                <w:lang w:val="fr-FR"/>
              </w:rPr>
              <w:t xml:space="preserve">  et</w:t>
            </w:r>
          </w:p>
          <w:p w:rsidR="00E22519" w:rsidRPr="009365E7" w:rsidRDefault="00E22519" w:rsidP="00B57EA1">
            <w:pPr>
              <w:pStyle w:val="ListParagraph"/>
              <w:tabs>
                <w:tab w:val="left" w:pos="891"/>
              </w:tabs>
              <w:ind w:left="459"/>
              <w:rPr>
                <w:szCs w:val="22"/>
                <w:lang w:val="fr-FR"/>
              </w:rPr>
            </w:pPr>
          </w:p>
          <w:p w:rsidR="00E22519" w:rsidRPr="009365E7" w:rsidRDefault="00687FA5" w:rsidP="00B57EA1">
            <w:pPr>
              <w:pStyle w:val="ListParagraph"/>
              <w:numPr>
                <w:ilvl w:val="1"/>
                <w:numId w:val="8"/>
              </w:numPr>
              <w:tabs>
                <w:tab w:val="clear" w:pos="1701"/>
                <w:tab w:val="left" w:pos="891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e</w:t>
            </w:r>
            <w:r w:rsidR="00763784" w:rsidRPr="009365E7">
              <w:rPr>
                <w:szCs w:val="22"/>
                <w:lang w:val="fr-FR"/>
              </w:rPr>
              <w:t>xamen des supports pour approbation ou modification</w:t>
            </w:r>
            <w:r w:rsidR="00E22519" w:rsidRPr="009365E7">
              <w:rPr>
                <w:szCs w:val="22"/>
                <w:lang w:val="fr-FR"/>
              </w:rPr>
              <w:t>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</w:tc>
      </w:tr>
      <w:tr w:rsidR="00E22519" w:rsidRPr="009365E7" w:rsidTr="00B57EA1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Durée globale</w:t>
            </w: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E22519" w:rsidRPr="009365E7" w:rsidRDefault="00687FA5" w:rsidP="009D0850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12 </w:t>
            </w:r>
            <w:r w:rsidR="00E22519" w:rsidRPr="009365E7">
              <w:rPr>
                <w:szCs w:val="22"/>
                <w:lang w:val="fr-FR"/>
              </w:rPr>
              <w:t>mo</w:t>
            </w:r>
            <w:r w:rsidR="0096260A" w:rsidRPr="009365E7">
              <w:rPr>
                <w:szCs w:val="22"/>
                <w:lang w:val="fr-FR"/>
              </w:rPr>
              <w:t>i</w:t>
            </w:r>
            <w:r w:rsidR="00E22519" w:rsidRPr="009365E7">
              <w:rPr>
                <w:szCs w:val="22"/>
                <w:lang w:val="fr-FR"/>
              </w:rPr>
              <w:t>s</w:t>
            </w:r>
            <w:r w:rsidR="00AA40CA">
              <w:rPr>
                <w:szCs w:val="22"/>
                <w:lang w:val="fr-FR"/>
              </w:rPr>
              <w:t>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</w:tc>
      </w:tr>
      <w:tr w:rsidR="00E22519" w:rsidRPr="009365E7" w:rsidTr="00B57EA1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lastRenderedPageBreak/>
              <w:t>Budget</w:t>
            </w:r>
            <w:r w:rsidR="002C1E7C" w:rsidRPr="009365E7">
              <w:rPr>
                <w:i/>
                <w:szCs w:val="22"/>
                <w:lang w:val="fr-FR"/>
              </w:rPr>
              <w:t> </w:t>
            </w:r>
            <w:r w:rsidRPr="009365E7">
              <w:rPr>
                <w:i/>
                <w:szCs w:val="22"/>
                <w:lang w:val="fr-FR"/>
              </w:rPr>
              <w:t>: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E22519" w:rsidRPr="009365E7" w:rsidRDefault="0096260A" w:rsidP="00033D0D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REMARQUE</w:t>
            </w:r>
            <w:r w:rsidR="00863373" w:rsidRPr="009365E7">
              <w:rPr>
                <w:szCs w:val="22"/>
                <w:lang w:val="fr-FR"/>
              </w:rPr>
              <w:t> </w:t>
            </w:r>
            <w:r w:rsidR="00071CB3" w:rsidRPr="009365E7">
              <w:rPr>
                <w:szCs w:val="22"/>
                <w:lang w:val="fr-FR"/>
              </w:rPr>
              <w:t xml:space="preserve">: </w:t>
            </w:r>
            <w:r w:rsidRPr="009365E7">
              <w:rPr>
                <w:szCs w:val="22"/>
                <w:lang w:val="fr-FR"/>
              </w:rPr>
              <w:t>Il n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 pas été inscrit de ressources humaines ni financières affectées à cette activité au programme et budget pour</w:t>
            </w:r>
            <w:r w:rsidR="00595A1C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>2014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2015.  De nouvelles ressources devront être identifiées en conséquence.</w:t>
            </w:r>
          </w:p>
          <w:p w:rsidR="00E22519" w:rsidRPr="009365E7" w:rsidRDefault="00E22519" w:rsidP="00033D0D">
            <w:pPr>
              <w:rPr>
                <w:szCs w:val="22"/>
                <w:lang w:val="fr-FR"/>
              </w:rPr>
            </w:pPr>
          </w:p>
          <w:p w:rsidR="00E22519" w:rsidRPr="009365E7" w:rsidRDefault="00360465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 xml:space="preserve">Dépenses </w:t>
            </w:r>
            <w:r w:rsidR="00E22519" w:rsidRPr="009365E7">
              <w:rPr>
                <w:i/>
                <w:szCs w:val="22"/>
                <w:lang w:val="fr-FR"/>
              </w:rPr>
              <w:t>autres que les dépenses de personnel</w:t>
            </w:r>
            <w:r w:rsidR="00863373" w:rsidRPr="009365E7">
              <w:rPr>
                <w:i/>
                <w:szCs w:val="22"/>
                <w:lang w:val="fr-FR"/>
              </w:rPr>
              <w:t> </w:t>
            </w:r>
            <w:r w:rsidR="00E22519" w:rsidRPr="009365E7">
              <w:rPr>
                <w:i/>
                <w:szCs w:val="22"/>
                <w:lang w:val="fr-FR"/>
              </w:rPr>
              <w:t>:</w:t>
            </w:r>
          </w:p>
          <w:p w:rsidR="00B57EA1" w:rsidRPr="009365E7" w:rsidRDefault="00B57EA1" w:rsidP="00E22519">
            <w:pPr>
              <w:rPr>
                <w:i/>
                <w:szCs w:val="22"/>
                <w:lang w:val="fr-FR"/>
              </w:rPr>
            </w:pPr>
          </w:p>
          <w:tbl>
            <w:tblPr>
              <w:tblW w:w="499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40"/>
              <w:gridCol w:w="3341"/>
            </w:tblGrid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i/>
                      <w:szCs w:val="22"/>
                      <w:lang w:val="fr-FR"/>
                    </w:rPr>
                  </w:pPr>
                  <w:r w:rsidRPr="009365E7">
                    <w:rPr>
                      <w:i/>
                      <w:szCs w:val="22"/>
                      <w:lang w:val="fr-FR"/>
                    </w:rPr>
                    <w:t>Voyages et bourses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Missions de fonctionnaires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Voyages de tiers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Bourses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i/>
                      <w:szCs w:val="22"/>
                      <w:lang w:val="fr-FR"/>
                    </w:rPr>
                  </w:pPr>
                  <w:r w:rsidRPr="009365E7">
                    <w:rPr>
                      <w:i/>
                      <w:szCs w:val="22"/>
                      <w:lang w:val="fr-FR"/>
                    </w:rPr>
                    <w:t>Services contractuels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Conférences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Honoraires d</w:t>
                  </w:r>
                  <w:r w:rsidR="001D1037" w:rsidRPr="009365E7">
                    <w:rPr>
                      <w:szCs w:val="22"/>
                      <w:lang w:val="fr-FR"/>
                    </w:rPr>
                    <w:t>’</w:t>
                  </w:r>
                  <w:r w:rsidRPr="009365E7">
                    <w:rPr>
                      <w:szCs w:val="22"/>
                      <w:lang w:val="fr-FR"/>
                    </w:rPr>
                    <w:t>experts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30 000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Publications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Autres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i/>
                      <w:szCs w:val="22"/>
                      <w:lang w:val="fr-FR"/>
                    </w:rPr>
                  </w:pPr>
                  <w:r w:rsidRPr="009365E7">
                    <w:rPr>
                      <w:i/>
                      <w:szCs w:val="22"/>
                      <w:lang w:val="fr-FR"/>
                    </w:rPr>
                    <w:t>Matériel et fournitures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Matériel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Fournitures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E06EE2"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b/>
                      <w:szCs w:val="22"/>
                      <w:lang w:val="fr-FR"/>
                    </w:rPr>
                  </w:pPr>
                  <w:r w:rsidRPr="009365E7">
                    <w:rPr>
                      <w:b/>
                      <w:szCs w:val="22"/>
                      <w:lang w:val="fr-FR"/>
                    </w:rPr>
                    <w:t>TOTAL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30 000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</w:tr>
          </w:tbl>
          <w:p w:rsidR="00E22519" w:rsidRPr="009365E7" w:rsidRDefault="00E22519" w:rsidP="00033D0D">
            <w:pPr>
              <w:rPr>
                <w:szCs w:val="22"/>
                <w:lang w:val="fr-FR"/>
              </w:rPr>
            </w:pPr>
          </w:p>
          <w:p w:rsidR="00763784" w:rsidRPr="009365E7" w:rsidRDefault="00763784" w:rsidP="009D0850">
            <w:pPr>
              <w:rPr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Dépenses de personnel</w:t>
            </w:r>
            <w:r w:rsidR="00687FA5" w:rsidRPr="009365E7">
              <w:rPr>
                <w:i/>
                <w:szCs w:val="22"/>
                <w:lang w:val="fr-FR"/>
              </w:rPr>
              <w:t> </w:t>
            </w:r>
            <w:r w:rsidR="00071CB3" w:rsidRPr="009365E7">
              <w:rPr>
                <w:i/>
                <w:szCs w:val="22"/>
                <w:lang w:val="fr-FR"/>
              </w:rPr>
              <w:t>:</w:t>
            </w:r>
            <w:r w:rsidR="00071CB3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>la Division du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auteur assurera la coordination et la conduite des activités nécessaires (D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1/P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5</w:t>
            </w:r>
            <w:r w:rsidR="00687FA5" w:rsidRPr="009365E7">
              <w:rPr>
                <w:szCs w:val="22"/>
                <w:lang w:val="fr-FR"/>
              </w:rPr>
              <w:t> </w:t>
            </w:r>
            <w:r w:rsidR="00071CB3" w:rsidRPr="009365E7">
              <w:rPr>
                <w:szCs w:val="22"/>
                <w:lang w:val="fr-FR"/>
              </w:rPr>
              <w:t xml:space="preserve">: </w:t>
            </w:r>
            <w:r w:rsidRPr="009365E7">
              <w:rPr>
                <w:szCs w:val="22"/>
                <w:lang w:val="fr-FR"/>
              </w:rPr>
              <w:t>10%;  P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3/P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2</w:t>
            </w:r>
            <w:r w:rsidR="00687FA5" w:rsidRPr="009365E7">
              <w:rPr>
                <w:szCs w:val="22"/>
                <w:lang w:val="fr-FR"/>
              </w:rPr>
              <w:t> </w:t>
            </w:r>
            <w:r w:rsidR="00071CB3" w:rsidRPr="009365E7">
              <w:rPr>
                <w:szCs w:val="22"/>
                <w:lang w:val="fr-FR"/>
              </w:rPr>
              <w:t xml:space="preserve">: </w:t>
            </w:r>
            <w:r w:rsidRPr="009365E7">
              <w:rPr>
                <w:szCs w:val="22"/>
                <w:lang w:val="fr-FR"/>
              </w:rPr>
              <w:t>15%).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</w:tc>
      </w:tr>
    </w:tbl>
    <w:p w:rsidR="00D41FAB" w:rsidRPr="009365E7" w:rsidRDefault="00D41FAB">
      <w:pPr>
        <w:rPr>
          <w:szCs w:val="22"/>
          <w:lang w:val="fr-FR"/>
        </w:rPr>
      </w:pPr>
    </w:p>
    <w:p w:rsidR="009509CA" w:rsidRPr="009365E7" w:rsidRDefault="009509CA">
      <w:pPr>
        <w:rPr>
          <w:szCs w:val="22"/>
          <w:lang w:val="fr-FR"/>
        </w:rPr>
      </w:pPr>
    </w:p>
    <w:p w:rsidR="009509CA" w:rsidRPr="009365E7" w:rsidRDefault="009509CA">
      <w:pPr>
        <w:rPr>
          <w:szCs w:val="22"/>
          <w:lang w:val="fr-FR"/>
        </w:rPr>
      </w:pPr>
    </w:p>
    <w:p w:rsidR="003236FB" w:rsidRPr="009365E7" w:rsidRDefault="003236FB" w:rsidP="00EB0C54">
      <w:pPr>
        <w:pStyle w:val="Endofdocument-Annex"/>
        <w:rPr>
          <w:i/>
          <w:lang w:val="fr-FR"/>
        </w:rPr>
      </w:pPr>
      <w:r w:rsidRPr="009365E7">
        <w:rPr>
          <w:lang w:val="fr-FR"/>
        </w:rPr>
        <w:t>[</w:t>
      </w:r>
      <w:r w:rsidR="0096260A" w:rsidRPr="009365E7">
        <w:rPr>
          <w:lang w:val="fr-FR"/>
        </w:rPr>
        <w:t>L</w:t>
      </w:r>
      <w:r w:rsidR="001D1037" w:rsidRPr="009365E7">
        <w:rPr>
          <w:lang w:val="fr-FR"/>
        </w:rPr>
        <w:t>’</w:t>
      </w:r>
      <w:r w:rsidR="0096260A" w:rsidRPr="009365E7">
        <w:rPr>
          <w:lang w:val="fr-FR"/>
        </w:rPr>
        <w:t>a</w:t>
      </w:r>
      <w:r w:rsidRPr="009365E7">
        <w:rPr>
          <w:lang w:val="fr-FR"/>
        </w:rPr>
        <w:t>nnex</w:t>
      </w:r>
      <w:r w:rsidR="0096260A" w:rsidRPr="009365E7">
        <w:rPr>
          <w:lang w:val="fr-FR"/>
        </w:rPr>
        <w:t>e</w:t>
      </w:r>
      <w:r w:rsidRPr="009365E7">
        <w:rPr>
          <w:lang w:val="fr-FR"/>
        </w:rPr>
        <w:t xml:space="preserve"> VI </w:t>
      </w:r>
      <w:r w:rsidR="0096260A" w:rsidRPr="009365E7">
        <w:rPr>
          <w:lang w:val="fr-FR"/>
        </w:rPr>
        <w:t>suit</w:t>
      </w:r>
      <w:r w:rsidRPr="009365E7">
        <w:rPr>
          <w:lang w:val="fr-FR"/>
        </w:rPr>
        <w:t>]</w:t>
      </w:r>
    </w:p>
    <w:p w:rsidR="009509CA" w:rsidRPr="009365E7" w:rsidRDefault="009509CA">
      <w:pPr>
        <w:rPr>
          <w:szCs w:val="22"/>
          <w:lang w:val="fr-FR"/>
        </w:rPr>
      </w:pPr>
    </w:p>
    <w:p w:rsidR="009509CA" w:rsidRPr="009365E7" w:rsidRDefault="009509CA">
      <w:pPr>
        <w:rPr>
          <w:szCs w:val="22"/>
          <w:lang w:val="fr-FR"/>
        </w:rPr>
      </w:pPr>
    </w:p>
    <w:p w:rsidR="009509CA" w:rsidRPr="009365E7" w:rsidRDefault="009509CA">
      <w:pPr>
        <w:rPr>
          <w:szCs w:val="22"/>
          <w:lang w:val="fr-FR"/>
        </w:rPr>
      </w:pPr>
    </w:p>
    <w:p w:rsidR="009509CA" w:rsidRPr="009365E7" w:rsidRDefault="009509CA">
      <w:pPr>
        <w:rPr>
          <w:szCs w:val="22"/>
          <w:lang w:val="fr-FR"/>
        </w:rPr>
      </w:pPr>
    </w:p>
    <w:p w:rsidR="004071CA" w:rsidRPr="009365E7" w:rsidRDefault="004071CA">
      <w:pPr>
        <w:rPr>
          <w:szCs w:val="22"/>
          <w:lang w:val="fr-FR"/>
        </w:rPr>
        <w:sectPr w:rsidR="004071CA" w:rsidRPr="009365E7" w:rsidSect="007F5242">
          <w:headerReference w:type="default" r:id="rId24"/>
          <w:headerReference w:type="first" r:id="rId25"/>
          <w:pgSz w:w="11907" w:h="16840" w:code="9"/>
          <w:pgMar w:top="567" w:right="1134" w:bottom="1418" w:left="1418" w:header="510" w:footer="1021" w:gutter="0"/>
          <w:pgNumType w:start="1"/>
          <w:cols w:space="708"/>
          <w:titlePg/>
          <w:docGrid w:linePitch="360"/>
        </w:sectPr>
      </w:pPr>
    </w:p>
    <w:p w:rsidR="009509CA" w:rsidRPr="009365E7" w:rsidRDefault="0066423B" w:rsidP="009509CA">
      <w:pPr>
        <w:widowControl w:val="0"/>
        <w:autoSpaceDE w:val="0"/>
        <w:autoSpaceDN w:val="0"/>
        <w:spacing w:line="384" w:lineRule="auto"/>
        <w:jc w:val="center"/>
        <w:textAlignment w:val="baseline"/>
        <w:rPr>
          <w:b/>
          <w:bCs/>
          <w:szCs w:val="28"/>
          <w:lang w:val="fr-FR"/>
        </w:rPr>
      </w:pPr>
      <w:r w:rsidRPr="009365E7">
        <w:rPr>
          <w:b/>
          <w:bCs/>
          <w:szCs w:val="28"/>
          <w:lang w:val="fr-FR"/>
        </w:rPr>
        <w:lastRenderedPageBreak/>
        <w:t>PLAN DE MISE EN ŒUVRE DE L</w:t>
      </w:r>
      <w:r w:rsidR="001D1037" w:rsidRPr="009365E7">
        <w:rPr>
          <w:b/>
          <w:bCs/>
          <w:szCs w:val="28"/>
          <w:lang w:val="fr-FR"/>
        </w:rPr>
        <w:t>’</w:t>
      </w:r>
      <w:r w:rsidR="00687FA5" w:rsidRPr="009365E7">
        <w:rPr>
          <w:b/>
          <w:bCs/>
          <w:szCs w:val="28"/>
          <w:lang w:val="fr-FR"/>
        </w:rPr>
        <w:t>ACTIVITÉ </w:t>
      </w:r>
      <w:r w:rsidR="009509CA" w:rsidRPr="009365E7">
        <w:rPr>
          <w:b/>
          <w:bCs/>
          <w:szCs w:val="28"/>
          <w:lang w:val="fr-FR"/>
        </w:rPr>
        <w:t>6</w:t>
      </w:r>
    </w:p>
    <w:p w:rsidR="009509CA" w:rsidRPr="009365E7" w:rsidRDefault="009509CA">
      <w:pPr>
        <w:rPr>
          <w:b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E22519" w:rsidRPr="009365E7" w:rsidTr="002C1E7C"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Intitulé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activité/initiative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CA3DE0" w:rsidRPr="009365E7" w:rsidRDefault="00CA3DE0" w:rsidP="002C1E7C">
            <w:pPr>
              <w:pStyle w:val="std"/>
              <w:rPr>
                <w:szCs w:val="22"/>
                <w:lang w:val="fr-FR" w:eastAsia="en-US"/>
              </w:rPr>
            </w:pPr>
            <w:r w:rsidRPr="009365E7">
              <w:rPr>
                <w:szCs w:val="22"/>
                <w:lang w:val="fr-FR" w:eastAsia="en-US"/>
              </w:rPr>
              <w:t>Conférence internationale à l</w:t>
            </w:r>
            <w:r w:rsidR="001D1037" w:rsidRPr="009365E7">
              <w:rPr>
                <w:szCs w:val="22"/>
                <w:lang w:val="fr-FR" w:eastAsia="en-US"/>
              </w:rPr>
              <w:t>’</w:t>
            </w:r>
            <w:r w:rsidRPr="009365E7">
              <w:rPr>
                <w:szCs w:val="22"/>
                <w:lang w:val="fr-FR" w:eastAsia="en-US"/>
              </w:rPr>
              <w:t>intention</w:t>
            </w:r>
            <w:r w:rsidR="00A5663A" w:rsidRPr="009365E7">
              <w:rPr>
                <w:szCs w:val="22"/>
                <w:lang w:val="fr-FR" w:eastAsia="en-US"/>
              </w:rPr>
              <w:t xml:space="preserve"> des PMA</w:t>
            </w:r>
            <w:r w:rsidRPr="009365E7">
              <w:rPr>
                <w:szCs w:val="22"/>
                <w:lang w:val="fr-FR" w:eastAsia="en-US"/>
              </w:rPr>
              <w:t xml:space="preserve"> sur le droit d</w:t>
            </w:r>
            <w:r w:rsidR="001D1037" w:rsidRPr="009365E7">
              <w:rPr>
                <w:szCs w:val="22"/>
                <w:lang w:val="fr-FR" w:eastAsia="en-US"/>
              </w:rPr>
              <w:t>’</w:t>
            </w:r>
            <w:r w:rsidRPr="009365E7">
              <w:rPr>
                <w:szCs w:val="22"/>
                <w:lang w:val="fr-FR" w:eastAsia="en-US"/>
              </w:rPr>
              <w:t>auteur et la gestion de l</w:t>
            </w:r>
            <w:r w:rsidR="001D1037" w:rsidRPr="009365E7">
              <w:rPr>
                <w:szCs w:val="22"/>
                <w:lang w:val="fr-FR" w:eastAsia="en-US"/>
              </w:rPr>
              <w:t>’</w:t>
            </w:r>
            <w:r w:rsidRPr="009365E7">
              <w:rPr>
                <w:szCs w:val="22"/>
                <w:lang w:val="fr-FR" w:eastAsia="en-US"/>
              </w:rPr>
              <w:t>inform</w:t>
            </w:r>
            <w:r w:rsidR="00687FA5" w:rsidRPr="009365E7">
              <w:rPr>
                <w:szCs w:val="22"/>
                <w:lang w:val="fr-FR" w:eastAsia="en-US"/>
              </w:rPr>
              <w:t>ation émanant du secteur public</w:t>
            </w:r>
          </w:p>
        </w:tc>
      </w:tr>
      <w:tr w:rsidR="00E22519" w:rsidRPr="009365E7" w:rsidTr="002C1E7C"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Brève description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activité/initiative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763784" w:rsidRPr="009365E7" w:rsidRDefault="00763784" w:rsidP="00B86C6C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Cette activité consiste à organiser une conférence internationale dans le but de sensibiliser certains PMA à des questions relatives à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information émanant du secteur public et au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 xml:space="preserve">auteur. </w:t>
            </w:r>
            <w:r w:rsidR="006B43F8" w:rsidRPr="009365E7">
              <w:rPr>
                <w:szCs w:val="22"/>
                <w:lang w:val="fr-FR"/>
              </w:rPr>
              <w:t xml:space="preserve"> </w:t>
            </w:r>
            <w:r w:rsidR="00E33469" w:rsidRPr="009365E7">
              <w:rPr>
                <w:szCs w:val="22"/>
                <w:lang w:val="fr-FR"/>
              </w:rPr>
              <w:t>Les </w:t>
            </w:r>
            <w:r w:rsidR="005577CF" w:rsidRPr="009365E7">
              <w:rPr>
                <w:szCs w:val="22"/>
                <w:lang w:val="fr-FR"/>
              </w:rPr>
              <w:t>pays seront sélectionnés sur la base de leur degré de préparation à la mise en œuvre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5577CF" w:rsidRPr="009365E7">
              <w:rPr>
                <w:szCs w:val="22"/>
                <w:lang w:val="fr-FR"/>
              </w:rPr>
              <w:t xml:space="preserve">une politique en la matière.  </w:t>
            </w:r>
            <w:r w:rsidRPr="009365E7">
              <w:rPr>
                <w:szCs w:val="22"/>
                <w:lang w:val="fr-FR"/>
              </w:rPr>
              <w:t xml:space="preserve">Cette conférence </w:t>
            </w:r>
            <w:r w:rsidR="005577CF" w:rsidRPr="009365E7">
              <w:rPr>
                <w:szCs w:val="22"/>
                <w:lang w:val="fr-FR"/>
              </w:rPr>
              <w:t>offrira</w:t>
            </w:r>
            <w:r w:rsidRPr="009365E7">
              <w:rPr>
                <w:szCs w:val="22"/>
                <w:lang w:val="fr-FR"/>
              </w:rPr>
              <w:t xml:space="preserve"> aussi une plate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forme de discussion et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échange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 xml:space="preserve">informations sur les politiques </w:t>
            </w:r>
            <w:r w:rsidR="00A41655" w:rsidRPr="009365E7">
              <w:rPr>
                <w:szCs w:val="22"/>
                <w:lang w:val="fr-FR"/>
              </w:rPr>
              <w:t>en vigueur appliquées par les États membres.</w:t>
            </w:r>
          </w:p>
          <w:p w:rsidR="00E22519" w:rsidRPr="009365E7" w:rsidRDefault="00E22519" w:rsidP="00B86C6C">
            <w:pPr>
              <w:rPr>
                <w:szCs w:val="22"/>
                <w:lang w:val="fr-FR"/>
              </w:rPr>
            </w:pPr>
          </w:p>
          <w:p w:rsidR="00A41655" w:rsidRPr="009365E7" w:rsidRDefault="00A41655" w:rsidP="00B86C6C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La conférence sera organisée de manière à répondre au mieux aux objectifs</w:t>
            </w:r>
            <w:r w:rsidR="00A5663A" w:rsidRPr="009365E7">
              <w:rPr>
                <w:szCs w:val="22"/>
                <w:lang w:val="fr-FR"/>
              </w:rPr>
              <w:t xml:space="preserve"> des PMA</w:t>
            </w:r>
            <w:r w:rsidR="00071CB3" w:rsidRPr="009365E7">
              <w:rPr>
                <w:szCs w:val="22"/>
                <w:lang w:val="fr-FR"/>
              </w:rPr>
              <w:t>;</w:t>
            </w:r>
            <w:r w:rsidR="006B43F8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 xml:space="preserve"> </w:t>
            </w:r>
            <w:r w:rsidR="006B43F8" w:rsidRPr="009365E7">
              <w:rPr>
                <w:szCs w:val="22"/>
                <w:lang w:val="fr-FR"/>
              </w:rPr>
              <w:t>c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6B43F8" w:rsidRPr="009365E7">
              <w:rPr>
                <w:szCs w:val="22"/>
                <w:lang w:val="fr-FR"/>
              </w:rPr>
              <w:t xml:space="preserve">est pourquoi </w:t>
            </w:r>
            <w:r w:rsidRPr="009365E7">
              <w:rPr>
                <w:szCs w:val="22"/>
                <w:lang w:val="fr-FR"/>
              </w:rPr>
              <w:t>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OMPI prendrait à sa charge la participation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un certain nombre de représentants</w:t>
            </w:r>
            <w:r w:rsidR="00A5663A" w:rsidRPr="009365E7">
              <w:rPr>
                <w:szCs w:val="22"/>
                <w:lang w:val="fr-FR"/>
              </w:rPr>
              <w:t xml:space="preserve"> des PMA</w:t>
            </w:r>
            <w:r w:rsidRPr="009365E7">
              <w:rPr>
                <w:szCs w:val="22"/>
                <w:lang w:val="fr-FR"/>
              </w:rPr>
              <w:t>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</w:tc>
      </w:tr>
      <w:tr w:rsidR="00E22519" w:rsidRPr="009365E7" w:rsidTr="002C1E7C"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Bénéficiaires visés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E22519" w:rsidRPr="009365E7" w:rsidRDefault="00A41655" w:rsidP="00A41655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États membres</w:t>
            </w:r>
            <w:r w:rsidR="00E22519" w:rsidRPr="009365E7">
              <w:rPr>
                <w:szCs w:val="22"/>
                <w:lang w:val="fr-FR"/>
              </w:rPr>
              <w:t>, e</w:t>
            </w:r>
            <w:r w:rsidRPr="009365E7">
              <w:rPr>
                <w:szCs w:val="22"/>
                <w:lang w:val="fr-FR"/>
              </w:rPr>
              <w:t>n particulier</w:t>
            </w:r>
            <w:r w:rsidR="00A5663A" w:rsidRPr="009365E7">
              <w:rPr>
                <w:szCs w:val="22"/>
                <w:lang w:val="fr-FR"/>
              </w:rPr>
              <w:t xml:space="preserve"> des PMA</w:t>
            </w:r>
            <w:r w:rsidRPr="009365E7">
              <w:rPr>
                <w:szCs w:val="22"/>
                <w:lang w:val="fr-FR"/>
              </w:rPr>
              <w:t>, et organisations de la société civile</w:t>
            </w:r>
            <w:r w:rsidR="00687FA5" w:rsidRPr="009365E7">
              <w:rPr>
                <w:szCs w:val="22"/>
                <w:lang w:val="fr-FR"/>
              </w:rPr>
              <w:t>.</w:t>
            </w:r>
          </w:p>
          <w:p w:rsidR="00F109F8" w:rsidRPr="009365E7" w:rsidRDefault="00F109F8" w:rsidP="00A41655">
            <w:pPr>
              <w:rPr>
                <w:szCs w:val="22"/>
                <w:lang w:val="fr-FR"/>
              </w:rPr>
            </w:pPr>
          </w:p>
        </w:tc>
      </w:tr>
      <w:tr w:rsidR="00E22519" w:rsidRPr="009365E7" w:rsidTr="002C1E7C"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Principaux secteurs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OMPI concernés et liens avec des programmes de l</w:t>
            </w:r>
            <w:r w:rsidR="001D1037" w:rsidRPr="009365E7">
              <w:rPr>
                <w:i/>
                <w:szCs w:val="22"/>
                <w:lang w:val="fr-FR"/>
              </w:rPr>
              <w:t>’</w:t>
            </w:r>
            <w:r w:rsidRPr="009365E7">
              <w:rPr>
                <w:i/>
                <w:szCs w:val="22"/>
                <w:lang w:val="fr-FR"/>
              </w:rPr>
              <w:t>OMPI</w:t>
            </w:r>
          </w:p>
        </w:tc>
        <w:tc>
          <w:tcPr>
            <w:tcW w:w="6912" w:type="dxa"/>
            <w:shd w:val="clear" w:color="auto" w:fill="auto"/>
          </w:tcPr>
          <w:p w:rsidR="00E22519" w:rsidRPr="009365E7" w:rsidRDefault="00A41655" w:rsidP="009D0850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Division du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auteur et Division des pays les moins avancés.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  <w:p w:rsidR="00A41655" w:rsidRPr="009365E7" w:rsidRDefault="00A41655" w:rsidP="00A41655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Cette activité est liée à plusieurs des objectifs stratégiques de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687FA5" w:rsidRPr="009365E7">
              <w:rPr>
                <w:szCs w:val="22"/>
                <w:lang w:val="fr-FR"/>
              </w:rPr>
              <w:t>OMPI</w:t>
            </w:r>
            <w:r w:rsidR="00595A1C" w:rsidRPr="009365E7">
              <w:rPr>
                <w:szCs w:val="22"/>
                <w:lang w:val="fr-FR"/>
              </w:rPr>
              <w:t> </w:t>
            </w:r>
            <w:r w:rsidR="00687FA5" w:rsidRPr="009365E7">
              <w:rPr>
                <w:szCs w:val="22"/>
                <w:lang w:val="fr-FR"/>
              </w:rPr>
              <w:t>: objectif </w:t>
            </w:r>
            <w:r w:rsidRPr="009365E7">
              <w:rPr>
                <w:szCs w:val="22"/>
                <w:lang w:val="fr-FR"/>
              </w:rPr>
              <w:t xml:space="preserve">I </w:t>
            </w:r>
            <w:r w:rsidR="00595A1C" w:rsidRPr="009365E7">
              <w:rPr>
                <w:szCs w:val="22"/>
                <w:lang w:val="fr-FR"/>
              </w:rPr>
              <w:t>–</w:t>
            </w:r>
            <w:r w:rsidRPr="009365E7">
              <w:rPr>
                <w:szCs w:val="22"/>
                <w:lang w:val="fr-FR"/>
              </w:rPr>
              <w:t xml:space="preserve"> Évolution équilibrée du cadre normatif international de la pro</w:t>
            </w:r>
            <w:r w:rsidR="00687FA5" w:rsidRPr="009365E7">
              <w:rPr>
                <w:szCs w:val="22"/>
                <w:lang w:val="fr-FR"/>
              </w:rPr>
              <w:t xml:space="preserve">priété intellectuelle; </w:t>
            </w:r>
            <w:r w:rsidR="00595A1C" w:rsidRPr="009365E7">
              <w:rPr>
                <w:szCs w:val="22"/>
                <w:lang w:val="fr-FR"/>
              </w:rPr>
              <w:t xml:space="preserve"> </w:t>
            </w:r>
            <w:r w:rsidR="00687FA5" w:rsidRPr="009365E7">
              <w:rPr>
                <w:szCs w:val="22"/>
                <w:lang w:val="fr-FR"/>
              </w:rPr>
              <w:t>objectif </w:t>
            </w:r>
            <w:r w:rsidRPr="009365E7">
              <w:rPr>
                <w:szCs w:val="22"/>
                <w:lang w:val="fr-FR"/>
              </w:rPr>
              <w:t xml:space="preserve">III </w:t>
            </w:r>
            <w:r w:rsidR="00595A1C" w:rsidRPr="009365E7">
              <w:rPr>
                <w:szCs w:val="22"/>
                <w:lang w:val="fr-FR"/>
              </w:rPr>
              <w:t>–</w:t>
            </w:r>
            <w:r w:rsidRPr="009365E7">
              <w:rPr>
                <w:szCs w:val="22"/>
                <w:lang w:val="fr-FR"/>
              </w:rPr>
              <w:t xml:space="preserve"> </w:t>
            </w:r>
            <w:r w:rsidR="006B43F8" w:rsidRPr="009365E7">
              <w:rPr>
                <w:szCs w:val="22"/>
                <w:lang w:val="fr-FR"/>
              </w:rPr>
              <w:t>F</w:t>
            </w:r>
            <w:r w:rsidRPr="009365E7">
              <w:rPr>
                <w:szCs w:val="22"/>
                <w:lang w:val="fr-FR"/>
              </w:rPr>
              <w:t>avoriser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utilisation de la propriété intellectuelle au servi</w:t>
            </w:r>
            <w:r w:rsidR="00687FA5" w:rsidRPr="009365E7">
              <w:rPr>
                <w:szCs w:val="22"/>
                <w:lang w:val="fr-FR"/>
              </w:rPr>
              <w:t>ce du développement et objectif </w:t>
            </w:r>
            <w:r w:rsidRPr="009365E7">
              <w:rPr>
                <w:szCs w:val="22"/>
                <w:lang w:val="fr-FR"/>
              </w:rPr>
              <w:t xml:space="preserve">V </w:t>
            </w:r>
            <w:r w:rsidR="00595A1C" w:rsidRPr="009365E7">
              <w:rPr>
                <w:szCs w:val="22"/>
                <w:lang w:val="fr-FR"/>
              </w:rPr>
              <w:t>–</w:t>
            </w:r>
            <w:r w:rsidRPr="009365E7">
              <w:rPr>
                <w:szCs w:val="22"/>
                <w:lang w:val="fr-FR"/>
              </w:rPr>
              <w:t xml:space="preserve"> </w:t>
            </w:r>
            <w:r w:rsidR="006B43F8" w:rsidRPr="009365E7">
              <w:rPr>
                <w:szCs w:val="22"/>
                <w:lang w:val="fr-FR"/>
              </w:rPr>
              <w:t>S</w:t>
            </w:r>
            <w:r w:rsidRPr="009365E7">
              <w:rPr>
                <w:szCs w:val="22"/>
                <w:lang w:val="fr-FR"/>
              </w:rPr>
              <w:t>ource de références mondiale pour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information et l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analyse en matière de propriété intellectuelle.</w:t>
            </w:r>
          </w:p>
          <w:p w:rsidR="00E22519" w:rsidRPr="009365E7" w:rsidRDefault="00E22519" w:rsidP="009D0850">
            <w:pPr>
              <w:rPr>
                <w:i/>
                <w:szCs w:val="22"/>
                <w:lang w:val="fr-FR"/>
              </w:rPr>
            </w:pPr>
          </w:p>
        </w:tc>
      </w:tr>
      <w:tr w:rsidR="00E22519" w:rsidRPr="009365E7" w:rsidTr="002C1E7C"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Étapes</w:t>
            </w: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E22519" w:rsidRPr="009365E7" w:rsidRDefault="00687FA5" w:rsidP="00E33469">
            <w:pPr>
              <w:pStyle w:val="ListParagraph"/>
              <w:numPr>
                <w:ilvl w:val="1"/>
                <w:numId w:val="10"/>
              </w:numPr>
              <w:tabs>
                <w:tab w:val="clear" w:pos="1701"/>
                <w:tab w:val="left" w:pos="891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a</w:t>
            </w:r>
            <w:r w:rsidR="00A41655" w:rsidRPr="009365E7">
              <w:rPr>
                <w:szCs w:val="22"/>
                <w:lang w:val="fr-FR"/>
              </w:rPr>
              <w:t xml:space="preserve">ccord sur le lieu, le budget, les dates, le pays hôte et les </w:t>
            </w:r>
            <w:r w:rsidR="00E22519" w:rsidRPr="009365E7">
              <w:rPr>
                <w:szCs w:val="22"/>
                <w:lang w:val="fr-FR"/>
              </w:rPr>
              <w:t>participants</w:t>
            </w:r>
            <w:r w:rsidR="00A41655" w:rsidRPr="009365E7">
              <w:rPr>
                <w:szCs w:val="22"/>
                <w:lang w:val="fr-FR"/>
              </w:rPr>
              <w:t xml:space="preserve"> invités</w:t>
            </w:r>
            <w:r w:rsidR="00E22519" w:rsidRPr="009365E7">
              <w:rPr>
                <w:szCs w:val="22"/>
                <w:lang w:val="fr-FR"/>
              </w:rPr>
              <w:t>;</w:t>
            </w:r>
          </w:p>
          <w:p w:rsidR="00E22519" w:rsidRPr="009365E7" w:rsidRDefault="00E22519" w:rsidP="00E33469">
            <w:pPr>
              <w:pStyle w:val="ListParagraph"/>
              <w:tabs>
                <w:tab w:val="left" w:pos="891"/>
              </w:tabs>
              <w:ind w:left="459"/>
              <w:rPr>
                <w:szCs w:val="22"/>
                <w:lang w:val="fr-FR"/>
              </w:rPr>
            </w:pPr>
          </w:p>
          <w:p w:rsidR="00E22519" w:rsidRPr="009365E7" w:rsidRDefault="00687FA5" w:rsidP="00E33469">
            <w:pPr>
              <w:pStyle w:val="ListParagraph"/>
              <w:numPr>
                <w:ilvl w:val="1"/>
                <w:numId w:val="10"/>
              </w:numPr>
              <w:tabs>
                <w:tab w:val="clear" w:pos="1701"/>
                <w:tab w:val="left" w:pos="891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é</w:t>
            </w:r>
            <w:r w:rsidR="00A41655" w:rsidRPr="009365E7">
              <w:rPr>
                <w:szCs w:val="22"/>
                <w:lang w:val="fr-FR"/>
              </w:rPr>
              <w:t xml:space="preserve">laboration du </w:t>
            </w:r>
            <w:r w:rsidR="00E22519" w:rsidRPr="009365E7">
              <w:rPr>
                <w:szCs w:val="22"/>
                <w:lang w:val="fr-FR"/>
              </w:rPr>
              <w:t>program</w:t>
            </w:r>
            <w:r w:rsidR="00A41655" w:rsidRPr="009365E7">
              <w:rPr>
                <w:szCs w:val="22"/>
                <w:lang w:val="fr-FR"/>
              </w:rPr>
              <w:t>me et sélection des intervenants</w:t>
            </w:r>
            <w:r w:rsidR="00E22519" w:rsidRPr="009365E7">
              <w:rPr>
                <w:szCs w:val="22"/>
                <w:lang w:val="fr-FR"/>
              </w:rPr>
              <w:t>;</w:t>
            </w:r>
          </w:p>
          <w:p w:rsidR="00E22519" w:rsidRPr="009365E7" w:rsidRDefault="00E22519" w:rsidP="00E33469">
            <w:pPr>
              <w:tabs>
                <w:tab w:val="left" w:pos="891"/>
              </w:tabs>
              <w:ind w:left="459"/>
              <w:rPr>
                <w:szCs w:val="22"/>
                <w:lang w:val="fr-FR"/>
              </w:rPr>
            </w:pPr>
          </w:p>
          <w:p w:rsidR="00E22519" w:rsidRPr="009365E7" w:rsidRDefault="00687FA5" w:rsidP="00E33469">
            <w:pPr>
              <w:pStyle w:val="ListParagraph"/>
              <w:numPr>
                <w:ilvl w:val="1"/>
                <w:numId w:val="10"/>
              </w:numPr>
              <w:tabs>
                <w:tab w:val="clear" w:pos="1701"/>
                <w:tab w:val="left" w:pos="891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r</w:t>
            </w:r>
            <w:r w:rsidR="00A41655" w:rsidRPr="009365E7">
              <w:rPr>
                <w:szCs w:val="22"/>
                <w:lang w:val="fr-FR"/>
              </w:rPr>
              <w:t>édaction des documents et supports</w:t>
            </w:r>
            <w:r w:rsidR="00E22519" w:rsidRPr="009365E7">
              <w:rPr>
                <w:szCs w:val="22"/>
                <w:lang w:val="fr-FR"/>
              </w:rPr>
              <w:t>;</w:t>
            </w:r>
            <w:r w:rsidR="00526EBB" w:rsidRPr="009365E7">
              <w:rPr>
                <w:szCs w:val="22"/>
                <w:lang w:val="fr-FR"/>
              </w:rPr>
              <w:t xml:space="preserve">  et</w:t>
            </w:r>
          </w:p>
          <w:p w:rsidR="00E22519" w:rsidRPr="009365E7" w:rsidRDefault="00E22519" w:rsidP="00E33469">
            <w:pPr>
              <w:tabs>
                <w:tab w:val="left" w:pos="891"/>
              </w:tabs>
              <w:ind w:left="459"/>
              <w:rPr>
                <w:szCs w:val="22"/>
                <w:lang w:val="fr-FR"/>
              </w:rPr>
            </w:pPr>
          </w:p>
          <w:p w:rsidR="00E22519" w:rsidRPr="009365E7" w:rsidRDefault="00687FA5" w:rsidP="00E33469">
            <w:pPr>
              <w:pStyle w:val="ListParagraph"/>
              <w:numPr>
                <w:ilvl w:val="1"/>
                <w:numId w:val="10"/>
              </w:numPr>
              <w:tabs>
                <w:tab w:val="clear" w:pos="1701"/>
                <w:tab w:val="left" w:pos="891"/>
              </w:tabs>
              <w:ind w:left="459"/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c</w:t>
            </w:r>
            <w:r w:rsidR="00E22519" w:rsidRPr="009365E7">
              <w:rPr>
                <w:szCs w:val="22"/>
                <w:lang w:val="fr-FR"/>
              </w:rPr>
              <w:t>r</w:t>
            </w:r>
            <w:r w:rsidR="00A41655" w:rsidRPr="009365E7">
              <w:rPr>
                <w:szCs w:val="22"/>
                <w:lang w:val="fr-FR"/>
              </w:rPr>
              <w:t>éation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="00A41655" w:rsidRPr="009365E7">
              <w:rPr>
                <w:szCs w:val="22"/>
                <w:lang w:val="fr-FR"/>
              </w:rPr>
              <w:t>une page</w:t>
            </w:r>
            <w:r w:rsidR="00595A1C" w:rsidRPr="009365E7">
              <w:rPr>
                <w:szCs w:val="22"/>
                <w:lang w:val="fr-FR"/>
              </w:rPr>
              <w:t> </w:t>
            </w:r>
            <w:r w:rsidR="00A41655" w:rsidRPr="009365E7">
              <w:rPr>
                <w:szCs w:val="22"/>
                <w:lang w:val="fr-FR"/>
              </w:rPr>
              <w:t>Web consacrée à la conférence</w:t>
            </w:r>
            <w:r w:rsidR="006B43F8" w:rsidRPr="009365E7">
              <w:rPr>
                <w:szCs w:val="22"/>
                <w:lang w:val="fr-FR"/>
              </w:rPr>
              <w:t>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</w:tc>
      </w:tr>
      <w:tr w:rsidR="00E22519" w:rsidRPr="009365E7" w:rsidTr="002C1E7C"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Durée globale</w:t>
            </w:r>
          </w:p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E22519" w:rsidRPr="009365E7" w:rsidRDefault="00A41655" w:rsidP="009D0850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Neuf</w:t>
            </w:r>
            <w:r w:rsidR="00687FA5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>mois</w:t>
            </w:r>
            <w:r w:rsidR="00AA40CA">
              <w:rPr>
                <w:szCs w:val="22"/>
                <w:lang w:val="fr-FR"/>
              </w:rPr>
              <w:t>.</w:t>
            </w:r>
          </w:p>
          <w:p w:rsidR="00E22519" w:rsidRPr="009365E7" w:rsidRDefault="00E22519" w:rsidP="009D0850">
            <w:pPr>
              <w:rPr>
                <w:szCs w:val="22"/>
                <w:lang w:val="fr-FR"/>
              </w:rPr>
            </w:pPr>
          </w:p>
        </w:tc>
      </w:tr>
      <w:tr w:rsidR="00E22519" w:rsidRPr="009365E7" w:rsidTr="00B33884">
        <w:trPr>
          <w:cantSplit/>
        </w:trPr>
        <w:tc>
          <w:tcPr>
            <w:tcW w:w="2376" w:type="dxa"/>
            <w:shd w:val="clear" w:color="auto" w:fill="auto"/>
          </w:tcPr>
          <w:p w:rsidR="00E22519" w:rsidRPr="009365E7" w:rsidRDefault="00E22519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lastRenderedPageBreak/>
              <w:t>Budget</w:t>
            </w:r>
            <w:r w:rsidR="002C1E7C" w:rsidRPr="009365E7">
              <w:rPr>
                <w:i/>
                <w:szCs w:val="22"/>
                <w:lang w:val="fr-FR"/>
              </w:rPr>
              <w:t> </w:t>
            </w:r>
            <w:r w:rsidRPr="009365E7">
              <w:rPr>
                <w:i/>
                <w:szCs w:val="22"/>
                <w:lang w:val="fr-FR"/>
              </w:rPr>
              <w:t>:</w:t>
            </w:r>
          </w:p>
          <w:p w:rsidR="00E22519" w:rsidRPr="009365E7" w:rsidRDefault="00E22519" w:rsidP="00E22519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A5663A" w:rsidRPr="009365E7" w:rsidRDefault="0096260A" w:rsidP="0027021E">
            <w:pPr>
              <w:rPr>
                <w:szCs w:val="22"/>
                <w:lang w:val="fr-FR"/>
              </w:rPr>
            </w:pPr>
            <w:r w:rsidRPr="009365E7">
              <w:rPr>
                <w:szCs w:val="22"/>
                <w:lang w:val="fr-FR"/>
              </w:rPr>
              <w:t>REMARQUE</w:t>
            </w:r>
            <w:r w:rsidR="00863373" w:rsidRPr="009365E7">
              <w:rPr>
                <w:szCs w:val="22"/>
                <w:lang w:val="fr-FR"/>
              </w:rPr>
              <w:t> </w:t>
            </w:r>
            <w:r w:rsidR="00071CB3" w:rsidRPr="009365E7">
              <w:rPr>
                <w:szCs w:val="22"/>
                <w:lang w:val="fr-FR"/>
              </w:rPr>
              <w:t xml:space="preserve">: </w:t>
            </w:r>
            <w:r w:rsidRPr="009365E7">
              <w:rPr>
                <w:szCs w:val="22"/>
                <w:lang w:val="fr-FR"/>
              </w:rPr>
              <w:t>Il n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 pas été inscrit de ressources humaines ni financières affectées à cette activité au programme et budget pour</w:t>
            </w:r>
            <w:r w:rsidR="00595A1C" w:rsidRPr="009365E7">
              <w:rPr>
                <w:szCs w:val="22"/>
                <w:lang w:val="fr-FR"/>
              </w:rPr>
              <w:t> </w:t>
            </w:r>
            <w:r w:rsidRPr="009365E7">
              <w:rPr>
                <w:szCs w:val="22"/>
                <w:lang w:val="fr-FR"/>
              </w:rPr>
              <w:t>2014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2015.  De nouvelles ressources devront être identifiées en conséquence.</w:t>
            </w:r>
          </w:p>
          <w:p w:rsidR="00E22519" w:rsidRPr="009365E7" w:rsidRDefault="00E22519" w:rsidP="0027021E">
            <w:pPr>
              <w:rPr>
                <w:szCs w:val="22"/>
                <w:lang w:val="fr-FR"/>
              </w:rPr>
            </w:pPr>
          </w:p>
          <w:p w:rsidR="00E22519" w:rsidRPr="009365E7" w:rsidRDefault="00360465" w:rsidP="00E22519">
            <w:pPr>
              <w:rPr>
                <w:i/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 xml:space="preserve">Dépenses </w:t>
            </w:r>
            <w:r w:rsidR="00E22519" w:rsidRPr="009365E7">
              <w:rPr>
                <w:i/>
                <w:szCs w:val="22"/>
                <w:lang w:val="fr-FR"/>
              </w:rPr>
              <w:t>autres que les dépenses de personnel</w:t>
            </w:r>
            <w:r w:rsidR="00863373" w:rsidRPr="009365E7">
              <w:rPr>
                <w:i/>
                <w:szCs w:val="22"/>
                <w:lang w:val="fr-FR"/>
              </w:rPr>
              <w:t> </w:t>
            </w:r>
            <w:r w:rsidR="00E22519" w:rsidRPr="009365E7">
              <w:rPr>
                <w:i/>
                <w:szCs w:val="22"/>
                <w:lang w:val="fr-FR"/>
              </w:rPr>
              <w:t>:</w:t>
            </w:r>
          </w:p>
          <w:p w:rsidR="00E33469" w:rsidRPr="009365E7" w:rsidRDefault="00E33469" w:rsidP="00E22519">
            <w:pPr>
              <w:rPr>
                <w:szCs w:val="22"/>
                <w:lang w:val="fr-FR"/>
              </w:rPr>
            </w:pPr>
          </w:p>
          <w:tbl>
            <w:tblPr>
              <w:tblW w:w="100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40"/>
              <w:gridCol w:w="3341"/>
              <w:gridCol w:w="3341"/>
            </w:tblGrid>
            <w:tr w:rsidR="00E22519" w:rsidRPr="009365E7" w:rsidTr="00863373">
              <w:tc>
                <w:tcPr>
                  <w:tcW w:w="1666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i/>
                      <w:szCs w:val="22"/>
                      <w:lang w:val="fr-FR"/>
                    </w:rPr>
                  </w:pPr>
                  <w:r w:rsidRPr="009365E7">
                    <w:rPr>
                      <w:i/>
                      <w:szCs w:val="22"/>
                      <w:lang w:val="fr-FR"/>
                    </w:rPr>
                    <w:t>Voyages et bourses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863373">
              <w:tc>
                <w:tcPr>
                  <w:tcW w:w="1666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Missions de fonctionnaires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8E23F1" w:rsidP="00E22519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 xml:space="preserve"> </w:t>
                  </w:r>
                  <w:r w:rsidR="00E22519" w:rsidRPr="009365E7">
                    <w:rPr>
                      <w:szCs w:val="22"/>
                      <w:lang w:val="fr-FR"/>
                    </w:rPr>
                    <w:t>12 000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863373">
              <w:tc>
                <w:tcPr>
                  <w:tcW w:w="1666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Voyages de tiers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130 000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863373">
              <w:tc>
                <w:tcPr>
                  <w:tcW w:w="1666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Bourses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863373">
              <w:tc>
                <w:tcPr>
                  <w:tcW w:w="1666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i/>
                      <w:szCs w:val="22"/>
                      <w:lang w:val="fr-FR"/>
                    </w:rPr>
                  </w:pPr>
                  <w:r w:rsidRPr="009365E7">
                    <w:rPr>
                      <w:i/>
                      <w:szCs w:val="22"/>
                      <w:lang w:val="fr-FR"/>
                    </w:rPr>
                    <w:t>Services contractuels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863373">
              <w:tc>
                <w:tcPr>
                  <w:tcW w:w="1666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Conférences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 xml:space="preserve"> 15 000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863373">
              <w:tc>
                <w:tcPr>
                  <w:tcW w:w="1666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Honoraires d</w:t>
                  </w:r>
                  <w:r w:rsidR="001D1037" w:rsidRPr="009365E7">
                    <w:rPr>
                      <w:szCs w:val="22"/>
                      <w:lang w:val="fr-FR"/>
                    </w:rPr>
                    <w:t>’</w:t>
                  </w:r>
                  <w:r w:rsidRPr="009365E7">
                    <w:rPr>
                      <w:szCs w:val="22"/>
                      <w:lang w:val="fr-FR"/>
                    </w:rPr>
                    <w:t>experts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863373">
              <w:tc>
                <w:tcPr>
                  <w:tcW w:w="1666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Publications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863373">
              <w:tc>
                <w:tcPr>
                  <w:tcW w:w="1666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Autres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 xml:space="preserve"> 10 000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863373">
              <w:tc>
                <w:tcPr>
                  <w:tcW w:w="1666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i/>
                      <w:szCs w:val="22"/>
                      <w:lang w:val="fr-FR"/>
                    </w:rPr>
                  </w:pPr>
                  <w:r w:rsidRPr="009365E7">
                    <w:rPr>
                      <w:i/>
                      <w:szCs w:val="22"/>
                      <w:lang w:val="fr-FR"/>
                    </w:rPr>
                    <w:t>Matériel et fournitures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863373">
              <w:tc>
                <w:tcPr>
                  <w:tcW w:w="1666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Matériel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863373">
              <w:tc>
                <w:tcPr>
                  <w:tcW w:w="1666" w:type="pct"/>
                  <w:shd w:val="clear" w:color="auto" w:fill="auto"/>
                </w:tcPr>
                <w:p w:rsidR="00E22519" w:rsidRPr="009365E7" w:rsidRDefault="00E22519" w:rsidP="00E06EE2">
                  <w:pPr>
                    <w:ind w:left="661"/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Fournitures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  <w:tr w:rsidR="00E22519" w:rsidRPr="009365E7" w:rsidTr="00863373">
              <w:tc>
                <w:tcPr>
                  <w:tcW w:w="1666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b/>
                      <w:szCs w:val="22"/>
                      <w:lang w:val="fr-FR"/>
                    </w:rPr>
                  </w:pPr>
                  <w:r w:rsidRPr="009365E7">
                    <w:rPr>
                      <w:b/>
                      <w:szCs w:val="22"/>
                      <w:lang w:val="fr-FR"/>
                    </w:rPr>
                    <w:t>TOTAL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  <w:r w:rsidRPr="009365E7">
                    <w:rPr>
                      <w:szCs w:val="22"/>
                      <w:lang w:val="fr-FR"/>
                    </w:rPr>
                    <w:t>167 000</w:t>
                  </w:r>
                  <w:r w:rsidR="00595A1C" w:rsidRPr="009365E7">
                    <w:rPr>
                      <w:szCs w:val="22"/>
                      <w:lang w:val="fr-FR"/>
                    </w:rPr>
                    <w:t> </w:t>
                  </w:r>
                  <w:r w:rsidR="00B33884" w:rsidRPr="009365E7">
                    <w:rPr>
                      <w:szCs w:val="22"/>
                      <w:lang w:val="fr-FR"/>
                    </w:rPr>
                    <w:t>francs suisses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E22519" w:rsidRPr="009365E7" w:rsidRDefault="00E22519" w:rsidP="00E22519">
                  <w:pPr>
                    <w:rPr>
                      <w:szCs w:val="22"/>
                      <w:lang w:val="fr-FR"/>
                    </w:rPr>
                  </w:pPr>
                </w:p>
              </w:tc>
            </w:tr>
          </w:tbl>
          <w:p w:rsidR="00E22519" w:rsidRPr="009365E7" w:rsidRDefault="00E22519" w:rsidP="0027021E">
            <w:pPr>
              <w:rPr>
                <w:szCs w:val="22"/>
                <w:lang w:val="fr-FR"/>
              </w:rPr>
            </w:pPr>
          </w:p>
          <w:p w:rsidR="00A41655" w:rsidRPr="009365E7" w:rsidRDefault="00A41655" w:rsidP="00A41655">
            <w:pPr>
              <w:rPr>
                <w:szCs w:val="22"/>
                <w:lang w:val="fr-FR"/>
              </w:rPr>
            </w:pPr>
            <w:r w:rsidRPr="009365E7">
              <w:rPr>
                <w:i/>
                <w:szCs w:val="22"/>
                <w:lang w:val="fr-FR"/>
              </w:rPr>
              <w:t>Dépenses de personnel</w:t>
            </w:r>
            <w:r w:rsidR="00687FA5" w:rsidRPr="009365E7">
              <w:rPr>
                <w:i/>
                <w:szCs w:val="22"/>
                <w:lang w:val="fr-FR"/>
              </w:rPr>
              <w:t> </w:t>
            </w:r>
            <w:r w:rsidR="00071CB3" w:rsidRPr="009365E7">
              <w:rPr>
                <w:i/>
                <w:szCs w:val="22"/>
                <w:lang w:val="fr-FR"/>
              </w:rPr>
              <w:t>:</w:t>
            </w:r>
            <w:r w:rsidR="00071CB3" w:rsidRPr="009365E7">
              <w:rPr>
                <w:szCs w:val="22"/>
                <w:lang w:val="fr-FR"/>
              </w:rPr>
              <w:t xml:space="preserve"> </w:t>
            </w:r>
            <w:r w:rsidRPr="009365E7">
              <w:rPr>
                <w:szCs w:val="22"/>
                <w:lang w:val="fr-FR"/>
              </w:rPr>
              <w:t>la Division du droit d</w:t>
            </w:r>
            <w:r w:rsidR="001D1037" w:rsidRPr="009365E7">
              <w:rPr>
                <w:szCs w:val="22"/>
                <w:lang w:val="fr-FR"/>
              </w:rPr>
              <w:t>’</w:t>
            </w:r>
            <w:r w:rsidRPr="009365E7">
              <w:rPr>
                <w:szCs w:val="22"/>
                <w:lang w:val="fr-FR"/>
              </w:rPr>
              <w:t>auteur et la Division des pays les moins avancés assureront la coordination et la cond</w:t>
            </w:r>
            <w:r w:rsidR="006B43F8" w:rsidRPr="009365E7">
              <w:rPr>
                <w:szCs w:val="22"/>
                <w:lang w:val="fr-FR"/>
              </w:rPr>
              <w:t>uite des activités nécessaires</w:t>
            </w:r>
            <w:r w:rsidRPr="009365E7">
              <w:rPr>
                <w:szCs w:val="22"/>
                <w:lang w:val="fr-FR"/>
              </w:rPr>
              <w:t xml:space="preserve"> (D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1/P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5</w:t>
            </w:r>
            <w:r w:rsidR="00687FA5" w:rsidRPr="009365E7">
              <w:rPr>
                <w:szCs w:val="22"/>
                <w:lang w:val="fr-FR"/>
              </w:rPr>
              <w:t> </w:t>
            </w:r>
            <w:r w:rsidR="00071CB3" w:rsidRPr="009365E7">
              <w:rPr>
                <w:szCs w:val="22"/>
                <w:lang w:val="fr-FR"/>
              </w:rPr>
              <w:t xml:space="preserve">: </w:t>
            </w:r>
            <w:r w:rsidRPr="009365E7">
              <w:rPr>
                <w:szCs w:val="22"/>
                <w:lang w:val="fr-FR"/>
              </w:rPr>
              <w:t>5%;  P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3/P</w:t>
            </w:r>
            <w:r w:rsidR="00D87C56">
              <w:rPr>
                <w:szCs w:val="22"/>
                <w:lang w:val="fr-FR"/>
              </w:rPr>
              <w:noBreakHyphen/>
            </w:r>
            <w:r w:rsidRPr="009365E7">
              <w:rPr>
                <w:szCs w:val="22"/>
                <w:lang w:val="fr-FR"/>
              </w:rPr>
              <w:t>2</w:t>
            </w:r>
            <w:r w:rsidR="00687FA5" w:rsidRPr="009365E7">
              <w:rPr>
                <w:szCs w:val="22"/>
                <w:lang w:val="fr-FR"/>
              </w:rPr>
              <w:t> </w:t>
            </w:r>
            <w:r w:rsidR="00071CB3" w:rsidRPr="009365E7">
              <w:rPr>
                <w:szCs w:val="22"/>
                <w:lang w:val="fr-FR"/>
              </w:rPr>
              <w:t xml:space="preserve">: </w:t>
            </w:r>
            <w:r w:rsidRPr="009365E7">
              <w:rPr>
                <w:szCs w:val="22"/>
                <w:lang w:val="fr-FR"/>
              </w:rPr>
              <w:t>15%).</w:t>
            </w:r>
          </w:p>
          <w:p w:rsidR="00E22519" w:rsidRPr="009365E7" w:rsidRDefault="00E22519" w:rsidP="007346F9">
            <w:pPr>
              <w:rPr>
                <w:szCs w:val="22"/>
                <w:lang w:val="fr-FR"/>
              </w:rPr>
            </w:pPr>
          </w:p>
        </w:tc>
      </w:tr>
    </w:tbl>
    <w:p w:rsidR="00B86C6C" w:rsidRPr="009365E7" w:rsidRDefault="00B86C6C">
      <w:pPr>
        <w:rPr>
          <w:szCs w:val="22"/>
          <w:lang w:val="fr-FR"/>
        </w:rPr>
      </w:pPr>
    </w:p>
    <w:p w:rsidR="003236FB" w:rsidRPr="009365E7" w:rsidRDefault="003236FB">
      <w:pPr>
        <w:rPr>
          <w:szCs w:val="22"/>
          <w:lang w:val="fr-FR"/>
        </w:rPr>
      </w:pPr>
    </w:p>
    <w:p w:rsidR="003236FB" w:rsidRPr="009365E7" w:rsidRDefault="003236FB">
      <w:pPr>
        <w:rPr>
          <w:szCs w:val="22"/>
          <w:lang w:val="fr-FR"/>
        </w:rPr>
      </w:pPr>
    </w:p>
    <w:p w:rsidR="001351A9" w:rsidRPr="009365E7" w:rsidRDefault="003236FB" w:rsidP="00E33469">
      <w:pPr>
        <w:pStyle w:val="Endofdocument-Annex"/>
        <w:rPr>
          <w:i/>
          <w:lang w:val="fr-FR"/>
        </w:rPr>
      </w:pPr>
      <w:r w:rsidRPr="009365E7">
        <w:rPr>
          <w:lang w:val="fr-FR"/>
        </w:rPr>
        <w:t>[</w:t>
      </w:r>
      <w:r w:rsidR="00D913E0" w:rsidRPr="009365E7">
        <w:rPr>
          <w:lang w:val="fr-FR"/>
        </w:rPr>
        <w:t>Fin de l</w:t>
      </w:r>
      <w:r w:rsidR="001D1037" w:rsidRPr="009365E7">
        <w:rPr>
          <w:lang w:val="fr-FR"/>
        </w:rPr>
        <w:t>’</w:t>
      </w:r>
      <w:r w:rsidR="00D913E0" w:rsidRPr="009365E7">
        <w:rPr>
          <w:lang w:val="fr-FR"/>
        </w:rPr>
        <w:t>annexe VI et du document</w:t>
      </w:r>
      <w:r w:rsidR="007433B5" w:rsidRPr="009365E7">
        <w:rPr>
          <w:lang w:val="fr-FR"/>
        </w:rPr>
        <w:t>]</w:t>
      </w:r>
    </w:p>
    <w:p w:rsidR="007D4FA6" w:rsidRPr="009365E7" w:rsidRDefault="007D4FA6" w:rsidP="00E33469">
      <w:pPr>
        <w:pStyle w:val="Endofdocument-Annex"/>
        <w:rPr>
          <w:lang w:val="fr-FR"/>
        </w:rPr>
      </w:pPr>
    </w:p>
    <w:sectPr w:rsidR="007D4FA6" w:rsidRPr="009365E7" w:rsidSect="007F5242">
      <w:headerReference w:type="default" r:id="rId26"/>
      <w:headerReference w:type="first" r:id="rId27"/>
      <w:pgSz w:w="11907" w:h="16840" w:code="9"/>
      <w:pgMar w:top="567" w:right="1134" w:bottom="1418" w:left="1418" w:header="510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324" w:rsidRDefault="003F5324" w:rsidP="00992FCB">
      <w:r>
        <w:separator/>
      </w:r>
    </w:p>
  </w:endnote>
  <w:endnote w:type="continuationSeparator" w:id="0">
    <w:p w:rsidR="003F5324" w:rsidRDefault="003F5324" w:rsidP="00992FCB">
      <w:r>
        <w:continuationSeparator/>
      </w:r>
    </w:p>
  </w:endnote>
  <w:endnote w:type="continuationNotice" w:id="1">
    <w:p w:rsidR="003F5324" w:rsidRDefault="003F5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324" w:rsidRDefault="003F5324" w:rsidP="00992FCB">
      <w:r>
        <w:separator/>
      </w:r>
    </w:p>
  </w:footnote>
  <w:footnote w:type="continuationSeparator" w:id="0">
    <w:p w:rsidR="003F5324" w:rsidRDefault="003F5324" w:rsidP="00992FCB">
      <w:r>
        <w:continuationSeparator/>
      </w:r>
    </w:p>
  </w:footnote>
  <w:footnote w:type="continuationNotice" w:id="1">
    <w:p w:rsidR="003F5324" w:rsidRDefault="003F5324"/>
  </w:footnote>
  <w:footnote w:id="2">
    <w:p w:rsidR="003F5324" w:rsidRPr="00D87C56" w:rsidRDefault="003F5324" w:rsidP="00B33884">
      <w:pPr>
        <w:pStyle w:val="FootnoteText"/>
        <w:rPr>
          <w:szCs w:val="18"/>
          <w:lang w:val="fr-FR"/>
        </w:rPr>
      </w:pPr>
      <w:r w:rsidRPr="00D87C56">
        <w:rPr>
          <w:rStyle w:val="FootnoteReference"/>
          <w:szCs w:val="18"/>
          <w:lang w:val="fr-FR"/>
        </w:rPr>
        <w:footnoteRef/>
      </w:r>
      <w:r w:rsidRPr="00D87C56">
        <w:rPr>
          <w:szCs w:val="18"/>
          <w:lang w:val="fr-FR"/>
        </w:rPr>
        <w:t xml:space="preserve"> </w:t>
      </w:r>
      <w:r w:rsidRPr="00D87C56">
        <w:rPr>
          <w:szCs w:val="18"/>
          <w:lang w:val="fr-FR"/>
        </w:rPr>
        <w:tab/>
        <w:t>Disponible dans le document CDIP/4/5 </w:t>
      </w:r>
      <w:proofErr w:type="spellStart"/>
      <w:r w:rsidRPr="00D87C56">
        <w:rPr>
          <w:szCs w:val="18"/>
          <w:lang w:val="fr-FR"/>
        </w:rPr>
        <w:t>Rev</w:t>
      </w:r>
      <w:proofErr w:type="spellEnd"/>
      <w:r w:rsidRPr="00D87C56">
        <w:rPr>
          <w:szCs w:val="18"/>
          <w:lang w:val="fr-FR"/>
        </w:rPr>
        <w:t xml:space="preserve">. </w:t>
      </w:r>
    </w:p>
  </w:footnote>
  <w:footnote w:id="3">
    <w:p w:rsidR="003F5324" w:rsidRPr="00D87C56" w:rsidRDefault="003F5324" w:rsidP="00B33884">
      <w:pPr>
        <w:rPr>
          <w:sz w:val="18"/>
          <w:szCs w:val="18"/>
          <w:lang w:val="fr-FR"/>
        </w:rPr>
      </w:pPr>
      <w:r w:rsidRPr="00D87C56">
        <w:rPr>
          <w:rStyle w:val="FootnoteReference"/>
          <w:sz w:val="18"/>
          <w:szCs w:val="18"/>
          <w:lang w:val="fr-FR"/>
        </w:rPr>
        <w:footnoteRef/>
      </w:r>
      <w:r w:rsidRPr="00D87C56">
        <w:rPr>
          <w:sz w:val="18"/>
          <w:szCs w:val="18"/>
          <w:lang w:val="fr-FR"/>
        </w:rPr>
        <w:t xml:space="preserve"> </w:t>
      </w:r>
      <w:r w:rsidRPr="00D87C56">
        <w:rPr>
          <w:sz w:val="18"/>
          <w:szCs w:val="18"/>
          <w:lang w:val="fr-FR"/>
        </w:rPr>
        <w:tab/>
        <w:t xml:space="preserve">Les recommandations sont les suivantes : </w:t>
      </w:r>
      <w:r w:rsidR="00BA2BD5">
        <w:rPr>
          <w:sz w:val="18"/>
          <w:szCs w:val="18"/>
          <w:lang w:val="fr-FR"/>
        </w:rPr>
        <w:t>r</w:t>
      </w:r>
      <w:r w:rsidRPr="00D87C56">
        <w:rPr>
          <w:sz w:val="18"/>
          <w:szCs w:val="18"/>
          <w:lang w:val="fr-FR"/>
        </w:rPr>
        <w:t>ecommandation</w:t>
      </w:r>
      <w:r w:rsidR="00BA2BD5">
        <w:rPr>
          <w:sz w:val="18"/>
          <w:szCs w:val="18"/>
          <w:lang w:val="fr-FR"/>
        </w:rPr>
        <w:t xml:space="preserve"> n° </w:t>
      </w:r>
      <w:r w:rsidRPr="00D87C56">
        <w:rPr>
          <w:sz w:val="18"/>
          <w:szCs w:val="18"/>
          <w:lang w:val="fr-FR"/>
        </w:rPr>
        <w:t>19 (Groupe</w:t>
      </w:r>
      <w:r w:rsidR="00BA2BD5">
        <w:rPr>
          <w:sz w:val="18"/>
          <w:szCs w:val="18"/>
          <w:lang w:val="fr-FR"/>
        </w:rPr>
        <w:t> </w:t>
      </w:r>
      <w:r w:rsidRPr="00D87C56">
        <w:rPr>
          <w:sz w:val="18"/>
          <w:szCs w:val="18"/>
          <w:lang w:val="fr-FR"/>
        </w:rPr>
        <w:t xml:space="preserve">B) : engager les discussions sur les moyens à mettre en œuvre, dans le cadre du mandat de l’OMPI, pour faciliter davantage l’accès des pays en développement et des PMA aux savoirs et à la technologie afin de stimuler la créativité et l’innovation et renforcer les activités déjà entreprises dans ce domaine au sein de l’OMPI;  </w:t>
      </w:r>
      <w:r w:rsidR="00BA2BD5">
        <w:rPr>
          <w:sz w:val="18"/>
          <w:szCs w:val="18"/>
          <w:lang w:val="fr-FR"/>
        </w:rPr>
        <w:t>r</w:t>
      </w:r>
      <w:r w:rsidRPr="00D87C56">
        <w:rPr>
          <w:sz w:val="18"/>
          <w:szCs w:val="18"/>
          <w:lang w:val="fr-FR"/>
        </w:rPr>
        <w:t>ecommandation</w:t>
      </w:r>
      <w:r w:rsidR="00BA2BD5">
        <w:rPr>
          <w:sz w:val="18"/>
          <w:szCs w:val="18"/>
          <w:lang w:val="fr-FR"/>
        </w:rPr>
        <w:t xml:space="preserve"> n° </w:t>
      </w:r>
      <w:r w:rsidRPr="00D87C56">
        <w:rPr>
          <w:sz w:val="18"/>
          <w:szCs w:val="18"/>
          <w:lang w:val="fr-FR"/>
        </w:rPr>
        <w:t>24 (Groupe</w:t>
      </w:r>
      <w:r w:rsidR="00BA2BD5">
        <w:rPr>
          <w:sz w:val="18"/>
          <w:szCs w:val="18"/>
          <w:lang w:val="fr-FR"/>
        </w:rPr>
        <w:t> </w:t>
      </w:r>
      <w:r w:rsidRPr="00D87C56">
        <w:rPr>
          <w:sz w:val="18"/>
          <w:szCs w:val="18"/>
          <w:lang w:val="fr-FR"/>
        </w:rPr>
        <w:t xml:space="preserve">C) : demander à l’OMPI, dans le cadre de son mandat, d’étendre la portée de ses activités visant à réduire la fracture numérique, conformément aux conclusions du Sommet mondial sur la société de l’information (SMSI), en prenant aussi en considération l’importance du Fonds de solidarité numérique (FSN);  </w:t>
      </w:r>
      <w:r w:rsidR="00BA2BD5">
        <w:rPr>
          <w:sz w:val="18"/>
          <w:szCs w:val="18"/>
          <w:lang w:val="fr-FR"/>
        </w:rPr>
        <w:t>r</w:t>
      </w:r>
      <w:r w:rsidRPr="00D87C56">
        <w:rPr>
          <w:sz w:val="18"/>
          <w:szCs w:val="18"/>
          <w:lang w:val="fr-FR"/>
        </w:rPr>
        <w:t>ecommandation</w:t>
      </w:r>
      <w:r w:rsidR="00BA2BD5">
        <w:rPr>
          <w:sz w:val="18"/>
          <w:szCs w:val="18"/>
          <w:lang w:val="fr-FR"/>
        </w:rPr>
        <w:t xml:space="preserve"> n° </w:t>
      </w:r>
      <w:r w:rsidRPr="00D87C56">
        <w:rPr>
          <w:sz w:val="18"/>
          <w:szCs w:val="18"/>
          <w:lang w:val="fr-FR"/>
        </w:rPr>
        <w:t>27 (Groupe</w:t>
      </w:r>
      <w:r w:rsidR="00BA2BD5">
        <w:rPr>
          <w:sz w:val="18"/>
          <w:szCs w:val="18"/>
          <w:lang w:val="fr-FR"/>
        </w:rPr>
        <w:t> </w:t>
      </w:r>
      <w:r w:rsidRPr="00D87C56">
        <w:rPr>
          <w:sz w:val="18"/>
          <w:szCs w:val="18"/>
          <w:lang w:val="fr-FR"/>
        </w:rPr>
        <w:t>C) : promouvoir les aspects des TIC liés à la propriété intellectuelle en faveur de la croissance et du développement : permettre, dans le cadre d’un organe compétent de l’OMPI, des discussions axées sur l’importance des aspects des TIC liés à la propriété intellectuelle et de leur rôle dans le développement économique et culturel, une attention particulière devant être accordée à la nécessité d’aider les États membres à déterminer des stratégies de propriété intellectuelle concrètes en ce qui concerne l’utilisation des TIC au service du développement économique, social et culturel.</w:t>
      </w:r>
    </w:p>
  </w:footnote>
  <w:footnote w:id="4">
    <w:p w:rsidR="003F5324" w:rsidRPr="00D87C56" w:rsidRDefault="003F5324" w:rsidP="00B33884">
      <w:pPr>
        <w:pStyle w:val="FootnoteText"/>
        <w:rPr>
          <w:szCs w:val="18"/>
          <w:lang w:val="fr-FR"/>
        </w:rPr>
      </w:pPr>
      <w:r w:rsidRPr="00D87C56">
        <w:rPr>
          <w:rStyle w:val="FootnoteReference"/>
          <w:szCs w:val="18"/>
          <w:lang w:val="fr-FR"/>
        </w:rPr>
        <w:footnoteRef/>
      </w:r>
      <w:r w:rsidRPr="00D87C56">
        <w:rPr>
          <w:szCs w:val="18"/>
          <w:lang w:val="fr-FR"/>
        </w:rPr>
        <w:t xml:space="preserve"> </w:t>
      </w:r>
      <w:r w:rsidRPr="00D87C56">
        <w:rPr>
          <w:szCs w:val="18"/>
          <w:lang w:val="fr-FR"/>
        </w:rPr>
        <w:tab/>
        <w:t xml:space="preserve">Voir le document CDIP/9/INF/3.  </w:t>
      </w:r>
    </w:p>
  </w:footnote>
  <w:footnote w:id="5">
    <w:p w:rsidR="003F5324" w:rsidRPr="00D87C56" w:rsidRDefault="003F5324" w:rsidP="00B33884">
      <w:pPr>
        <w:pStyle w:val="FootnoteText"/>
        <w:rPr>
          <w:szCs w:val="18"/>
          <w:lang w:val="fr-FR"/>
        </w:rPr>
      </w:pPr>
      <w:r w:rsidRPr="00D87C56">
        <w:rPr>
          <w:rStyle w:val="FootnoteReference"/>
          <w:szCs w:val="18"/>
          <w:lang w:val="fr-FR"/>
        </w:rPr>
        <w:footnoteRef/>
      </w:r>
      <w:r w:rsidRPr="00D87C56">
        <w:rPr>
          <w:szCs w:val="18"/>
          <w:lang w:val="fr-FR"/>
        </w:rPr>
        <w:t xml:space="preserve"> </w:t>
      </w:r>
      <w:r w:rsidRPr="00D87C56">
        <w:rPr>
          <w:szCs w:val="18"/>
          <w:lang w:val="fr-FR"/>
        </w:rPr>
        <w:tab/>
        <w:t xml:space="preserve">Voir le Résumé présenté par le président, page 3, paragraphe 10.g), de la dixième session du CDIP.  </w:t>
      </w:r>
    </w:p>
  </w:footnote>
  <w:footnote w:id="6">
    <w:p w:rsidR="003F5324" w:rsidRPr="00D87C56" w:rsidRDefault="003F5324" w:rsidP="00B33884">
      <w:pPr>
        <w:pStyle w:val="FootnoteText"/>
        <w:rPr>
          <w:szCs w:val="18"/>
          <w:lang w:val="fr-FR"/>
        </w:rPr>
      </w:pPr>
      <w:r w:rsidRPr="00D87C56">
        <w:rPr>
          <w:rStyle w:val="FootnoteReference"/>
          <w:szCs w:val="18"/>
          <w:lang w:val="fr-FR"/>
        </w:rPr>
        <w:footnoteRef/>
      </w:r>
      <w:r w:rsidRPr="00D87C56">
        <w:rPr>
          <w:szCs w:val="18"/>
          <w:lang w:val="fr-FR"/>
        </w:rPr>
        <w:t xml:space="preserve"> </w:t>
      </w:r>
      <w:r w:rsidRPr="00D87C56">
        <w:rPr>
          <w:szCs w:val="18"/>
          <w:lang w:val="fr-FR"/>
        </w:rPr>
        <w:tab/>
        <w:t xml:space="preserve">Voir le Résumé présenté par le président, page 3, paragraphe 7.d), de la onzième session du CDIP.  </w:t>
      </w:r>
    </w:p>
  </w:footnote>
  <w:footnote w:id="7">
    <w:p w:rsidR="003F5324" w:rsidRPr="00D87C56" w:rsidRDefault="003F5324">
      <w:pPr>
        <w:pStyle w:val="FootnoteText"/>
        <w:rPr>
          <w:lang w:val="fr-FR"/>
        </w:rPr>
      </w:pPr>
      <w:r w:rsidRPr="00D87C56">
        <w:rPr>
          <w:rStyle w:val="FootnoteReference"/>
          <w:lang w:val="fr-FR"/>
        </w:rPr>
        <w:footnoteRef/>
      </w:r>
      <w:r w:rsidRPr="00D87C56">
        <w:rPr>
          <w:lang w:val="fr-FR"/>
        </w:rPr>
        <w:t xml:space="preserve"> </w:t>
      </w:r>
      <w:r w:rsidRPr="00D87C56">
        <w:rPr>
          <w:lang w:val="fr-FR"/>
        </w:rPr>
        <w:tab/>
        <w:t>Voir le Résumé présenté par le président, page 3, paragraphe 11, de la douzième session du CDIP.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24" w:rsidRDefault="003F5324" w:rsidP="009D0850">
    <w:pPr>
      <w:jc w:val="right"/>
    </w:pPr>
    <w:bookmarkStart w:id="6" w:name="Code2"/>
    <w:bookmarkEnd w:id="6"/>
    <w:r w:rsidRPr="005837C1">
      <w:t>CDIP/1</w:t>
    </w:r>
    <w:r>
      <w:t>3</w:t>
    </w:r>
    <w:r w:rsidRPr="005837C1">
      <w:t>/</w:t>
    </w:r>
    <w:r>
      <w:t>11</w:t>
    </w:r>
  </w:p>
  <w:p w:rsidR="003F5324" w:rsidRPr="005837C1" w:rsidRDefault="003F5324" w:rsidP="009D0850">
    <w:pPr>
      <w:jc w:val="right"/>
    </w:pPr>
    <w:proofErr w:type="gramStart"/>
    <w:r>
      <w:t>p</w:t>
    </w:r>
    <w:r w:rsidRPr="005837C1">
      <w:t>age</w:t>
    </w:r>
    <w:proofErr w:type="gramEnd"/>
    <w:r w:rsidRPr="005837C1">
      <w:t xml:space="preserve"> </w:t>
    </w:r>
    <w:r w:rsidRPr="005837C1">
      <w:fldChar w:fldCharType="begin"/>
    </w:r>
    <w:r w:rsidRPr="005837C1">
      <w:instrText xml:space="preserve"> PAGE   \* MERGEFORMAT </w:instrText>
    </w:r>
    <w:r w:rsidRPr="005837C1">
      <w:fldChar w:fldCharType="separate"/>
    </w:r>
    <w:r w:rsidR="006854DE">
      <w:rPr>
        <w:noProof/>
      </w:rPr>
      <w:t>2</w:t>
    </w:r>
    <w:r w:rsidRPr="005837C1">
      <w:rPr>
        <w:noProof/>
      </w:rPr>
      <w:fldChar w:fldCharType="end"/>
    </w:r>
  </w:p>
  <w:p w:rsidR="003F5324" w:rsidRPr="00FD4E36" w:rsidRDefault="003F5324" w:rsidP="009D0850">
    <w:pPr>
      <w:jc w:val="righ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24" w:rsidRPr="005837C1" w:rsidRDefault="003F5324" w:rsidP="009D0850">
    <w:pPr>
      <w:jc w:val="right"/>
    </w:pPr>
    <w:r w:rsidRPr="005837C1">
      <w:t>CDIP/1</w:t>
    </w:r>
    <w:r>
      <w:t>3</w:t>
    </w:r>
    <w:r w:rsidRPr="005837C1">
      <w:t>/</w:t>
    </w:r>
    <w:r>
      <w:t>11</w:t>
    </w:r>
  </w:p>
  <w:p w:rsidR="003F5324" w:rsidRPr="005837C1" w:rsidRDefault="003F5324" w:rsidP="009D0850">
    <w:pPr>
      <w:jc w:val="right"/>
    </w:pPr>
    <w:r>
      <w:t>Annexe V, p</w:t>
    </w:r>
    <w:r w:rsidRPr="005837C1">
      <w:t xml:space="preserve">age </w:t>
    </w:r>
    <w:r w:rsidRPr="005837C1">
      <w:fldChar w:fldCharType="begin"/>
    </w:r>
    <w:r w:rsidRPr="005837C1">
      <w:instrText xml:space="preserve"> PAGE   \* MERGEFORMAT </w:instrText>
    </w:r>
    <w:r w:rsidRPr="005837C1">
      <w:fldChar w:fldCharType="separate"/>
    </w:r>
    <w:r w:rsidR="006854DE">
      <w:rPr>
        <w:noProof/>
      </w:rPr>
      <w:t>2</w:t>
    </w:r>
    <w:r w:rsidRPr="005837C1">
      <w:rPr>
        <w:noProof/>
      </w:rPr>
      <w:fldChar w:fldCharType="end"/>
    </w:r>
  </w:p>
  <w:p w:rsidR="003F5324" w:rsidRPr="00FD4E36" w:rsidRDefault="003F5324" w:rsidP="009D0850">
    <w:pPr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24" w:rsidRPr="00FD4E36" w:rsidRDefault="003F5324" w:rsidP="00FD4E36">
    <w:pPr>
      <w:jc w:val="right"/>
    </w:pPr>
    <w:r w:rsidRPr="00FD4E36">
      <w:t>CDIP/1</w:t>
    </w:r>
    <w:r>
      <w:t>3</w:t>
    </w:r>
    <w:r w:rsidRPr="00FD4E36">
      <w:t>/</w:t>
    </w:r>
    <w:r>
      <w:t>11</w:t>
    </w:r>
  </w:p>
  <w:p w:rsidR="003F5324" w:rsidRDefault="003F5324" w:rsidP="00FD4E36">
    <w:pPr>
      <w:pStyle w:val="Header"/>
      <w:jc w:val="right"/>
    </w:pPr>
    <w:r>
      <w:t>ANNEXE</w:t>
    </w:r>
    <w:r w:rsidRPr="00FD4E36">
      <w:t xml:space="preserve"> </w:t>
    </w:r>
    <w:r>
      <w:t>V</w:t>
    </w:r>
  </w:p>
  <w:p w:rsidR="003F5324" w:rsidRDefault="003F5324" w:rsidP="00F32FDE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24" w:rsidRPr="005837C1" w:rsidRDefault="003F5324" w:rsidP="009D0850">
    <w:pPr>
      <w:jc w:val="right"/>
    </w:pPr>
    <w:r w:rsidRPr="005837C1">
      <w:t>CDIP/1</w:t>
    </w:r>
    <w:r>
      <w:t>3</w:t>
    </w:r>
    <w:r w:rsidRPr="005837C1">
      <w:t>/</w:t>
    </w:r>
    <w:r>
      <w:t>11</w:t>
    </w:r>
  </w:p>
  <w:p w:rsidR="003F5324" w:rsidRPr="005837C1" w:rsidRDefault="003F5324" w:rsidP="009D0850">
    <w:pPr>
      <w:jc w:val="right"/>
    </w:pPr>
    <w:r>
      <w:t>Annexe VI, p</w:t>
    </w:r>
    <w:r w:rsidRPr="005837C1">
      <w:t xml:space="preserve">age </w:t>
    </w:r>
    <w:r w:rsidRPr="005837C1">
      <w:fldChar w:fldCharType="begin"/>
    </w:r>
    <w:r w:rsidRPr="005837C1">
      <w:instrText xml:space="preserve"> PAGE   \* MERGEFORMAT </w:instrText>
    </w:r>
    <w:r w:rsidRPr="005837C1">
      <w:fldChar w:fldCharType="separate"/>
    </w:r>
    <w:r w:rsidR="006854DE">
      <w:rPr>
        <w:noProof/>
      </w:rPr>
      <w:t>2</w:t>
    </w:r>
    <w:r w:rsidRPr="005837C1">
      <w:rPr>
        <w:noProof/>
      </w:rPr>
      <w:fldChar w:fldCharType="end"/>
    </w:r>
  </w:p>
  <w:p w:rsidR="003F5324" w:rsidRPr="00FD4E36" w:rsidRDefault="003F5324" w:rsidP="009D0850">
    <w:pPr>
      <w:jc w:val="right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24" w:rsidRPr="00FD4E36" w:rsidRDefault="003F5324" w:rsidP="00FD4E36">
    <w:pPr>
      <w:jc w:val="right"/>
    </w:pPr>
    <w:r w:rsidRPr="00FD4E36">
      <w:t>CDIP/1</w:t>
    </w:r>
    <w:r>
      <w:t>3</w:t>
    </w:r>
    <w:r w:rsidRPr="00FD4E36">
      <w:t>/</w:t>
    </w:r>
    <w:r>
      <w:t>11</w:t>
    </w:r>
  </w:p>
  <w:p w:rsidR="003F5324" w:rsidRDefault="003F5324" w:rsidP="00FD4E36">
    <w:pPr>
      <w:pStyle w:val="Header"/>
      <w:jc w:val="right"/>
    </w:pPr>
    <w:r>
      <w:t>ANNEXE VI</w:t>
    </w:r>
  </w:p>
  <w:p w:rsidR="003F5324" w:rsidRDefault="003F5324" w:rsidP="00F90C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24" w:rsidRPr="005837C1" w:rsidRDefault="003F5324" w:rsidP="009D0850">
    <w:pPr>
      <w:jc w:val="right"/>
    </w:pPr>
    <w:r w:rsidRPr="005837C1">
      <w:t>CDIP/1</w:t>
    </w:r>
    <w:r>
      <w:t>3</w:t>
    </w:r>
    <w:r w:rsidRPr="005837C1">
      <w:t>/</w:t>
    </w:r>
    <w:r>
      <w:t>11</w:t>
    </w:r>
  </w:p>
  <w:p w:rsidR="003F5324" w:rsidRPr="005837C1" w:rsidRDefault="003F5324" w:rsidP="009D0850">
    <w:pPr>
      <w:jc w:val="right"/>
    </w:pPr>
    <w:r>
      <w:t>Annexe I, p</w:t>
    </w:r>
    <w:r w:rsidRPr="005837C1">
      <w:t xml:space="preserve">age </w:t>
    </w:r>
    <w:r w:rsidRPr="005837C1">
      <w:fldChar w:fldCharType="begin"/>
    </w:r>
    <w:r w:rsidRPr="005837C1">
      <w:instrText xml:space="preserve"> PAGE   \* MERGEFORMAT </w:instrText>
    </w:r>
    <w:r w:rsidRPr="005837C1">
      <w:fldChar w:fldCharType="separate"/>
    </w:r>
    <w:r w:rsidR="006854DE">
      <w:rPr>
        <w:noProof/>
      </w:rPr>
      <w:t>2</w:t>
    </w:r>
    <w:r w:rsidRPr="005837C1">
      <w:rPr>
        <w:noProof/>
      </w:rPr>
      <w:fldChar w:fldCharType="end"/>
    </w:r>
  </w:p>
  <w:p w:rsidR="003F5324" w:rsidRPr="00FD4E36" w:rsidRDefault="003F5324" w:rsidP="008569B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24" w:rsidRPr="00FD4E36" w:rsidRDefault="003F5324" w:rsidP="00FD4E36">
    <w:pPr>
      <w:jc w:val="right"/>
    </w:pPr>
    <w:r w:rsidRPr="00FD4E36">
      <w:t>CDIP/1</w:t>
    </w:r>
    <w:r>
      <w:t>3</w:t>
    </w:r>
    <w:r w:rsidRPr="00FD4E36">
      <w:t>/</w:t>
    </w:r>
    <w:r>
      <w:t>11</w:t>
    </w:r>
  </w:p>
  <w:p w:rsidR="003F5324" w:rsidRDefault="003F5324" w:rsidP="00FD4E36">
    <w:pPr>
      <w:pStyle w:val="Header"/>
      <w:jc w:val="right"/>
    </w:pPr>
    <w:r>
      <w:t>ANNEXE</w:t>
    </w:r>
    <w:r w:rsidRPr="00FD4E36">
      <w:t xml:space="preserve"> I</w:t>
    </w:r>
  </w:p>
  <w:p w:rsidR="003F5324" w:rsidRDefault="003F5324" w:rsidP="000A7B3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24" w:rsidRPr="005837C1" w:rsidRDefault="003F5324" w:rsidP="009D0850">
    <w:pPr>
      <w:jc w:val="right"/>
    </w:pPr>
    <w:r w:rsidRPr="005837C1">
      <w:t>CDIP/1</w:t>
    </w:r>
    <w:r>
      <w:t>3</w:t>
    </w:r>
    <w:r w:rsidRPr="005837C1">
      <w:t>/</w:t>
    </w:r>
    <w:r>
      <w:t>11</w:t>
    </w:r>
  </w:p>
  <w:p w:rsidR="003F5324" w:rsidRPr="005837C1" w:rsidRDefault="003F5324" w:rsidP="009D0850">
    <w:pPr>
      <w:jc w:val="right"/>
    </w:pPr>
    <w:r>
      <w:t>Annexe II, p</w:t>
    </w:r>
    <w:r w:rsidRPr="005837C1">
      <w:t xml:space="preserve">age </w:t>
    </w:r>
    <w:r w:rsidRPr="005837C1">
      <w:fldChar w:fldCharType="begin"/>
    </w:r>
    <w:r w:rsidRPr="005837C1">
      <w:instrText xml:space="preserve"> PAGE   \* MERGEFORMAT </w:instrText>
    </w:r>
    <w:r w:rsidRPr="005837C1">
      <w:fldChar w:fldCharType="separate"/>
    </w:r>
    <w:r w:rsidR="006854DE">
      <w:rPr>
        <w:noProof/>
      </w:rPr>
      <w:t>3</w:t>
    </w:r>
    <w:r w:rsidRPr="005837C1">
      <w:rPr>
        <w:noProof/>
      </w:rPr>
      <w:fldChar w:fldCharType="end"/>
    </w:r>
  </w:p>
  <w:p w:rsidR="003F5324" w:rsidRPr="00FD4E36" w:rsidRDefault="003F5324" w:rsidP="000B3FA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24" w:rsidRPr="00FD4E36" w:rsidRDefault="003F5324" w:rsidP="00FD4E36">
    <w:pPr>
      <w:jc w:val="right"/>
    </w:pPr>
    <w:r w:rsidRPr="00FD4E36">
      <w:t>CDIP/1</w:t>
    </w:r>
    <w:r>
      <w:t>3</w:t>
    </w:r>
    <w:r w:rsidRPr="00FD4E36">
      <w:t>/</w:t>
    </w:r>
    <w:r>
      <w:t>11</w:t>
    </w:r>
  </w:p>
  <w:p w:rsidR="003F5324" w:rsidRDefault="003F5324" w:rsidP="00FD4E36">
    <w:pPr>
      <w:pStyle w:val="Header"/>
      <w:jc w:val="right"/>
    </w:pPr>
    <w:r>
      <w:t>ANNEXE</w:t>
    </w:r>
    <w:r w:rsidRPr="00FD4E36">
      <w:t xml:space="preserve"> </w:t>
    </w:r>
    <w:r>
      <w:t>I</w:t>
    </w:r>
    <w:r w:rsidRPr="00FD4E36">
      <w:t>I</w:t>
    </w:r>
  </w:p>
  <w:p w:rsidR="003F5324" w:rsidRDefault="003F5324" w:rsidP="00564F8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24" w:rsidRPr="005837C1" w:rsidRDefault="003F5324" w:rsidP="009D0850">
    <w:pPr>
      <w:jc w:val="right"/>
    </w:pPr>
    <w:r w:rsidRPr="005837C1">
      <w:t>CDIP/1</w:t>
    </w:r>
    <w:r>
      <w:t>3</w:t>
    </w:r>
    <w:r w:rsidRPr="005837C1">
      <w:t>/</w:t>
    </w:r>
    <w:r>
      <w:t>11</w:t>
    </w:r>
  </w:p>
  <w:p w:rsidR="003F5324" w:rsidRPr="005837C1" w:rsidRDefault="003F5324" w:rsidP="009D0850">
    <w:pPr>
      <w:jc w:val="right"/>
    </w:pPr>
    <w:r>
      <w:t>Annexe III, p</w:t>
    </w:r>
    <w:r w:rsidRPr="005837C1">
      <w:t xml:space="preserve">age </w:t>
    </w:r>
    <w:r w:rsidRPr="005837C1">
      <w:fldChar w:fldCharType="begin"/>
    </w:r>
    <w:r w:rsidRPr="005837C1">
      <w:instrText xml:space="preserve"> PAGE   \* MERGEFORMAT </w:instrText>
    </w:r>
    <w:r w:rsidRPr="005837C1">
      <w:fldChar w:fldCharType="separate"/>
    </w:r>
    <w:r w:rsidR="006854DE">
      <w:rPr>
        <w:noProof/>
      </w:rPr>
      <w:t>2</w:t>
    </w:r>
    <w:r w:rsidRPr="005837C1">
      <w:rPr>
        <w:noProof/>
      </w:rPr>
      <w:fldChar w:fldCharType="end"/>
    </w:r>
  </w:p>
  <w:p w:rsidR="003F5324" w:rsidRPr="00FD4E36" w:rsidRDefault="003F5324" w:rsidP="0039440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24" w:rsidRPr="00FD4E36" w:rsidRDefault="003F5324" w:rsidP="00FD4E36">
    <w:pPr>
      <w:jc w:val="right"/>
    </w:pPr>
    <w:r w:rsidRPr="00FD4E36">
      <w:t>CDIP/1</w:t>
    </w:r>
    <w:r>
      <w:t>3</w:t>
    </w:r>
    <w:r w:rsidRPr="00FD4E36">
      <w:t>/</w:t>
    </w:r>
    <w:r>
      <w:t>11</w:t>
    </w:r>
  </w:p>
  <w:p w:rsidR="003F5324" w:rsidRDefault="003F5324" w:rsidP="00FD4E36">
    <w:pPr>
      <w:pStyle w:val="Header"/>
      <w:jc w:val="right"/>
    </w:pPr>
    <w:r>
      <w:t>ANNEXE</w:t>
    </w:r>
    <w:r w:rsidRPr="00FD4E36">
      <w:t xml:space="preserve"> </w:t>
    </w:r>
    <w:r>
      <w:t>II</w:t>
    </w:r>
    <w:r w:rsidRPr="00FD4E36">
      <w:t>I</w:t>
    </w:r>
  </w:p>
  <w:p w:rsidR="003F5324" w:rsidRDefault="003F5324" w:rsidP="00AE6B59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24" w:rsidRPr="005837C1" w:rsidRDefault="003F5324" w:rsidP="009D0850">
    <w:pPr>
      <w:jc w:val="right"/>
    </w:pPr>
    <w:r w:rsidRPr="005837C1">
      <w:t>CDIP/1</w:t>
    </w:r>
    <w:r>
      <w:t>3</w:t>
    </w:r>
    <w:r w:rsidRPr="005837C1">
      <w:t>/</w:t>
    </w:r>
    <w:r>
      <w:t>11</w:t>
    </w:r>
  </w:p>
  <w:p w:rsidR="003F5324" w:rsidRPr="005837C1" w:rsidRDefault="003F5324" w:rsidP="009D0850">
    <w:pPr>
      <w:jc w:val="right"/>
    </w:pPr>
    <w:r>
      <w:t>Annexe IV, p</w:t>
    </w:r>
    <w:r w:rsidRPr="005837C1">
      <w:t xml:space="preserve">age </w:t>
    </w:r>
    <w:r w:rsidRPr="005837C1">
      <w:fldChar w:fldCharType="begin"/>
    </w:r>
    <w:r w:rsidRPr="005837C1">
      <w:instrText xml:space="preserve"> PAGE   \* MERGEFORMAT </w:instrText>
    </w:r>
    <w:r w:rsidRPr="005837C1">
      <w:fldChar w:fldCharType="separate"/>
    </w:r>
    <w:r w:rsidR="006854DE">
      <w:rPr>
        <w:noProof/>
      </w:rPr>
      <w:t>2</w:t>
    </w:r>
    <w:r w:rsidRPr="005837C1">
      <w:rPr>
        <w:noProof/>
      </w:rPr>
      <w:fldChar w:fldCharType="end"/>
    </w:r>
  </w:p>
  <w:p w:rsidR="003F5324" w:rsidRPr="00FD4E36" w:rsidRDefault="003F5324" w:rsidP="00C6579B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24" w:rsidRPr="00FD4E36" w:rsidRDefault="003F5324" w:rsidP="00FD4E36">
    <w:pPr>
      <w:jc w:val="right"/>
    </w:pPr>
    <w:r w:rsidRPr="00FD4E36">
      <w:t>CDIP/1</w:t>
    </w:r>
    <w:r>
      <w:t>3</w:t>
    </w:r>
    <w:r w:rsidRPr="00FD4E36">
      <w:t>/</w:t>
    </w:r>
    <w:r>
      <w:t>11</w:t>
    </w:r>
  </w:p>
  <w:p w:rsidR="003F5324" w:rsidRDefault="003F5324" w:rsidP="00FD4E36">
    <w:pPr>
      <w:pStyle w:val="Header"/>
      <w:jc w:val="right"/>
    </w:pPr>
    <w:r>
      <w:t>ANNEXE</w:t>
    </w:r>
    <w:r w:rsidRPr="00FD4E36">
      <w:t xml:space="preserve"> </w:t>
    </w:r>
    <w:r>
      <w:t>IV</w:t>
    </w:r>
  </w:p>
  <w:p w:rsidR="003F5324" w:rsidRDefault="003F5324" w:rsidP="002D38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73C7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E75E89"/>
    <w:multiLevelType w:val="multilevel"/>
    <w:tmpl w:val="EFB80400"/>
    <w:lvl w:ilvl="0">
      <w:start w:val="1"/>
      <w:numFmt w:val="lowerRoman"/>
      <w:lvlText w:val="(%1)"/>
      <w:lvlJc w:val="righ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2A61B0B"/>
    <w:multiLevelType w:val="multilevel"/>
    <w:tmpl w:val="E5BE4168"/>
    <w:lvl w:ilvl="0">
      <w:start w:val="1"/>
      <w:numFmt w:val="lowerLetter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>
    <w:nsid w:val="1A7954C3"/>
    <w:multiLevelType w:val="multilevel"/>
    <w:tmpl w:val="DB6A0B6A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>
    <w:nsid w:val="1C3B3F0C"/>
    <w:multiLevelType w:val="multilevel"/>
    <w:tmpl w:val="9054774A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>
    <w:nsid w:val="1D6846E5"/>
    <w:multiLevelType w:val="multilevel"/>
    <w:tmpl w:val="94587508"/>
    <w:lvl w:ilvl="0">
      <w:start w:val="1"/>
      <w:numFmt w:val="lowerRoman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9E3131D"/>
    <w:multiLevelType w:val="multilevel"/>
    <w:tmpl w:val="DF9C0CFC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>
    <w:nsid w:val="2DFC61E4"/>
    <w:multiLevelType w:val="hybridMultilevel"/>
    <w:tmpl w:val="72FC96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514C0"/>
    <w:multiLevelType w:val="multilevel"/>
    <w:tmpl w:val="4C2ED06E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>
    <w:nsid w:val="427E309E"/>
    <w:multiLevelType w:val="multilevel"/>
    <w:tmpl w:val="B080BC18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>
    <w:nsid w:val="449263CC"/>
    <w:multiLevelType w:val="hybridMultilevel"/>
    <w:tmpl w:val="BD2852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000D82"/>
    <w:multiLevelType w:val="multilevel"/>
    <w:tmpl w:val="40F6B2C6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>
    <w:nsid w:val="6E4A49D7"/>
    <w:multiLevelType w:val="multilevel"/>
    <w:tmpl w:val="40F6B2C6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6"/>
  </w:num>
  <w:num w:numId="5">
    <w:abstractNumId w:val="12"/>
  </w:num>
  <w:num w:numId="6">
    <w:abstractNumId w:val="9"/>
  </w:num>
  <w:num w:numId="7">
    <w:abstractNumId w:val="4"/>
  </w:num>
  <w:num w:numId="8">
    <w:abstractNumId w:val="8"/>
  </w:num>
  <w:num w:numId="9">
    <w:abstractNumId w:val="14"/>
  </w:num>
  <w:num w:numId="10">
    <w:abstractNumId w:val="5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2"/>
  </w:num>
  <w:num w:numId="17">
    <w:abstractNumId w:val="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proofState w:spelling="clean" w:grammar="clean"/>
  <w:defaultTabStop w:val="567"/>
  <w:hyphenationZone w:val="425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1D"/>
    <w:rsid w:val="000138AA"/>
    <w:rsid w:val="0001745B"/>
    <w:rsid w:val="00020885"/>
    <w:rsid w:val="00033D0D"/>
    <w:rsid w:val="00035033"/>
    <w:rsid w:val="00046B6D"/>
    <w:rsid w:val="0006368C"/>
    <w:rsid w:val="00065F09"/>
    <w:rsid w:val="00071CB3"/>
    <w:rsid w:val="00076221"/>
    <w:rsid w:val="00083864"/>
    <w:rsid w:val="000848CA"/>
    <w:rsid w:val="00085019"/>
    <w:rsid w:val="000975AA"/>
    <w:rsid w:val="000A0B48"/>
    <w:rsid w:val="000A3347"/>
    <w:rsid w:val="000A7B37"/>
    <w:rsid w:val="000B3FAD"/>
    <w:rsid w:val="000D1FF2"/>
    <w:rsid w:val="000D31D7"/>
    <w:rsid w:val="000D71DB"/>
    <w:rsid w:val="000E11C1"/>
    <w:rsid w:val="000F15A0"/>
    <w:rsid w:val="000F4E00"/>
    <w:rsid w:val="0010162F"/>
    <w:rsid w:val="00104D70"/>
    <w:rsid w:val="00114C6E"/>
    <w:rsid w:val="00115FE3"/>
    <w:rsid w:val="0011646F"/>
    <w:rsid w:val="00121004"/>
    <w:rsid w:val="001351A9"/>
    <w:rsid w:val="0014085A"/>
    <w:rsid w:val="00140D90"/>
    <w:rsid w:val="001416FD"/>
    <w:rsid w:val="001442E9"/>
    <w:rsid w:val="00153BD6"/>
    <w:rsid w:val="00167CB4"/>
    <w:rsid w:val="0018472B"/>
    <w:rsid w:val="00194C81"/>
    <w:rsid w:val="001A4279"/>
    <w:rsid w:val="001B3634"/>
    <w:rsid w:val="001B4814"/>
    <w:rsid w:val="001B6FEF"/>
    <w:rsid w:val="001D1037"/>
    <w:rsid w:val="001E6406"/>
    <w:rsid w:val="002009B3"/>
    <w:rsid w:val="00212FE6"/>
    <w:rsid w:val="0023174A"/>
    <w:rsid w:val="00257E16"/>
    <w:rsid w:val="00261CC5"/>
    <w:rsid w:val="00265EA7"/>
    <w:rsid w:val="0027021E"/>
    <w:rsid w:val="00275E16"/>
    <w:rsid w:val="0029561C"/>
    <w:rsid w:val="002B3AA2"/>
    <w:rsid w:val="002B57B1"/>
    <w:rsid w:val="002C1E7C"/>
    <w:rsid w:val="002D0339"/>
    <w:rsid w:val="002D3134"/>
    <w:rsid w:val="002D3895"/>
    <w:rsid w:val="002D4427"/>
    <w:rsid w:val="002D735F"/>
    <w:rsid w:val="002E22BD"/>
    <w:rsid w:val="00307EEB"/>
    <w:rsid w:val="003236FB"/>
    <w:rsid w:val="00324B00"/>
    <w:rsid w:val="00341AC8"/>
    <w:rsid w:val="00342BF1"/>
    <w:rsid w:val="00343EF3"/>
    <w:rsid w:val="00353758"/>
    <w:rsid w:val="00360465"/>
    <w:rsid w:val="00364D54"/>
    <w:rsid w:val="00370F4A"/>
    <w:rsid w:val="00371135"/>
    <w:rsid w:val="003814B2"/>
    <w:rsid w:val="00382281"/>
    <w:rsid w:val="00384DC7"/>
    <w:rsid w:val="00394409"/>
    <w:rsid w:val="003A11AF"/>
    <w:rsid w:val="003A54FF"/>
    <w:rsid w:val="003B0D89"/>
    <w:rsid w:val="003C0947"/>
    <w:rsid w:val="003C203E"/>
    <w:rsid w:val="003C5DD6"/>
    <w:rsid w:val="003D2B74"/>
    <w:rsid w:val="003D6CA4"/>
    <w:rsid w:val="003E23BF"/>
    <w:rsid w:val="003E5348"/>
    <w:rsid w:val="003F52B9"/>
    <w:rsid w:val="003F5324"/>
    <w:rsid w:val="004071CA"/>
    <w:rsid w:val="00413A85"/>
    <w:rsid w:val="004302C7"/>
    <w:rsid w:val="004419D3"/>
    <w:rsid w:val="00441F7E"/>
    <w:rsid w:val="00457B62"/>
    <w:rsid w:val="00477104"/>
    <w:rsid w:val="00485BC0"/>
    <w:rsid w:val="0049020B"/>
    <w:rsid w:val="004939A6"/>
    <w:rsid w:val="00496847"/>
    <w:rsid w:val="004A40B3"/>
    <w:rsid w:val="004A662B"/>
    <w:rsid w:val="004A6DC9"/>
    <w:rsid w:val="004B1679"/>
    <w:rsid w:val="004B39D3"/>
    <w:rsid w:val="004B4131"/>
    <w:rsid w:val="004C1F63"/>
    <w:rsid w:val="004C54D1"/>
    <w:rsid w:val="004E6DAB"/>
    <w:rsid w:val="004F7BD0"/>
    <w:rsid w:val="005058B4"/>
    <w:rsid w:val="00506A98"/>
    <w:rsid w:val="00526EBB"/>
    <w:rsid w:val="00536DA8"/>
    <w:rsid w:val="00540D41"/>
    <w:rsid w:val="00554D55"/>
    <w:rsid w:val="005577CF"/>
    <w:rsid w:val="00560AFC"/>
    <w:rsid w:val="00561449"/>
    <w:rsid w:val="00564F8B"/>
    <w:rsid w:val="00570045"/>
    <w:rsid w:val="00572028"/>
    <w:rsid w:val="00572BA4"/>
    <w:rsid w:val="0058199F"/>
    <w:rsid w:val="005837C1"/>
    <w:rsid w:val="00587B4E"/>
    <w:rsid w:val="00594416"/>
    <w:rsid w:val="00595039"/>
    <w:rsid w:val="00595A1C"/>
    <w:rsid w:val="0059721D"/>
    <w:rsid w:val="005A2D58"/>
    <w:rsid w:val="005A4978"/>
    <w:rsid w:val="005B1CAC"/>
    <w:rsid w:val="005C23E2"/>
    <w:rsid w:val="005D6780"/>
    <w:rsid w:val="005E0B3F"/>
    <w:rsid w:val="005E11C0"/>
    <w:rsid w:val="005E4B1F"/>
    <w:rsid w:val="005F7B9B"/>
    <w:rsid w:val="006041A1"/>
    <w:rsid w:val="006159BF"/>
    <w:rsid w:val="006172CF"/>
    <w:rsid w:val="006210C9"/>
    <w:rsid w:val="0062593A"/>
    <w:rsid w:val="00630D13"/>
    <w:rsid w:val="0063681A"/>
    <w:rsid w:val="006405F6"/>
    <w:rsid w:val="00662168"/>
    <w:rsid w:val="0066423B"/>
    <w:rsid w:val="00665483"/>
    <w:rsid w:val="00665A48"/>
    <w:rsid w:val="00672034"/>
    <w:rsid w:val="00674A5B"/>
    <w:rsid w:val="00685311"/>
    <w:rsid w:val="006854DE"/>
    <w:rsid w:val="00687985"/>
    <w:rsid w:val="00687FA5"/>
    <w:rsid w:val="0069592E"/>
    <w:rsid w:val="0069639C"/>
    <w:rsid w:val="006A3EAD"/>
    <w:rsid w:val="006A3EE4"/>
    <w:rsid w:val="006A6FE0"/>
    <w:rsid w:val="006B2553"/>
    <w:rsid w:val="006B3B43"/>
    <w:rsid w:val="006B43F8"/>
    <w:rsid w:val="006C4A64"/>
    <w:rsid w:val="006D1F2D"/>
    <w:rsid w:val="006E6008"/>
    <w:rsid w:val="006F3D2A"/>
    <w:rsid w:val="006F787F"/>
    <w:rsid w:val="00710F72"/>
    <w:rsid w:val="0071371B"/>
    <w:rsid w:val="00722D0B"/>
    <w:rsid w:val="00726D12"/>
    <w:rsid w:val="00733397"/>
    <w:rsid w:val="007346F9"/>
    <w:rsid w:val="007433B5"/>
    <w:rsid w:val="0076035C"/>
    <w:rsid w:val="00762D0D"/>
    <w:rsid w:val="00763784"/>
    <w:rsid w:val="007675EE"/>
    <w:rsid w:val="00773F33"/>
    <w:rsid w:val="007818D7"/>
    <w:rsid w:val="007943ED"/>
    <w:rsid w:val="00796E69"/>
    <w:rsid w:val="007A2BBD"/>
    <w:rsid w:val="007A36C0"/>
    <w:rsid w:val="007A7EE3"/>
    <w:rsid w:val="007B41D0"/>
    <w:rsid w:val="007B5413"/>
    <w:rsid w:val="007C07BA"/>
    <w:rsid w:val="007D41DD"/>
    <w:rsid w:val="007D4FA6"/>
    <w:rsid w:val="007E2282"/>
    <w:rsid w:val="007F5242"/>
    <w:rsid w:val="007F52D2"/>
    <w:rsid w:val="007F7F19"/>
    <w:rsid w:val="00800255"/>
    <w:rsid w:val="00803C4F"/>
    <w:rsid w:val="008225B4"/>
    <w:rsid w:val="008237EC"/>
    <w:rsid w:val="008240C2"/>
    <w:rsid w:val="00832BAB"/>
    <w:rsid w:val="0083328E"/>
    <w:rsid w:val="008365F6"/>
    <w:rsid w:val="0084395E"/>
    <w:rsid w:val="00843A4E"/>
    <w:rsid w:val="00844EE7"/>
    <w:rsid w:val="008569BB"/>
    <w:rsid w:val="00863373"/>
    <w:rsid w:val="00877FAF"/>
    <w:rsid w:val="008801E9"/>
    <w:rsid w:val="008A4057"/>
    <w:rsid w:val="008A5A92"/>
    <w:rsid w:val="008B3C5E"/>
    <w:rsid w:val="008C5CFE"/>
    <w:rsid w:val="008C6E62"/>
    <w:rsid w:val="008D37DC"/>
    <w:rsid w:val="008E23F1"/>
    <w:rsid w:val="008F6C01"/>
    <w:rsid w:val="009032DF"/>
    <w:rsid w:val="0090363E"/>
    <w:rsid w:val="0091025D"/>
    <w:rsid w:val="009115C5"/>
    <w:rsid w:val="009208B0"/>
    <w:rsid w:val="009365E7"/>
    <w:rsid w:val="0094065D"/>
    <w:rsid w:val="009509CA"/>
    <w:rsid w:val="00952641"/>
    <w:rsid w:val="0096260A"/>
    <w:rsid w:val="00980DD5"/>
    <w:rsid w:val="00985A24"/>
    <w:rsid w:val="00990424"/>
    <w:rsid w:val="00992FCB"/>
    <w:rsid w:val="009A6FE3"/>
    <w:rsid w:val="009B40AD"/>
    <w:rsid w:val="009C17F0"/>
    <w:rsid w:val="009D0850"/>
    <w:rsid w:val="009D1487"/>
    <w:rsid w:val="009D2D34"/>
    <w:rsid w:val="009F17E4"/>
    <w:rsid w:val="009F3C87"/>
    <w:rsid w:val="009F5DD6"/>
    <w:rsid w:val="00A0366F"/>
    <w:rsid w:val="00A10CB8"/>
    <w:rsid w:val="00A1131A"/>
    <w:rsid w:val="00A251BB"/>
    <w:rsid w:val="00A352F8"/>
    <w:rsid w:val="00A35815"/>
    <w:rsid w:val="00A41655"/>
    <w:rsid w:val="00A43AE4"/>
    <w:rsid w:val="00A47CFC"/>
    <w:rsid w:val="00A51454"/>
    <w:rsid w:val="00A54F3B"/>
    <w:rsid w:val="00A5663A"/>
    <w:rsid w:val="00A56D1A"/>
    <w:rsid w:val="00A60B82"/>
    <w:rsid w:val="00A61D99"/>
    <w:rsid w:val="00A66B98"/>
    <w:rsid w:val="00A67CC2"/>
    <w:rsid w:val="00A67F34"/>
    <w:rsid w:val="00A7606E"/>
    <w:rsid w:val="00A808DC"/>
    <w:rsid w:val="00A93B83"/>
    <w:rsid w:val="00A944EB"/>
    <w:rsid w:val="00AA40CA"/>
    <w:rsid w:val="00AA6FA0"/>
    <w:rsid w:val="00AA719B"/>
    <w:rsid w:val="00AB45CC"/>
    <w:rsid w:val="00AD4174"/>
    <w:rsid w:val="00AE371A"/>
    <w:rsid w:val="00AE6B59"/>
    <w:rsid w:val="00B01A74"/>
    <w:rsid w:val="00B02C4F"/>
    <w:rsid w:val="00B1002B"/>
    <w:rsid w:val="00B10E13"/>
    <w:rsid w:val="00B32F8B"/>
    <w:rsid w:val="00B33884"/>
    <w:rsid w:val="00B37F0E"/>
    <w:rsid w:val="00B45D62"/>
    <w:rsid w:val="00B46566"/>
    <w:rsid w:val="00B57EA1"/>
    <w:rsid w:val="00B67D5A"/>
    <w:rsid w:val="00B70E49"/>
    <w:rsid w:val="00B71BDF"/>
    <w:rsid w:val="00B73837"/>
    <w:rsid w:val="00B75A85"/>
    <w:rsid w:val="00B86C6C"/>
    <w:rsid w:val="00BA2BD5"/>
    <w:rsid w:val="00BB2E0F"/>
    <w:rsid w:val="00BD62F5"/>
    <w:rsid w:val="00BE07B5"/>
    <w:rsid w:val="00C06CF3"/>
    <w:rsid w:val="00C1087F"/>
    <w:rsid w:val="00C20D5D"/>
    <w:rsid w:val="00C22574"/>
    <w:rsid w:val="00C241A5"/>
    <w:rsid w:val="00C376C8"/>
    <w:rsid w:val="00C62D17"/>
    <w:rsid w:val="00C6579B"/>
    <w:rsid w:val="00C665EA"/>
    <w:rsid w:val="00C91766"/>
    <w:rsid w:val="00C93979"/>
    <w:rsid w:val="00CA3DE0"/>
    <w:rsid w:val="00CB031F"/>
    <w:rsid w:val="00CB12B5"/>
    <w:rsid w:val="00CB1C1A"/>
    <w:rsid w:val="00CC42A3"/>
    <w:rsid w:val="00CC4837"/>
    <w:rsid w:val="00CD38E6"/>
    <w:rsid w:val="00CD4670"/>
    <w:rsid w:val="00CE0A83"/>
    <w:rsid w:val="00CF1B9C"/>
    <w:rsid w:val="00CF4153"/>
    <w:rsid w:val="00D060B4"/>
    <w:rsid w:val="00D10918"/>
    <w:rsid w:val="00D13303"/>
    <w:rsid w:val="00D21143"/>
    <w:rsid w:val="00D22A6B"/>
    <w:rsid w:val="00D2484E"/>
    <w:rsid w:val="00D33A6C"/>
    <w:rsid w:val="00D35647"/>
    <w:rsid w:val="00D37B45"/>
    <w:rsid w:val="00D41FAB"/>
    <w:rsid w:val="00D466FD"/>
    <w:rsid w:val="00D46D4C"/>
    <w:rsid w:val="00D84955"/>
    <w:rsid w:val="00D87C56"/>
    <w:rsid w:val="00D913E0"/>
    <w:rsid w:val="00D91C43"/>
    <w:rsid w:val="00D9296D"/>
    <w:rsid w:val="00DA45DA"/>
    <w:rsid w:val="00DB754B"/>
    <w:rsid w:val="00DD5447"/>
    <w:rsid w:val="00DE293D"/>
    <w:rsid w:val="00DE3FF5"/>
    <w:rsid w:val="00DE78AF"/>
    <w:rsid w:val="00E06EE2"/>
    <w:rsid w:val="00E15EA6"/>
    <w:rsid w:val="00E22519"/>
    <w:rsid w:val="00E30BBD"/>
    <w:rsid w:val="00E33469"/>
    <w:rsid w:val="00E416A9"/>
    <w:rsid w:val="00E500F7"/>
    <w:rsid w:val="00E5239C"/>
    <w:rsid w:val="00E53120"/>
    <w:rsid w:val="00E60742"/>
    <w:rsid w:val="00E659DD"/>
    <w:rsid w:val="00E65C26"/>
    <w:rsid w:val="00E86974"/>
    <w:rsid w:val="00E87FB3"/>
    <w:rsid w:val="00E93CE5"/>
    <w:rsid w:val="00E97F03"/>
    <w:rsid w:val="00EA54F6"/>
    <w:rsid w:val="00EB0C54"/>
    <w:rsid w:val="00EC0740"/>
    <w:rsid w:val="00EC5AEC"/>
    <w:rsid w:val="00EC7F0D"/>
    <w:rsid w:val="00ED6096"/>
    <w:rsid w:val="00EE11EE"/>
    <w:rsid w:val="00EE2E2F"/>
    <w:rsid w:val="00EE5CDA"/>
    <w:rsid w:val="00F00EB4"/>
    <w:rsid w:val="00F108C9"/>
    <w:rsid w:val="00F109F8"/>
    <w:rsid w:val="00F265B9"/>
    <w:rsid w:val="00F26EF9"/>
    <w:rsid w:val="00F32FDE"/>
    <w:rsid w:val="00F36135"/>
    <w:rsid w:val="00F453E6"/>
    <w:rsid w:val="00F475D4"/>
    <w:rsid w:val="00F83774"/>
    <w:rsid w:val="00F90C0A"/>
    <w:rsid w:val="00F96726"/>
    <w:rsid w:val="00FB0AF3"/>
    <w:rsid w:val="00FB6866"/>
    <w:rsid w:val="00FC0301"/>
    <w:rsid w:val="00FC608C"/>
    <w:rsid w:val="00FD2E7F"/>
    <w:rsid w:val="00FD475B"/>
    <w:rsid w:val="00FD4E36"/>
    <w:rsid w:val="00FD6600"/>
    <w:rsid w:val="00FE54CC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884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B3388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388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3388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B3388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721D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33884"/>
    <w:pPr>
      <w:spacing w:after="220"/>
    </w:pPr>
  </w:style>
  <w:style w:type="character" w:customStyle="1" w:styleId="BodyTextChar">
    <w:name w:val="Body Text Char"/>
    <w:link w:val="BodyText"/>
    <w:rsid w:val="00992FCB"/>
    <w:rPr>
      <w:rFonts w:ascii="Arial" w:eastAsia="SimSun" w:hAnsi="Arial" w:cs="Arial"/>
      <w:sz w:val="22"/>
      <w:lang w:val="fr-CH" w:eastAsia="zh-CN"/>
    </w:rPr>
  </w:style>
  <w:style w:type="character" w:styleId="FootnoteReference">
    <w:name w:val="footnote reference"/>
    <w:aliases w:val="16 Point,Superscript 6 Point,Ref,de nota al pie"/>
    <w:rsid w:val="00992FC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33884"/>
    <w:rPr>
      <w:sz w:val="18"/>
    </w:rPr>
  </w:style>
  <w:style w:type="character" w:customStyle="1" w:styleId="FootnoteTextChar">
    <w:name w:val="Footnote Text Char"/>
    <w:link w:val="FootnoteText"/>
    <w:semiHidden/>
    <w:rsid w:val="00992FCB"/>
    <w:rPr>
      <w:rFonts w:ascii="Arial" w:eastAsia="SimSun" w:hAnsi="Arial" w:cs="Arial"/>
      <w:sz w:val="18"/>
      <w:lang w:val="fr-CH" w:eastAsia="zh-CN"/>
    </w:rPr>
  </w:style>
  <w:style w:type="paragraph" w:customStyle="1" w:styleId="Default">
    <w:name w:val="Default"/>
    <w:rsid w:val="007E228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956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78AF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FD4E36"/>
    <w:rPr>
      <w:color w:val="356895"/>
      <w:u w:val="single"/>
    </w:rPr>
  </w:style>
  <w:style w:type="paragraph" w:customStyle="1" w:styleId="ONUME">
    <w:name w:val="ONUM E"/>
    <w:basedOn w:val="BodyText"/>
    <w:rsid w:val="00B33884"/>
    <w:pPr>
      <w:numPr>
        <w:numId w:val="16"/>
      </w:numPr>
    </w:pPr>
  </w:style>
  <w:style w:type="paragraph" w:styleId="Header">
    <w:name w:val="header"/>
    <w:basedOn w:val="Normal"/>
    <w:link w:val="HeaderChar"/>
    <w:rsid w:val="00B3388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4E36"/>
    <w:rPr>
      <w:rFonts w:ascii="Arial" w:eastAsia="SimSun" w:hAnsi="Arial" w:cs="Arial"/>
      <w:sz w:val="22"/>
      <w:lang w:val="fr-CH" w:eastAsia="zh-CN"/>
    </w:rPr>
  </w:style>
  <w:style w:type="paragraph" w:styleId="Footer">
    <w:name w:val="footer"/>
    <w:basedOn w:val="Normal"/>
    <w:link w:val="FooterChar"/>
    <w:rsid w:val="00B3388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D4E36"/>
    <w:rPr>
      <w:rFonts w:ascii="Arial" w:eastAsia="SimSun" w:hAnsi="Arial" w:cs="Arial"/>
      <w:sz w:val="22"/>
      <w:lang w:val="fr-CH" w:eastAsia="zh-CN"/>
    </w:rPr>
  </w:style>
  <w:style w:type="character" w:styleId="CommentReference">
    <w:name w:val="annotation reference"/>
    <w:uiPriority w:val="99"/>
    <w:semiHidden/>
    <w:unhideWhenUsed/>
    <w:rsid w:val="00FD4E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3884"/>
    <w:rPr>
      <w:sz w:val="18"/>
    </w:rPr>
  </w:style>
  <w:style w:type="character" w:customStyle="1" w:styleId="CommentTextChar">
    <w:name w:val="Comment Text Char"/>
    <w:link w:val="CommentText"/>
    <w:semiHidden/>
    <w:rsid w:val="00FD4E36"/>
    <w:rPr>
      <w:rFonts w:ascii="Arial" w:eastAsia="SimSun" w:hAnsi="Arial" w:cs="Arial"/>
      <w:sz w:val="18"/>
      <w:lang w:val="fr-CH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E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4E3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Style1">
    <w:name w:val="Style1"/>
    <w:basedOn w:val="TableGrid"/>
    <w:uiPriority w:val="99"/>
    <w:rsid w:val="001351A9"/>
    <w:rPr>
      <w:rFonts w:ascii="Arial" w:eastAsia="Calibri" w:hAnsi="Arial"/>
      <w:sz w:val="22"/>
      <w:szCs w:val="22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C6D9F1"/>
      </w:tcPr>
    </w:tblStylePr>
  </w:style>
  <w:style w:type="paragraph" w:customStyle="1" w:styleId="CarCar">
    <w:name w:val="Car Car"/>
    <w:basedOn w:val="Normal"/>
    <w:rsid w:val="00370F4A"/>
    <w:pPr>
      <w:spacing w:after="160" w:line="240" w:lineRule="exact"/>
    </w:pPr>
    <w:rPr>
      <w:rFonts w:ascii="Verdana" w:hAnsi="Verdana"/>
      <w:sz w:val="20"/>
      <w:lang w:val="en-GB"/>
    </w:rPr>
  </w:style>
  <w:style w:type="paragraph" w:customStyle="1" w:styleId="std">
    <w:name w:val="std"/>
    <w:basedOn w:val="Normal"/>
    <w:rsid w:val="00CA3DE0"/>
    <w:rPr>
      <w:szCs w:val="24"/>
      <w:lang w:eastAsia="fr-FR"/>
    </w:rPr>
  </w:style>
  <w:style w:type="character" w:styleId="Emphasis">
    <w:name w:val="Emphasis"/>
    <w:uiPriority w:val="20"/>
    <w:qFormat/>
    <w:rsid w:val="00A41655"/>
    <w:rPr>
      <w:i/>
      <w:iCs/>
    </w:rPr>
  </w:style>
  <w:style w:type="character" w:customStyle="1" w:styleId="apple-converted-space">
    <w:name w:val="apple-converted-space"/>
    <w:basedOn w:val="DefaultParagraphFont"/>
    <w:rsid w:val="00A41655"/>
  </w:style>
  <w:style w:type="paragraph" w:customStyle="1" w:styleId="Endofdocument-Annex">
    <w:name w:val="[End of document - Annex]"/>
    <w:basedOn w:val="Normal"/>
    <w:rsid w:val="00B33884"/>
    <w:pPr>
      <w:ind w:left="5534"/>
    </w:pPr>
    <w:rPr>
      <w:lang w:val="en-US"/>
    </w:rPr>
  </w:style>
  <w:style w:type="paragraph" w:styleId="Caption">
    <w:name w:val="caption"/>
    <w:basedOn w:val="Normal"/>
    <w:next w:val="Normal"/>
    <w:qFormat/>
    <w:rsid w:val="00B33884"/>
    <w:rPr>
      <w:b/>
      <w:bCs/>
      <w:sz w:val="18"/>
    </w:rPr>
  </w:style>
  <w:style w:type="paragraph" w:styleId="EndnoteText">
    <w:name w:val="endnote text"/>
    <w:basedOn w:val="Normal"/>
    <w:link w:val="EndnoteTextChar"/>
    <w:semiHidden/>
    <w:rsid w:val="00B33884"/>
    <w:rPr>
      <w:sz w:val="18"/>
    </w:rPr>
  </w:style>
  <w:style w:type="character" w:customStyle="1" w:styleId="EndnoteTextChar">
    <w:name w:val="Endnote Text Char"/>
    <w:link w:val="EndnoteText"/>
    <w:semiHidden/>
    <w:rsid w:val="00B33884"/>
    <w:rPr>
      <w:rFonts w:ascii="Arial" w:eastAsia="SimSun" w:hAnsi="Arial" w:cs="Arial"/>
      <w:sz w:val="18"/>
      <w:lang w:val="fr-CH" w:eastAsia="zh-CN"/>
    </w:rPr>
  </w:style>
  <w:style w:type="character" w:customStyle="1" w:styleId="Heading1Char">
    <w:name w:val="Heading 1 Char"/>
    <w:link w:val="Heading1"/>
    <w:rsid w:val="00B33884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link w:val="Heading2"/>
    <w:rsid w:val="00B33884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link w:val="Heading3"/>
    <w:rsid w:val="00B33884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link w:val="Heading4"/>
    <w:rsid w:val="00B33884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styleId="ListNumber">
    <w:name w:val="List Number"/>
    <w:basedOn w:val="Normal"/>
    <w:semiHidden/>
    <w:rsid w:val="00B33884"/>
    <w:pPr>
      <w:numPr>
        <w:numId w:val="15"/>
      </w:numPr>
    </w:pPr>
  </w:style>
  <w:style w:type="paragraph" w:customStyle="1" w:styleId="ONUMFS">
    <w:name w:val="ONUM FS"/>
    <w:basedOn w:val="BodyText"/>
    <w:rsid w:val="00B33884"/>
    <w:pPr>
      <w:numPr>
        <w:numId w:val="17"/>
      </w:numPr>
    </w:pPr>
  </w:style>
  <w:style w:type="paragraph" w:styleId="Salutation">
    <w:name w:val="Salutation"/>
    <w:basedOn w:val="Normal"/>
    <w:next w:val="Normal"/>
    <w:link w:val="SalutationChar"/>
    <w:semiHidden/>
    <w:rsid w:val="00B33884"/>
  </w:style>
  <w:style w:type="character" w:customStyle="1" w:styleId="SalutationChar">
    <w:name w:val="Salutation Char"/>
    <w:link w:val="Salutation"/>
    <w:semiHidden/>
    <w:rsid w:val="00B33884"/>
    <w:rPr>
      <w:rFonts w:ascii="Arial" w:eastAsia="SimSun" w:hAnsi="Arial" w:cs="Arial"/>
      <w:sz w:val="22"/>
      <w:lang w:val="fr-CH" w:eastAsia="zh-CN"/>
    </w:rPr>
  </w:style>
  <w:style w:type="paragraph" w:styleId="Signature">
    <w:name w:val="Signature"/>
    <w:basedOn w:val="Normal"/>
    <w:link w:val="SignatureChar"/>
    <w:semiHidden/>
    <w:rsid w:val="00B33884"/>
    <w:pPr>
      <w:ind w:left="5250"/>
    </w:pPr>
  </w:style>
  <w:style w:type="character" w:customStyle="1" w:styleId="SignatureChar">
    <w:name w:val="Signature Char"/>
    <w:link w:val="Signature"/>
    <w:semiHidden/>
    <w:rsid w:val="00B33884"/>
    <w:rPr>
      <w:rFonts w:ascii="Arial" w:eastAsia="SimSun" w:hAnsi="Arial" w:cs="Arial"/>
      <w:sz w:val="2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884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B3388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388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3388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B3388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721D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33884"/>
    <w:pPr>
      <w:spacing w:after="220"/>
    </w:pPr>
  </w:style>
  <w:style w:type="character" w:customStyle="1" w:styleId="BodyTextChar">
    <w:name w:val="Body Text Char"/>
    <w:link w:val="BodyText"/>
    <w:rsid w:val="00992FCB"/>
    <w:rPr>
      <w:rFonts w:ascii="Arial" w:eastAsia="SimSun" w:hAnsi="Arial" w:cs="Arial"/>
      <w:sz w:val="22"/>
      <w:lang w:val="fr-CH" w:eastAsia="zh-CN"/>
    </w:rPr>
  </w:style>
  <w:style w:type="character" w:styleId="FootnoteReference">
    <w:name w:val="footnote reference"/>
    <w:aliases w:val="16 Point,Superscript 6 Point,Ref,de nota al pie"/>
    <w:rsid w:val="00992FC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33884"/>
    <w:rPr>
      <w:sz w:val="18"/>
    </w:rPr>
  </w:style>
  <w:style w:type="character" w:customStyle="1" w:styleId="FootnoteTextChar">
    <w:name w:val="Footnote Text Char"/>
    <w:link w:val="FootnoteText"/>
    <w:semiHidden/>
    <w:rsid w:val="00992FCB"/>
    <w:rPr>
      <w:rFonts w:ascii="Arial" w:eastAsia="SimSun" w:hAnsi="Arial" w:cs="Arial"/>
      <w:sz w:val="18"/>
      <w:lang w:val="fr-CH" w:eastAsia="zh-CN"/>
    </w:rPr>
  </w:style>
  <w:style w:type="paragraph" w:customStyle="1" w:styleId="Default">
    <w:name w:val="Default"/>
    <w:rsid w:val="007E228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956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78AF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FD4E36"/>
    <w:rPr>
      <w:color w:val="356895"/>
      <w:u w:val="single"/>
    </w:rPr>
  </w:style>
  <w:style w:type="paragraph" w:customStyle="1" w:styleId="ONUME">
    <w:name w:val="ONUM E"/>
    <w:basedOn w:val="BodyText"/>
    <w:rsid w:val="00B33884"/>
    <w:pPr>
      <w:numPr>
        <w:numId w:val="16"/>
      </w:numPr>
    </w:pPr>
  </w:style>
  <w:style w:type="paragraph" w:styleId="Header">
    <w:name w:val="header"/>
    <w:basedOn w:val="Normal"/>
    <w:link w:val="HeaderChar"/>
    <w:rsid w:val="00B3388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4E36"/>
    <w:rPr>
      <w:rFonts w:ascii="Arial" w:eastAsia="SimSun" w:hAnsi="Arial" w:cs="Arial"/>
      <w:sz w:val="22"/>
      <w:lang w:val="fr-CH" w:eastAsia="zh-CN"/>
    </w:rPr>
  </w:style>
  <w:style w:type="paragraph" w:styleId="Footer">
    <w:name w:val="footer"/>
    <w:basedOn w:val="Normal"/>
    <w:link w:val="FooterChar"/>
    <w:rsid w:val="00B3388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D4E36"/>
    <w:rPr>
      <w:rFonts w:ascii="Arial" w:eastAsia="SimSun" w:hAnsi="Arial" w:cs="Arial"/>
      <w:sz w:val="22"/>
      <w:lang w:val="fr-CH" w:eastAsia="zh-CN"/>
    </w:rPr>
  </w:style>
  <w:style w:type="character" w:styleId="CommentReference">
    <w:name w:val="annotation reference"/>
    <w:uiPriority w:val="99"/>
    <w:semiHidden/>
    <w:unhideWhenUsed/>
    <w:rsid w:val="00FD4E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3884"/>
    <w:rPr>
      <w:sz w:val="18"/>
    </w:rPr>
  </w:style>
  <w:style w:type="character" w:customStyle="1" w:styleId="CommentTextChar">
    <w:name w:val="Comment Text Char"/>
    <w:link w:val="CommentText"/>
    <w:semiHidden/>
    <w:rsid w:val="00FD4E36"/>
    <w:rPr>
      <w:rFonts w:ascii="Arial" w:eastAsia="SimSun" w:hAnsi="Arial" w:cs="Arial"/>
      <w:sz w:val="18"/>
      <w:lang w:val="fr-CH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E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4E3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Style1">
    <w:name w:val="Style1"/>
    <w:basedOn w:val="TableGrid"/>
    <w:uiPriority w:val="99"/>
    <w:rsid w:val="001351A9"/>
    <w:rPr>
      <w:rFonts w:ascii="Arial" w:eastAsia="Calibri" w:hAnsi="Arial"/>
      <w:sz w:val="22"/>
      <w:szCs w:val="22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C6D9F1"/>
      </w:tcPr>
    </w:tblStylePr>
  </w:style>
  <w:style w:type="paragraph" w:customStyle="1" w:styleId="CarCar">
    <w:name w:val="Car Car"/>
    <w:basedOn w:val="Normal"/>
    <w:rsid w:val="00370F4A"/>
    <w:pPr>
      <w:spacing w:after="160" w:line="240" w:lineRule="exact"/>
    </w:pPr>
    <w:rPr>
      <w:rFonts w:ascii="Verdana" w:hAnsi="Verdana"/>
      <w:sz w:val="20"/>
      <w:lang w:val="en-GB"/>
    </w:rPr>
  </w:style>
  <w:style w:type="paragraph" w:customStyle="1" w:styleId="std">
    <w:name w:val="std"/>
    <w:basedOn w:val="Normal"/>
    <w:rsid w:val="00CA3DE0"/>
    <w:rPr>
      <w:szCs w:val="24"/>
      <w:lang w:eastAsia="fr-FR"/>
    </w:rPr>
  </w:style>
  <w:style w:type="character" w:styleId="Emphasis">
    <w:name w:val="Emphasis"/>
    <w:uiPriority w:val="20"/>
    <w:qFormat/>
    <w:rsid w:val="00A41655"/>
    <w:rPr>
      <w:i/>
      <w:iCs/>
    </w:rPr>
  </w:style>
  <w:style w:type="character" w:customStyle="1" w:styleId="apple-converted-space">
    <w:name w:val="apple-converted-space"/>
    <w:basedOn w:val="DefaultParagraphFont"/>
    <w:rsid w:val="00A41655"/>
  </w:style>
  <w:style w:type="paragraph" w:customStyle="1" w:styleId="Endofdocument-Annex">
    <w:name w:val="[End of document - Annex]"/>
    <w:basedOn w:val="Normal"/>
    <w:rsid w:val="00B33884"/>
    <w:pPr>
      <w:ind w:left="5534"/>
    </w:pPr>
    <w:rPr>
      <w:lang w:val="en-US"/>
    </w:rPr>
  </w:style>
  <w:style w:type="paragraph" w:styleId="Caption">
    <w:name w:val="caption"/>
    <w:basedOn w:val="Normal"/>
    <w:next w:val="Normal"/>
    <w:qFormat/>
    <w:rsid w:val="00B33884"/>
    <w:rPr>
      <w:b/>
      <w:bCs/>
      <w:sz w:val="18"/>
    </w:rPr>
  </w:style>
  <w:style w:type="paragraph" w:styleId="EndnoteText">
    <w:name w:val="endnote text"/>
    <w:basedOn w:val="Normal"/>
    <w:link w:val="EndnoteTextChar"/>
    <w:semiHidden/>
    <w:rsid w:val="00B33884"/>
    <w:rPr>
      <w:sz w:val="18"/>
    </w:rPr>
  </w:style>
  <w:style w:type="character" w:customStyle="1" w:styleId="EndnoteTextChar">
    <w:name w:val="Endnote Text Char"/>
    <w:link w:val="EndnoteText"/>
    <w:semiHidden/>
    <w:rsid w:val="00B33884"/>
    <w:rPr>
      <w:rFonts w:ascii="Arial" w:eastAsia="SimSun" w:hAnsi="Arial" w:cs="Arial"/>
      <w:sz w:val="18"/>
      <w:lang w:val="fr-CH" w:eastAsia="zh-CN"/>
    </w:rPr>
  </w:style>
  <w:style w:type="character" w:customStyle="1" w:styleId="Heading1Char">
    <w:name w:val="Heading 1 Char"/>
    <w:link w:val="Heading1"/>
    <w:rsid w:val="00B33884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link w:val="Heading2"/>
    <w:rsid w:val="00B33884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link w:val="Heading3"/>
    <w:rsid w:val="00B33884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link w:val="Heading4"/>
    <w:rsid w:val="00B33884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styleId="ListNumber">
    <w:name w:val="List Number"/>
    <w:basedOn w:val="Normal"/>
    <w:semiHidden/>
    <w:rsid w:val="00B33884"/>
    <w:pPr>
      <w:numPr>
        <w:numId w:val="15"/>
      </w:numPr>
    </w:pPr>
  </w:style>
  <w:style w:type="paragraph" w:customStyle="1" w:styleId="ONUMFS">
    <w:name w:val="ONUM FS"/>
    <w:basedOn w:val="BodyText"/>
    <w:rsid w:val="00B33884"/>
    <w:pPr>
      <w:numPr>
        <w:numId w:val="17"/>
      </w:numPr>
    </w:pPr>
  </w:style>
  <w:style w:type="paragraph" w:styleId="Salutation">
    <w:name w:val="Salutation"/>
    <w:basedOn w:val="Normal"/>
    <w:next w:val="Normal"/>
    <w:link w:val="SalutationChar"/>
    <w:semiHidden/>
    <w:rsid w:val="00B33884"/>
  </w:style>
  <w:style w:type="character" w:customStyle="1" w:styleId="SalutationChar">
    <w:name w:val="Salutation Char"/>
    <w:link w:val="Salutation"/>
    <w:semiHidden/>
    <w:rsid w:val="00B33884"/>
    <w:rPr>
      <w:rFonts w:ascii="Arial" w:eastAsia="SimSun" w:hAnsi="Arial" w:cs="Arial"/>
      <w:sz w:val="22"/>
      <w:lang w:val="fr-CH" w:eastAsia="zh-CN"/>
    </w:rPr>
  </w:style>
  <w:style w:type="paragraph" w:styleId="Signature">
    <w:name w:val="Signature"/>
    <w:basedOn w:val="Normal"/>
    <w:link w:val="SignatureChar"/>
    <w:semiHidden/>
    <w:rsid w:val="00B33884"/>
    <w:pPr>
      <w:ind w:left="5250"/>
    </w:pPr>
  </w:style>
  <w:style w:type="character" w:customStyle="1" w:styleId="SignatureChar">
    <w:name w:val="Signature Char"/>
    <w:link w:val="Signature"/>
    <w:semiHidden/>
    <w:rsid w:val="00B33884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4.xml"/><Relationship Id="rId26" Type="http://schemas.openxmlformats.org/officeDocument/2006/relationships/header" Target="header12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5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10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emf"/><Relationship Id="rId22" Type="http://schemas.openxmlformats.org/officeDocument/2006/relationships/header" Target="header8.xml"/><Relationship Id="rId27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1BF68-CD43-4115-ADDB-783A09C32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4A2A3-F744-41B3-BD6D-6B6F4D9D9B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742F4B-523E-4A50-A3A2-7E2830CFF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4AA48C-C126-44D4-BA35-A4FD778586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7D8AD5-9D26-4462-A1AF-23EEBAAFA78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929ED0A-2BAB-4673-8173-85C897A7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3743</Words>
  <Characters>21673</Characters>
  <Application>Microsoft Office Word</Application>
  <DocSecurity>4</DocSecurity>
  <Lines>942</Lines>
  <Paragraphs>325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Copyright</dc:subject>
  <dc:creator>Rafael Ferraz Vazquez</dc:creator>
  <cp:keywords>MP/ko</cp:keywords>
  <cp:lastModifiedBy>BRACI Biljana</cp:lastModifiedBy>
  <cp:revision>2</cp:revision>
  <cp:lastPrinted>2014-04-30T11:28:00Z</cp:lastPrinted>
  <dcterms:created xsi:type="dcterms:W3CDTF">2014-04-30T13:12:00Z</dcterms:created>
  <dcterms:modified xsi:type="dcterms:W3CDTF">2014-04-30T13:12:00Z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-690129734</vt:i4>
  </property>
</Properties>
</file>