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800B7" w:rsidRPr="001800B7" w:rsidTr="00BC7B6C">
        <w:tc>
          <w:tcPr>
            <w:tcW w:w="4513" w:type="dxa"/>
            <w:tcBorders>
              <w:bottom w:val="single" w:sz="4" w:space="0" w:color="auto"/>
            </w:tcBorders>
            <w:tcMar>
              <w:bottom w:w="170" w:type="dxa"/>
            </w:tcMar>
          </w:tcPr>
          <w:p w:rsidR="00BC7B6C" w:rsidRPr="001800B7" w:rsidRDefault="00BC7B6C" w:rsidP="00BC7B6C">
            <w:bookmarkStart w:id="0" w:name="TitleOfDoc"/>
            <w:bookmarkEnd w:id="0"/>
          </w:p>
        </w:tc>
        <w:tc>
          <w:tcPr>
            <w:tcW w:w="4337" w:type="dxa"/>
            <w:tcBorders>
              <w:bottom w:val="single" w:sz="4" w:space="0" w:color="auto"/>
            </w:tcBorders>
            <w:tcMar>
              <w:left w:w="0" w:type="dxa"/>
              <w:bottom w:w="170" w:type="dxa"/>
              <w:right w:w="0" w:type="dxa"/>
            </w:tcMar>
          </w:tcPr>
          <w:p w:rsidR="00BC7B6C" w:rsidRPr="001800B7" w:rsidRDefault="00BC7B6C" w:rsidP="00BC7B6C">
            <w:r w:rsidRPr="001800B7">
              <w:rPr>
                <w:noProof/>
                <w:lang w:val="en-US" w:eastAsia="en-US"/>
              </w:rPr>
              <w:drawing>
                <wp:inline distT="0" distB="0" distL="0" distR="0" wp14:anchorId="761FAC65" wp14:editId="38258D2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BC7B6C" w:rsidRPr="001800B7" w:rsidRDefault="00BC7B6C" w:rsidP="00BC7B6C">
            <w:pPr>
              <w:jc w:val="right"/>
            </w:pPr>
            <w:r w:rsidRPr="001800B7">
              <w:rPr>
                <w:b/>
                <w:sz w:val="40"/>
                <w:szCs w:val="40"/>
              </w:rPr>
              <w:t>F</w:t>
            </w:r>
          </w:p>
        </w:tc>
      </w:tr>
      <w:tr w:rsidR="001800B7" w:rsidRPr="001800B7" w:rsidTr="00BC7B6C">
        <w:trPr>
          <w:trHeight w:hRule="exact" w:val="340"/>
        </w:trPr>
        <w:tc>
          <w:tcPr>
            <w:tcW w:w="9356" w:type="dxa"/>
            <w:gridSpan w:val="3"/>
            <w:tcBorders>
              <w:top w:val="single" w:sz="4" w:space="0" w:color="auto"/>
            </w:tcBorders>
            <w:tcMar>
              <w:top w:w="170" w:type="dxa"/>
              <w:left w:w="0" w:type="dxa"/>
              <w:right w:w="0" w:type="dxa"/>
            </w:tcMar>
            <w:vAlign w:val="bottom"/>
          </w:tcPr>
          <w:p w:rsidR="00BC7B6C" w:rsidRPr="001800B7" w:rsidRDefault="00BC7B6C" w:rsidP="00BC7B6C">
            <w:pPr>
              <w:jc w:val="right"/>
              <w:rPr>
                <w:rFonts w:ascii="Arial Black" w:hAnsi="Arial Black"/>
                <w:caps/>
                <w:sz w:val="15"/>
              </w:rPr>
            </w:pPr>
            <w:r w:rsidRPr="001800B7">
              <w:rPr>
                <w:rFonts w:ascii="Arial Black" w:hAnsi="Arial Black"/>
                <w:caps/>
                <w:sz w:val="15"/>
              </w:rPr>
              <w:t>cdip/14/2</w:t>
            </w:r>
          </w:p>
        </w:tc>
      </w:tr>
      <w:tr w:rsidR="001800B7" w:rsidRPr="001800B7" w:rsidTr="00BC7B6C">
        <w:trPr>
          <w:trHeight w:hRule="exact" w:val="170"/>
        </w:trPr>
        <w:tc>
          <w:tcPr>
            <w:tcW w:w="9356" w:type="dxa"/>
            <w:gridSpan w:val="3"/>
            <w:noWrap/>
            <w:tcMar>
              <w:left w:w="0" w:type="dxa"/>
              <w:right w:w="0" w:type="dxa"/>
            </w:tcMar>
            <w:vAlign w:val="bottom"/>
          </w:tcPr>
          <w:p w:rsidR="00BC7B6C" w:rsidRPr="001800B7" w:rsidRDefault="00BC7B6C" w:rsidP="00BC7B6C">
            <w:pPr>
              <w:jc w:val="right"/>
              <w:rPr>
                <w:rFonts w:ascii="Arial Black" w:hAnsi="Arial Black"/>
                <w:caps/>
                <w:sz w:val="15"/>
              </w:rPr>
            </w:pPr>
            <w:r w:rsidRPr="001800B7">
              <w:rPr>
                <w:rFonts w:ascii="Arial Black" w:hAnsi="Arial Black"/>
                <w:caps/>
                <w:sz w:val="15"/>
              </w:rPr>
              <w:t>ORIGINAL</w:t>
            </w:r>
            <w:r w:rsidR="008005FD" w:rsidRPr="001800B7">
              <w:rPr>
                <w:rFonts w:ascii="Arial Black" w:hAnsi="Arial Black"/>
                <w:caps/>
                <w:sz w:val="15"/>
              </w:rPr>
              <w:t> </w:t>
            </w:r>
            <w:r w:rsidRPr="001800B7">
              <w:rPr>
                <w:rFonts w:ascii="Arial Black" w:hAnsi="Arial Black"/>
                <w:caps/>
                <w:sz w:val="15"/>
              </w:rPr>
              <w:t xml:space="preserve">: </w:t>
            </w:r>
            <w:bookmarkStart w:id="1" w:name="Original"/>
            <w:bookmarkEnd w:id="1"/>
            <w:r w:rsidRPr="001800B7">
              <w:rPr>
                <w:rFonts w:ascii="Arial Black" w:hAnsi="Arial Black"/>
                <w:caps/>
                <w:sz w:val="15"/>
              </w:rPr>
              <w:t>anglais</w:t>
            </w:r>
          </w:p>
        </w:tc>
      </w:tr>
      <w:tr w:rsidR="001800B7" w:rsidRPr="001800B7" w:rsidTr="00BC7B6C">
        <w:trPr>
          <w:trHeight w:hRule="exact" w:val="198"/>
        </w:trPr>
        <w:tc>
          <w:tcPr>
            <w:tcW w:w="9356" w:type="dxa"/>
            <w:gridSpan w:val="3"/>
            <w:tcMar>
              <w:left w:w="0" w:type="dxa"/>
              <w:right w:w="0" w:type="dxa"/>
            </w:tcMar>
            <w:vAlign w:val="bottom"/>
          </w:tcPr>
          <w:p w:rsidR="00BC7B6C" w:rsidRPr="001800B7" w:rsidRDefault="00BC7B6C" w:rsidP="00BC7B6C">
            <w:pPr>
              <w:jc w:val="right"/>
              <w:rPr>
                <w:rFonts w:ascii="Arial Black" w:hAnsi="Arial Black"/>
                <w:caps/>
                <w:sz w:val="15"/>
              </w:rPr>
            </w:pPr>
            <w:r w:rsidRPr="001800B7">
              <w:rPr>
                <w:rFonts w:ascii="Arial Black" w:hAnsi="Arial Black"/>
                <w:caps/>
                <w:sz w:val="15"/>
              </w:rPr>
              <w:t>DATE</w:t>
            </w:r>
            <w:r w:rsidR="008005FD" w:rsidRPr="001800B7">
              <w:rPr>
                <w:rFonts w:ascii="Arial Black" w:hAnsi="Arial Black"/>
                <w:caps/>
                <w:sz w:val="15"/>
              </w:rPr>
              <w:t> </w:t>
            </w:r>
            <w:r w:rsidRPr="001800B7">
              <w:rPr>
                <w:rFonts w:ascii="Arial Black" w:hAnsi="Arial Black"/>
                <w:caps/>
                <w:sz w:val="15"/>
              </w:rPr>
              <w:t xml:space="preserve">: </w:t>
            </w:r>
            <w:bookmarkStart w:id="2" w:name="Date"/>
            <w:bookmarkEnd w:id="2"/>
            <w:r w:rsidRPr="001800B7">
              <w:rPr>
                <w:rFonts w:ascii="Arial Black" w:hAnsi="Arial Black"/>
                <w:caps/>
                <w:sz w:val="15"/>
              </w:rPr>
              <w:t>2</w:t>
            </w:r>
            <w:r w:rsidR="00456841" w:rsidRPr="001800B7">
              <w:rPr>
                <w:rFonts w:ascii="Arial Black" w:hAnsi="Arial Black"/>
                <w:caps/>
                <w:sz w:val="15"/>
              </w:rPr>
              <w:t>8 août 20</w:t>
            </w:r>
            <w:r w:rsidRPr="001800B7">
              <w:rPr>
                <w:rFonts w:ascii="Arial Black" w:hAnsi="Arial Black"/>
                <w:caps/>
                <w:sz w:val="15"/>
              </w:rPr>
              <w:t>14</w:t>
            </w:r>
          </w:p>
        </w:tc>
      </w:tr>
    </w:tbl>
    <w:p w:rsidR="00B650B1" w:rsidRPr="001800B7" w:rsidRDefault="00B650B1" w:rsidP="00BC7B6C"/>
    <w:p w:rsidR="00B650B1" w:rsidRPr="001800B7" w:rsidRDefault="00B650B1" w:rsidP="00BC7B6C"/>
    <w:p w:rsidR="00B650B1" w:rsidRPr="001800B7" w:rsidRDefault="00B650B1" w:rsidP="00BC7B6C"/>
    <w:p w:rsidR="00B650B1" w:rsidRPr="001800B7" w:rsidRDefault="00B650B1" w:rsidP="00BC7B6C"/>
    <w:p w:rsidR="00B650B1" w:rsidRPr="001800B7" w:rsidRDefault="00B650B1" w:rsidP="00BC7B6C"/>
    <w:p w:rsidR="00B650B1" w:rsidRPr="001800B7" w:rsidRDefault="00BC7B6C" w:rsidP="00BC7B6C">
      <w:pPr>
        <w:outlineLvl w:val="0"/>
        <w:rPr>
          <w:b/>
          <w:sz w:val="28"/>
          <w:szCs w:val="28"/>
        </w:rPr>
      </w:pPr>
      <w:r w:rsidRPr="001800B7">
        <w:rPr>
          <w:b/>
          <w:sz w:val="28"/>
          <w:szCs w:val="28"/>
        </w:rPr>
        <w:t>Comité du développement et de la propriété intellectuelle (CDIP)</w:t>
      </w:r>
    </w:p>
    <w:p w:rsidR="00B650B1" w:rsidRPr="001800B7" w:rsidRDefault="00B650B1" w:rsidP="00BC7B6C"/>
    <w:p w:rsidR="00B650B1" w:rsidRPr="001800B7" w:rsidRDefault="00B650B1" w:rsidP="00BC7B6C">
      <w:bookmarkStart w:id="3" w:name="Code"/>
      <w:bookmarkEnd w:id="3"/>
    </w:p>
    <w:p w:rsidR="00B650B1" w:rsidRPr="001800B7" w:rsidRDefault="00BC7B6C" w:rsidP="00BC7B6C">
      <w:pPr>
        <w:rPr>
          <w:b/>
          <w:sz w:val="24"/>
          <w:szCs w:val="24"/>
        </w:rPr>
      </w:pPr>
      <w:r w:rsidRPr="001800B7">
        <w:rPr>
          <w:b/>
          <w:sz w:val="24"/>
          <w:szCs w:val="24"/>
        </w:rPr>
        <w:t>Quatorzième session</w:t>
      </w:r>
    </w:p>
    <w:p w:rsidR="00B650B1" w:rsidRPr="001800B7" w:rsidRDefault="00BC7B6C" w:rsidP="00BC7B6C">
      <w:pPr>
        <w:rPr>
          <w:b/>
          <w:sz w:val="24"/>
          <w:szCs w:val="24"/>
        </w:rPr>
      </w:pPr>
      <w:r w:rsidRPr="001800B7">
        <w:rPr>
          <w:b/>
          <w:sz w:val="24"/>
          <w:szCs w:val="24"/>
        </w:rPr>
        <w:t>Genève, 10 – 14 novembre 2014</w:t>
      </w:r>
    </w:p>
    <w:p w:rsidR="00B650B1" w:rsidRPr="001800B7" w:rsidRDefault="00B650B1" w:rsidP="00BC7B6C">
      <w:pPr>
        <w:rPr>
          <w:b/>
          <w:sz w:val="24"/>
          <w:szCs w:val="24"/>
        </w:rPr>
      </w:pPr>
    </w:p>
    <w:p w:rsidR="00B650B1" w:rsidRPr="001800B7" w:rsidRDefault="00B650B1" w:rsidP="00BC7B6C"/>
    <w:p w:rsidR="00B650B1" w:rsidRPr="001800B7" w:rsidRDefault="00B650B1" w:rsidP="00BC7B6C"/>
    <w:p w:rsidR="00B650B1" w:rsidRPr="001800B7" w:rsidRDefault="00BC7B6C" w:rsidP="008B2CC1">
      <w:pPr>
        <w:rPr>
          <w:caps/>
          <w:szCs w:val="22"/>
        </w:rPr>
      </w:pPr>
      <w:r w:rsidRPr="001800B7">
        <w:rPr>
          <w:caps/>
          <w:szCs w:val="22"/>
        </w:rPr>
        <w:t>Rapports sur l</w:t>
      </w:r>
      <w:r w:rsidR="005311D6" w:rsidRPr="001800B7">
        <w:rPr>
          <w:caps/>
          <w:szCs w:val="22"/>
        </w:rPr>
        <w:t>’</w:t>
      </w:r>
      <w:r w:rsidRPr="001800B7">
        <w:rPr>
          <w:caps/>
          <w:szCs w:val="22"/>
        </w:rPr>
        <w:t>état d</w:t>
      </w:r>
      <w:r w:rsidR="005311D6" w:rsidRPr="001800B7">
        <w:rPr>
          <w:caps/>
          <w:szCs w:val="22"/>
        </w:rPr>
        <w:t>’</w:t>
      </w:r>
      <w:r w:rsidRPr="001800B7">
        <w:rPr>
          <w:caps/>
          <w:szCs w:val="22"/>
        </w:rPr>
        <w:t>avancement des projets</w:t>
      </w:r>
    </w:p>
    <w:p w:rsidR="00B650B1" w:rsidRPr="001800B7" w:rsidRDefault="00B650B1" w:rsidP="008B2CC1">
      <w:pPr>
        <w:rPr>
          <w:szCs w:val="22"/>
        </w:rPr>
      </w:pPr>
    </w:p>
    <w:p w:rsidR="00B650B1" w:rsidRPr="001800B7" w:rsidRDefault="00BC7B6C" w:rsidP="008B2CC1">
      <w:pPr>
        <w:rPr>
          <w:i/>
          <w:szCs w:val="22"/>
        </w:rPr>
      </w:pPr>
      <w:bookmarkStart w:id="4" w:name="Prepared"/>
      <w:bookmarkEnd w:id="4"/>
      <w:proofErr w:type="gramStart"/>
      <w:r w:rsidRPr="001800B7">
        <w:rPr>
          <w:i/>
          <w:szCs w:val="22"/>
        </w:rPr>
        <w:t>établis</w:t>
      </w:r>
      <w:proofErr w:type="gramEnd"/>
      <w:r w:rsidRPr="001800B7">
        <w:rPr>
          <w:i/>
          <w:szCs w:val="22"/>
        </w:rPr>
        <w:t xml:space="preserve"> par le Secrétariat</w:t>
      </w:r>
    </w:p>
    <w:p w:rsidR="00B650B1" w:rsidRPr="001800B7" w:rsidRDefault="00B650B1">
      <w:pPr>
        <w:rPr>
          <w:szCs w:val="22"/>
        </w:rPr>
      </w:pPr>
    </w:p>
    <w:p w:rsidR="00B650B1" w:rsidRPr="001800B7" w:rsidRDefault="00B650B1">
      <w:pPr>
        <w:rPr>
          <w:szCs w:val="22"/>
        </w:rPr>
      </w:pPr>
    </w:p>
    <w:p w:rsidR="00B650B1" w:rsidRPr="001800B7" w:rsidRDefault="00B650B1">
      <w:pPr>
        <w:rPr>
          <w:szCs w:val="22"/>
        </w:rPr>
      </w:pPr>
    </w:p>
    <w:p w:rsidR="00B650B1" w:rsidRPr="001800B7" w:rsidRDefault="00B650B1" w:rsidP="0053057A">
      <w:pPr>
        <w:rPr>
          <w:szCs w:val="22"/>
        </w:rPr>
      </w:pPr>
    </w:p>
    <w:p w:rsidR="00B650B1" w:rsidRPr="001800B7" w:rsidRDefault="00BC7B6C" w:rsidP="00BC7B6C">
      <w:pPr>
        <w:pStyle w:val="ONUMFS"/>
        <w:rPr>
          <w:szCs w:val="22"/>
        </w:rPr>
      </w:pPr>
      <w:r w:rsidRPr="001800B7">
        <w:rPr>
          <w:szCs w:val="22"/>
        </w:rPr>
        <w:t>Les annexes du présent document contiennent </w:t>
      </w:r>
      <w:r w:rsidR="004525E3" w:rsidRPr="001800B7">
        <w:rPr>
          <w:szCs w:val="22"/>
        </w:rPr>
        <w:t>:</w:t>
      </w:r>
    </w:p>
    <w:p w:rsidR="00B650B1" w:rsidRPr="001800B7" w:rsidRDefault="0049592F" w:rsidP="0010628F">
      <w:pPr>
        <w:pStyle w:val="ONUMFS"/>
        <w:numPr>
          <w:ilvl w:val="1"/>
          <w:numId w:val="3"/>
        </w:numPr>
        <w:rPr>
          <w:szCs w:val="22"/>
        </w:rPr>
      </w:pPr>
      <w:r w:rsidRPr="001800B7">
        <w:rPr>
          <w:szCs w:val="22"/>
        </w:rPr>
        <w:t>des rapports sur l</w:t>
      </w:r>
      <w:r w:rsidR="005311D6" w:rsidRPr="001800B7">
        <w:rPr>
          <w:szCs w:val="22"/>
        </w:rPr>
        <w:t>’</w:t>
      </w:r>
      <w:r w:rsidRPr="001800B7">
        <w:rPr>
          <w:szCs w:val="22"/>
        </w:rPr>
        <w:t>état d</w:t>
      </w:r>
      <w:r w:rsidR="005311D6" w:rsidRPr="001800B7">
        <w:rPr>
          <w:szCs w:val="22"/>
        </w:rPr>
        <w:t>’</w:t>
      </w:r>
      <w:r w:rsidRPr="001800B7">
        <w:rPr>
          <w:szCs w:val="22"/>
        </w:rPr>
        <w:t>avancement des projets ci</w:t>
      </w:r>
      <w:r w:rsidR="001800B7" w:rsidRPr="001800B7">
        <w:rPr>
          <w:szCs w:val="22"/>
        </w:rPr>
        <w:noBreakHyphen/>
      </w:r>
      <w:r w:rsidRPr="001800B7">
        <w:rPr>
          <w:szCs w:val="22"/>
        </w:rPr>
        <w:t>après, relatifs au Plan d</w:t>
      </w:r>
      <w:r w:rsidR="005311D6" w:rsidRPr="001800B7">
        <w:rPr>
          <w:szCs w:val="22"/>
        </w:rPr>
        <w:t>’</w:t>
      </w:r>
      <w:r w:rsidRPr="001800B7">
        <w:rPr>
          <w:szCs w:val="22"/>
        </w:rPr>
        <w:t>action pour le développement</w:t>
      </w:r>
      <w:r w:rsidR="008005FD" w:rsidRPr="001800B7">
        <w:rPr>
          <w:szCs w:val="22"/>
        </w:rPr>
        <w:t> </w:t>
      </w:r>
      <w:r w:rsidRPr="001800B7">
        <w:rPr>
          <w:szCs w:val="22"/>
        </w:rPr>
        <w:t>:</w:t>
      </w:r>
    </w:p>
    <w:p w:rsidR="00B650B1" w:rsidRPr="001800B7" w:rsidRDefault="0049592F" w:rsidP="0010628F">
      <w:pPr>
        <w:pStyle w:val="ONUMFS"/>
        <w:numPr>
          <w:ilvl w:val="2"/>
          <w:numId w:val="3"/>
        </w:numPr>
        <w:rPr>
          <w:szCs w:val="22"/>
        </w:rPr>
      </w:pPr>
      <w:r w:rsidRPr="001800B7">
        <w:rPr>
          <w:szCs w:val="22"/>
        </w:rPr>
        <w:t>renforcement de la capacité des institutions gouvernementales et partenaires œuvrant dans le domaine de la propriété intellectuelle au niveau national à gérer, superviser et promouvoir les industries de la création et à améliorer les résultats et l</w:t>
      </w:r>
      <w:r w:rsidR="005311D6" w:rsidRPr="001800B7">
        <w:rPr>
          <w:szCs w:val="22"/>
        </w:rPr>
        <w:t>’</w:t>
      </w:r>
      <w:r w:rsidRPr="001800B7">
        <w:rPr>
          <w:szCs w:val="22"/>
        </w:rPr>
        <w:t>organisation en réseau des organismes de gestion collective du droit d</w:t>
      </w:r>
      <w:r w:rsidR="005311D6" w:rsidRPr="001800B7">
        <w:rPr>
          <w:szCs w:val="22"/>
        </w:rPr>
        <w:t>’</w:t>
      </w:r>
      <w:r w:rsidRPr="001800B7">
        <w:rPr>
          <w:szCs w:val="22"/>
        </w:rPr>
        <w:t>auteur (annexe</w:t>
      </w:r>
      <w:r w:rsidR="008005FD" w:rsidRPr="001800B7">
        <w:rPr>
          <w:szCs w:val="22"/>
        </w:rPr>
        <w:t> </w:t>
      </w:r>
      <w:r w:rsidRPr="001800B7">
        <w:rPr>
          <w:szCs w:val="22"/>
        </w:rPr>
        <w:t>I);</w:t>
      </w:r>
    </w:p>
    <w:p w:rsidR="00B650B1" w:rsidRPr="001800B7" w:rsidRDefault="0049592F" w:rsidP="0010628F">
      <w:pPr>
        <w:pStyle w:val="ONUMFS"/>
        <w:numPr>
          <w:ilvl w:val="2"/>
          <w:numId w:val="3"/>
        </w:numPr>
        <w:rPr>
          <w:szCs w:val="22"/>
        </w:rPr>
      </w:pPr>
      <w:r w:rsidRPr="001800B7">
        <w:rPr>
          <w:szCs w:val="22"/>
        </w:rPr>
        <w:t>projet relatif à la propriété intellectuelle et au transfert de technologie</w:t>
      </w:r>
      <w:r w:rsidR="008005FD" w:rsidRPr="001800B7">
        <w:rPr>
          <w:szCs w:val="22"/>
        </w:rPr>
        <w:t> </w:t>
      </w:r>
      <w:r w:rsidRPr="001800B7">
        <w:rPr>
          <w:szCs w:val="22"/>
        </w:rPr>
        <w:t xml:space="preserve">: </w:t>
      </w:r>
      <w:proofErr w:type="gramStart"/>
      <w:r w:rsidRPr="001800B7">
        <w:rPr>
          <w:szCs w:val="22"/>
        </w:rPr>
        <w:t>élaborer</w:t>
      </w:r>
      <w:proofErr w:type="gramEnd"/>
      <w:r w:rsidRPr="001800B7">
        <w:rPr>
          <w:szCs w:val="22"/>
        </w:rPr>
        <w:t xml:space="preserve"> des solutions face aux défis communs (annexe</w:t>
      </w:r>
      <w:r w:rsidR="008005FD" w:rsidRPr="001800B7">
        <w:rPr>
          <w:szCs w:val="22"/>
        </w:rPr>
        <w:t> </w:t>
      </w:r>
      <w:r w:rsidRPr="001800B7">
        <w:rPr>
          <w:szCs w:val="22"/>
        </w:rPr>
        <w:t>II);</w:t>
      </w:r>
    </w:p>
    <w:p w:rsidR="00B650B1" w:rsidRPr="001800B7" w:rsidRDefault="0049592F" w:rsidP="0010628F">
      <w:pPr>
        <w:pStyle w:val="ONUMFS"/>
        <w:numPr>
          <w:ilvl w:val="2"/>
          <w:numId w:val="3"/>
        </w:numPr>
        <w:rPr>
          <w:szCs w:val="22"/>
        </w:rPr>
      </w:pPr>
      <w:r w:rsidRPr="001800B7">
        <w:rPr>
          <w:szCs w:val="22"/>
        </w:rPr>
        <w:t>projet de projets ouverts de collaboration et de modèles fondés sur la propriété intellectuelle (annexe</w:t>
      </w:r>
      <w:r w:rsidR="008005FD" w:rsidRPr="001800B7">
        <w:rPr>
          <w:szCs w:val="22"/>
        </w:rPr>
        <w:t> </w:t>
      </w:r>
      <w:r w:rsidRPr="001800B7">
        <w:rPr>
          <w:szCs w:val="22"/>
        </w:rPr>
        <w:t>III);</w:t>
      </w:r>
    </w:p>
    <w:p w:rsidR="00B650B1" w:rsidRPr="001800B7" w:rsidRDefault="0049592F" w:rsidP="0010628F">
      <w:pPr>
        <w:pStyle w:val="ONUMFS"/>
        <w:numPr>
          <w:ilvl w:val="2"/>
          <w:numId w:val="3"/>
        </w:numPr>
        <w:rPr>
          <w:szCs w:val="22"/>
        </w:rPr>
      </w:pPr>
      <w:r w:rsidRPr="001800B7">
        <w:rPr>
          <w:szCs w:val="22"/>
        </w:rPr>
        <w:t>projet de renforcement et développement du secteur de l</w:t>
      </w:r>
      <w:r w:rsidR="005311D6" w:rsidRPr="001800B7">
        <w:rPr>
          <w:szCs w:val="22"/>
        </w:rPr>
        <w:t>’</w:t>
      </w:r>
      <w:r w:rsidRPr="001800B7">
        <w:rPr>
          <w:szCs w:val="22"/>
        </w:rPr>
        <w:t>audiovisuel au Burkina Faso et dans certains pays africains (annexe</w:t>
      </w:r>
      <w:r w:rsidR="008005FD" w:rsidRPr="001800B7">
        <w:rPr>
          <w:szCs w:val="22"/>
        </w:rPr>
        <w:t> </w:t>
      </w:r>
      <w:r w:rsidRPr="001800B7">
        <w:rPr>
          <w:szCs w:val="22"/>
        </w:rPr>
        <w:t>IV);</w:t>
      </w:r>
    </w:p>
    <w:p w:rsidR="00B650B1" w:rsidRPr="001800B7" w:rsidRDefault="0049592F" w:rsidP="0010628F">
      <w:pPr>
        <w:pStyle w:val="ONUMFS"/>
        <w:numPr>
          <w:ilvl w:val="2"/>
          <w:numId w:val="3"/>
        </w:numPr>
        <w:rPr>
          <w:szCs w:val="22"/>
        </w:rPr>
      </w:pPr>
      <w:r w:rsidRPr="001800B7">
        <w:rPr>
          <w:szCs w:val="22"/>
        </w:rPr>
        <w:t>projet de renforcement de la coopération Sud</w:t>
      </w:r>
      <w:r w:rsidR="001800B7" w:rsidRPr="001800B7">
        <w:rPr>
          <w:szCs w:val="22"/>
        </w:rPr>
        <w:noBreakHyphen/>
      </w:r>
      <w:r w:rsidRPr="001800B7">
        <w:rPr>
          <w:szCs w:val="22"/>
        </w:rPr>
        <w:t>Sud dans le domaine de la propriété intellectuelle au service du développement parmi les pays en développement et les pays les moins avancés (annexe</w:t>
      </w:r>
      <w:r w:rsidR="008005FD" w:rsidRPr="001800B7">
        <w:rPr>
          <w:szCs w:val="22"/>
        </w:rPr>
        <w:t> </w:t>
      </w:r>
      <w:r w:rsidRPr="001800B7">
        <w:rPr>
          <w:szCs w:val="22"/>
        </w:rPr>
        <w:t>V);</w:t>
      </w:r>
    </w:p>
    <w:p w:rsidR="00B650B1" w:rsidRPr="001800B7" w:rsidRDefault="0049592F" w:rsidP="0010628F">
      <w:pPr>
        <w:pStyle w:val="ONUMFS"/>
        <w:numPr>
          <w:ilvl w:val="2"/>
          <w:numId w:val="3"/>
        </w:numPr>
        <w:rPr>
          <w:szCs w:val="22"/>
        </w:rPr>
      </w:pPr>
      <w:r w:rsidRPr="001800B7">
        <w:rPr>
          <w:szCs w:val="22"/>
        </w:rPr>
        <w:t>projet pilote sur la propriété intellectuelle et la gestion des dessins et modèles pour le développement des entreprises dans les pays en développement et les pays les moins avancés (annexe</w:t>
      </w:r>
      <w:r w:rsidR="008005FD" w:rsidRPr="001800B7">
        <w:rPr>
          <w:szCs w:val="22"/>
        </w:rPr>
        <w:t> </w:t>
      </w:r>
      <w:r w:rsidRPr="001800B7">
        <w:rPr>
          <w:szCs w:val="22"/>
        </w:rPr>
        <w:t>VI);  et</w:t>
      </w:r>
    </w:p>
    <w:p w:rsidR="00B650B1" w:rsidRPr="001800B7" w:rsidRDefault="0049592F" w:rsidP="0010628F">
      <w:pPr>
        <w:pStyle w:val="ONUMFS"/>
        <w:numPr>
          <w:ilvl w:val="2"/>
          <w:numId w:val="3"/>
        </w:numPr>
        <w:rPr>
          <w:szCs w:val="22"/>
        </w:rPr>
      </w:pPr>
      <w:r w:rsidRPr="001800B7">
        <w:rPr>
          <w:szCs w:val="22"/>
        </w:rPr>
        <w:lastRenderedPageBreak/>
        <w:t>renforcement des capacités d</w:t>
      </w:r>
      <w:r w:rsidR="005311D6" w:rsidRPr="001800B7">
        <w:rPr>
          <w:szCs w:val="22"/>
        </w:rPr>
        <w:t>’</w:t>
      </w:r>
      <w:r w:rsidRPr="001800B7">
        <w:rPr>
          <w:szCs w:val="22"/>
        </w:rPr>
        <w:t>utilisation de l</w:t>
      </w:r>
      <w:r w:rsidR="005311D6" w:rsidRPr="001800B7">
        <w:rPr>
          <w:szCs w:val="22"/>
        </w:rPr>
        <w:t>’</w:t>
      </w:r>
      <w:r w:rsidRPr="001800B7">
        <w:rPr>
          <w:szCs w:val="22"/>
        </w:rPr>
        <w:t>information technique et scientifique axée sur les technologies appropriées pour répondre à certains enjeux de développement – phase II (annexe</w:t>
      </w:r>
      <w:r w:rsidR="008005FD" w:rsidRPr="001800B7">
        <w:rPr>
          <w:szCs w:val="22"/>
        </w:rPr>
        <w:t> </w:t>
      </w:r>
      <w:r w:rsidRPr="001800B7">
        <w:rPr>
          <w:szCs w:val="22"/>
        </w:rPr>
        <w:t>VII).</w:t>
      </w:r>
    </w:p>
    <w:p w:rsidR="00B650B1" w:rsidRPr="001800B7" w:rsidRDefault="009F509C" w:rsidP="0010628F">
      <w:pPr>
        <w:pStyle w:val="ONUMFS"/>
        <w:numPr>
          <w:ilvl w:val="1"/>
          <w:numId w:val="3"/>
        </w:numPr>
        <w:rPr>
          <w:szCs w:val="22"/>
        </w:rPr>
      </w:pPr>
      <w:r w:rsidRPr="001800B7">
        <w:rPr>
          <w:szCs w:val="22"/>
        </w:rPr>
        <w:t>des rapports relatifs à l</w:t>
      </w:r>
      <w:r w:rsidR="005311D6" w:rsidRPr="001800B7">
        <w:rPr>
          <w:szCs w:val="22"/>
        </w:rPr>
        <w:t>’</w:t>
      </w:r>
      <w:r w:rsidRPr="001800B7">
        <w:rPr>
          <w:szCs w:val="22"/>
        </w:rPr>
        <w:t>achèvement des projets suivants du Plan d</w:t>
      </w:r>
      <w:r w:rsidR="005311D6" w:rsidRPr="001800B7">
        <w:rPr>
          <w:szCs w:val="22"/>
        </w:rPr>
        <w:t>’</w:t>
      </w:r>
      <w:r w:rsidRPr="001800B7">
        <w:rPr>
          <w:szCs w:val="22"/>
        </w:rPr>
        <w:t>action pour le développement </w:t>
      </w:r>
      <w:r w:rsidR="004525E3" w:rsidRPr="001800B7">
        <w:rPr>
          <w:szCs w:val="22"/>
        </w:rPr>
        <w:t>:</w:t>
      </w:r>
    </w:p>
    <w:p w:rsidR="00B650B1" w:rsidRPr="001800B7" w:rsidRDefault="0049592F" w:rsidP="0010628F">
      <w:pPr>
        <w:pStyle w:val="ONUMFS"/>
        <w:numPr>
          <w:ilvl w:val="2"/>
          <w:numId w:val="3"/>
        </w:numPr>
        <w:rPr>
          <w:szCs w:val="22"/>
        </w:rPr>
      </w:pPr>
      <w:r w:rsidRPr="001800B7">
        <w:rPr>
          <w:szCs w:val="22"/>
        </w:rPr>
        <w:t>accès à des bases de données spécialisées et appui – phase II (annexe</w:t>
      </w:r>
      <w:r w:rsidR="008005FD" w:rsidRPr="001800B7">
        <w:rPr>
          <w:szCs w:val="22"/>
        </w:rPr>
        <w:t> </w:t>
      </w:r>
      <w:r w:rsidRPr="001800B7">
        <w:rPr>
          <w:szCs w:val="22"/>
        </w:rPr>
        <w:t>VIII);</w:t>
      </w:r>
    </w:p>
    <w:p w:rsidR="00B650B1" w:rsidRPr="001800B7" w:rsidRDefault="0049592F" w:rsidP="0010628F">
      <w:pPr>
        <w:pStyle w:val="ONUMFS"/>
        <w:numPr>
          <w:ilvl w:val="2"/>
          <w:numId w:val="3"/>
        </w:numPr>
        <w:rPr>
          <w:szCs w:val="22"/>
        </w:rPr>
      </w:pPr>
      <w:r w:rsidRPr="001800B7">
        <w:rPr>
          <w:szCs w:val="22"/>
        </w:rPr>
        <w:t>projet pilote de création de nouvelles académies nationales de la propriété intellectuelle – phase II (annexe</w:t>
      </w:r>
      <w:r w:rsidR="008005FD" w:rsidRPr="001800B7">
        <w:rPr>
          <w:szCs w:val="22"/>
        </w:rPr>
        <w:t> </w:t>
      </w:r>
      <w:r w:rsidRPr="001800B7">
        <w:rPr>
          <w:szCs w:val="22"/>
        </w:rPr>
        <w:t>IX);</w:t>
      </w:r>
    </w:p>
    <w:p w:rsidR="00B650B1" w:rsidRPr="001800B7" w:rsidRDefault="0049592F" w:rsidP="0010628F">
      <w:pPr>
        <w:pStyle w:val="ONUMFS"/>
        <w:numPr>
          <w:ilvl w:val="2"/>
          <w:numId w:val="3"/>
        </w:numPr>
        <w:rPr>
          <w:szCs w:val="22"/>
        </w:rPr>
      </w:pPr>
      <w:r w:rsidRPr="001800B7">
        <w:rPr>
          <w:szCs w:val="22"/>
        </w:rPr>
        <w:t>projet sur la propriété intellectuelle et le développement socioéconomique (annexe</w:t>
      </w:r>
      <w:r w:rsidR="008005FD" w:rsidRPr="001800B7">
        <w:rPr>
          <w:szCs w:val="22"/>
        </w:rPr>
        <w:t> </w:t>
      </w:r>
      <w:r w:rsidRPr="001800B7">
        <w:rPr>
          <w:szCs w:val="22"/>
        </w:rPr>
        <w:t>X);  et</w:t>
      </w:r>
    </w:p>
    <w:p w:rsidR="00B650B1" w:rsidRPr="001800B7" w:rsidRDefault="0049592F" w:rsidP="0010628F">
      <w:pPr>
        <w:pStyle w:val="ONUMFS"/>
        <w:numPr>
          <w:ilvl w:val="2"/>
          <w:numId w:val="3"/>
        </w:numPr>
        <w:rPr>
          <w:szCs w:val="22"/>
        </w:rPr>
      </w:pPr>
      <w:r w:rsidRPr="001800B7">
        <w:rPr>
          <w:szCs w:val="22"/>
        </w:rPr>
        <w:t>projet relatif à l</w:t>
      </w:r>
      <w:r w:rsidR="005311D6" w:rsidRPr="001800B7">
        <w:rPr>
          <w:szCs w:val="22"/>
        </w:rPr>
        <w:t>’</w:t>
      </w:r>
      <w:r w:rsidRPr="001800B7">
        <w:rPr>
          <w:szCs w:val="22"/>
        </w:rPr>
        <w:t>élaboration d</w:t>
      </w:r>
      <w:r w:rsidR="005311D6" w:rsidRPr="001800B7">
        <w:rPr>
          <w:szCs w:val="22"/>
        </w:rPr>
        <w:t>’</w:t>
      </w:r>
      <w:r w:rsidRPr="001800B7">
        <w:rPr>
          <w:szCs w:val="22"/>
        </w:rPr>
        <w:t>instruments permettant d</w:t>
      </w:r>
      <w:r w:rsidR="005311D6" w:rsidRPr="001800B7">
        <w:rPr>
          <w:szCs w:val="22"/>
        </w:rPr>
        <w:t>’</w:t>
      </w:r>
      <w:r w:rsidRPr="001800B7">
        <w:rPr>
          <w:szCs w:val="22"/>
        </w:rPr>
        <w:t>accéder à l</w:t>
      </w:r>
      <w:r w:rsidR="005311D6" w:rsidRPr="001800B7">
        <w:rPr>
          <w:szCs w:val="22"/>
        </w:rPr>
        <w:t>’</w:t>
      </w:r>
      <w:r w:rsidRPr="001800B7">
        <w:rPr>
          <w:szCs w:val="22"/>
        </w:rPr>
        <w:t>information en matière de brevets – phase II (annexe</w:t>
      </w:r>
      <w:r w:rsidR="008005FD" w:rsidRPr="001800B7">
        <w:rPr>
          <w:szCs w:val="22"/>
        </w:rPr>
        <w:t> </w:t>
      </w:r>
      <w:r w:rsidRPr="001800B7">
        <w:rPr>
          <w:szCs w:val="22"/>
        </w:rPr>
        <w:t>XI).</w:t>
      </w:r>
    </w:p>
    <w:p w:rsidR="00B650B1" w:rsidRPr="001800B7" w:rsidRDefault="0049592F" w:rsidP="0010628F">
      <w:pPr>
        <w:pStyle w:val="ONUMFS"/>
        <w:numPr>
          <w:ilvl w:val="1"/>
          <w:numId w:val="3"/>
        </w:numPr>
        <w:rPr>
          <w:rStyle w:val="Hyperlink"/>
          <w:color w:val="auto"/>
          <w:szCs w:val="22"/>
        </w:rPr>
      </w:pPr>
      <w:r w:rsidRPr="001800B7">
        <w:rPr>
          <w:szCs w:val="22"/>
        </w:rPr>
        <w:t xml:space="preserve">un rapport intérimaire pour la période allant de </w:t>
      </w:r>
      <w:r w:rsidR="00456841" w:rsidRPr="001800B7">
        <w:rPr>
          <w:szCs w:val="22"/>
        </w:rPr>
        <w:t>juillet 20</w:t>
      </w:r>
      <w:r w:rsidRPr="001800B7">
        <w:rPr>
          <w:szCs w:val="22"/>
        </w:rPr>
        <w:t xml:space="preserve">13 à </w:t>
      </w:r>
      <w:r w:rsidR="00456841" w:rsidRPr="001800B7">
        <w:rPr>
          <w:szCs w:val="22"/>
        </w:rPr>
        <w:t>juin 20</w:t>
      </w:r>
      <w:r w:rsidRPr="001800B7">
        <w:rPr>
          <w:szCs w:val="22"/>
        </w:rPr>
        <w:t xml:space="preserve">14 concernant les recommandations à mettre en œuvre immédiatement (liste des </w:t>
      </w:r>
      <w:r w:rsidR="0008593D" w:rsidRPr="001800B7">
        <w:rPr>
          <w:szCs w:val="22"/>
        </w:rPr>
        <w:t>19 </w:t>
      </w:r>
      <w:r w:rsidRPr="001800B7">
        <w:rPr>
          <w:szCs w:val="22"/>
        </w:rPr>
        <w:t>recommandations)</w:t>
      </w:r>
      <w:r w:rsidR="0008593D" w:rsidRPr="001800B7">
        <w:rPr>
          <w:szCs w:val="22"/>
        </w:rPr>
        <w:t xml:space="preserve">.  </w:t>
      </w:r>
      <w:r w:rsidRPr="001800B7">
        <w:rPr>
          <w:szCs w:val="22"/>
        </w:rPr>
        <w:t>Comme par le passé, ce rapport se concentre sur les stratégies adoptées pour mettre en œuvre chaque recommandation et met en relief les principales réalisations.</w:t>
      </w:r>
      <w:r w:rsidR="008005FD" w:rsidRPr="001800B7">
        <w:rPr>
          <w:szCs w:val="22"/>
        </w:rPr>
        <w:t xml:space="preserve"> </w:t>
      </w:r>
      <w:r w:rsidR="006A01C4" w:rsidRPr="001800B7">
        <w:rPr>
          <w:szCs w:val="22"/>
        </w:rPr>
        <w:t xml:space="preserve"> </w:t>
      </w:r>
      <w:r w:rsidRPr="001800B7">
        <w:rPr>
          <w:szCs w:val="22"/>
        </w:rPr>
        <w:t>La liste des activités avec d</w:t>
      </w:r>
      <w:r w:rsidR="005311D6" w:rsidRPr="001800B7">
        <w:rPr>
          <w:szCs w:val="22"/>
        </w:rPr>
        <w:t>’</w:t>
      </w:r>
      <w:r w:rsidRPr="001800B7">
        <w:rPr>
          <w:szCs w:val="22"/>
        </w:rPr>
        <w:t>autres informations connexes se trouve dans les bases de données de l</w:t>
      </w:r>
      <w:r w:rsidR="005311D6" w:rsidRPr="001800B7">
        <w:rPr>
          <w:szCs w:val="22"/>
        </w:rPr>
        <w:t>’</w:t>
      </w:r>
      <w:r w:rsidRPr="001800B7">
        <w:rPr>
          <w:szCs w:val="22"/>
        </w:rPr>
        <w:t>assistance technique (IP</w:t>
      </w:r>
      <w:r w:rsidR="001800B7" w:rsidRPr="001800B7">
        <w:rPr>
          <w:szCs w:val="22"/>
        </w:rPr>
        <w:noBreakHyphen/>
      </w:r>
      <w:r w:rsidRPr="001800B7">
        <w:rPr>
          <w:szCs w:val="22"/>
        </w:rPr>
        <w:t>TAD) qui peuvent être consultées à l</w:t>
      </w:r>
      <w:r w:rsidR="005311D6" w:rsidRPr="001800B7">
        <w:rPr>
          <w:szCs w:val="22"/>
        </w:rPr>
        <w:t>’</w:t>
      </w:r>
      <w:r w:rsidRPr="001800B7">
        <w:rPr>
          <w:szCs w:val="22"/>
        </w:rPr>
        <w:t>adresse suivante</w:t>
      </w:r>
      <w:r w:rsidR="008005FD" w:rsidRPr="001800B7">
        <w:rPr>
          <w:szCs w:val="22"/>
        </w:rPr>
        <w:t> </w:t>
      </w:r>
      <w:r w:rsidRPr="001800B7">
        <w:rPr>
          <w:szCs w:val="22"/>
        </w:rPr>
        <w:t xml:space="preserve">: </w:t>
      </w:r>
      <w:r w:rsidRPr="001800B7">
        <w:rPr>
          <w:szCs w:val="22"/>
          <w:u w:val="single"/>
        </w:rPr>
        <w:t>http://www.wipo.int/tad</w:t>
      </w:r>
      <w:r w:rsidRPr="001800B7">
        <w:rPr>
          <w:szCs w:val="22"/>
        </w:rPr>
        <w:t>.</w:t>
      </w:r>
    </w:p>
    <w:p w:rsidR="00B650B1" w:rsidRPr="001800B7" w:rsidRDefault="0049592F" w:rsidP="0049592F">
      <w:pPr>
        <w:pStyle w:val="ONUMFS"/>
        <w:ind w:left="5533"/>
        <w:rPr>
          <w:i/>
          <w:iCs/>
          <w:szCs w:val="22"/>
        </w:rPr>
      </w:pPr>
      <w:r w:rsidRPr="001800B7">
        <w:rPr>
          <w:i/>
          <w:iCs/>
          <w:szCs w:val="22"/>
        </w:rPr>
        <w:t>Le</w:t>
      </w:r>
      <w:r w:rsidR="00664193" w:rsidRPr="001800B7">
        <w:rPr>
          <w:i/>
          <w:iCs/>
          <w:szCs w:val="22"/>
        </w:rPr>
        <w:t xml:space="preserve"> C</w:t>
      </w:r>
      <w:r w:rsidRPr="001800B7">
        <w:rPr>
          <w:i/>
          <w:iCs/>
          <w:szCs w:val="22"/>
        </w:rPr>
        <w:t>DIP est invité à prendre note des informations contenues dans l</w:t>
      </w:r>
      <w:r w:rsidR="005311D6" w:rsidRPr="001800B7">
        <w:rPr>
          <w:i/>
          <w:iCs/>
          <w:szCs w:val="22"/>
        </w:rPr>
        <w:t>’</w:t>
      </w:r>
      <w:r w:rsidRPr="001800B7">
        <w:rPr>
          <w:i/>
          <w:iCs/>
          <w:szCs w:val="22"/>
        </w:rPr>
        <w:t>annexe du présent document.</w:t>
      </w:r>
    </w:p>
    <w:p w:rsidR="00B650B1" w:rsidRPr="001800B7" w:rsidRDefault="00B650B1" w:rsidP="00BC7B6C">
      <w:pPr>
        <w:rPr>
          <w:szCs w:val="22"/>
        </w:rPr>
      </w:pPr>
    </w:p>
    <w:p w:rsidR="00B650B1" w:rsidRPr="001800B7" w:rsidRDefault="00B650B1" w:rsidP="00BC7B6C">
      <w:pPr>
        <w:rPr>
          <w:szCs w:val="22"/>
        </w:rPr>
      </w:pPr>
    </w:p>
    <w:p w:rsidR="00B650B1" w:rsidRPr="001800B7" w:rsidRDefault="00BC7B6C">
      <w:pPr>
        <w:pStyle w:val="Endofdocument-Annex"/>
        <w:rPr>
          <w:szCs w:val="22"/>
        </w:rPr>
      </w:pPr>
      <w:r w:rsidRPr="001800B7">
        <w:rPr>
          <w:szCs w:val="22"/>
        </w:rPr>
        <w:t>[Les annexes suivent]</w:t>
      </w:r>
    </w:p>
    <w:p w:rsidR="008475D2" w:rsidRPr="001800B7" w:rsidRDefault="008475D2" w:rsidP="00BC7B6C">
      <w:pPr>
        <w:rPr>
          <w:szCs w:val="22"/>
        </w:rPr>
      </w:pPr>
    </w:p>
    <w:p w:rsidR="00A607C4" w:rsidRPr="001800B7" w:rsidRDefault="00A607C4" w:rsidP="006A01C4">
      <w:pPr>
        <w:ind w:left="5373" w:firstLine="27"/>
        <w:rPr>
          <w:szCs w:val="22"/>
        </w:rPr>
        <w:sectPr w:rsidR="00A607C4" w:rsidRPr="001800B7" w:rsidSect="00BF4C15">
          <w:headerReference w:type="default" r:id="rId13"/>
          <w:endnotePr>
            <w:numFmt w:val="decimal"/>
          </w:endnotePr>
          <w:pgSz w:w="11907" w:h="16840" w:code="9"/>
          <w:pgMar w:top="567" w:right="1134" w:bottom="1418" w:left="1418" w:header="510" w:footer="1021" w:gutter="0"/>
          <w:cols w:space="720"/>
          <w:titlePg/>
          <w:docGrid w:linePitch="299"/>
        </w:sect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8475D2">
        <w:tc>
          <w:tcPr>
            <w:tcW w:w="9501" w:type="dxa"/>
            <w:gridSpan w:val="2"/>
            <w:shd w:val="clear" w:color="auto" w:fill="auto"/>
            <w:vAlign w:val="center"/>
          </w:tcPr>
          <w:p w:rsidR="00D67A00" w:rsidRPr="001800B7" w:rsidRDefault="005B4BDC" w:rsidP="008475D2">
            <w:pPr>
              <w:pStyle w:val="Heading2"/>
              <w:spacing w:before="120" w:after="120"/>
              <w:rPr>
                <w:szCs w:val="22"/>
              </w:rPr>
            </w:pPr>
            <w:r w:rsidRPr="001800B7">
              <w:rPr>
                <w:szCs w:val="22"/>
              </w:rPr>
              <w:lastRenderedPageBreak/>
              <w:t>RÉSUMÉ DU PROJET</w:t>
            </w:r>
          </w:p>
        </w:tc>
      </w:tr>
      <w:tr w:rsidR="001800B7" w:rsidRPr="001800B7" w:rsidTr="008475D2">
        <w:tc>
          <w:tcPr>
            <w:tcW w:w="2235" w:type="dxa"/>
            <w:shd w:val="clear" w:color="auto" w:fill="auto"/>
          </w:tcPr>
          <w:p w:rsidR="00D67A00" w:rsidRPr="001800B7" w:rsidRDefault="005B4BDC" w:rsidP="008475D2">
            <w:pPr>
              <w:pStyle w:val="Heading3"/>
              <w:spacing w:before="120" w:after="120"/>
              <w:rPr>
                <w:szCs w:val="22"/>
              </w:rPr>
            </w:pPr>
            <w:r w:rsidRPr="001800B7">
              <w:rPr>
                <w:szCs w:val="22"/>
              </w:rPr>
              <w:t>Code du projet</w:t>
            </w:r>
          </w:p>
        </w:tc>
        <w:tc>
          <w:tcPr>
            <w:tcW w:w="7266" w:type="dxa"/>
            <w:shd w:val="clear" w:color="auto" w:fill="auto"/>
          </w:tcPr>
          <w:p w:rsidR="00D67A00" w:rsidRPr="001800B7" w:rsidRDefault="00D67A00" w:rsidP="008475D2">
            <w:pPr>
              <w:spacing w:before="120" w:after="120"/>
              <w:rPr>
                <w:szCs w:val="22"/>
              </w:rPr>
            </w:pPr>
            <w:r w:rsidRPr="001800B7">
              <w:rPr>
                <w:szCs w:val="22"/>
              </w:rPr>
              <w:t>DA_10_24</w:t>
            </w:r>
          </w:p>
        </w:tc>
      </w:tr>
      <w:tr w:rsidR="001800B7" w:rsidRPr="001800B7" w:rsidTr="008475D2">
        <w:tc>
          <w:tcPr>
            <w:tcW w:w="2235" w:type="dxa"/>
            <w:shd w:val="clear" w:color="auto" w:fill="auto"/>
          </w:tcPr>
          <w:p w:rsidR="00D67A00" w:rsidRPr="001800B7" w:rsidRDefault="005B4BDC" w:rsidP="008475D2">
            <w:pPr>
              <w:pStyle w:val="Heading3"/>
              <w:spacing w:before="120" w:after="120"/>
              <w:rPr>
                <w:szCs w:val="22"/>
              </w:rPr>
            </w:pPr>
            <w:r w:rsidRPr="001800B7">
              <w:rPr>
                <w:szCs w:val="22"/>
              </w:rPr>
              <w:t>Titre</w:t>
            </w:r>
          </w:p>
        </w:tc>
        <w:tc>
          <w:tcPr>
            <w:tcW w:w="7266" w:type="dxa"/>
            <w:shd w:val="clear" w:color="auto" w:fill="auto"/>
          </w:tcPr>
          <w:p w:rsidR="00D67A00" w:rsidRPr="001800B7" w:rsidRDefault="005B4BDC" w:rsidP="008475D2">
            <w:pPr>
              <w:spacing w:before="120" w:after="120"/>
              <w:rPr>
                <w:iCs/>
                <w:szCs w:val="22"/>
              </w:rPr>
            </w:pPr>
            <w:r w:rsidRPr="001800B7">
              <w:rPr>
                <w:iCs/>
                <w:szCs w:val="22"/>
              </w:rPr>
              <w:t>Renforcement de la capacité des institutions gouvernementales et partenaires œuvrant dans le domaine de la propriété intellectuelle au niveau national à gérer, superviser et promouvoir les industries de la création et à améliorer les résultats et l</w:t>
            </w:r>
            <w:r w:rsidR="005311D6" w:rsidRPr="001800B7">
              <w:rPr>
                <w:iCs/>
                <w:szCs w:val="22"/>
              </w:rPr>
              <w:t>’</w:t>
            </w:r>
            <w:r w:rsidRPr="001800B7">
              <w:rPr>
                <w:iCs/>
                <w:szCs w:val="22"/>
              </w:rPr>
              <w:t>organisation en réseau des organismes de gestion collective du droit d</w:t>
            </w:r>
            <w:r w:rsidR="005311D6" w:rsidRPr="001800B7">
              <w:rPr>
                <w:iCs/>
                <w:szCs w:val="22"/>
              </w:rPr>
              <w:t>’</w:t>
            </w:r>
            <w:r w:rsidRPr="001800B7">
              <w:rPr>
                <w:iCs/>
                <w:szCs w:val="22"/>
              </w:rPr>
              <w:t>auteur</w:t>
            </w:r>
          </w:p>
        </w:tc>
      </w:tr>
      <w:tr w:rsidR="001800B7" w:rsidRPr="001800B7" w:rsidTr="008475D2">
        <w:tc>
          <w:tcPr>
            <w:tcW w:w="2235" w:type="dxa"/>
            <w:shd w:val="clear" w:color="auto" w:fill="auto"/>
          </w:tcPr>
          <w:p w:rsidR="00D67A00" w:rsidRPr="001800B7" w:rsidRDefault="005B4BDC" w:rsidP="008475D2">
            <w:pPr>
              <w:pStyle w:val="Heading3"/>
              <w:spacing w:before="120" w:after="120"/>
              <w:rPr>
                <w:szCs w:val="22"/>
              </w:rPr>
            </w:pPr>
            <w:r w:rsidRPr="001800B7">
              <w:rPr>
                <w:szCs w:val="22"/>
              </w:rPr>
              <w:t>Recommandations du Plan d</w:t>
            </w:r>
            <w:r w:rsidR="005311D6" w:rsidRPr="001800B7">
              <w:rPr>
                <w:szCs w:val="22"/>
              </w:rPr>
              <w:t>’</w:t>
            </w:r>
            <w:r w:rsidRPr="001800B7">
              <w:rPr>
                <w:szCs w:val="22"/>
              </w:rPr>
              <w:t>action pour le développement</w:t>
            </w:r>
          </w:p>
        </w:tc>
        <w:tc>
          <w:tcPr>
            <w:tcW w:w="7266" w:type="dxa"/>
            <w:shd w:val="clear" w:color="auto" w:fill="auto"/>
          </w:tcPr>
          <w:p w:rsidR="00D67A00" w:rsidRPr="001800B7" w:rsidRDefault="005B4BDC" w:rsidP="008475D2">
            <w:pPr>
              <w:spacing w:before="120" w:after="120"/>
              <w:rPr>
                <w:i/>
                <w:szCs w:val="22"/>
              </w:rPr>
            </w:pPr>
            <w:r w:rsidRPr="001800B7">
              <w:rPr>
                <w:i/>
                <w:szCs w:val="22"/>
              </w:rPr>
              <w:t>Recommandation n°</w:t>
            </w:r>
            <w:r w:rsidR="008005FD" w:rsidRPr="001800B7">
              <w:rPr>
                <w:i/>
                <w:szCs w:val="22"/>
              </w:rPr>
              <w:t> </w:t>
            </w:r>
            <w:r w:rsidRPr="001800B7">
              <w:rPr>
                <w:i/>
                <w:szCs w:val="22"/>
              </w:rPr>
              <w:t>10</w:t>
            </w:r>
            <w:r w:rsidR="008005FD" w:rsidRPr="001800B7">
              <w:rPr>
                <w:i/>
                <w:szCs w:val="22"/>
              </w:rPr>
              <w:t> </w:t>
            </w:r>
            <w:r w:rsidRPr="001800B7">
              <w:rPr>
                <w:i/>
                <w:szCs w:val="22"/>
              </w:rPr>
              <w:t xml:space="preserve">: </w:t>
            </w:r>
            <w:r w:rsidRPr="001800B7">
              <w:rPr>
                <w:szCs w:val="22"/>
              </w:rPr>
              <w:t>Aider les États membres à développer et à améliorer les capacités institutionnelles nationales en propriété intellectuelle par le développement des infrastructures et autres moyens en vue de renforcer l</w:t>
            </w:r>
            <w:r w:rsidR="005311D6" w:rsidRPr="001800B7">
              <w:rPr>
                <w:szCs w:val="22"/>
              </w:rPr>
              <w:t>’</w:t>
            </w:r>
            <w:r w:rsidRPr="001800B7">
              <w:rPr>
                <w:szCs w:val="22"/>
              </w:rPr>
              <w:t>efficacité des institutions nationales de propriété intellectuelle et de concilier protection de la propriété intellectuelle et préservation de l</w:t>
            </w:r>
            <w:r w:rsidR="005311D6" w:rsidRPr="001800B7">
              <w:rPr>
                <w:szCs w:val="22"/>
              </w:rPr>
              <w:t>’</w:t>
            </w:r>
            <w:r w:rsidRPr="001800B7">
              <w:rPr>
                <w:szCs w:val="22"/>
              </w:rPr>
              <w:t>intérêt général</w:t>
            </w:r>
            <w:r w:rsidR="0008593D" w:rsidRPr="001800B7">
              <w:rPr>
                <w:szCs w:val="22"/>
              </w:rPr>
              <w:t xml:space="preserve">.  </w:t>
            </w:r>
            <w:r w:rsidRPr="001800B7">
              <w:rPr>
                <w:szCs w:val="22"/>
              </w:rPr>
              <w:t>Cette assistance technique devrait également être étendue aux organisations sous</w:t>
            </w:r>
            <w:r w:rsidR="001800B7" w:rsidRPr="001800B7">
              <w:rPr>
                <w:szCs w:val="22"/>
              </w:rPr>
              <w:noBreakHyphen/>
            </w:r>
            <w:r w:rsidRPr="001800B7">
              <w:rPr>
                <w:szCs w:val="22"/>
              </w:rPr>
              <w:t>régionales et régionales œuvrant dans le domaine de la propriété intellectuelle.</w:t>
            </w:r>
          </w:p>
        </w:tc>
      </w:tr>
      <w:tr w:rsidR="001800B7" w:rsidRPr="001800B7" w:rsidTr="008475D2">
        <w:tc>
          <w:tcPr>
            <w:tcW w:w="2235" w:type="dxa"/>
            <w:shd w:val="clear" w:color="auto" w:fill="auto"/>
          </w:tcPr>
          <w:p w:rsidR="00D67A00" w:rsidRPr="001800B7" w:rsidRDefault="005B4BDC" w:rsidP="008475D2">
            <w:pPr>
              <w:pStyle w:val="Heading3"/>
              <w:spacing w:before="120" w:after="120"/>
              <w:rPr>
                <w:szCs w:val="22"/>
              </w:rPr>
            </w:pPr>
            <w:r w:rsidRPr="001800B7">
              <w:rPr>
                <w:szCs w:val="22"/>
              </w:rPr>
              <w:t>Budget du projet</w:t>
            </w:r>
          </w:p>
        </w:tc>
        <w:tc>
          <w:tcPr>
            <w:tcW w:w="7266" w:type="dxa"/>
            <w:shd w:val="clear" w:color="auto" w:fill="auto"/>
          </w:tcPr>
          <w:p w:rsidR="00B650B1" w:rsidRPr="001800B7" w:rsidRDefault="005B4BDC" w:rsidP="008475D2">
            <w:pPr>
              <w:spacing w:before="120" w:after="120"/>
              <w:rPr>
                <w:szCs w:val="22"/>
              </w:rPr>
            </w:pPr>
            <w:r w:rsidRPr="001800B7">
              <w:rPr>
                <w:szCs w:val="22"/>
              </w:rPr>
              <w:t>Dépenses autres que les dépenses de personnel</w:t>
            </w:r>
            <w:r w:rsidR="008005FD" w:rsidRPr="001800B7">
              <w:rPr>
                <w:szCs w:val="22"/>
              </w:rPr>
              <w:t> </w:t>
            </w:r>
            <w:r w:rsidRPr="001800B7">
              <w:rPr>
                <w:szCs w:val="22"/>
              </w:rPr>
              <w:t>: 840</w:t>
            </w:r>
            <w:r w:rsidR="008005FD" w:rsidRPr="001800B7">
              <w:rPr>
                <w:szCs w:val="22"/>
              </w:rPr>
              <w:t> </w:t>
            </w:r>
            <w:r w:rsidRPr="001800B7">
              <w:rPr>
                <w:szCs w:val="22"/>
              </w:rPr>
              <w:t>000</w:t>
            </w:r>
            <w:r w:rsidR="008005FD" w:rsidRPr="001800B7">
              <w:rPr>
                <w:szCs w:val="22"/>
              </w:rPr>
              <w:t> </w:t>
            </w:r>
            <w:r w:rsidRPr="001800B7">
              <w:rPr>
                <w:szCs w:val="22"/>
              </w:rPr>
              <w:t>francs suisses</w:t>
            </w:r>
          </w:p>
          <w:p w:rsidR="0051677E" w:rsidRPr="001800B7" w:rsidRDefault="005B4BDC" w:rsidP="008475D2">
            <w:pPr>
              <w:spacing w:before="120" w:after="120"/>
              <w:rPr>
                <w:szCs w:val="22"/>
              </w:rPr>
            </w:pPr>
            <w:r w:rsidRPr="001800B7">
              <w:rPr>
                <w:szCs w:val="22"/>
              </w:rPr>
              <w:t>Dépenses de personnel supplémentaires</w:t>
            </w:r>
            <w:r w:rsidR="008005FD" w:rsidRPr="001800B7">
              <w:rPr>
                <w:szCs w:val="22"/>
              </w:rPr>
              <w:t> </w:t>
            </w:r>
            <w:r w:rsidRPr="001800B7">
              <w:rPr>
                <w:szCs w:val="22"/>
              </w:rPr>
              <w:t>: 268</w:t>
            </w:r>
            <w:r w:rsidR="008005FD" w:rsidRPr="001800B7">
              <w:rPr>
                <w:szCs w:val="22"/>
              </w:rPr>
              <w:t> </w:t>
            </w:r>
            <w:r w:rsidRPr="001800B7">
              <w:rPr>
                <w:szCs w:val="22"/>
              </w:rPr>
              <w:t>000</w:t>
            </w:r>
            <w:r w:rsidR="008005FD" w:rsidRPr="001800B7">
              <w:rPr>
                <w:szCs w:val="22"/>
              </w:rPr>
              <w:t> </w:t>
            </w:r>
            <w:r w:rsidRPr="001800B7">
              <w:rPr>
                <w:szCs w:val="22"/>
              </w:rPr>
              <w:t>francs suisses</w:t>
            </w:r>
          </w:p>
        </w:tc>
      </w:tr>
      <w:tr w:rsidR="001800B7" w:rsidRPr="001800B7" w:rsidTr="008475D2">
        <w:tc>
          <w:tcPr>
            <w:tcW w:w="2235" w:type="dxa"/>
            <w:shd w:val="clear" w:color="auto" w:fill="auto"/>
          </w:tcPr>
          <w:p w:rsidR="00B650B1" w:rsidRPr="001800B7" w:rsidRDefault="005B4BDC" w:rsidP="008475D2">
            <w:pPr>
              <w:pStyle w:val="Heading3"/>
              <w:spacing w:before="120" w:after="120"/>
              <w:rPr>
                <w:szCs w:val="22"/>
              </w:rPr>
            </w:pPr>
            <w:r w:rsidRPr="001800B7">
              <w:rPr>
                <w:szCs w:val="22"/>
              </w:rPr>
              <w:t>Date de début du projet</w:t>
            </w:r>
          </w:p>
          <w:p w:rsidR="00D67A00" w:rsidRPr="001800B7" w:rsidRDefault="00D67A00" w:rsidP="008475D2">
            <w:pPr>
              <w:spacing w:before="120" w:after="120"/>
              <w:rPr>
                <w:szCs w:val="22"/>
              </w:rPr>
            </w:pPr>
          </w:p>
        </w:tc>
        <w:tc>
          <w:tcPr>
            <w:tcW w:w="7266" w:type="dxa"/>
            <w:shd w:val="clear" w:color="auto" w:fill="auto"/>
          </w:tcPr>
          <w:p w:rsidR="00D67A00" w:rsidRPr="001800B7" w:rsidRDefault="0008593D" w:rsidP="008475D2">
            <w:pPr>
              <w:spacing w:before="120" w:after="120"/>
              <w:rPr>
                <w:szCs w:val="22"/>
              </w:rPr>
            </w:pPr>
            <w:r w:rsidRPr="001800B7">
              <w:rPr>
                <w:szCs w:val="22"/>
              </w:rPr>
              <w:t>Avril </w:t>
            </w:r>
            <w:r w:rsidR="005B4BDC" w:rsidRPr="001800B7">
              <w:rPr>
                <w:szCs w:val="22"/>
              </w:rPr>
              <w:t>2009</w:t>
            </w:r>
          </w:p>
        </w:tc>
      </w:tr>
      <w:tr w:rsidR="001800B7" w:rsidRPr="001800B7" w:rsidTr="008475D2">
        <w:tc>
          <w:tcPr>
            <w:tcW w:w="2235" w:type="dxa"/>
            <w:shd w:val="clear" w:color="auto" w:fill="auto"/>
          </w:tcPr>
          <w:p w:rsidR="00D67A00" w:rsidRPr="001800B7" w:rsidRDefault="005B4BDC" w:rsidP="008475D2">
            <w:pPr>
              <w:pStyle w:val="Heading3"/>
              <w:spacing w:before="120" w:after="120"/>
              <w:rPr>
                <w:szCs w:val="22"/>
              </w:rPr>
            </w:pPr>
            <w:r w:rsidRPr="001800B7">
              <w:rPr>
                <w:szCs w:val="22"/>
              </w:rPr>
              <w:t>Durée du projet</w:t>
            </w:r>
          </w:p>
        </w:tc>
        <w:tc>
          <w:tcPr>
            <w:tcW w:w="7266" w:type="dxa"/>
            <w:shd w:val="clear" w:color="auto" w:fill="auto"/>
          </w:tcPr>
          <w:p w:rsidR="00D67A00" w:rsidRPr="001800B7" w:rsidRDefault="005B4BDC" w:rsidP="008475D2">
            <w:pPr>
              <w:spacing w:before="120" w:after="120"/>
              <w:rPr>
                <w:szCs w:val="22"/>
              </w:rPr>
            </w:pPr>
            <w:r w:rsidRPr="001800B7">
              <w:rPr>
                <w:szCs w:val="22"/>
              </w:rPr>
              <w:t>18 mois</w:t>
            </w:r>
          </w:p>
        </w:tc>
      </w:tr>
      <w:tr w:rsidR="001800B7" w:rsidRPr="001800B7" w:rsidTr="008475D2">
        <w:tc>
          <w:tcPr>
            <w:tcW w:w="2235" w:type="dxa"/>
            <w:shd w:val="clear" w:color="auto" w:fill="auto"/>
          </w:tcPr>
          <w:p w:rsidR="00D67A00" w:rsidRPr="001800B7" w:rsidRDefault="005B4BDC" w:rsidP="008475D2">
            <w:pPr>
              <w:pStyle w:val="Heading3"/>
              <w:spacing w:before="120" w:after="120"/>
              <w:rPr>
                <w:szCs w:val="22"/>
              </w:rPr>
            </w:pPr>
            <w:r w:rsidRPr="001800B7">
              <w:rPr>
                <w:szCs w:val="22"/>
              </w:rPr>
              <w:t>Principaux secteurs de l</w:t>
            </w:r>
            <w:r w:rsidR="005311D6" w:rsidRPr="001800B7">
              <w:rPr>
                <w:szCs w:val="22"/>
              </w:rPr>
              <w:t>’</w:t>
            </w:r>
            <w:r w:rsidRPr="001800B7">
              <w:rPr>
                <w:szCs w:val="22"/>
              </w:rPr>
              <w:t>OMPI concernés et liens avec les programmes de l</w:t>
            </w:r>
            <w:r w:rsidR="005311D6" w:rsidRPr="001800B7">
              <w:rPr>
                <w:szCs w:val="22"/>
              </w:rPr>
              <w:t>’</w:t>
            </w:r>
            <w:r w:rsidRPr="001800B7">
              <w:rPr>
                <w:szCs w:val="22"/>
              </w:rPr>
              <w:t>OMPI</w:t>
            </w:r>
          </w:p>
        </w:tc>
        <w:tc>
          <w:tcPr>
            <w:tcW w:w="7266" w:type="dxa"/>
            <w:shd w:val="clear" w:color="auto" w:fill="auto"/>
          </w:tcPr>
          <w:p w:rsidR="008475D2" w:rsidRPr="001800B7" w:rsidRDefault="005B4BDC" w:rsidP="008475D2">
            <w:pPr>
              <w:spacing w:before="120" w:after="120"/>
              <w:rPr>
                <w:szCs w:val="22"/>
              </w:rPr>
            </w:pPr>
            <w:r w:rsidRPr="001800B7">
              <w:rPr>
                <w:szCs w:val="22"/>
              </w:rPr>
              <w:t>Secteur de la culture et des industries de la création</w:t>
            </w:r>
            <w:r w:rsidR="00477A00" w:rsidRPr="001800B7">
              <w:rPr>
                <w:szCs w:val="22"/>
              </w:rPr>
              <w:t xml:space="preserve">; </w:t>
            </w:r>
            <w:r w:rsidR="008475D2" w:rsidRPr="001800B7">
              <w:rPr>
                <w:szCs w:val="22"/>
              </w:rPr>
              <w:t xml:space="preserve"> </w:t>
            </w:r>
            <w:r w:rsidRPr="001800B7">
              <w:rPr>
                <w:szCs w:val="22"/>
              </w:rPr>
              <w:t>Secteur de l</w:t>
            </w:r>
            <w:r w:rsidR="005311D6" w:rsidRPr="001800B7">
              <w:rPr>
                <w:szCs w:val="22"/>
              </w:rPr>
              <w:t>’</w:t>
            </w:r>
            <w:r w:rsidR="008475D2" w:rsidRPr="001800B7">
              <w:rPr>
                <w:szCs w:val="22"/>
              </w:rPr>
              <w:t>infrastructure mondiale</w:t>
            </w:r>
            <w:r w:rsidR="00477A00" w:rsidRPr="001800B7">
              <w:rPr>
                <w:szCs w:val="22"/>
              </w:rPr>
              <w:t xml:space="preserve"> et</w:t>
            </w:r>
            <w:r w:rsidR="008475D2" w:rsidRPr="001800B7">
              <w:rPr>
                <w:szCs w:val="22"/>
              </w:rPr>
              <w:t xml:space="preserve"> </w:t>
            </w:r>
            <w:r w:rsidRPr="001800B7">
              <w:rPr>
                <w:szCs w:val="22"/>
              </w:rPr>
              <w:t>Secteur du développement</w:t>
            </w:r>
            <w:r w:rsidR="00477A00" w:rsidRPr="001800B7">
              <w:rPr>
                <w:szCs w:val="22"/>
              </w:rPr>
              <w:t>.</w:t>
            </w:r>
          </w:p>
          <w:p w:rsidR="0051677E" w:rsidRPr="001800B7" w:rsidRDefault="005B4BDC" w:rsidP="008475D2">
            <w:pPr>
              <w:spacing w:before="120" w:after="120"/>
              <w:rPr>
                <w:szCs w:val="22"/>
              </w:rPr>
            </w:pPr>
            <w:r w:rsidRPr="001800B7">
              <w:rPr>
                <w:szCs w:val="22"/>
              </w:rPr>
              <w:t>Liens avec les programmes 3, 9, 10 et 15 de l</w:t>
            </w:r>
            <w:r w:rsidR="005311D6" w:rsidRPr="001800B7">
              <w:rPr>
                <w:szCs w:val="22"/>
              </w:rPr>
              <w:t>’</w:t>
            </w:r>
            <w:r w:rsidRPr="001800B7">
              <w:rPr>
                <w:szCs w:val="22"/>
              </w:rPr>
              <w:t>OMPI.</w:t>
            </w:r>
          </w:p>
        </w:tc>
      </w:tr>
      <w:tr w:rsidR="00D67A00" w:rsidRPr="001800B7" w:rsidTr="008475D2">
        <w:tc>
          <w:tcPr>
            <w:tcW w:w="2235" w:type="dxa"/>
            <w:shd w:val="clear" w:color="auto" w:fill="auto"/>
          </w:tcPr>
          <w:p w:rsidR="00D67A00" w:rsidRPr="001800B7" w:rsidRDefault="005B4BDC" w:rsidP="008475D2">
            <w:pPr>
              <w:pStyle w:val="Heading3"/>
              <w:spacing w:before="120" w:after="120"/>
              <w:rPr>
                <w:szCs w:val="22"/>
              </w:rPr>
            </w:pPr>
            <w:r w:rsidRPr="001800B7">
              <w:rPr>
                <w:szCs w:val="22"/>
              </w:rPr>
              <w:t>Brève description du projet</w:t>
            </w:r>
          </w:p>
        </w:tc>
        <w:tc>
          <w:tcPr>
            <w:tcW w:w="7266" w:type="dxa"/>
            <w:shd w:val="clear" w:color="auto" w:fill="auto"/>
          </w:tcPr>
          <w:p w:rsidR="008475D2" w:rsidRPr="001800B7" w:rsidRDefault="005B4BDC" w:rsidP="008475D2">
            <w:pPr>
              <w:spacing w:before="120" w:after="120"/>
              <w:rPr>
                <w:szCs w:val="22"/>
              </w:rPr>
            </w:pPr>
            <w:r w:rsidRPr="001800B7">
              <w:rPr>
                <w:szCs w:val="22"/>
              </w:rPr>
              <w:t xml:space="preserve">Ce projet vise à aider les institutions nationales et les organismes partenaires œuvrant dans le domaine des industries de la création et représentant ces dernières à mieux connaître le rôle de la propriété intellectuelle dans la gestion efficace et le développement des industries de la création, et à faciliter la mise en place de réseaux régionaux ou </w:t>
            </w:r>
            <w:proofErr w:type="spellStart"/>
            <w:r w:rsidRPr="001800B7">
              <w:rPr>
                <w:szCs w:val="22"/>
              </w:rPr>
              <w:t>sous</w:t>
            </w:r>
            <w:r w:rsidR="001800B7" w:rsidRPr="001800B7">
              <w:rPr>
                <w:szCs w:val="22"/>
              </w:rPr>
              <w:noBreakHyphen/>
            </w:r>
            <w:r w:rsidRPr="001800B7">
              <w:rPr>
                <w:szCs w:val="22"/>
              </w:rPr>
              <w:t>régionaux</w:t>
            </w:r>
            <w:proofErr w:type="spellEnd"/>
            <w:r w:rsidRPr="001800B7">
              <w:rPr>
                <w:szCs w:val="22"/>
              </w:rPr>
              <w:t xml:space="preserve"> de gestion collective du droit d</w:t>
            </w:r>
            <w:r w:rsidR="005311D6" w:rsidRPr="001800B7">
              <w:rPr>
                <w:szCs w:val="22"/>
              </w:rPr>
              <w:t>’</w:t>
            </w:r>
            <w:r w:rsidRPr="001800B7">
              <w:rPr>
                <w:szCs w:val="22"/>
              </w:rPr>
              <w:t>auteur et des droits voisins.</w:t>
            </w:r>
          </w:p>
          <w:p w:rsidR="008475D2" w:rsidRPr="001800B7" w:rsidRDefault="005B4BDC" w:rsidP="008475D2">
            <w:pPr>
              <w:spacing w:before="120" w:after="120"/>
              <w:rPr>
                <w:szCs w:val="22"/>
              </w:rPr>
            </w:pPr>
            <w:r w:rsidRPr="001800B7">
              <w:rPr>
                <w:szCs w:val="22"/>
              </w:rPr>
              <w:t>Le premier volet du projet concernant les industries de la création a été achevé avec succès en</w:t>
            </w:r>
            <w:r w:rsidR="008005FD" w:rsidRPr="001800B7">
              <w:rPr>
                <w:szCs w:val="22"/>
              </w:rPr>
              <w:t> </w:t>
            </w:r>
            <w:r w:rsidRPr="001800B7">
              <w:rPr>
                <w:szCs w:val="22"/>
              </w:rPr>
              <w:t>2010 (voir l</w:t>
            </w:r>
            <w:r w:rsidR="005311D6" w:rsidRPr="001800B7">
              <w:rPr>
                <w:szCs w:val="22"/>
              </w:rPr>
              <w:t>’</w:t>
            </w:r>
            <w:r w:rsidRPr="001800B7">
              <w:rPr>
                <w:szCs w:val="22"/>
              </w:rPr>
              <w:t>annexe</w:t>
            </w:r>
            <w:r w:rsidR="008005FD" w:rsidRPr="001800B7">
              <w:rPr>
                <w:szCs w:val="22"/>
              </w:rPr>
              <w:t> </w:t>
            </w:r>
            <w:r w:rsidRPr="001800B7">
              <w:rPr>
                <w:szCs w:val="22"/>
              </w:rPr>
              <w:t>VIII du document CDIP/6/2).</w:t>
            </w:r>
          </w:p>
          <w:p w:rsidR="008475D2" w:rsidRPr="001800B7" w:rsidRDefault="005B4BDC" w:rsidP="008475D2">
            <w:pPr>
              <w:spacing w:before="120" w:after="120"/>
              <w:rPr>
                <w:szCs w:val="22"/>
              </w:rPr>
            </w:pPr>
            <w:r w:rsidRPr="001800B7">
              <w:rPr>
                <w:szCs w:val="22"/>
              </w:rPr>
              <w:t>Le second qui a trait aux organismes de gestion collective est toujours en cours</w:t>
            </w:r>
            <w:r w:rsidR="0008593D" w:rsidRPr="001800B7">
              <w:rPr>
                <w:szCs w:val="22"/>
              </w:rPr>
              <w:t xml:space="preserve">.  </w:t>
            </w:r>
            <w:r w:rsidRPr="001800B7">
              <w:rPr>
                <w:szCs w:val="22"/>
              </w:rPr>
              <w:t>Le but de ce projet est de fournir aux organismes de gestion collective regroupés au sein du réseau du droit d</w:t>
            </w:r>
            <w:r w:rsidR="005311D6" w:rsidRPr="001800B7">
              <w:rPr>
                <w:szCs w:val="22"/>
              </w:rPr>
              <w:t>’</w:t>
            </w:r>
            <w:r w:rsidRPr="001800B7">
              <w:rPr>
                <w:szCs w:val="22"/>
              </w:rPr>
              <w:t>auteur des sociétés de gestion collective de l</w:t>
            </w:r>
            <w:r w:rsidR="005311D6" w:rsidRPr="001800B7">
              <w:rPr>
                <w:szCs w:val="22"/>
              </w:rPr>
              <w:t>’</w:t>
            </w:r>
            <w:r w:rsidRPr="001800B7">
              <w:rPr>
                <w:szCs w:val="22"/>
              </w:rPr>
              <w:t>Afrique occidentale (WAN) une série d</w:t>
            </w:r>
            <w:r w:rsidR="005311D6" w:rsidRPr="001800B7">
              <w:rPr>
                <w:szCs w:val="22"/>
              </w:rPr>
              <w:t>’</w:t>
            </w:r>
            <w:r w:rsidRPr="001800B7">
              <w:rPr>
                <w:szCs w:val="22"/>
              </w:rPr>
              <w:t>instruments techniques pour leur permettre de gérer efficacement la documentation, la concession de licences et la distribution relatives au droit d</w:t>
            </w:r>
            <w:r w:rsidR="005311D6" w:rsidRPr="001800B7">
              <w:rPr>
                <w:szCs w:val="22"/>
              </w:rPr>
              <w:t>’</w:t>
            </w:r>
            <w:r w:rsidRPr="001800B7">
              <w:rPr>
                <w:szCs w:val="22"/>
              </w:rPr>
              <w:t>auteur, de mettre en place une plate</w:t>
            </w:r>
            <w:r w:rsidR="001800B7" w:rsidRPr="001800B7">
              <w:rPr>
                <w:szCs w:val="22"/>
              </w:rPr>
              <w:noBreakHyphen/>
            </w:r>
            <w:r w:rsidRPr="001800B7">
              <w:rPr>
                <w:szCs w:val="22"/>
              </w:rPr>
              <w:t>forme de gestion collective au niveau régional grâce à l</w:t>
            </w:r>
            <w:r w:rsidR="005311D6" w:rsidRPr="001800B7">
              <w:rPr>
                <w:szCs w:val="22"/>
              </w:rPr>
              <w:t>’</w:t>
            </w:r>
            <w:r w:rsidRPr="001800B7">
              <w:rPr>
                <w:szCs w:val="22"/>
              </w:rPr>
              <w:t>uniformisation et à l</w:t>
            </w:r>
            <w:r w:rsidR="005311D6" w:rsidRPr="001800B7">
              <w:rPr>
                <w:szCs w:val="22"/>
              </w:rPr>
              <w:t>’</w:t>
            </w:r>
            <w:r w:rsidRPr="001800B7">
              <w:rPr>
                <w:szCs w:val="22"/>
              </w:rPr>
              <w:t xml:space="preserve">accélération des </w:t>
            </w:r>
            <w:r w:rsidRPr="001800B7">
              <w:rPr>
                <w:szCs w:val="22"/>
              </w:rPr>
              <w:lastRenderedPageBreak/>
              <w:t>échanges d</w:t>
            </w:r>
            <w:r w:rsidR="005311D6" w:rsidRPr="001800B7">
              <w:rPr>
                <w:szCs w:val="22"/>
              </w:rPr>
              <w:t>’</w:t>
            </w:r>
            <w:r w:rsidRPr="001800B7">
              <w:rPr>
                <w:szCs w:val="22"/>
              </w:rPr>
              <w:t>information entre eux et avec le reste du monde ainsi que des instruments pour intégrer les réseaux internationaux d</w:t>
            </w:r>
            <w:r w:rsidR="005311D6" w:rsidRPr="001800B7">
              <w:rPr>
                <w:szCs w:val="22"/>
              </w:rPr>
              <w:t>’</w:t>
            </w:r>
            <w:r w:rsidRPr="001800B7">
              <w:rPr>
                <w:szCs w:val="22"/>
              </w:rPr>
              <w:t>organismes de gestion collective utilisant pour ce faire des normes mondiales établies.</w:t>
            </w:r>
          </w:p>
          <w:p w:rsidR="00D67A00" w:rsidRPr="001800B7" w:rsidRDefault="005B4BDC" w:rsidP="008475D2">
            <w:pPr>
              <w:spacing w:before="120" w:after="120"/>
              <w:rPr>
                <w:szCs w:val="22"/>
              </w:rPr>
            </w:pPr>
            <w:r w:rsidRPr="001800B7">
              <w:rPr>
                <w:szCs w:val="22"/>
              </w:rPr>
              <w:t>Le projet et les instruments qui seront mis au point et déployés devront être conçus de telle sorte que les résultats puissent ultérieurement être adaptés et déployés dans des projets pilotes similaires au sein d</w:t>
            </w:r>
            <w:r w:rsidR="005311D6" w:rsidRPr="001800B7">
              <w:rPr>
                <w:szCs w:val="22"/>
              </w:rPr>
              <w:t>’</w:t>
            </w:r>
            <w:r w:rsidRPr="001800B7">
              <w:rPr>
                <w:szCs w:val="22"/>
              </w:rPr>
              <w:t>organismes de gestion collective ou de groupes de pays.</w:t>
            </w:r>
          </w:p>
        </w:tc>
      </w:tr>
    </w:tbl>
    <w:p w:rsidR="008475D2" w:rsidRPr="001800B7" w:rsidRDefault="008475D2" w:rsidP="008475D2">
      <w:pPr>
        <w:rPr>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8475D2">
        <w:tc>
          <w:tcPr>
            <w:tcW w:w="2235" w:type="dxa"/>
            <w:shd w:val="clear" w:color="auto" w:fill="auto"/>
          </w:tcPr>
          <w:p w:rsidR="00020CDA" w:rsidRPr="001800B7" w:rsidRDefault="005B4BDC" w:rsidP="008475D2">
            <w:pPr>
              <w:pStyle w:val="Heading3"/>
              <w:keepNext w:val="0"/>
              <w:spacing w:before="120" w:after="120"/>
              <w:rPr>
                <w:szCs w:val="22"/>
              </w:rPr>
            </w:pPr>
            <w:r w:rsidRPr="001800B7">
              <w:rPr>
                <w:szCs w:val="22"/>
              </w:rPr>
              <w:t>Chef de projet</w:t>
            </w:r>
          </w:p>
        </w:tc>
        <w:tc>
          <w:tcPr>
            <w:tcW w:w="7266" w:type="dxa"/>
          </w:tcPr>
          <w:p w:rsidR="00D67A00" w:rsidRPr="001800B7" w:rsidRDefault="00254D8C" w:rsidP="008475D2">
            <w:pPr>
              <w:spacing w:before="120" w:after="120"/>
              <w:rPr>
                <w:iCs/>
                <w:szCs w:val="22"/>
              </w:rPr>
            </w:pPr>
            <w:r w:rsidRPr="001800B7">
              <w:rPr>
                <w:iCs/>
                <w:szCs w:val="22"/>
              </w:rPr>
              <w:t>M.</w:t>
            </w:r>
            <w:r w:rsidR="008005FD" w:rsidRPr="001800B7">
              <w:rPr>
                <w:iCs/>
                <w:szCs w:val="22"/>
              </w:rPr>
              <w:t> </w:t>
            </w:r>
            <w:r w:rsidR="0008593D" w:rsidRPr="001800B7">
              <w:rPr>
                <w:iCs/>
                <w:szCs w:val="22"/>
              </w:rPr>
              <w:t>William </w:t>
            </w:r>
            <w:r w:rsidR="00D67A00" w:rsidRPr="001800B7">
              <w:rPr>
                <w:iCs/>
                <w:szCs w:val="22"/>
              </w:rPr>
              <w:t>Meredith</w:t>
            </w:r>
          </w:p>
        </w:tc>
      </w:tr>
      <w:tr w:rsidR="001800B7" w:rsidRPr="001800B7" w:rsidTr="008475D2">
        <w:tc>
          <w:tcPr>
            <w:tcW w:w="2235" w:type="dxa"/>
            <w:shd w:val="clear" w:color="auto" w:fill="auto"/>
          </w:tcPr>
          <w:p w:rsidR="00D67A00" w:rsidRPr="001800B7" w:rsidDel="00196374" w:rsidRDefault="005B4BDC" w:rsidP="008475D2">
            <w:pPr>
              <w:pStyle w:val="Heading3"/>
              <w:keepNext w:val="0"/>
              <w:spacing w:before="120" w:after="120"/>
              <w:rPr>
                <w:szCs w:val="22"/>
              </w:rPr>
            </w:pPr>
            <w:r w:rsidRPr="001800B7">
              <w:rPr>
                <w:szCs w:val="22"/>
              </w:rPr>
              <w:t>Liens avec les résultats escomptés dans le programme et budget pour</w:t>
            </w:r>
            <w:r w:rsidR="005C6E4A" w:rsidRPr="001800B7">
              <w:rPr>
                <w:szCs w:val="22"/>
              </w:rPr>
              <w:t xml:space="preserve"> </w:t>
            </w:r>
            <w:r w:rsidRPr="001800B7">
              <w:rPr>
                <w:szCs w:val="22"/>
              </w:rPr>
              <w:t>2012</w:t>
            </w:r>
            <w:r w:rsidR="001800B7" w:rsidRPr="001800B7">
              <w:rPr>
                <w:szCs w:val="22"/>
              </w:rPr>
              <w:noBreakHyphen/>
            </w:r>
            <w:r w:rsidRPr="001800B7">
              <w:rPr>
                <w:szCs w:val="22"/>
              </w:rPr>
              <w:t>2013</w:t>
            </w:r>
          </w:p>
        </w:tc>
        <w:tc>
          <w:tcPr>
            <w:tcW w:w="7266" w:type="dxa"/>
          </w:tcPr>
          <w:p w:rsidR="0051677E" w:rsidRPr="001800B7" w:rsidDel="00196374" w:rsidRDefault="005B4BDC" w:rsidP="008475D2">
            <w:pPr>
              <w:spacing w:before="120" w:after="120"/>
              <w:rPr>
                <w:iCs/>
                <w:szCs w:val="22"/>
              </w:rPr>
            </w:pPr>
            <w:r w:rsidRPr="001800B7">
              <w:rPr>
                <w:i/>
                <w:iCs/>
                <w:szCs w:val="22"/>
              </w:rPr>
              <w:t>Résultat escompté</w:t>
            </w:r>
            <w:r w:rsidR="008005FD" w:rsidRPr="001800B7">
              <w:rPr>
                <w:i/>
                <w:iCs/>
                <w:szCs w:val="22"/>
              </w:rPr>
              <w:t> </w:t>
            </w:r>
            <w:r w:rsidRPr="001800B7">
              <w:rPr>
                <w:i/>
                <w:iCs/>
                <w:szCs w:val="22"/>
              </w:rPr>
              <w:t>: IV.5</w:t>
            </w:r>
            <w:r w:rsidR="008475D2" w:rsidRPr="001800B7">
              <w:rPr>
                <w:i/>
                <w:iCs/>
                <w:szCs w:val="22"/>
              </w:rPr>
              <w:t xml:space="preserve"> : </w:t>
            </w:r>
            <w:r w:rsidRPr="001800B7">
              <w:rPr>
                <w:iCs/>
                <w:szCs w:val="22"/>
              </w:rPr>
              <w:t>Amélioration de l</w:t>
            </w:r>
            <w:r w:rsidR="005311D6" w:rsidRPr="001800B7">
              <w:rPr>
                <w:iCs/>
                <w:szCs w:val="22"/>
              </w:rPr>
              <w:t>’</w:t>
            </w:r>
            <w:r w:rsidRPr="001800B7">
              <w:rPr>
                <w:iCs/>
                <w:szCs w:val="22"/>
              </w:rPr>
              <w:t>infrastructure technique et du savoir pour les offices de propriété intellectuelle et d</w:t>
            </w:r>
            <w:r w:rsidR="005311D6" w:rsidRPr="001800B7">
              <w:rPr>
                <w:iCs/>
                <w:szCs w:val="22"/>
              </w:rPr>
              <w:t>’</w:t>
            </w:r>
            <w:r w:rsidRPr="001800B7">
              <w:rPr>
                <w:iCs/>
                <w:szCs w:val="22"/>
              </w:rPr>
              <w:t>autres institutions de propriété intellectuelle, leur permettant de fournir à leurs parties prenantes des services améliorés (moins chers, plus rapides, de meilleure qualité)</w:t>
            </w:r>
          </w:p>
        </w:tc>
      </w:tr>
      <w:tr w:rsidR="001800B7" w:rsidRPr="001800B7" w:rsidTr="008475D2">
        <w:tc>
          <w:tcPr>
            <w:tcW w:w="2235" w:type="dxa"/>
            <w:shd w:val="clear" w:color="auto" w:fill="auto"/>
          </w:tcPr>
          <w:p w:rsidR="00D67A00" w:rsidRPr="001800B7" w:rsidRDefault="005B4BDC" w:rsidP="008475D2">
            <w:pPr>
              <w:pStyle w:val="Heading3"/>
              <w:keepNext w:val="0"/>
              <w:spacing w:before="120" w:after="120"/>
              <w:rPr>
                <w:szCs w:val="22"/>
              </w:rPr>
            </w:pPr>
            <w:r w:rsidRPr="001800B7">
              <w:rPr>
                <w:szCs w:val="22"/>
              </w:rPr>
              <w:t>État d</w:t>
            </w:r>
            <w:r w:rsidR="005311D6" w:rsidRPr="001800B7">
              <w:rPr>
                <w:szCs w:val="22"/>
              </w:rPr>
              <w:t>’</w:t>
            </w:r>
            <w:r w:rsidRPr="001800B7">
              <w:rPr>
                <w:szCs w:val="22"/>
              </w:rPr>
              <w:t>avancement du projet</w:t>
            </w:r>
          </w:p>
        </w:tc>
        <w:tc>
          <w:tcPr>
            <w:tcW w:w="7266" w:type="dxa"/>
          </w:tcPr>
          <w:p w:rsidR="008475D2" w:rsidRPr="001800B7" w:rsidRDefault="005B4BDC" w:rsidP="008475D2">
            <w:pPr>
              <w:spacing w:before="120" w:after="120"/>
              <w:rPr>
                <w:szCs w:val="22"/>
              </w:rPr>
            </w:pPr>
            <w:r w:rsidRPr="001800B7">
              <w:rPr>
                <w:szCs w:val="22"/>
              </w:rPr>
              <w:t>Le premier volet du projet concernant les industries de la création a été achevé avec succès en</w:t>
            </w:r>
            <w:r w:rsidR="008005FD" w:rsidRPr="001800B7">
              <w:rPr>
                <w:szCs w:val="22"/>
              </w:rPr>
              <w:t> </w:t>
            </w:r>
            <w:r w:rsidRPr="001800B7">
              <w:rPr>
                <w:szCs w:val="22"/>
              </w:rPr>
              <w:t>2010 (voir l</w:t>
            </w:r>
            <w:r w:rsidR="005311D6" w:rsidRPr="001800B7">
              <w:rPr>
                <w:szCs w:val="22"/>
              </w:rPr>
              <w:t>’</w:t>
            </w:r>
            <w:r w:rsidRPr="001800B7">
              <w:rPr>
                <w:szCs w:val="22"/>
              </w:rPr>
              <w:t>annexe</w:t>
            </w:r>
            <w:r w:rsidR="008005FD" w:rsidRPr="001800B7">
              <w:rPr>
                <w:szCs w:val="22"/>
              </w:rPr>
              <w:t> </w:t>
            </w:r>
            <w:r w:rsidRPr="001800B7">
              <w:rPr>
                <w:szCs w:val="22"/>
              </w:rPr>
              <w:t>VIII du document CDIP/6/2)</w:t>
            </w:r>
            <w:r w:rsidR="0008593D" w:rsidRPr="001800B7">
              <w:rPr>
                <w:szCs w:val="22"/>
              </w:rPr>
              <w:t xml:space="preserve">.  </w:t>
            </w:r>
            <w:r w:rsidRPr="001800B7">
              <w:rPr>
                <w:szCs w:val="22"/>
              </w:rPr>
              <w:t>Le présent rapport couvre uniquement le second volet du projet qui a trait aux organismes de gestion collective.</w:t>
            </w:r>
          </w:p>
          <w:p w:rsidR="008475D2" w:rsidRPr="001800B7" w:rsidRDefault="009F509C" w:rsidP="008475D2">
            <w:pPr>
              <w:spacing w:before="120" w:after="120"/>
              <w:rPr>
                <w:szCs w:val="22"/>
              </w:rPr>
            </w:pPr>
            <w:r w:rsidRPr="001800B7">
              <w:rPr>
                <w:szCs w:val="22"/>
              </w:rPr>
              <w:t>En</w:t>
            </w:r>
            <w:r w:rsidR="008005FD" w:rsidRPr="001800B7">
              <w:rPr>
                <w:szCs w:val="22"/>
              </w:rPr>
              <w:t> </w:t>
            </w:r>
            <w:r w:rsidRPr="001800B7">
              <w:rPr>
                <w:szCs w:val="22"/>
              </w:rPr>
              <w:t>2013, on a procédé à la rédaction et à l</w:t>
            </w:r>
            <w:r w:rsidR="005311D6" w:rsidRPr="001800B7">
              <w:rPr>
                <w:szCs w:val="22"/>
              </w:rPr>
              <w:t>’</w:t>
            </w:r>
            <w:r w:rsidRPr="001800B7">
              <w:rPr>
                <w:szCs w:val="22"/>
              </w:rPr>
              <w:t>examen d</w:t>
            </w:r>
            <w:r w:rsidR="005311D6" w:rsidRPr="001800B7">
              <w:rPr>
                <w:szCs w:val="22"/>
              </w:rPr>
              <w:t>’</w:t>
            </w:r>
            <w:r w:rsidRPr="001800B7">
              <w:rPr>
                <w:szCs w:val="22"/>
              </w:rPr>
              <w:t>un ensemble complet d</w:t>
            </w:r>
            <w:r w:rsidR="005311D6" w:rsidRPr="001800B7">
              <w:rPr>
                <w:szCs w:val="22"/>
              </w:rPr>
              <w:t>’</w:t>
            </w:r>
            <w:r w:rsidRPr="001800B7">
              <w:rPr>
                <w:szCs w:val="22"/>
              </w:rPr>
              <w:t xml:space="preserve">exigences (cahier des charges de haut niveau). </w:t>
            </w:r>
            <w:r w:rsidR="008005FD" w:rsidRPr="001800B7">
              <w:rPr>
                <w:szCs w:val="22"/>
              </w:rPr>
              <w:t xml:space="preserve"> </w:t>
            </w:r>
            <w:r w:rsidRPr="001800B7">
              <w:rPr>
                <w:szCs w:val="22"/>
              </w:rPr>
              <w:t>Les travaux consacrés à l</w:t>
            </w:r>
            <w:r w:rsidR="005311D6" w:rsidRPr="001800B7">
              <w:rPr>
                <w:szCs w:val="22"/>
              </w:rPr>
              <w:t>’</w:t>
            </w:r>
            <w:r w:rsidRPr="001800B7">
              <w:rPr>
                <w:szCs w:val="22"/>
              </w:rPr>
              <w:t>élaboration d</w:t>
            </w:r>
            <w:r w:rsidR="005311D6" w:rsidRPr="001800B7">
              <w:rPr>
                <w:szCs w:val="22"/>
              </w:rPr>
              <w:t>’</w:t>
            </w:r>
            <w:r w:rsidRPr="001800B7">
              <w:rPr>
                <w:szCs w:val="22"/>
              </w:rPr>
              <w:t>un modèle économique pour le développement durable à long terme et le fonctionnement du système ont progressé</w:t>
            </w:r>
            <w:r w:rsidR="00D67A00" w:rsidRPr="001800B7">
              <w:rPr>
                <w:szCs w:val="22"/>
              </w:rPr>
              <w:t>.</w:t>
            </w:r>
          </w:p>
          <w:p w:rsidR="008475D2" w:rsidRPr="001800B7" w:rsidRDefault="009F509C" w:rsidP="008475D2">
            <w:pPr>
              <w:spacing w:before="120" w:after="120"/>
              <w:rPr>
                <w:szCs w:val="22"/>
              </w:rPr>
            </w:pPr>
            <w:r w:rsidRPr="001800B7">
              <w:rPr>
                <w:szCs w:val="22"/>
              </w:rPr>
              <w:t xml:space="preserve">En </w:t>
            </w:r>
            <w:r w:rsidR="00456841" w:rsidRPr="001800B7">
              <w:rPr>
                <w:szCs w:val="22"/>
              </w:rPr>
              <w:t>avril 20</w:t>
            </w:r>
            <w:r w:rsidR="00D67A00" w:rsidRPr="001800B7">
              <w:rPr>
                <w:szCs w:val="22"/>
              </w:rPr>
              <w:t xml:space="preserve">14, </w:t>
            </w:r>
            <w:r w:rsidRPr="001800B7">
              <w:rPr>
                <w:szCs w:val="22"/>
              </w:rPr>
              <w:t>un atelier a été organisé à Genève pour réunir des représentants des organis</w:t>
            </w:r>
            <w:r w:rsidR="009301A0" w:rsidRPr="001800B7">
              <w:rPr>
                <w:szCs w:val="22"/>
              </w:rPr>
              <w:t>me</w:t>
            </w:r>
            <w:r w:rsidRPr="001800B7">
              <w:rPr>
                <w:szCs w:val="22"/>
              </w:rPr>
              <w:t>s de gestion collective qui pourraient éventuellement utiliser le nouveau système, afin d</w:t>
            </w:r>
            <w:r w:rsidR="005311D6" w:rsidRPr="001800B7">
              <w:rPr>
                <w:szCs w:val="22"/>
              </w:rPr>
              <w:t>’</w:t>
            </w:r>
            <w:r w:rsidRPr="001800B7">
              <w:rPr>
                <w:szCs w:val="22"/>
              </w:rPr>
              <w:t>examiner le cahier des charges de haut niveau et de créer un groupe d</w:t>
            </w:r>
            <w:r w:rsidR="005311D6" w:rsidRPr="001800B7">
              <w:rPr>
                <w:szCs w:val="22"/>
              </w:rPr>
              <w:t>’</w:t>
            </w:r>
            <w:r w:rsidRPr="001800B7">
              <w:rPr>
                <w:szCs w:val="22"/>
              </w:rPr>
              <w:t>experts qui prodiguera des conseils à l</w:t>
            </w:r>
            <w:r w:rsidR="005311D6" w:rsidRPr="001800B7">
              <w:rPr>
                <w:szCs w:val="22"/>
              </w:rPr>
              <w:t>’</w:t>
            </w:r>
            <w:r w:rsidRPr="001800B7">
              <w:rPr>
                <w:szCs w:val="22"/>
              </w:rPr>
              <w:t>équipe de projet durant l</w:t>
            </w:r>
            <w:r w:rsidR="005311D6" w:rsidRPr="001800B7">
              <w:rPr>
                <w:szCs w:val="22"/>
              </w:rPr>
              <w:t>’</w:t>
            </w:r>
            <w:r w:rsidRPr="001800B7">
              <w:rPr>
                <w:szCs w:val="22"/>
              </w:rPr>
              <w:t>élaboration du système</w:t>
            </w:r>
            <w:r w:rsidR="00D67A00" w:rsidRPr="001800B7">
              <w:rPr>
                <w:szCs w:val="22"/>
              </w:rPr>
              <w:t>.</w:t>
            </w:r>
          </w:p>
          <w:p w:rsidR="008475D2" w:rsidRPr="001800B7" w:rsidRDefault="009F509C" w:rsidP="008475D2">
            <w:pPr>
              <w:spacing w:before="120" w:after="120"/>
              <w:rPr>
                <w:szCs w:val="22"/>
              </w:rPr>
            </w:pPr>
            <w:r w:rsidRPr="001800B7">
              <w:rPr>
                <w:szCs w:val="22"/>
              </w:rPr>
              <w:t>Conformément aux exigences documentées, on a amorcé un processus d</w:t>
            </w:r>
            <w:r w:rsidR="005311D6" w:rsidRPr="001800B7">
              <w:rPr>
                <w:szCs w:val="22"/>
              </w:rPr>
              <w:t>’</w:t>
            </w:r>
            <w:r w:rsidRPr="001800B7">
              <w:rPr>
                <w:szCs w:val="22"/>
              </w:rPr>
              <w:t>appel à propositions au début de</w:t>
            </w:r>
            <w:r w:rsidR="008005FD" w:rsidRPr="001800B7">
              <w:rPr>
                <w:szCs w:val="22"/>
              </w:rPr>
              <w:t> </w:t>
            </w:r>
            <w:r w:rsidRPr="001800B7">
              <w:rPr>
                <w:szCs w:val="22"/>
              </w:rPr>
              <w:t>2014 pour trouver un partenaire pour l</w:t>
            </w:r>
            <w:r w:rsidR="005311D6" w:rsidRPr="001800B7">
              <w:rPr>
                <w:szCs w:val="22"/>
              </w:rPr>
              <w:t>’</w:t>
            </w:r>
            <w:r w:rsidRPr="001800B7">
              <w:rPr>
                <w:szCs w:val="22"/>
              </w:rPr>
              <w:t>élaboration du système.</w:t>
            </w:r>
            <w:r w:rsidR="008005FD" w:rsidRPr="001800B7">
              <w:rPr>
                <w:szCs w:val="22"/>
              </w:rPr>
              <w:t xml:space="preserve"> </w:t>
            </w:r>
            <w:r w:rsidRPr="001800B7">
              <w:rPr>
                <w:szCs w:val="22"/>
              </w:rPr>
              <w:t xml:space="preserve"> L</w:t>
            </w:r>
            <w:r w:rsidR="005311D6" w:rsidRPr="001800B7">
              <w:rPr>
                <w:szCs w:val="22"/>
              </w:rPr>
              <w:t>’</w:t>
            </w:r>
            <w:r w:rsidRPr="001800B7">
              <w:rPr>
                <w:szCs w:val="22"/>
              </w:rPr>
              <w:t>évaluation est terminée et on s</w:t>
            </w:r>
            <w:r w:rsidR="005311D6" w:rsidRPr="001800B7">
              <w:rPr>
                <w:szCs w:val="22"/>
              </w:rPr>
              <w:t>’</w:t>
            </w:r>
            <w:r w:rsidRPr="001800B7">
              <w:rPr>
                <w:szCs w:val="22"/>
              </w:rPr>
              <w:t xml:space="preserve">occupe actuellement de négocier un contrat (depuis </w:t>
            </w:r>
            <w:r w:rsidR="00456841" w:rsidRPr="001800B7">
              <w:rPr>
                <w:szCs w:val="22"/>
              </w:rPr>
              <w:t>juillet 20</w:t>
            </w:r>
            <w:r w:rsidRPr="001800B7">
              <w:rPr>
                <w:szCs w:val="22"/>
              </w:rPr>
              <w:t xml:space="preserve">14). </w:t>
            </w:r>
            <w:r w:rsidR="008005FD" w:rsidRPr="001800B7">
              <w:rPr>
                <w:szCs w:val="22"/>
              </w:rPr>
              <w:t xml:space="preserve"> </w:t>
            </w:r>
            <w:r w:rsidRPr="001800B7">
              <w:rPr>
                <w:szCs w:val="22"/>
              </w:rPr>
              <w:t>Le partenaire fournira les éléments logiciels des composantes locales du système (qui doit être déployé par les organis</w:t>
            </w:r>
            <w:r w:rsidR="009301A0" w:rsidRPr="001800B7">
              <w:rPr>
                <w:szCs w:val="22"/>
              </w:rPr>
              <w:t>me</w:t>
            </w:r>
            <w:r w:rsidRPr="001800B7">
              <w:rPr>
                <w:szCs w:val="22"/>
              </w:rPr>
              <w:t>s</w:t>
            </w:r>
            <w:r w:rsidR="009301A0" w:rsidRPr="001800B7">
              <w:rPr>
                <w:szCs w:val="22"/>
              </w:rPr>
              <w:t xml:space="preserve"> de gestion collective) et des composantes communes du système (afin de lier les organismes de gestion collective faisant partie des réseaux régionaux avec les systèmes internationaux de gestion des droits</w:t>
            </w:r>
            <w:r w:rsidR="00D67A00" w:rsidRPr="001800B7">
              <w:rPr>
                <w:szCs w:val="22"/>
              </w:rPr>
              <w:t>).</w:t>
            </w:r>
          </w:p>
          <w:p w:rsidR="008475D2" w:rsidRPr="001800B7" w:rsidRDefault="009301A0" w:rsidP="008475D2">
            <w:pPr>
              <w:spacing w:before="120" w:after="120"/>
              <w:rPr>
                <w:szCs w:val="22"/>
              </w:rPr>
            </w:pPr>
            <w:r w:rsidRPr="001800B7">
              <w:rPr>
                <w:szCs w:val="22"/>
              </w:rPr>
              <w:t xml:space="preserve">On a également recruté un directeur technique de projet qui dirigera le projet aux phases de développement et </w:t>
            </w:r>
            <w:r w:rsidR="00CB4748" w:rsidRPr="001800B7">
              <w:rPr>
                <w:szCs w:val="22"/>
              </w:rPr>
              <w:t>pilotes</w:t>
            </w:r>
            <w:r w:rsidR="00D67A00" w:rsidRPr="001800B7">
              <w:rPr>
                <w:szCs w:val="22"/>
              </w:rPr>
              <w:t>.</w:t>
            </w:r>
          </w:p>
          <w:p w:rsidR="00D67A00" w:rsidRPr="001800B7" w:rsidRDefault="009301A0" w:rsidP="008475D2">
            <w:pPr>
              <w:spacing w:before="120" w:after="120"/>
              <w:rPr>
                <w:szCs w:val="22"/>
              </w:rPr>
            </w:pPr>
            <w:r w:rsidRPr="001800B7">
              <w:rPr>
                <w:szCs w:val="22"/>
              </w:rPr>
              <w:t xml:space="preserve">Ces activités sont entreprises en vertu du programme et </w:t>
            </w:r>
            <w:proofErr w:type="gramStart"/>
            <w:r w:rsidRPr="001800B7">
              <w:rPr>
                <w:szCs w:val="22"/>
              </w:rPr>
              <w:t>du budget approuvés</w:t>
            </w:r>
            <w:proofErr w:type="gramEnd"/>
            <w:r w:rsidRPr="001800B7">
              <w:rPr>
                <w:szCs w:val="22"/>
              </w:rPr>
              <w:t xml:space="preserve"> du </w:t>
            </w:r>
            <w:r w:rsidR="00733A12" w:rsidRPr="001800B7">
              <w:rPr>
                <w:szCs w:val="22"/>
              </w:rPr>
              <w:t>programme</w:t>
            </w:r>
            <w:r w:rsidRPr="001800B7">
              <w:rPr>
                <w:szCs w:val="22"/>
              </w:rPr>
              <w:t> </w:t>
            </w:r>
            <w:r w:rsidR="00D67A00" w:rsidRPr="001800B7">
              <w:rPr>
                <w:szCs w:val="22"/>
              </w:rPr>
              <w:t>15.</w:t>
            </w:r>
          </w:p>
        </w:tc>
      </w:tr>
      <w:tr w:rsidR="001800B7" w:rsidRPr="001800B7" w:rsidTr="00477A00">
        <w:trPr>
          <w:cantSplit/>
        </w:trPr>
        <w:tc>
          <w:tcPr>
            <w:tcW w:w="2235" w:type="dxa"/>
            <w:shd w:val="clear" w:color="auto" w:fill="auto"/>
          </w:tcPr>
          <w:p w:rsidR="00D67A00" w:rsidRPr="001800B7" w:rsidRDefault="005B4BDC" w:rsidP="008475D2">
            <w:pPr>
              <w:pStyle w:val="Heading3"/>
              <w:keepNext w:val="0"/>
              <w:spacing w:before="120" w:after="120"/>
              <w:rPr>
                <w:szCs w:val="22"/>
              </w:rPr>
            </w:pPr>
            <w:r w:rsidRPr="001800B7">
              <w:rPr>
                <w:szCs w:val="22"/>
              </w:rPr>
              <w:t>Exemples de succès ou d</w:t>
            </w:r>
            <w:r w:rsidR="005311D6" w:rsidRPr="001800B7">
              <w:rPr>
                <w:szCs w:val="22"/>
              </w:rPr>
              <w:t>’</w:t>
            </w:r>
            <w:r w:rsidRPr="001800B7">
              <w:rPr>
                <w:szCs w:val="22"/>
              </w:rPr>
              <w:t>effets positifs et principaux enseignements</w:t>
            </w:r>
          </w:p>
        </w:tc>
        <w:tc>
          <w:tcPr>
            <w:tcW w:w="7266" w:type="dxa"/>
          </w:tcPr>
          <w:p w:rsidR="00D67A00" w:rsidRPr="001800B7" w:rsidRDefault="005B4BDC" w:rsidP="008475D2">
            <w:pPr>
              <w:spacing w:before="120" w:after="120"/>
              <w:rPr>
                <w:iCs/>
                <w:szCs w:val="22"/>
              </w:rPr>
            </w:pPr>
            <w:r w:rsidRPr="001800B7">
              <w:rPr>
                <w:iCs/>
                <w:szCs w:val="22"/>
              </w:rPr>
              <w:t xml:space="preserve">Il est important que le projet ait le soutien de toutes les parties prenantes, </w:t>
            </w:r>
            <w:r w:rsidR="005311D6" w:rsidRPr="001800B7">
              <w:rPr>
                <w:iCs/>
                <w:szCs w:val="22"/>
              </w:rPr>
              <w:t>y compris</w:t>
            </w:r>
            <w:r w:rsidRPr="001800B7">
              <w:rPr>
                <w:iCs/>
                <w:szCs w:val="22"/>
              </w:rPr>
              <w:t xml:space="preserve"> les utilisateurs opérationnels et les associations commerciales internationales.</w:t>
            </w:r>
            <w:r w:rsidR="009301A0" w:rsidRPr="001800B7">
              <w:rPr>
                <w:iCs/>
                <w:szCs w:val="22"/>
              </w:rPr>
              <w:t xml:space="preserve"> </w:t>
            </w:r>
            <w:r w:rsidR="008005FD" w:rsidRPr="001800B7">
              <w:rPr>
                <w:iCs/>
                <w:szCs w:val="22"/>
              </w:rPr>
              <w:t xml:space="preserve"> </w:t>
            </w:r>
            <w:r w:rsidR="009301A0" w:rsidRPr="001800B7">
              <w:rPr>
                <w:iCs/>
                <w:szCs w:val="22"/>
              </w:rPr>
              <w:t>Cela est réalisé par le groupe d</w:t>
            </w:r>
            <w:r w:rsidR="005311D6" w:rsidRPr="001800B7">
              <w:rPr>
                <w:iCs/>
                <w:szCs w:val="22"/>
              </w:rPr>
              <w:t>’</w:t>
            </w:r>
            <w:r w:rsidR="009301A0" w:rsidRPr="001800B7">
              <w:rPr>
                <w:iCs/>
                <w:szCs w:val="22"/>
              </w:rPr>
              <w:t>experts commerciaux (ci</w:t>
            </w:r>
            <w:r w:rsidR="001800B7" w:rsidRPr="001800B7">
              <w:rPr>
                <w:iCs/>
                <w:szCs w:val="22"/>
              </w:rPr>
              <w:noBreakHyphen/>
            </w:r>
            <w:r w:rsidR="009301A0" w:rsidRPr="001800B7">
              <w:rPr>
                <w:iCs/>
                <w:szCs w:val="22"/>
              </w:rPr>
              <w:t>dessus) et par d</w:t>
            </w:r>
            <w:r w:rsidR="00CB4748" w:rsidRPr="001800B7">
              <w:rPr>
                <w:iCs/>
                <w:szCs w:val="22"/>
              </w:rPr>
              <w:t>es partenariats éventuels avec d</w:t>
            </w:r>
            <w:r w:rsidR="009301A0" w:rsidRPr="001800B7">
              <w:rPr>
                <w:iCs/>
                <w:szCs w:val="22"/>
              </w:rPr>
              <w:t xml:space="preserve">es </w:t>
            </w:r>
            <w:r w:rsidR="00D67A00" w:rsidRPr="001800B7">
              <w:rPr>
                <w:iCs/>
                <w:szCs w:val="22"/>
              </w:rPr>
              <w:t>associations</w:t>
            </w:r>
            <w:r w:rsidR="009301A0" w:rsidRPr="001800B7">
              <w:rPr>
                <w:iCs/>
                <w:szCs w:val="22"/>
              </w:rPr>
              <w:t xml:space="preserve"> industrielles</w:t>
            </w:r>
            <w:r w:rsidR="00D67A00" w:rsidRPr="001800B7">
              <w:rPr>
                <w:iCs/>
                <w:szCs w:val="22"/>
              </w:rPr>
              <w:t>.</w:t>
            </w:r>
          </w:p>
        </w:tc>
      </w:tr>
      <w:tr w:rsidR="001800B7" w:rsidRPr="001800B7" w:rsidTr="008475D2">
        <w:tc>
          <w:tcPr>
            <w:tcW w:w="2235" w:type="dxa"/>
            <w:shd w:val="clear" w:color="auto" w:fill="auto"/>
          </w:tcPr>
          <w:p w:rsidR="00D67A00" w:rsidRPr="001800B7" w:rsidRDefault="005B4BDC" w:rsidP="008475D2">
            <w:pPr>
              <w:pStyle w:val="Heading3"/>
              <w:keepNext w:val="0"/>
              <w:spacing w:before="120" w:after="120"/>
              <w:rPr>
                <w:szCs w:val="22"/>
              </w:rPr>
            </w:pPr>
            <w:r w:rsidRPr="001800B7">
              <w:rPr>
                <w:szCs w:val="22"/>
              </w:rPr>
              <w:lastRenderedPageBreak/>
              <w:t>Risques et atténuation des risques</w:t>
            </w:r>
          </w:p>
        </w:tc>
        <w:tc>
          <w:tcPr>
            <w:tcW w:w="7266" w:type="dxa"/>
          </w:tcPr>
          <w:p w:rsidR="008475D2" w:rsidRPr="001800B7" w:rsidRDefault="005B4BDC" w:rsidP="008475D2">
            <w:pPr>
              <w:spacing w:before="120" w:after="120"/>
              <w:rPr>
                <w:iCs/>
                <w:szCs w:val="22"/>
              </w:rPr>
            </w:pPr>
            <w:r w:rsidRPr="001800B7">
              <w:rPr>
                <w:iCs/>
                <w:szCs w:val="22"/>
              </w:rPr>
              <w:t>Le principal risque, identifié qu</w:t>
            </w:r>
            <w:r w:rsidR="005311D6" w:rsidRPr="001800B7">
              <w:rPr>
                <w:iCs/>
                <w:szCs w:val="22"/>
              </w:rPr>
              <w:t>’</w:t>
            </w:r>
            <w:r w:rsidRPr="001800B7">
              <w:rPr>
                <w:iCs/>
                <w:szCs w:val="22"/>
              </w:rPr>
              <w:t>il a été dans des rapports antérieurs sur le projet, est l</w:t>
            </w:r>
            <w:r w:rsidR="005311D6" w:rsidRPr="001800B7">
              <w:rPr>
                <w:iCs/>
                <w:szCs w:val="22"/>
              </w:rPr>
              <w:t>’</w:t>
            </w:r>
            <w:r w:rsidRPr="001800B7">
              <w:rPr>
                <w:iCs/>
                <w:szCs w:val="22"/>
              </w:rPr>
              <w:t>interconnexion des systèmes nationaux au sein du réseau du droit d</w:t>
            </w:r>
            <w:r w:rsidR="005311D6" w:rsidRPr="001800B7">
              <w:rPr>
                <w:iCs/>
                <w:szCs w:val="22"/>
              </w:rPr>
              <w:t>’</w:t>
            </w:r>
            <w:r w:rsidRPr="001800B7">
              <w:rPr>
                <w:iCs/>
                <w:szCs w:val="22"/>
              </w:rPr>
              <w:t>auteur des sociétés de gestion collective de l</w:t>
            </w:r>
            <w:r w:rsidR="005311D6" w:rsidRPr="001800B7">
              <w:rPr>
                <w:iCs/>
                <w:szCs w:val="22"/>
              </w:rPr>
              <w:t>’</w:t>
            </w:r>
            <w:r w:rsidRPr="001800B7">
              <w:rPr>
                <w:iCs/>
                <w:szCs w:val="22"/>
              </w:rPr>
              <w:t>Afrique occidentale (WAN) et la gestion des données ainsi que la connexion avec les systèmes internationaux, en particulier ceux</w:t>
            </w:r>
            <w:r w:rsidR="00456841" w:rsidRPr="001800B7">
              <w:rPr>
                <w:iCs/>
                <w:szCs w:val="22"/>
              </w:rPr>
              <w:t xml:space="preserve"> du CIS</w:t>
            </w:r>
            <w:r w:rsidRPr="001800B7">
              <w:rPr>
                <w:iCs/>
                <w:szCs w:val="22"/>
              </w:rPr>
              <w:t>AC et</w:t>
            </w:r>
            <w:r w:rsidR="00456841" w:rsidRPr="001800B7">
              <w:rPr>
                <w:iCs/>
                <w:szCs w:val="22"/>
              </w:rPr>
              <w:t xml:space="preserve"> du SCA</w:t>
            </w:r>
            <w:r w:rsidRPr="001800B7">
              <w:rPr>
                <w:iCs/>
                <w:szCs w:val="22"/>
              </w:rPr>
              <w:t>PR.</w:t>
            </w:r>
          </w:p>
          <w:p w:rsidR="00D67A00" w:rsidRPr="001800B7" w:rsidRDefault="009301A0" w:rsidP="008475D2">
            <w:pPr>
              <w:spacing w:before="120" w:after="120"/>
              <w:rPr>
                <w:iCs/>
                <w:szCs w:val="22"/>
              </w:rPr>
            </w:pPr>
            <w:r w:rsidRPr="001800B7">
              <w:rPr>
                <w:iCs/>
                <w:szCs w:val="22"/>
              </w:rPr>
              <w:t>Pour atténuer ce risque, l</w:t>
            </w:r>
            <w:r w:rsidR="005311D6" w:rsidRPr="001800B7">
              <w:rPr>
                <w:iCs/>
                <w:szCs w:val="22"/>
              </w:rPr>
              <w:t>’</w:t>
            </w:r>
            <w:r w:rsidRPr="001800B7">
              <w:rPr>
                <w:iCs/>
                <w:szCs w:val="22"/>
              </w:rPr>
              <w:t>approche adoptée pour le projet consiste à établir des partenariats avec les industries compétentes du secteur privé et les organisations et les associations à but non lucratif qui possèdent le savoir</w:t>
            </w:r>
            <w:r w:rsidR="001800B7" w:rsidRPr="001800B7">
              <w:rPr>
                <w:iCs/>
                <w:szCs w:val="22"/>
              </w:rPr>
              <w:noBreakHyphen/>
            </w:r>
            <w:r w:rsidRPr="001800B7">
              <w:rPr>
                <w:iCs/>
                <w:szCs w:val="22"/>
              </w:rPr>
              <w:t>faire nécessaire</w:t>
            </w:r>
            <w:r w:rsidR="00D67A00" w:rsidRPr="001800B7">
              <w:rPr>
                <w:iCs/>
                <w:szCs w:val="22"/>
              </w:rPr>
              <w:t>.</w:t>
            </w:r>
          </w:p>
        </w:tc>
      </w:tr>
      <w:tr w:rsidR="001800B7" w:rsidRPr="001800B7" w:rsidTr="008475D2">
        <w:tc>
          <w:tcPr>
            <w:tcW w:w="2235" w:type="dxa"/>
            <w:shd w:val="clear" w:color="auto" w:fill="auto"/>
          </w:tcPr>
          <w:p w:rsidR="00D67A00" w:rsidRPr="001800B7" w:rsidRDefault="005B4BDC" w:rsidP="008475D2">
            <w:pPr>
              <w:pStyle w:val="Heading3"/>
              <w:keepNext w:val="0"/>
              <w:spacing w:before="120" w:after="120"/>
              <w:rPr>
                <w:szCs w:val="22"/>
              </w:rPr>
            </w:pPr>
            <w:r w:rsidRPr="001800B7">
              <w:rPr>
                <w:szCs w:val="22"/>
              </w:rPr>
              <w:t>Questions appelant des mesures ou une attention immédiates</w:t>
            </w:r>
          </w:p>
        </w:tc>
        <w:tc>
          <w:tcPr>
            <w:tcW w:w="7266" w:type="dxa"/>
          </w:tcPr>
          <w:p w:rsidR="00D67A00" w:rsidRPr="001800B7" w:rsidRDefault="005B4BDC" w:rsidP="008475D2">
            <w:pPr>
              <w:spacing w:before="120" w:after="120"/>
              <w:rPr>
                <w:iCs/>
                <w:szCs w:val="22"/>
              </w:rPr>
            </w:pPr>
            <w:r w:rsidRPr="001800B7">
              <w:rPr>
                <w:iCs/>
                <w:szCs w:val="22"/>
              </w:rPr>
              <w:t>N.D.</w:t>
            </w:r>
          </w:p>
        </w:tc>
      </w:tr>
      <w:tr w:rsidR="001800B7" w:rsidRPr="001800B7" w:rsidTr="008475D2">
        <w:tc>
          <w:tcPr>
            <w:tcW w:w="2235" w:type="dxa"/>
            <w:shd w:val="clear" w:color="auto" w:fill="auto"/>
          </w:tcPr>
          <w:p w:rsidR="00D67A00" w:rsidRPr="001800B7" w:rsidRDefault="005B4BDC" w:rsidP="008475D2">
            <w:pPr>
              <w:pStyle w:val="Heading3"/>
              <w:keepNext w:val="0"/>
              <w:spacing w:before="120" w:after="120"/>
              <w:rPr>
                <w:szCs w:val="22"/>
              </w:rPr>
            </w:pPr>
            <w:r w:rsidRPr="001800B7">
              <w:rPr>
                <w:szCs w:val="22"/>
              </w:rPr>
              <w:t>Mesures à prendre</w:t>
            </w:r>
          </w:p>
        </w:tc>
        <w:tc>
          <w:tcPr>
            <w:tcW w:w="7266" w:type="dxa"/>
          </w:tcPr>
          <w:p w:rsidR="008475D2" w:rsidRPr="001800B7" w:rsidRDefault="009301A0" w:rsidP="008475D2">
            <w:pPr>
              <w:spacing w:before="120" w:after="120"/>
              <w:rPr>
                <w:iCs/>
                <w:szCs w:val="22"/>
              </w:rPr>
            </w:pPr>
            <w:r w:rsidRPr="001800B7">
              <w:rPr>
                <w:iCs/>
                <w:szCs w:val="22"/>
              </w:rPr>
              <w:t>À l</w:t>
            </w:r>
            <w:r w:rsidR="005311D6" w:rsidRPr="001800B7">
              <w:rPr>
                <w:iCs/>
                <w:szCs w:val="22"/>
              </w:rPr>
              <w:t>’</w:t>
            </w:r>
            <w:r w:rsidRPr="001800B7">
              <w:rPr>
                <w:iCs/>
                <w:szCs w:val="22"/>
              </w:rPr>
              <w:t>issue de l</w:t>
            </w:r>
            <w:r w:rsidR="005311D6" w:rsidRPr="001800B7">
              <w:rPr>
                <w:iCs/>
                <w:szCs w:val="22"/>
              </w:rPr>
              <w:t>’</w:t>
            </w:r>
            <w:r w:rsidRPr="001800B7">
              <w:rPr>
                <w:iCs/>
                <w:szCs w:val="22"/>
              </w:rPr>
              <w:t>adjudication d</w:t>
            </w:r>
            <w:r w:rsidR="005311D6" w:rsidRPr="001800B7">
              <w:rPr>
                <w:iCs/>
                <w:szCs w:val="22"/>
              </w:rPr>
              <w:t>’</w:t>
            </w:r>
            <w:r w:rsidRPr="001800B7">
              <w:rPr>
                <w:iCs/>
                <w:szCs w:val="22"/>
              </w:rPr>
              <w:t>un contrat au partenaire idéal pour la conception du système, la phase de validation de principe sera terminée au début de</w:t>
            </w:r>
            <w:r w:rsidR="008005FD" w:rsidRPr="001800B7">
              <w:rPr>
                <w:iCs/>
                <w:szCs w:val="22"/>
              </w:rPr>
              <w:t> </w:t>
            </w:r>
            <w:r w:rsidRPr="001800B7">
              <w:rPr>
                <w:iCs/>
                <w:szCs w:val="22"/>
              </w:rPr>
              <w:t xml:space="preserve">2015. </w:t>
            </w:r>
            <w:r w:rsidR="008005FD" w:rsidRPr="001800B7">
              <w:rPr>
                <w:iCs/>
                <w:szCs w:val="22"/>
              </w:rPr>
              <w:t xml:space="preserve"> </w:t>
            </w:r>
            <w:r w:rsidRPr="001800B7">
              <w:rPr>
                <w:iCs/>
                <w:szCs w:val="22"/>
              </w:rPr>
              <w:t>Celle</w:t>
            </w:r>
            <w:r w:rsidR="001800B7" w:rsidRPr="001800B7">
              <w:rPr>
                <w:iCs/>
                <w:szCs w:val="22"/>
              </w:rPr>
              <w:noBreakHyphen/>
            </w:r>
            <w:r w:rsidRPr="001800B7">
              <w:rPr>
                <w:iCs/>
                <w:szCs w:val="22"/>
              </w:rPr>
              <w:t>ci sera suivie à la fin de</w:t>
            </w:r>
            <w:r w:rsidR="008005FD" w:rsidRPr="001800B7">
              <w:rPr>
                <w:iCs/>
                <w:szCs w:val="22"/>
              </w:rPr>
              <w:t> </w:t>
            </w:r>
            <w:r w:rsidRPr="001800B7">
              <w:rPr>
                <w:iCs/>
                <w:szCs w:val="22"/>
              </w:rPr>
              <w:t>2015 par le lancement expérimental du système pour son installation dans un petit nombre d</w:t>
            </w:r>
            <w:r w:rsidR="005311D6" w:rsidRPr="001800B7">
              <w:rPr>
                <w:iCs/>
                <w:szCs w:val="22"/>
              </w:rPr>
              <w:t>’</w:t>
            </w:r>
            <w:r w:rsidRPr="001800B7">
              <w:rPr>
                <w:iCs/>
                <w:szCs w:val="22"/>
              </w:rPr>
              <w:t>organismes de gestion collective choisis</w:t>
            </w:r>
            <w:r w:rsidR="00D67A00" w:rsidRPr="001800B7">
              <w:rPr>
                <w:iCs/>
                <w:szCs w:val="22"/>
              </w:rPr>
              <w:t>.</w:t>
            </w:r>
          </w:p>
          <w:p w:rsidR="008475D2" w:rsidRPr="001800B7" w:rsidRDefault="009301A0" w:rsidP="008475D2">
            <w:pPr>
              <w:spacing w:before="120" w:after="120"/>
              <w:rPr>
                <w:iCs/>
                <w:szCs w:val="22"/>
              </w:rPr>
            </w:pPr>
            <w:r w:rsidRPr="001800B7">
              <w:rPr>
                <w:iCs/>
                <w:szCs w:val="22"/>
              </w:rPr>
              <w:t xml:space="preserve">Une proposition a été faite au Comité du programme et budget dans le cadre des stratégies de mise en œuvre du </w:t>
            </w:r>
            <w:r w:rsidR="00664193" w:rsidRPr="001800B7">
              <w:rPr>
                <w:iCs/>
                <w:szCs w:val="22"/>
              </w:rPr>
              <w:t>p</w:t>
            </w:r>
            <w:r w:rsidRPr="001800B7">
              <w:rPr>
                <w:iCs/>
                <w:szCs w:val="22"/>
              </w:rPr>
              <w:t>rogramme</w:t>
            </w:r>
            <w:r w:rsidRPr="001800B7">
              <w:rPr>
                <w:szCs w:val="22"/>
              </w:rPr>
              <w:t> 15 afin de créer une plate</w:t>
            </w:r>
            <w:r w:rsidR="001800B7" w:rsidRPr="001800B7">
              <w:rPr>
                <w:szCs w:val="22"/>
              </w:rPr>
              <w:noBreakHyphen/>
            </w:r>
            <w:r w:rsidRPr="001800B7">
              <w:rPr>
                <w:szCs w:val="22"/>
              </w:rPr>
              <w:t>forme logicielle régionale et internationale pour appuyer les organismes de gestion collective, laquelle a été approuvée pour l</w:t>
            </w:r>
            <w:r w:rsidR="005311D6" w:rsidRPr="001800B7">
              <w:rPr>
                <w:szCs w:val="22"/>
              </w:rPr>
              <w:t>’</w:t>
            </w:r>
            <w:r w:rsidRPr="001800B7">
              <w:rPr>
                <w:szCs w:val="22"/>
              </w:rPr>
              <w:t>exercice biennal</w:t>
            </w:r>
            <w:r w:rsidR="008005FD" w:rsidRPr="001800B7">
              <w:rPr>
                <w:szCs w:val="22"/>
              </w:rPr>
              <w:t> </w:t>
            </w:r>
            <w:r w:rsidRPr="001800B7">
              <w:rPr>
                <w:szCs w:val="22"/>
              </w:rPr>
              <w:t>2014</w:t>
            </w:r>
            <w:r w:rsidR="001800B7" w:rsidRPr="001800B7">
              <w:rPr>
                <w:szCs w:val="22"/>
              </w:rPr>
              <w:noBreakHyphen/>
            </w:r>
            <w:r w:rsidRPr="001800B7">
              <w:rPr>
                <w:szCs w:val="22"/>
              </w:rPr>
              <w:t>2015 du programme et budget.</w:t>
            </w:r>
            <w:r w:rsidR="008005FD" w:rsidRPr="001800B7">
              <w:rPr>
                <w:szCs w:val="22"/>
              </w:rPr>
              <w:t xml:space="preserve"> </w:t>
            </w:r>
            <w:r w:rsidRPr="001800B7">
              <w:rPr>
                <w:szCs w:val="22"/>
              </w:rPr>
              <w:t xml:space="preserve"> Les activités se rapportant au </w:t>
            </w:r>
            <w:r w:rsidRPr="001800B7">
              <w:rPr>
                <w:iCs/>
                <w:szCs w:val="22"/>
              </w:rPr>
              <w:t xml:space="preserve">projet </w:t>
            </w:r>
            <w:r w:rsidR="00D67A00" w:rsidRPr="001800B7">
              <w:rPr>
                <w:iCs/>
                <w:szCs w:val="22"/>
              </w:rPr>
              <w:t xml:space="preserve">DA_10_24 </w:t>
            </w:r>
            <w:r w:rsidRPr="001800B7">
              <w:rPr>
                <w:iCs/>
                <w:szCs w:val="22"/>
              </w:rPr>
              <w:t xml:space="preserve">sont par conséquent parfaitement intégrées dans le budget régulier du </w:t>
            </w:r>
            <w:r w:rsidR="00664193" w:rsidRPr="001800B7">
              <w:rPr>
                <w:iCs/>
                <w:szCs w:val="22"/>
              </w:rPr>
              <w:t>p</w:t>
            </w:r>
            <w:r w:rsidRPr="001800B7">
              <w:rPr>
                <w:iCs/>
                <w:szCs w:val="22"/>
              </w:rPr>
              <w:t xml:space="preserve">rogramme 15. </w:t>
            </w:r>
            <w:r w:rsidR="008005FD" w:rsidRPr="001800B7">
              <w:rPr>
                <w:iCs/>
                <w:szCs w:val="22"/>
              </w:rPr>
              <w:t xml:space="preserve"> </w:t>
            </w:r>
            <w:r w:rsidRPr="001800B7">
              <w:rPr>
                <w:iCs/>
                <w:szCs w:val="22"/>
              </w:rPr>
              <w:t>Un financement suffisant a été affecté à la mise au point du système pilote et une proposition sera faite pour l</w:t>
            </w:r>
            <w:r w:rsidR="005311D6" w:rsidRPr="001800B7">
              <w:rPr>
                <w:iCs/>
                <w:szCs w:val="22"/>
              </w:rPr>
              <w:t>’</w:t>
            </w:r>
            <w:r w:rsidRPr="001800B7">
              <w:rPr>
                <w:iCs/>
                <w:szCs w:val="22"/>
              </w:rPr>
              <w:t>exercice biennal</w:t>
            </w:r>
            <w:r w:rsidR="008005FD" w:rsidRPr="001800B7">
              <w:rPr>
                <w:iCs/>
                <w:szCs w:val="22"/>
              </w:rPr>
              <w:t> </w:t>
            </w:r>
            <w:r w:rsidRPr="001800B7">
              <w:rPr>
                <w:iCs/>
                <w:szCs w:val="22"/>
              </w:rPr>
              <w:t>2016</w:t>
            </w:r>
            <w:r w:rsidR="001800B7" w:rsidRPr="001800B7">
              <w:rPr>
                <w:iCs/>
                <w:szCs w:val="22"/>
              </w:rPr>
              <w:noBreakHyphen/>
            </w:r>
            <w:r w:rsidRPr="001800B7">
              <w:rPr>
                <w:iCs/>
                <w:szCs w:val="22"/>
              </w:rPr>
              <w:t>2017 en vue du déploiement et du soutien permanents du système</w:t>
            </w:r>
            <w:r w:rsidR="00D67A00" w:rsidRPr="001800B7">
              <w:rPr>
                <w:iCs/>
                <w:szCs w:val="22"/>
              </w:rPr>
              <w:t>.</w:t>
            </w:r>
          </w:p>
          <w:p w:rsidR="00D67A00" w:rsidRPr="001800B7" w:rsidRDefault="009301A0" w:rsidP="008475D2">
            <w:pPr>
              <w:spacing w:before="120" w:after="120"/>
              <w:rPr>
                <w:iCs/>
                <w:szCs w:val="22"/>
              </w:rPr>
            </w:pPr>
            <w:r w:rsidRPr="001800B7">
              <w:rPr>
                <w:iCs/>
                <w:szCs w:val="22"/>
              </w:rPr>
              <w:t>Étant donné que les activités et les résultats prévus pour l</w:t>
            </w:r>
            <w:r w:rsidR="005311D6" w:rsidRPr="001800B7">
              <w:rPr>
                <w:iCs/>
                <w:szCs w:val="22"/>
              </w:rPr>
              <w:t>’</w:t>
            </w:r>
            <w:r w:rsidRPr="001800B7">
              <w:rPr>
                <w:iCs/>
                <w:szCs w:val="22"/>
              </w:rPr>
              <w:t xml:space="preserve">élément du projet qui se rapporte aux organismes de gestion collective font désormais partie intégrante des travaux du </w:t>
            </w:r>
            <w:r w:rsidR="00664193" w:rsidRPr="001800B7">
              <w:rPr>
                <w:iCs/>
                <w:szCs w:val="22"/>
              </w:rPr>
              <w:t>p</w:t>
            </w:r>
            <w:r w:rsidRPr="001800B7">
              <w:rPr>
                <w:iCs/>
                <w:szCs w:val="22"/>
              </w:rPr>
              <w:t>rogramme 15 et que des fonds suffisants ont été affectés en vertu du budget régulier en vue de leur exécution, on propose que le projet</w:t>
            </w:r>
            <w:r w:rsidR="00D67A00" w:rsidRPr="001800B7">
              <w:rPr>
                <w:iCs/>
                <w:szCs w:val="22"/>
              </w:rPr>
              <w:t xml:space="preserve"> DA_10_24 </w:t>
            </w:r>
            <w:r w:rsidRPr="001800B7">
              <w:rPr>
                <w:iCs/>
                <w:szCs w:val="22"/>
              </w:rPr>
              <w:t>soit officiellement clôturé.</w:t>
            </w:r>
            <w:r w:rsidR="00456841" w:rsidRPr="001800B7">
              <w:rPr>
                <w:iCs/>
                <w:szCs w:val="22"/>
              </w:rPr>
              <w:t xml:space="preserve"> </w:t>
            </w:r>
            <w:r w:rsidR="008005FD" w:rsidRPr="001800B7">
              <w:rPr>
                <w:iCs/>
                <w:szCs w:val="22"/>
              </w:rPr>
              <w:t xml:space="preserve"> </w:t>
            </w:r>
            <w:r w:rsidR="00456841" w:rsidRPr="001800B7">
              <w:rPr>
                <w:iCs/>
                <w:szCs w:val="22"/>
              </w:rPr>
              <w:t>Le CDI</w:t>
            </w:r>
            <w:r w:rsidRPr="001800B7">
              <w:rPr>
                <w:iCs/>
                <w:szCs w:val="22"/>
              </w:rPr>
              <w:t>P sera tenu au courant de l</w:t>
            </w:r>
            <w:r w:rsidR="005311D6" w:rsidRPr="001800B7">
              <w:rPr>
                <w:iCs/>
                <w:szCs w:val="22"/>
              </w:rPr>
              <w:t>’</w:t>
            </w:r>
            <w:r w:rsidRPr="001800B7">
              <w:rPr>
                <w:iCs/>
                <w:szCs w:val="22"/>
              </w:rPr>
              <w:t>avancement des travaux relatifs à cette composante au fur et à mesure des besoins</w:t>
            </w:r>
            <w:r w:rsidR="00D67A00" w:rsidRPr="001800B7">
              <w:rPr>
                <w:iCs/>
                <w:szCs w:val="22"/>
              </w:rPr>
              <w:t>.</w:t>
            </w:r>
          </w:p>
        </w:tc>
      </w:tr>
      <w:tr w:rsidR="001800B7" w:rsidRPr="001800B7" w:rsidTr="008475D2">
        <w:tc>
          <w:tcPr>
            <w:tcW w:w="2235" w:type="dxa"/>
            <w:shd w:val="clear" w:color="auto" w:fill="auto"/>
          </w:tcPr>
          <w:p w:rsidR="00D67A00" w:rsidRPr="001800B7" w:rsidRDefault="005B4BDC" w:rsidP="008475D2">
            <w:pPr>
              <w:pStyle w:val="Heading3"/>
              <w:keepNext w:val="0"/>
              <w:spacing w:before="120" w:after="120"/>
              <w:rPr>
                <w:szCs w:val="22"/>
              </w:rPr>
            </w:pPr>
            <w:r w:rsidRPr="001800B7">
              <w:rPr>
                <w:szCs w:val="22"/>
              </w:rPr>
              <w:t>Calendrier d</w:t>
            </w:r>
            <w:r w:rsidR="005311D6" w:rsidRPr="001800B7">
              <w:rPr>
                <w:szCs w:val="22"/>
              </w:rPr>
              <w:t>’</w:t>
            </w:r>
            <w:r w:rsidRPr="001800B7">
              <w:rPr>
                <w:szCs w:val="22"/>
              </w:rPr>
              <w:t>exécution</w:t>
            </w:r>
          </w:p>
        </w:tc>
        <w:tc>
          <w:tcPr>
            <w:tcW w:w="7266" w:type="dxa"/>
          </w:tcPr>
          <w:p w:rsidR="00B650B1" w:rsidRPr="001800B7" w:rsidRDefault="009301A0" w:rsidP="008475D2">
            <w:pPr>
              <w:spacing w:before="120" w:after="120"/>
              <w:rPr>
                <w:iCs/>
                <w:szCs w:val="22"/>
              </w:rPr>
            </w:pPr>
            <w:r w:rsidRPr="001800B7">
              <w:rPr>
                <w:iCs/>
                <w:szCs w:val="22"/>
              </w:rPr>
              <w:t>Phase de validation de principe </w:t>
            </w:r>
            <w:r w:rsidR="00D67A00" w:rsidRPr="001800B7">
              <w:rPr>
                <w:iCs/>
                <w:szCs w:val="22"/>
              </w:rPr>
              <w:t xml:space="preserve">: </w:t>
            </w:r>
            <w:r w:rsidR="0008593D" w:rsidRPr="001800B7">
              <w:rPr>
                <w:iCs/>
                <w:szCs w:val="22"/>
              </w:rPr>
              <w:t>début </w:t>
            </w:r>
            <w:r w:rsidR="00D67A00" w:rsidRPr="001800B7">
              <w:rPr>
                <w:iCs/>
                <w:szCs w:val="22"/>
              </w:rPr>
              <w:t>2015.</w:t>
            </w:r>
          </w:p>
          <w:p w:rsidR="00B650B1" w:rsidRPr="001800B7" w:rsidRDefault="009301A0" w:rsidP="008475D2">
            <w:pPr>
              <w:spacing w:before="120" w:after="120"/>
              <w:rPr>
                <w:iCs/>
                <w:szCs w:val="22"/>
              </w:rPr>
            </w:pPr>
            <w:r w:rsidRPr="001800B7">
              <w:rPr>
                <w:iCs/>
                <w:szCs w:val="22"/>
              </w:rPr>
              <w:t>Le système pilote est prêt à subir des essais et un déploiement </w:t>
            </w:r>
            <w:r w:rsidR="00D67A00" w:rsidRPr="001800B7">
              <w:rPr>
                <w:iCs/>
                <w:szCs w:val="22"/>
              </w:rPr>
              <w:t xml:space="preserve">: </w:t>
            </w:r>
            <w:r w:rsidRPr="001800B7">
              <w:rPr>
                <w:iCs/>
                <w:szCs w:val="22"/>
              </w:rPr>
              <w:t>fin de</w:t>
            </w:r>
            <w:r w:rsidR="008005FD" w:rsidRPr="001800B7">
              <w:rPr>
                <w:iCs/>
                <w:szCs w:val="22"/>
              </w:rPr>
              <w:t> </w:t>
            </w:r>
            <w:r w:rsidR="00D67A00" w:rsidRPr="001800B7">
              <w:rPr>
                <w:iCs/>
                <w:szCs w:val="22"/>
              </w:rPr>
              <w:t>2015.</w:t>
            </w:r>
          </w:p>
          <w:p w:rsidR="00D67A00" w:rsidRPr="001800B7" w:rsidRDefault="009301A0" w:rsidP="008475D2">
            <w:pPr>
              <w:spacing w:before="120" w:after="120"/>
              <w:rPr>
                <w:iCs/>
                <w:szCs w:val="22"/>
              </w:rPr>
            </w:pPr>
            <w:r w:rsidRPr="001800B7">
              <w:rPr>
                <w:iCs/>
                <w:szCs w:val="22"/>
              </w:rPr>
              <w:t xml:space="preserve">Les </w:t>
            </w:r>
            <w:r w:rsidR="00D67A00" w:rsidRPr="001800B7">
              <w:rPr>
                <w:iCs/>
                <w:szCs w:val="22"/>
              </w:rPr>
              <w:t xml:space="preserve">phases </w:t>
            </w:r>
            <w:r w:rsidR="00D4670E" w:rsidRPr="001800B7">
              <w:rPr>
                <w:iCs/>
                <w:szCs w:val="22"/>
              </w:rPr>
              <w:t>et les résultats ultérieur</w:t>
            </w:r>
            <w:r w:rsidRPr="001800B7">
              <w:rPr>
                <w:iCs/>
                <w:szCs w:val="22"/>
              </w:rPr>
              <w:t xml:space="preserve">s </w:t>
            </w:r>
            <w:r w:rsidR="00D4670E" w:rsidRPr="001800B7">
              <w:rPr>
                <w:iCs/>
                <w:szCs w:val="22"/>
              </w:rPr>
              <w:t>sont à planifier</w:t>
            </w:r>
            <w:r w:rsidR="00D67A00" w:rsidRPr="001800B7">
              <w:rPr>
                <w:iCs/>
                <w:szCs w:val="22"/>
              </w:rPr>
              <w:t>.</w:t>
            </w:r>
          </w:p>
        </w:tc>
      </w:tr>
      <w:tr w:rsidR="001800B7" w:rsidRPr="001800B7" w:rsidTr="00CC7E97">
        <w:trPr>
          <w:cantSplit/>
        </w:trPr>
        <w:tc>
          <w:tcPr>
            <w:tcW w:w="2235" w:type="dxa"/>
            <w:shd w:val="clear" w:color="auto" w:fill="auto"/>
          </w:tcPr>
          <w:p w:rsidR="00D67A00" w:rsidRPr="001800B7" w:rsidRDefault="005B4BDC" w:rsidP="008475D2">
            <w:pPr>
              <w:pStyle w:val="Heading3"/>
              <w:keepNext w:val="0"/>
              <w:spacing w:before="120" w:after="120"/>
              <w:rPr>
                <w:szCs w:val="22"/>
              </w:rPr>
            </w:pPr>
            <w:r w:rsidRPr="001800B7">
              <w:rPr>
                <w:szCs w:val="22"/>
              </w:rPr>
              <w:t>Taux d</w:t>
            </w:r>
            <w:r w:rsidR="005311D6" w:rsidRPr="001800B7">
              <w:rPr>
                <w:szCs w:val="22"/>
              </w:rPr>
              <w:t>’</w:t>
            </w:r>
            <w:r w:rsidRPr="001800B7">
              <w:rPr>
                <w:szCs w:val="22"/>
              </w:rPr>
              <w:t>exécution du projet</w:t>
            </w:r>
          </w:p>
        </w:tc>
        <w:tc>
          <w:tcPr>
            <w:tcW w:w="7266" w:type="dxa"/>
          </w:tcPr>
          <w:p w:rsidR="005A13C1" w:rsidRPr="001800B7" w:rsidRDefault="005B4BDC" w:rsidP="00CC7E97">
            <w:pPr>
              <w:spacing w:before="120" w:after="120"/>
              <w:rPr>
                <w:iCs/>
                <w:szCs w:val="22"/>
              </w:rPr>
            </w:pPr>
            <w:r w:rsidRPr="001800B7">
              <w:rPr>
                <w:iCs/>
                <w:szCs w:val="22"/>
              </w:rPr>
              <w:t>Le taux d</w:t>
            </w:r>
            <w:r w:rsidR="005311D6" w:rsidRPr="001800B7">
              <w:rPr>
                <w:iCs/>
                <w:szCs w:val="22"/>
              </w:rPr>
              <w:t>’</w:t>
            </w:r>
            <w:r w:rsidRPr="001800B7">
              <w:rPr>
                <w:iCs/>
                <w:szCs w:val="22"/>
              </w:rPr>
              <w:t>utilisation du budget à la fin du mois d</w:t>
            </w:r>
            <w:r w:rsidR="005311D6" w:rsidRPr="001800B7">
              <w:rPr>
                <w:iCs/>
                <w:szCs w:val="22"/>
              </w:rPr>
              <w:t>’</w:t>
            </w:r>
            <w:r w:rsidR="00456841" w:rsidRPr="001800B7">
              <w:rPr>
                <w:iCs/>
                <w:szCs w:val="22"/>
              </w:rPr>
              <w:t>août 20</w:t>
            </w:r>
            <w:r w:rsidRPr="001800B7">
              <w:rPr>
                <w:iCs/>
                <w:szCs w:val="22"/>
              </w:rPr>
              <w:t>14 s</w:t>
            </w:r>
            <w:r w:rsidR="005311D6" w:rsidRPr="001800B7">
              <w:rPr>
                <w:iCs/>
                <w:szCs w:val="22"/>
              </w:rPr>
              <w:t>’</w:t>
            </w:r>
            <w:r w:rsidRPr="001800B7">
              <w:rPr>
                <w:iCs/>
                <w:szCs w:val="22"/>
              </w:rPr>
              <w:t>élevait à 62%.</w:t>
            </w:r>
          </w:p>
        </w:tc>
      </w:tr>
      <w:tr w:rsidR="00F30D9D" w:rsidRPr="001800B7" w:rsidTr="008475D2">
        <w:tc>
          <w:tcPr>
            <w:tcW w:w="2235" w:type="dxa"/>
            <w:shd w:val="clear" w:color="auto" w:fill="auto"/>
          </w:tcPr>
          <w:p w:rsidR="00D67A00" w:rsidRPr="001800B7" w:rsidRDefault="005B4BDC" w:rsidP="008475D2">
            <w:pPr>
              <w:pStyle w:val="Heading3"/>
              <w:keepNext w:val="0"/>
              <w:spacing w:before="120" w:after="120"/>
              <w:rPr>
                <w:szCs w:val="22"/>
              </w:rPr>
            </w:pPr>
            <w:r w:rsidRPr="001800B7">
              <w:rPr>
                <w:szCs w:val="22"/>
              </w:rPr>
              <w:t>Rapports précédents</w:t>
            </w:r>
          </w:p>
        </w:tc>
        <w:tc>
          <w:tcPr>
            <w:tcW w:w="7266" w:type="dxa"/>
          </w:tcPr>
          <w:p w:rsidR="00D67A00" w:rsidRPr="001800B7" w:rsidRDefault="00CB4748" w:rsidP="00CC7E97">
            <w:pPr>
              <w:spacing w:before="120" w:after="120"/>
              <w:rPr>
                <w:iCs/>
                <w:szCs w:val="22"/>
              </w:rPr>
            </w:pPr>
            <w:r w:rsidRPr="001800B7">
              <w:rPr>
                <w:szCs w:val="22"/>
              </w:rPr>
              <w:t>L</w:t>
            </w:r>
            <w:r w:rsidR="00D4670E" w:rsidRPr="001800B7">
              <w:rPr>
                <w:szCs w:val="22"/>
              </w:rPr>
              <w:t>es rapports sur l</w:t>
            </w:r>
            <w:r w:rsidR="005311D6" w:rsidRPr="001800B7">
              <w:rPr>
                <w:szCs w:val="22"/>
              </w:rPr>
              <w:t>’</w:t>
            </w:r>
            <w:r w:rsidR="00D4670E" w:rsidRPr="001800B7">
              <w:rPr>
                <w:szCs w:val="22"/>
              </w:rPr>
              <w:t>état d</w:t>
            </w:r>
            <w:r w:rsidR="005311D6" w:rsidRPr="001800B7">
              <w:rPr>
                <w:szCs w:val="22"/>
              </w:rPr>
              <w:t>’</w:t>
            </w:r>
            <w:r w:rsidR="00D4670E" w:rsidRPr="001800B7">
              <w:rPr>
                <w:szCs w:val="22"/>
              </w:rPr>
              <w:t xml:space="preserve">avancement de ce projet, </w:t>
            </w:r>
            <w:r w:rsidR="00C937D4" w:rsidRPr="001800B7">
              <w:rPr>
                <w:szCs w:val="22"/>
              </w:rPr>
              <w:t xml:space="preserve">qui figurent </w:t>
            </w:r>
            <w:r w:rsidR="00D4670E" w:rsidRPr="001800B7">
              <w:rPr>
                <w:szCs w:val="22"/>
              </w:rPr>
              <w:t xml:space="preserve">dans les documents </w:t>
            </w:r>
            <w:r w:rsidR="00D4670E" w:rsidRPr="001800B7">
              <w:rPr>
                <w:iCs/>
                <w:szCs w:val="22"/>
              </w:rPr>
              <w:t>CDIP/4/2, annexe VIII, CDIP/6/2, annexe VIII, CDIP/8/2, a</w:t>
            </w:r>
            <w:r w:rsidR="00D67A00" w:rsidRPr="001800B7">
              <w:rPr>
                <w:iCs/>
                <w:szCs w:val="22"/>
              </w:rPr>
              <w:t>nnex</w:t>
            </w:r>
            <w:r w:rsidR="00D4670E" w:rsidRPr="001800B7">
              <w:rPr>
                <w:iCs/>
                <w:szCs w:val="22"/>
              </w:rPr>
              <w:t>e VII, CDIP/10/2, annexe </w:t>
            </w:r>
            <w:r w:rsidR="00D67A00" w:rsidRPr="001800B7">
              <w:rPr>
                <w:iCs/>
                <w:szCs w:val="22"/>
              </w:rPr>
              <w:t xml:space="preserve">III </w:t>
            </w:r>
            <w:r w:rsidR="00D4670E" w:rsidRPr="001800B7">
              <w:rPr>
                <w:iCs/>
                <w:szCs w:val="22"/>
              </w:rPr>
              <w:t xml:space="preserve">et </w:t>
            </w:r>
            <w:r w:rsidR="00D67A00" w:rsidRPr="001800B7">
              <w:rPr>
                <w:iCs/>
                <w:szCs w:val="22"/>
              </w:rPr>
              <w:t>CDIP/12/2</w:t>
            </w:r>
            <w:r w:rsidR="00D4670E" w:rsidRPr="001800B7">
              <w:rPr>
                <w:iCs/>
                <w:szCs w:val="22"/>
              </w:rPr>
              <w:t>, annexe </w:t>
            </w:r>
            <w:r w:rsidR="00D67A00" w:rsidRPr="001800B7">
              <w:rPr>
                <w:iCs/>
                <w:szCs w:val="22"/>
              </w:rPr>
              <w:t>III</w:t>
            </w:r>
            <w:r w:rsidR="00C937D4" w:rsidRPr="001800B7">
              <w:rPr>
                <w:iCs/>
                <w:szCs w:val="22"/>
              </w:rPr>
              <w:t>,</w:t>
            </w:r>
            <w:r w:rsidR="00D67A00" w:rsidRPr="001800B7">
              <w:rPr>
                <w:iCs/>
                <w:szCs w:val="22"/>
              </w:rPr>
              <w:t xml:space="preserve"> </w:t>
            </w:r>
            <w:r w:rsidRPr="001800B7">
              <w:rPr>
                <w:iCs/>
                <w:szCs w:val="22"/>
              </w:rPr>
              <w:t>ont été présentés au comité</w:t>
            </w:r>
            <w:r w:rsidR="00D4670E" w:rsidRPr="001800B7">
              <w:rPr>
                <w:iCs/>
                <w:szCs w:val="22"/>
              </w:rPr>
              <w:t xml:space="preserve"> respectivement à ses sixième, huitième, dixième et douzième</w:t>
            </w:r>
            <w:r w:rsidR="008005FD" w:rsidRPr="001800B7">
              <w:rPr>
                <w:iCs/>
                <w:szCs w:val="22"/>
              </w:rPr>
              <w:t> </w:t>
            </w:r>
            <w:r w:rsidR="00D4670E" w:rsidRPr="001800B7">
              <w:rPr>
                <w:iCs/>
                <w:szCs w:val="22"/>
              </w:rPr>
              <w:t>sessions</w:t>
            </w:r>
            <w:r w:rsidR="00D67A00" w:rsidRPr="001800B7">
              <w:rPr>
                <w:iCs/>
                <w:szCs w:val="22"/>
              </w:rPr>
              <w:t>.</w:t>
            </w:r>
          </w:p>
        </w:tc>
      </w:tr>
    </w:tbl>
    <w:p w:rsidR="00B650B1" w:rsidRPr="001800B7" w:rsidRDefault="00B650B1" w:rsidP="00CC7E97">
      <w:pPr>
        <w:rPr>
          <w:szCs w:val="22"/>
        </w:rPr>
      </w:pPr>
    </w:p>
    <w:p w:rsidR="003D34D4" w:rsidRPr="001800B7" w:rsidRDefault="003D34D4" w:rsidP="00CC7E97">
      <w:pPr>
        <w:rPr>
          <w:szCs w:val="22"/>
        </w:rPr>
      </w:pPr>
    </w:p>
    <w:p w:rsidR="00CC7E97" w:rsidRPr="001800B7" w:rsidRDefault="00CC7E97" w:rsidP="00CC7E97">
      <w:pPr>
        <w:rPr>
          <w:rFonts w:eastAsia="Times New Roman"/>
          <w:szCs w:val="22"/>
          <w:lang w:eastAsia="en-US"/>
        </w:rPr>
      </w:pPr>
      <w:r w:rsidRPr="001800B7">
        <w:rPr>
          <w:rFonts w:eastAsia="Times New Roman"/>
          <w:szCs w:val="22"/>
          <w:lang w:eastAsia="en-US"/>
        </w:rPr>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CC7E97" w:rsidRPr="001800B7" w:rsidRDefault="00CC7E97" w:rsidP="00CC7E97">
      <w:pPr>
        <w:rPr>
          <w:szCs w:val="22"/>
        </w:rPr>
      </w:pPr>
    </w:p>
    <w:p w:rsidR="00CC7E97" w:rsidRPr="001800B7" w:rsidRDefault="00CC7E97" w:rsidP="00CC7E97">
      <w:pPr>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p w:rsidR="00CC7E97" w:rsidRPr="001800B7" w:rsidRDefault="00CC7E97" w:rsidP="00CC7E97">
      <w:pPr>
        <w:rPr>
          <w:rFonts w:eastAsia="Times New Roman"/>
          <w:szCs w:val="22"/>
          <w:lang w:eastAsia="en-US"/>
        </w:rPr>
      </w:pP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F30D9D">
        <w:trPr>
          <w:cantSplit/>
        </w:trPr>
        <w:tc>
          <w:tcPr>
            <w:tcW w:w="1900" w:type="dxa"/>
            <w:shd w:val="clear" w:color="auto" w:fill="auto"/>
            <w:vAlign w:val="center"/>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lang w:eastAsia="en-US"/>
              </w:rPr>
              <w:t>NE</w:t>
            </w:r>
          </w:p>
        </w:tc>
      </w:tr>
      <w:tr w:rsidR="00F30D9D" w:rsidRPr="001800B7" w:rsidTr="00F30D9D">
        <w:trPr>
          <w:cantSplit/>
        </w:trPr>
        <w:tc>
          <w:tcPr>
            <w:tcW w:w="1900" w:type="dxa"/>
            <w:shd w:val="clear" w:color="auto" w:fill="auto"/>
            <w:vAlign w:val="center"/>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CC7E97" w:rsidRPr="001800B7" w:rsidRDefault="00CC7E97" w:rsidP="00CC7E97">
      <w:pPr>
        <w:rPr>
          <w:szCs w:val="22"/>
          <w:lang w:eastAsia="en-US"/>
        </w:rPr>
      </w:pPr>
    </w:p>
    <w:p w:rsidR="00CC7E97" w:rsidRPr="001800B7" w:rsidRDefault="00CC7E97" w:rsidP="00CC7E97">
      <w:pPr>
        <w:rPr>
          <w:szCs w:val="22"/>
        </w:rPr>
      </w:pPr>
      <w:r w:rsidRPr="001800B7">
        <w:rPr>
          <w:szCs w:val="22"/>
        </w:rPr>
        <w:t>Cette évaluation concerne uniquement la partie du projet liée aux instruments pour les organismes de gestion collective.</w:t>
      </w:r>
    </w:p>
    <w:p w:rsidR="00CC7E97" w:rsidRPr="001800B7" w:rsidRDefault="00CC7E97" w:rsidP="00CC7E97">
      <w:pPr>
        <w:rPr>
          <w:szCs w:val="22"/>
          <w:lang w:eastAsia="en-US"/>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6"/>
        <w:gridCol w:w="2688"/>
        <w:gridCol w:w="6"/>
        <w:gridCol w:w="2976"/>
        <w:gridCol w:w="1455"/>
      </w:tblGrid>
      <w:tr w:rsidR="001800B7" w:rsidRPr="001800B7" w:rsidTr="00CC7E97">
        <w:tc>
          <w:tcPr>
            <w:tcW w:w="2366" w:type="dxa"/>
            <w:shd w:val="clear" w:color="auto" w:fill="auto"/>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Style w:val="FootnoteReference"/>
                <w:rFonts w:eastAsia="Times New Roman"/>
                <w:szCs w:val="22"/>
                <w:lang w:eastAsia="en-US"/>
              </w:rPr>
              <w:footnoteReference w:id="2"/>
            </w:r>
            <w:r w:rsidRPr="001800B7">
              <w:rPr>
                <w:rFonts w:eastAsia="Times New Roman"/>
                <w:szCs w:val="22"/>
                <w:u w:val="single"/>
                <w:lang w:eastAsia="en-US"/>
              </w:rPr>
              <w:br/>
            </w:r>
            <w:r w:rsidRPr="001800B7">
              <w:rPr>
                <w:rFonts w:eastAsia="Times New Roman"/>
                <w:szCs w:val="22"/>
                <w:lang w:eastAsia="en-US"/>
              </w:rPr>
              <w:t>(résultat escompté)</w:t>
            </w:r>
          </w:p>
        </w:tc>
        <w:tc>
          <w:tcPr>
            <w:tcW w:w="2694" w:type="dxa"/>
            <w:gridSpan w:val="2"/>
            <w:shd w:val="clear" w:color="auto" w:fill="auto"/>
          </w:tcPr>
          <w:p w:rsidR="00CC7E97" w:rsidRPr="001800B7" w:rsidRDefault="00CC7E97" w:rsidP="00F30D9D">
            <w:pPr>
              <w:spacing w:before="120" w:after="12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6" w:type="dxa"/>
            <w:shd w:val="clear" w:color="auto" w:fill="auto"/>
          </w:tcPr>
          <w:p w:rsidR="00CC7E97" w:rsidRPr="001800B7" w:rsidRDefault="00CC7E97" w:rsidP="00F30D9D">
            <w:pPr>
              <w:keepNext/>
              <w:spacing w:before="120" w:after="120"/>
              <w:jc w:val="center"/>
              <w:outlineLvl w:val="2"/>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55" w:type="dxa"/>
            <w:shd w:val="clear" w:color="auto" w:fill="auto"/>
          </w:tcPr>
          <w:p w:rsidR="00CC7E97" w:rsidRPr="001800B7" w:rsidRDefault="00CC7E97" w:rsidP="00F30D9D">
            <w:pPr>
              <w:keepNext/>
              <w:spacing w:before="120" w:after="120"/>
              <w:jc w:val="center"/>
              <w:outlineLvl w:val="2"/>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CC7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6" w:type="dxa"/>
            <w:shd w:val="clear" w:color="auto" w:fill="auto"/>
          </w:tcPr>
          <w:p w:rsidR="00D67A00" w:rsidRPr="001800B7" w:rsidRDefault="001B5312" w:rsidP="008475D2">
            <w:pPr>
              <w:spacing w:before="120" w:after="120"/>
              <w:rPr>
                <w:bCs/>
                <w:szCs w:val="22"/>
              </w:rPr>
            </w:pPr>
            <w:r w:rsidRPr="001800B7">
              <w:rPr>
                <w:bCs/>
                <w:szCs w:val="22"/>
              </w:rPr>
              <w:t>Fourniture de matériel informatique</w:t>
            </w:r>
          </w:p>
        </w:tc>
        <w:tc>
          <w:tcPr>
            <w:tcW w:w="2688" w:type="dxa"/>
            <w:shd w:val="clear" w:color="auto" w:fill="auto"/>
          </w:tcPr>
          <w:p w:rsidR="00986EAB" w:rsidRPr="001800B7" w:rsidRDefault="001B5312" w:rsidP="00CC7E97">
            <w:pPr>
              <w:spacing w:before="120" w:after="120"/>
              <w:rPr>
                <w:szCs w:val="22"/>
              </w:rPr>
            </w:pPr>
            <w:r w:rsidRPr="001800B7">
              <w:rPr>
                <w:szCs w:val="22"/>
              </w:rPr>
              <w:t>Infrastructure informatique des organismes de gestion collective conforme aux exigences d</w:t>
            </w:r>
            <w:r w:rsidR="005311D6" w:rsidRPr="001800B7">
              <w:rPr>
                <w:szCs w:val="22"/>
              </w:rPr>
              <w:t>’</w:t>
            </w:r>
            <w:r w:rsidRPr="001800B7">
              <w:rPr>
                <w:szCs w:val="22"/>
              </w:rPr>
              <w:t>installation de systèmes informatiques modernes</w:t>
            </w:r>
          </w:p>
        </w:tc>
        <w:tc>
          <w:tcPr>
            <w:tcW w:w="2982" w:type="dxa"/>
            <w:gridSpan w:val="2"/>
            <w:shd w:val="clear" w:color="auto" w:fill="auto"/>
          </w:tcPr>
          <w:p w:rsidR="00D67A00" w:rsidRPr="001800B7" w:rsidRDefault="001B5312" w:rsidP="008475D2">
            <w:pPr>
              <w:spacing w:before="120" w:after="120"/>
              <w:rPr>
                <w:szCs w:val="22"/>
              </w:rPr>
            </w:pPr>
            <w:r w:rsidRPr="001800B7">
              <w:rPr>
                <w:szCs w:val="22"/>
              </w:rPr>
              <w:t>La fourniture de matériel informatique par l</w:t>
            </w:r>
            <w:r w:rsidR="005311D6" w:rsidRPr="001800B7">
              <w:rPr>
                <w:szCs w:val="22"/>
              </w:rPr>
              <w:t>’</w:t>
            </w:r>
            <w:r w:rsidRPr="001800B7">
              <w:rPr>
                <w:szCs w:val="22"/>
              </w:rPr>
              <w:t xml:space="preserve">OMPI a été arrêtée à compter de </w:t>
            </w:r>
            <w:r w:rsidR="00456841" w:rsidRPr="001800B7">
              <w:rPr>
                <w:szCs w:val="22"/>
              </w:rPr>
              <w:t>juillet 20</w:t>
            </w:r>
            <w:r w:rsidRPr="001800B7">
              <w:rPr>
                <w:szCs w:val="22"/>
              </w:rPr>
              <w:t>12.</w:t>
            </w:r>
          </w:p>
        </w:tc>
        <w:tc>
          <w:tcPr>
            <w:tcW w:w="1455" w:type="dxa"/>
            <w:shd w:val="clear" w:color="auto" w:fill="auto"/>
          </w:tcPr>
          <w:p w:rsidR="00D67A00" w:rsidRPr="001800B7" w:rsidRDefault="001B5312" w:rsidP="008475D2">
            <w:pPr>
              <w:spacing w:before="120" w:after="120"/>
              <w:rPr>
                <w:szCs w:val="22"/>
              </w:rPr>
            </w:pPr>
            <w:r w:rsidRPr="001800B7">
              <w:rPr>
                <w:szCs w:val="22"/>
              </w:rPr>
              <w:t>NE</w:t>
            </w:r>
          </w:p>
        </w:tc>
      </w:tr>
      <w:tr w:rsidR="001800B7" w:rsidRPr="001800B7" w:rsidTr="00CC7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6" w:type="dxa"/>
            <w:shd w:val="clear" w:color="auto" w:fill="auto"/>
          </w:tcPr>
          <w:p w:rsidR="00D67A00" w:rsidRPr="001800B7" w:rsidRDefault="001B5312" w:rsidP="008475D2">
            <w:pPr>
              <w:spacing w:before="120" w:after="120"/>
              <w:rPr>
                <w:bCs/>
                <w:szCs w:val="22"/>
              </w:rPr>
            </w:pPr>
            <w:r w:rsidRPr="001800B7">
              <w:rPr>
                <w:bCs/>
                <w:szCs w:val="22"/>
              </w:rPr>
              <w:t>Mise à niveau du logiciel (WIPOCOS)</w:t>
            </w:r>
          </w:p>
        </w:tc>
        <w:tc>
          <w:tcPr>
            <w:tcW w:w="2688" w:type="dxa"/>
            <w:shd w:val="clear" w:color="auto" w:fill="auto"/>
          </w:tcPr>
          <w:p w:rsidR="00986EAB" w:rsidRPr="001800B7" w:rsidRDefault="001B5312" w:rsidP="00CC7E97">
            <w:pPr>
              <w:spacing w:before="120" w:after="120"/>
              <w:rPr>
                <w:szCs w:val="22"/>
              </w:rPr>
            </w:pPr>
            <w:r w:rsidRPr="001800B7">
              <w:rPr>
                <w:szCs w:val="22"/>
              </w:rPr>
              <w:t>Capacité de soutenir les activités de concession de licences, de documentation et de distribution des organismes de gestion collective et d</w:t>
            </w:r>
            <w:r w:rsidR="005311D6" w:rsidRPr="001800B7">
              <w:rPr>
                <w:szCs w:val="22"/>
              </w:rPr>
              <w:t>’</w:t>
            </w:r>
            <w:r w:rsidRPr="001800B7">
              <w:rPr>
                <w:szCs w:val="22"/>
              </w:rPr>
              <w:t>intégrer les réseaux régionaux et internationaux</w:t>
            </w:r>
          </w:p>
        </w:tc>
        <w:tc>
          <w:tcPr>
            <w:tcW w:w="2982" w:type="dxa"/>
            <w:gridSpan w:val="2"/>
            <w:shd w:val="clear" w:color="auto" w:fill="auto"/>
          </w:tcPr>
          <w:p w:rsidR="00D67A00" w:rsidRPr="001800B7" w:rsidRDefault="00D4670E" w:rsidP="008475D2">
            <w:pPr>
              <w:spacing w:before="120" w:after="120"/>
              <w:rPr>
                <w:szCs w:val="22"/>
              </w:rPr>
            </w:pPr>
            <w:r w:rsidRPr="001800B7">
              <w:rPr>
                <w:szCs w:val="22"/>
              </w:rPr>
              <w:t>Les travaux de conception et de développement de logiciels doivent débuter au milieu de</w:t>
            </w:r>
            <w:r w:rsidR="008005FD" w:rsidRPr="001800B7">
              <w:rPr>
                <w:szCs w:val="22"/>
              </w:rPr>
              <w:t> </w:t>
            </w:r>
            <w:r w:rsidRPr="001800B7">
              <w:rPr>
                <w:szCs w:val="22"/>
              </w:rPr>
              <w:t>2014.</w:t>
            </w:r>
            <w:r w:rsidR="008005FD" w:rsidRPr="001800B7">
              <w:rPr>
                <w:szCs w:val="22"/>
              </w:rPr>
              <w:t xml:space="preserve"> </w:t>
            </w:r>
            <w:r w:rsidRPr="001800B7">
              <w:rPr>
                <w:szCs w:val="22"/>
              </w:rPr>
              <w:t xml:space="preserve"> La phase de validation et la phase d</w:t>
            </w:r>
            <w:r w:rsidR="005311D6" w:rsidRPr="001800B7">
              <w:rPr>
                <w:szCs w:val="22"/>
              </w:rPr>
              <w:t>’</w:t>
            </w:r>
            <w:r w:rsidRPr="001800B7">
              <w:rPr>
                <w:szCs w:val="22"/>
              </w:rPr>
              <w:t>expérimentation sont prévues en</w:t>
            </w:r>
            <w:r w:rsidR="008005FD" w:rsidRPr="001800B7">
              <w:rPr>
                <w:szCs w:val="22"/>
              </w:rPr>
              <w:t> </w:t>
            </w:r>
            <w:r w:rsidR="00D67A00" w:rsidRPr="001800B7">
              <w:rPr>
                <w:szCs w:val="22"/>
              </w:rPr>
              <w:t>2015.</w:t>
            </w:r>
          </w:p>
        </w:tc>
        <w:tc>
          <w:tcPr>
            <w:tcW w:w="1455" w:type="dxa"/>
            <w:shd w:val="clear" w:color="auto" w:fill="auto"/>
          </w:tcPr>
          <w:p w:rsidR="00D67A00" w:rsidRPr="001800B7" w:rsidRDefault="00D67A00" w:rsidP="008475D2">
            <w:pPr>
              <w:spacing w:before="120" w:after="120"/>
              <w:rPr>
                <w:szCs w:val="22"/>
              </w:rPr>
            </w:pPr>
            <w:r w:rsidRPr="001800B7">
              <w:rPr>
                <w:szCs w:val="22"/>
              </w:rPr>
              <w:t>**</w:t>
            </w:r>
          </w:p>
        </w:tc>
      </w:tr>
      <w:tr w:rsidR="001800B7" w:rsidRPr="001800B7" w:rsidTr="00CC7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6" w:type="dxa"/>
            <w:shd w:val="clear" w:color="auto" w:fill="auto"/>
          </w:tcPr>
          <w:p w:rsidR="00986EAB" w:rsidRPr="001800B7" w:rsidRDefault="001B5312" w:rsidP="00CC7E97">
            <w:pPr>
              <w:spacing w:before="120" w:after="120"/>
              <w:rPr>
                <w:bCs/>
                <w:szCs w:val="22"/>
              </w:rPr>
            </w:pPr>
            <w:r w:rsidRPr="001800B7">
              <w:rPr>
                <w:bCs/>
                <w:szCs w:val="22"/>
              </w:rPr>
              <w:t>Base de données relatives au répertoire des œuvres musicales des organismes de gestion collective accessible et sécurisée</w:t>
            </w:r>
          </w:p>
        </w:tc>
        <w:tc>
          <w:tcPr>
            <w:tcW w:w="2688" w:type="dxa"/>
            <w:shd w:val="clear" w:color="auto" w:fill="auto"/>
          </w:tcPr>
          <w:p w:rsidR="00D67A00" w:rsidRPr="001800B7" w:rsidRDefault="001B5312" w:rsidP="008475D2">
            <w:pPr>
              <w:spacing w:before="120" w:after="120"/>
              <w:rPr>
                <w:szCs w:val="22"/>
              </w:rPr>
            </w:pPr>
            <w:r w:rsidRPr="001800B7">
              <w:rPr>
                <w:szCs w:val="22"/>
              </w:rPr>
              <w:t>Bases de données disponibles à des fins d</w:t>
            </w:r>
            <w:r w:rsidR="005311D6" w:rsidRPr="001800B7">
              <w:rPr>
                <w:szCs w:val="22"/>
              </w:rPr>
              <w:t>’</w:t>
            </w:r>
            <w:r w:rsidRPr="001800B7">
              <w:rPr>
                <w:szCs w:val="22"/>
              </w:rPr>
              <w:t>échange au moyen des systèmes adoptés</w:t>
            </w:r>
          </w:p>
        </w:tc>
        <w:tc>
          <w:tcPr>
            <w:tcW w:w="2982" w:type="dxa"/>
            <w:gridSpan w:val="2"/>
            <w:shd w:val="clear" w:color="auto" w:fill="auto"/>
          </w:tcPr>
          <w:p w:rsidR="00D67A00" w:rsidRPr="001800B7" w:rsidRDefault="001B5312" w:rsidP="008475D2">
            <w:pPr>
              <w:spacing w:before="120" w:after="120"/>
              <w:rPr>
                <w:szCs w:val="22"/>
              </w:rPr>
            </w:pPr>
            <w:r w:rsidRPr="001800B7">
              <w:rPr>
                <w:szCs w:val="22"/>
              </w:rPr>
              <w:t>Aucun progrès aussi longtemps que les systèmes ne sont pas déployés</w:t>
            </w:r>
          </w:p>
        </w:tc>
        <w:tc>
          <w:tcPr>
            <w:tcW w:w="1455" w:type="dxa"/>
            <w:shd w:val="clear" w:color="auto" w:fill="auto"/>
          </w:tcPr>
          <w:p w:rsidR="00D67A00" w:rsidRPr="001800B7" w:rsidRDefault="001B5312" w:rsidP="008475D2">
            <w:pPr>
              <w:spacing w:before="120" w:after="120"/>
              <w:rPr>
                <w:szCs w:val="22"/>
              </w:rPr>
            </w:pPr>
            <w:r w:rsidRPr="001800B7">
              <w:rPr>
                <w:szCs w:val="22"/>
              </w:rPr>
              <w:t>AP</w:t>
            </w:r>
          </w:p>
        </w:tc>
      </w:tr>
      <w:tr w:rsidR="001800B7" w:rsidRPr="001800B7" w:rsidTr="00CC7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6" w:type="dxa"/>
            <w:shd w:val="clear" w:color="auto" w:fill="auto"/>
          </w:tcPr>
          <w:p w:rsidR="00D67A00" w:rsidRPr="001800B7" w:rsidRDefault="001B5312" w:rsidP="008475D2">
            <w:pPr>
              <w:spacing w:before="120" w:after="120"/>
              <w:rPr>
                <w:bCs/>
                <w:szCs w:val="22"/>
              </w:rPr>
            </w:pPr>
            <w:r w:rsidRPr="001800B7">
              <w:rPr>
                <w:bCs/>
                <w:szCs w:val="22"/>
              </w:rPr>
              <w:t>Programme d</w:t>
            </w:r>
            <w:r w:rsidR="005311D6" w:rsidRPr="001800B7">
              <w:rPr>
                <w:bCs/>
                <w:szCs w:val="22"/>
              </w:rPr>
              <w:t>’</w:t>
            </w:r>
            <w:r w:rsidRPr="001800B7">
              <w:rPr>
                <w:bCs/>
                <w:szCs w:val="22"/>
              </w:rPr>
              <w:t>installation</w:t>
            </w:r>
          </w:p>
        </w:tc>
        <w:tc>
          <w:tcPr>
            <w:tcW w:w="2688" w:type="dxa"/>
            <w:shd w:val="clear" w:color="auto" w:fill="auto"/>
          </w:tcPr>
          <w:p w:rsidR="00986EAB" w:rsidRPr="001800B7" w:rsidRDefault="001B5312" w:rsidP="00CC7E97">
            <w:pPr>
              <w:spacing w:before="120" w:after="120"/>
              <w:rPr>
                <w:szCs w:val="22"/>
              </w:rPr>
            </w:pPr>
            <w:r w:rsidRPr="001800B7">
              <w:rPr>
                <w:szCs w:val="22"/>
              </w:rPr>
              <w:t>Nombre de programmes de formation, de formations reçues, de données saisies et traitées</w:t>
            </w:r>
          </w:p>
        </w:tc>
        <w:tc>
          <w:tcPr>
            <w:tcW w:w="2982" w:type="dxa"/>
            <w:gridSpan w:val="2"/>
            <w:shd w:val="clear" w:color="auto" w:fill="auto"/>
          </w:tcPr>
          <w:p w:rsidR="00D67A00" w:rsidRPr="001800B7" w:rsidRDefault="001B5312" w:rsidP="008475D2">
            <w:pPr>
              <w:spacing w:before="120" w:after="120"/>
              <w:rPr>
                <w:szCs w:val="22"/>
              </w:rPr>
            </w:pPr>
            <w:r w:rsidRPr="001800B7">
              <w:rPr>
                <w:szCs w:val="22"/>
              </w:rPr>
              <w:t>Aucun progrès aussi longtemps que les systèmes ne sont pas déployés</w:t>
            </w:r>
          </w:p>
        </w:tc>
        <w:tc>
          <w:tcPr>
            <w:tcW w:w="1455" w:type="dxa"/>
            <w:shd w:val="clear" w:color="auto" w:fill="auto"/>
          </w:tcPr>
          <w:p w:rsidR="00D67A00" w:rsidRPr="001800B7" w:rsidRDefault="001B5312" w:rsidP="008475D2">
            <w:pPr>
              <w:spacing w:before="120" w:after="120"/>
              <w:rPr>
                <w:szCs w:val="22"/>
              </w:rPr>
            </w:pPr>
            <w:r w:rsidRPr="001800B7">
              <w:rPr>
                <w:szCs w:val="22"/>
              </w:rPr>
              <w:t>AP</w:t>
            </w:r>
          </w:p>
        </w:tc>
      </w:tr>
    </w:tbl>
    <w:p w:rsidR="008475D2" w:rsidRPr="001800B7" w:rsidRDefault="008475D2" w:rsidP="00CC7E97">
      <w:pPr>
        <w:rPr>
          <w:szCs w:val="22"/>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6"/>
        <w:gridCol w:w="2694"/>
        <w:gridCol w:w="2975"/>
        <w:gridCol w:w="1456"/>
      </w:tblGrid>
      <w:tr w:rsidR="001800B7" w:rsidRPr="001800B7" w:rsidTr="00F30D9D">
        <w:trPr>
          <w:trHeight w:val="616"/>
          <w:tblHeader/>
        </w:trPr>
        <w:tc>
          <w:tcPr>
            <w:tcW w:w="2366" w:type="dxa"/>
            <w:shd w:val="clear" w:color="auto" w:fill="auto"/>
            <w:vAlign w:val="center"/>
          </w:tcPr>
          <w:p w:rsidR="00CC7E97" w:rsidRPr="001800B7" w:rsidRDefault="00CC7E97" w:rsidP="00F30D9D">
            <w:pPr>
              <w:spacing w:before="120" w:after="120"/>
              <w:jc w:val="center"/>
              <w:rPr>
                <w:szCs w:val="22"/>
                <w:u w:val="single"/>
              </w:rPr>
            </w:pPr>
            <w:r w:rsidRPr="001800B7">
              <w:rPr>
                <w:szCs w:val="22"/>
                <w:u w:val="single"/>
              </w:rPr>
              <w:lastRenderedPageBreak/>
              <w:t xml:space="preserve">Objectifs </w:t>
            </w:r>
            <w:r w:rsidRPr="001800B7">
              <w:rPr>
                <w:szCs w:val="22"/>
                <w:u w:val="single"/>
              </w:rPr>
              <w:br/>
              <w:t>du projet</w:t>
            </w:r>
          </w:p>
        </w:tc>
        <w:tc>
          <w:tcPr>
            <w:tcW w:w="2694" w:type="dxa"/>
            <w:shd w:val="clear" w:color="auto" w:fill="auto"/>
            <w:vAlign w:val="center"/>
          </w:tcPr>
          <w:p w:rsidR="00CC7E97" w:rsidRPr="001800B7" w:rsidRDefault="00CC7E97" w:rsidP="00F30D9D">
            <w:pPr>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shd w:val="clear" w:color="auto" w:fill="auto"/>
            <w:vAlign w:val="center"/>
          </w:tcPr>
          <w:p w:rsidR="00CC7E97" w:rsidRPr="001800B7" w:rsidRDefault="00CC7E97" w:rsidP="00F30D9D">
            <w:pPr>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shd w:val="clear" w:color="auto" w:fill="auto"/>
            <w:vAlign w:val="center"/>
          </w:tcPr>
          <w:p w:rsidR="00CC7E97" w:rsidRPr="001800B7" w:rsidRDefault="00CC7E97" w:rsidP="00F30D9D">
            <w:pPr>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CC7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2366" w:type="dxa"/>
            <w:shd w:val="clear" w:color="auto" w:fill="auto"/>
          </w:tcPr>
          <w:p w:rsidR="00986EAB" w:rsidRPr="001800B7" w:rsidRDefault="001B5312" w:rsidP="00CC7E97">
            <w:pPr>
              <w:spacing w:before="120" w:after="120"/>
              <w:rPr>
                <w:bCs/>
                <w:szCs w:val="22"/>
              </w:rPr>
            </w:pPr>
            <w:r w:rsidRPr="001800B7">
              <w:rPr>
                <w:bCs/>
                <w:szCs w:val="22"/>
              </w:rPr>
              <w:t>Gestion collective dans un environnement en réseau conformément aux normes internationales en vigueur.</w:t>
            </w:r>
          </w:p>
        </w:tc>
        <w:tc>
          <w:tcPr>
            <w:tcW w:w="2694" w:type="dxa"/>
            <w:shd w:val="clear" w:color="auto" w:fill="auto"/>
          </w:tcPr>
          <w:p w:rsidR="00D67A00" w:rsidRPr="001800B7" w:rsidRDefault="001B5312" w:rsidP="008475D2">
            <w:pPr>
              <w:spacing w:before="120" w:after="120"/>
              <w:rPr>
                <w:szCs w:val="22"/>
              </w:rPr>
            </w:pPr>
            <w:r w:rsidRPr="001800B7">
              <w:rPr>
                <w:szCs w:val="22"/>
              </w:rPr>
              <w:t>Application par les organismes de gestion collective en réseau de règles administratives conformes aux normes internationales.</w:t>
            </w:r>
          </w:p>
        </w:tc>
        <w:tc>
          <w:tcPr>
            <w:tcW w:w="2975" w:type="dxa"/>
            <w:shd w:val="clear" w:color="auto" w:fill="auto"/>
          </w:tcPr>
          <w:p w:rsidR="00D67A00" w:rsidRPr="001800B7" w:rsidRDefault="001B5312" w:rsidP="008475D2">
            <w:pPr>
              <w:spacing w:before="120" w:after="120"/>
              <w:rPr>
                <w:szCs w:val="22"/>
              </w:rPr>
            </w:pPr>
            <w:r w:rsidRPr="001800B7">
              <w:rPr>
                <w:szCs w:val="22"/>
              </w:rPr>
              <w:t>L</w:t>
            </w:r>
            <w:r w:rsidR="005311D6" w:rsidRPr="001800B7">
              <w:rPr>
                <w:szCs w:val="22"/>
              </w:rPr>
              <w:t>’</w:t>
            </w:r>
            <w:r w:rsidRPr="001800B7">
              <w:rPr>
                <w:szCs w:val="22"/>
              </w:rPr>
              <w:t>exécution ne peut pas être mesurée aussi longtemps que les systèmes ne sont pas déployés.</w:t>
            </w:r>
          </w:p>
        </w:tc>
        <w:tc>
          <w:tcPr>
            <w:tcW w:w="1456" w:type="dxa"/>
            <w:shd w:val="clear" w:color="auto" w:fill="auto"/>
          </w:tcPr>
          <w:p w:rsidR="00D67A00" w:rsidRPr="001800B7" w:rsidRDefault="001B5312" w:rsidP="008475D2">
            <w:pPr>
              <w:spacing w:before="120" w:after="120"/>
              <w:rPr>
                <w:szCs w:val="22"/>
              </w:rPr>
            </w:pPr>
            <w:r w:rsidRPr="001800B7">
              <w:rPr>
                <w:szCs w:val="22"/>
              </w:rPr>
              <w:t>AP</w:t>
            </w:r>
          </w:p>
        </w:tc>
      </w:tr>
      <w:tr w:rsidR="001800B7" w:rsidRPr="001800B7" w:rsidTr="00CC7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2366" w:type="dxa"/>
            <w:shd w:val="clear" w:color="auto" w:fill="auto"/>
          </w:tcPr>
          <w:p w:rsidR="00D67A00" w:rsidRPr="001800B7" w:rsidRDefault="001B5312" w:rsidP="008475D2">
            <w:pPr>
              <w:spacing w:before="120" w:after="120"/>
              <w:rPr>
                <w:bCs/>
                <w:szCs w:val="22"/>
              </w:rPr>
            </w:pPr>
            <w:r w:rsidRPr="001800B7">
              <w:rPr>
                <w:bCs/>
                <w:szCs w:val="22"/>
              </w:rPr>
              <w:t>Mise au point d</w:t>
            </w:r>
            <w:r w:rsidR="005311D6" w:rsidRPr="001800B7">
              <w:rPr>
                <w:bCs/>
                <w:szCs w:val="22"/>
              </w:rPr>
              <w:t>’</w:t>
            </w:r>
            <w:r w:rsidRPr="001800B7">
              <w:rPr>
                <w:bCs/>
                <w:szCs w:val="22"/>
              </w:rPr>
              <w:t>une plate</w:t>
            </w:r>
            <w:r w:rsidR="001800B7" w:rsidRPr="001800B7">
              <w:rPr>
                <w:bCs/>
                <w:szCs w:val="22"/>
              </w:rPr>
              <w:noBreakHyphen/>
            </w:r>
            <w:r w:rsidRPr="001800B7">
              <w:rPr>
                <w:bCs/>
                <w:szCs w:val="22"/>
              </w:rPr>
              <w:t>forme informatique et création d</w:t>
            </w:r>
            <w:r w:rsidR="005311D6" w:rsidRPr="001800B7">
              <w:rPr>
                <w:bCs/>
                <w:szCs w:val="22"/>
              </w:rPr>
              <w:t>’</w:t>
            </w:r>
            <w:r w:rsidRPr="001800B7">
              <w:rPr>
                <w:bCs/>
                <w:szCs w:val="22"/>
              </w:rPr>
              <w:t>un centre de données.</w:t>
            </w:r>
          </w:p>
        </w:tc>
        <w:tc>
          <w:tcPr>
            <w:tcW w:w="2694" w:type="dxa"/>
            <w:shd w:val="clear" w:color="auto" w:fill="auto"/>
          </w:tcPr>
          <w:p w:rsidR="00986EAB" w:rsidRPr="001800B7" w:rsidRDefault="001B5312" w:rsidP="00CC7E97">
            <w:pPr>
              <w:spacing w:before="120" w:after="120"/>
              <w:rPr>
                <w:szCs w:val="22"/>
              </w:rPr>
            </w:pPr>
            <w:r w:rsidRPr="001800B7">
              <w:rPr>
                <w:szCs w:val="22"/>
              </w:rPr>
              <w:t>Bases de données de neuf</w:t>
            </w:r>
            <w:r w:rsidR="008005FD" w:rsidRPr="001800B7">
              <w:rPr>
                <w:szCs w:val="22"/>
              </w:rPr>
              <w:t> </w:t>
            </w:r>
            <w:r w:rsidRPr="001800B7">
              <w:rPr>
                <w:szCs w:val="22"/>
              </w:rPr>
              <w:t>organismes de gestion collective harmonisées et globalement accessibles (en ligne et hors connexion) à partir de tous les organismes du réseau.</w:t>
            </w:r>
          </w:p>
        </w:tc>
        <w:tc>
          <w:tcPr>
            <w:tcW w:w="2975" w:type="dxa"/>
            <w:shd w:val="clear" w:color="auto" w:fill="auto"/>
          </w:tcPr>
          <w:p w:rsidR="00D67A00" w:rsidRPr="001800B7" w:rsidRDefault="001B5312" w:rsidP="008475D2">
            <w:pPr>
              <w:spacing w:before="120" w:after="120"/>
              <w:rPr>
                <w:szCs w:val="22"/>
              </w:rPr>
            </w:pPr>
            <w:r w:rsidRPr="001800B7">
              <w:rPr>
                <w:szCs w:val="22"/>
              </w:rPr>
              <w:t>Idem</w:t>
            </w:r>
          </w:p>
        </w:tc>
        <w:tc>
          <w:tcPr>
            <w:tcW w:w="1456" w:type="dxa"/>
            <w:shd w:val="clear" w:color="auto" w:fill="auto"/>
          </w:tcPr>
          <w:p w:rsidR="00D67A00" w:rsidRPr="001800B7" w:rsidRDefault="001B5312" w:rsidP="008475D2">
            <w:pPr>
              <w:spacing w:before="120" w:after="120"/>
              <w:rPr>
                <w:szCs w:val="22"/>
              </w:rPr>
            </w:pPr>
            <w:r w:rsidRPr="001800B7">
              <w:rPr>
                <w:szCs w:val="22"/>
              </w:rPr>
              <w:t>AP</w:t>
            </w:r>
          </w:p>
        </w:tc>
      </w:tr>
      <w:tr w:rsidR="001800B7" w:rsidRPr="001800B7" w:rsidTr="00CC7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2366" w:type="dxa"/>
            <w:shd w:val="clear" w:color="auto" w:fill="auto"/>
          </w:tcPr>
          <w:p w:rsidR="00986EAB" w:rsidRPr="001800B7" w:rsidRDefault="001B5312" w:rsidP="00CC7E97">
            <w:pPr>
              <w:spacing w:before="120" w:after="120"/>
              <w:rPr>
                <w:bCs/>
                <w:szCs w:val="22"/>
              </w:rPr>
            </w:pPr>
            <w:r w:rsidRPr="001800B7">
              <w:rPr>
                <w:bCs/>
                <w:szCs w:val="22"/>
              </w:rPr>
              <w:t>Mise en place d</w:t>
            </w:r>
            <w:r w:rsidR="005311D6" w:rsidRPr="001800B7">
              <w:rPr>
                <w:bCs/>
                <w:szCs w:val="22"/>
              </w:rPr>
              <w:t>’</w:t>
            </w:r>
            <w:r w:rsidRPr="001800B7">
              <w:rPr>
                <w:bCs/>
                <w:szCs w:val="22"/>
              </w:rPr>
              <w:t>un système commun d</w:t>
            </w:r>
            <w:r w:rsidR="005311D6" w:rsidRPr="001800B7">
              <w:rPr>
                <w:bCs/>
                <w:szCs w:val="22"/>
              </w:rPr>
              <w:t>’</w:t>
            </w:r>
            <w:r w:rsidRPr="001800B7">
              <w:rPr>
                <w:bCs/>
                <w:szCs w:val="22"/>
              </w:rPr>
              <w:t>enregistrement, d</w:t>
            </w:r>
            <w:r w:rsidR="005311D6" w:rsidRPr="001800B7">
              <w:rPr>
                <w:bCs/>
                <w:szCs w:val="22"/>
              </w:rPr>
              <w:t>’</w:t>
            </w:r>
            <w:r w:rsidRPr="001800B7">
              <w:rPr>
                <w:bCs/>
                <w:szCs w:val="22"/>
              </w:rPr>
              <w:t>un bon rapport coût</w:t>
            </w:r>
            <w:r w:rsidR="001800B7" w:rsidRPr="001800B7">
              <w:rPr>
                <w:bCs/>
                <w:szCs w:val="22"/>
              </w:rPr>
              <w:noBreakHyphen/>
            </w:r>
            <w:r w:rsidRPr="001800B7">
              <w:rPr>
                <w:bCs/>
                <w:szCs w:val="22"/>
              </w:rPr>
              <w:t>efficacité et facilement accessible, aux fins du recensement des œuvres et des titulaires de droits.</w:t>
            </w:r>
          </w:p>
        </w:tc>
        <w:tc>
          <w:tcPr>
            <w:tcW w:w="2694" w:type="dxa"/>
            <w:shd w:val="clear" w:color="auto" w:fill="auto"/>
          </w:tcPr>
          <w:p w:rsidR="00D67A00" w:rsidRPr="001800B7" w:rsidRDefault="001B5312" w:rsidP="008475D2">
            <w:pPr>
              <w:spacing w:before="120" w:after="120"/>
              <w:rPr>
                <w:szCs w:val="22"/>
              </w:rPr>
            </w:pPr>
            <w:r w:rsidRPr="001800B7">
              <w:rPr>
                <w:szCs w:val="22"/>
              </w:rPr>
              <w:t>Possibilité pour chaque organisme du réseau d</w:t>
            </w:r>
            <w:r w:rsidR="005311D6" w:rsidRPr="001800B7">
              <w:rPr>
                <w:szCs w:val="22"/>
              </w:rPr>
              <w:t>’</w:t>
            </w:r>
            <w:r w:rsidRPr="001800B7">
              <w:rPr>
                <w:szCs w:val="22"/>
              </w:rPr>
              <w:t>avoir accès aux bases de données internationales et d</w:t>
            </w:r>
            <w:r w:rsidR="005311D6" w:rsidRPr="001800B7">
              <w:rPr>
                <w:szCs w:val="22"/>
              </w:rPr>
              <w:t>’</w:t>
            </w:r>
            <w:r w:rsidRPr="001800B7">
              <w:rPr>
                <w:szCs w:val="22"/>
              </w:rPr>
              <w:t>enregistrer les œuvres et les parties concernées.</w:t>
            </w:r>
          </w:p>
        </w:tc>
        <w:tc>
          <w:tcPr>
            <w:tcW w:w="2975" w:type="dxa"/>
            <w:shd w:val="clear" w:color="auto" w:fill="auto"/>
          </w:tcPr>
          <w:p w:rsidR="00D67A00" w:rsidRPr="001800B7" w:rsidRDefault="001B5312" w:rsidP="008475D2">
            <w:pPr>
              <w:spacing w:before="120" w:after="120"/>
              <w:rPr>
                <w:szCs w:val="22"/>
              </w:rPr>
            </w:pPr>
            <w:r w:rsidRPr="001800B7">
              <w:rPr>
                <w:szCs w:val="22"/>
              </w:rPr>
              <w:t>Idem</w:t>
            </w:r>
          </w:p>
        </w:tc>
        <w:tc>
          <w:tcPr>
            <w:tcW w:w="1456" w:type="dxa"/>
            <w:shd w:val="clear" w:color="auto" w:fill="auto"/>
          </w:tcPr>
          <w:p w:rsidR="00D67A00" w:rsidRPr="001800B7" w:rsidRDefault="001B5312" w:rsidP="008475D2">
            <w:pPr>
              <w:spacing w:before="120" w:after="120"/>
              <w:rPr>
                <w:szCs w:val="22"/>
              </w:rPr>
            </w:pPr>
            <w:r w:rsidRPr="001800B7">
              <w:rPr>
                <w:szCs w:val="22"/>
              </w:rPr>
              <w:t>AP</w:t>
            </w:r>
          </w:p>
        </w:tc>
      </w:tr>
    </w:tbl>
    <w:p w:rsidR="008475D2" w:rsidRPr="001800B7" w:rsidRDefault="008475D2" w:rsidP="00CC7E97">
      <w:pPr>
        <w:rPr>
          <w:szCs w:val="22"/>
        </w:rPr>
      </w:pPr>
    </w:p>
    <w:p w:rsidR="008475D2" w:rsidRPr="001800B7" w:rsidRDefault="008475D2" w:rsidP="00CC7E97">
      <w:pPr>
        <w:rPr>
          <w:szCs w:val="22"/>
        </w:rPr>
      </w:pPr>
    </w:p>
    <w:p w:rsidR="00B650B1" w:rsidRPr="001800B7" w:rsidRDefault="00B650B1" w:rsidP="00CC7E97">
      <w:pPr>
        <w:rPr>
          <w:szCs w:val="22"/>
        </w:rPr>
      </w:pPr>
    </w:p>
    <w:p w:rsidR="00B650B1" w:rsidRPr="001800B7" w:rsidRDefault="00CD731A" w:rsidP="00CC7E97">
      <w:pPr>
        <w:pStyle w:val="Endofdocument-Annex"/>
        <w:rPr>
          <w:szCs w:val="22"/>
        </w:rPr>
      </w:pPr>
      <w:r w:rsidRPr="001800B7">
        <w:rPr>
          <w:szCs w:val="22"/>
        </w:rPr>
        <w:t>[L</w:t>
      </w:r>
      <w:r w:rsidR="005311D6" w:rsidRPr="001800B7">
        <w:rPr>
          <w:szCs w:val="22"/>
        </w:rPr>
        <w:t>’</w:t>
      </w:r>
      <w:r w:rsidRPr="001800B7">
        <w:rPr>
          <w:szCs w:val="22"/>
        </w:rPr>
        <w:t>annexe</w:t>
      </w:r>
      <w:r w:rsidR="008005FD" w:rsidRPr="001800B7">
        <w:rPr>
          <w:szCs w:val="22"/>
        </w:rPr>
        <w:t> </w:t>
      </w:r>
      <w:r w:rsidRPr="001800B7">
        <w:rPr>
          <w:szCs w:val="22"/>
        </w:rPr>
        <w:t>II suit]</w:t>
      </w:r>
    </w:p>
    <w:p w:rsidR="00A0486C" w:rsidRPr="001800B7" w:rsidRDefault="00A0486C" w:rsidP="008475D2">
      <w:pPr>
        <w:spacing w:before="120" w:after="120"/>
        <w:rPr>
          <w:szCs w:val="22"/>
        </w:rPr>
        <w:sectPr w:rsidR="00A0486C" w:rsidRPr="001800B7" w:rsidSect="00BF4C15">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477A00">
        <w:tc>
          <w:tcPr>
            <w:tcW w:w="9501" w:type="dxa"/>
            <w:gridSpan w:val="2"/>
            <w:tcBorders>
              <w:top w:val="single" w:sz="4" w:space="0" w:color="auto"/>
              <w:left w:val="single" w:sz="4" w:space="0" w:color="auto"/>
              <w:bottom w:val="single" w:sz="4" w:space="0" w:color="auto"/>
              <w:right w:val="single" w:sz="4" w:space="0" w:color="auto"/>
            </w:tcBorders>
            <w:shd w:val="clear" w:color="auto" w:fill="auto"/>
          </w:tcPr>
          <w:p w:rsidR="00B907FC" w:rsidRPr="001800B7" w:rsidRDefault="001B5312" w:rsidP="00477A00">
            <w:pPr>
              <w:spacing w:before="120" w:after="120"/>
              <w:rPr>
                <w:bCs/>
                <w:iCs/>
                <w:caps/>
                <w:szCs w:val="22"/>
                <w:lang w:eastAsia="en-US"/>
              </w:rPr>
            </w:pPr>
            <w:r w:rsidRPr="001800B7">
              <w:rPr>
                <w:bCs/>
                <w:iCs/>
                <w:caps/>
                <w:szCs w:val="22"/>
                <w:lang w:eastAsia="en-US"/>
              </w:rPr>
              <w:lastRenderedPageBreak/>
              <w:t>RÉSUMÉ DU PROJET</w:t>
            </w:r>
          </w:p>
        </w:tc>
      </w:tr>
      <w:tr w:rsidR="001800B7" w:rsidRPr="001800B7" w:rsidTr="00477A00">
        <w:tc>
          <w:tcPr>
            <w:tcW w:w="2235" w:type="dxa"/>
            <w:shd w:val="clear" w:color="auto" w:fill="auto"/>
          </w:tcPr>
          <w:p w:rsidR="00B907FC" w:rsidRPr="001800B7" w:rsidRDefault="001B5312" w:rsidP="00477A00">
            <w:pPr>
              <w:pStyle w:val="Heading3"/>
              <w:keepNext w:val="0"/>
              <w:spacing w:before="120" w:after="120"/>
              <w:rPr>
                <w:szCs w:val="22"/>
              </w:rPr>
            </w:pPr>
            <w:r w:rsidRPr="001800B7">
              <w:rPr>
                <w:szCs w:val="22"/>
              </w:rPr>
              <w:t>Code du projet</w:t>
            </w:r>
          </w:p>
        </w:tc>
        <w:tc>
          <w:tcPr>
            <w:tcW w:w="7266" w:type="dxa"/>
            <w:shd w:val="clear" w:color="auto" w:fill="auto"/>
          </w:tcPr>
          <w:p w:rsidR="00B907FC" w:rsidRPr="001800B7" w:rsidRDefault="001B5312" w:rsidP="00477A00">
            <w:pPr>
              <w:spacing w:before="120" w:after="120"/>
              <w:rPr>
                <w:iCs/>
                <w:szCs w:val="22"/>
              </w:rPr>
            </w:pPr>
            <w:r w:rsidRPr="001800B7">
              <w:rPr>
                <w:iCs/>
                <w:szCs w:val="22"/>
              </w:rPr>
              <w:t>DA_19_25_26_28_01</w:t>
            </w:r>
          </w:p>
        </w:tc>
      </w:tr>
      <w:tr w:rsidR="001800B7" w:rsidRPr="001800B7" w:rsidTr="00477A00">
        <w:tc>
          <w:tcPr>
            <w:tcW w:w="2235" w:type="dxa"/>
            <w:shd w:val="clear" w:color="auto" w:fill="auto"/>
          </w:tcPr>
          <w:p w:rsidR="00B907FC" w:rsidRPr="001800B7" w:rsidRDefault="001B5312" w:rsidP="00477A00">
            <w:pPr>
              <w:pStyle w:val="Heading3"/>
              <w:keepNext w:val="0"/>
              <w:spacing w:before="120" w:after="120"/>
              <w:rPr>
                <w:szCs w:val="22"/>
              </w:rPr>
            </w:pPr>
            <w:r w:rsidRPr="001800B7">
              <w:rPr>
                <w:szCs w:val="22"/>
              </w:rPr>
              <w:t>Titre</w:t>
            </w:r>
          </w:p>
        </w:tc>
        <w:tc>
          <w:tcPr>
            <w:tcW w:w="7266" w:type="dxa"/>
            <w:shd w:val="clear" w:color="auto" w:fill="auto"/>
          </w:tcPr>
          <w:p w:rsidR="00B907FC" w:rsidRPr="001800B7" w:rsidRDefault="001B5312" w:rsidP="00477A00">
            <w:pPr>
              <w:spacing w:before="120" w:after="120"/>
              <w:rPr>
                <w:iCs/>
                <w:szCs w:val="22"/>
              </w:rPr>
            </w:pPr>
            <w:r w:rsidRPr="001800B7">
              <w:rPr>
                <w:iCs/>
                <w:szCs w:val="22"/>
              </w:rPr>
              <w:t>Propriété intellectuelle et transfert de technologie</w:t>
            </w:r>
            <w:r w:rsidR="008005FD" w:rsidRPr="001800B7">
              <w:rPr>
                <w:iCs/>
                <w:szCs w:val="22"/>
              </w:rPr>
              <w:t> </w:t>
            </w:r>
            <w:r w:rsidRPr="001800B7">
              <w:rPr>
                <w:iCs/>
                <w:szCs w:val="22"/>
              </w:rPr>
              <w:t>: élaborer des solutions face aux défis communs</w:t>
            </w:r>
          </w:p>
        </w:tc>
      </w:tr>
      <w:tr w:rsidR="001800B7" w:rsidRPr="001800B7" w:rsidTr="00477A00">
        <w:tc>
          <w:tcPr>
            <w:tcW w:w="2235" w:type="dxa"/>
            <w:shd w:val="clear" w:color="auto" w:fill="auto"/>
          </w:tcPr>
          <w:p w:rsidR="00B907FC" w:rsidRPr="001800B7" w:rsidRDefault="001B5312" w:rsidP="00477A00">
            <w:pPr>
              <w:pStyle w:val="Heading3"/>
              <w:keepNext w:val="0"/>
              <w:spacing w:before="120" w:after="120"/>
              <w:rPr>
                <w:szCs w:val="22"/>
              </w:rPr>
            </w:pPr>
            <w:r w:rsidRPr="001800B7">
              <w:rPr>
                <w:szCs w:val="22"/>
              </w:rPr>
              <w:t>Recommandations du Plan d</w:t>
            </w:r>
            <w:r w:rsidR="005311D6" w:rsidRPr="001800B7">
              <w:rPr>
                <w:szCs w:val="22"/>
              </w:rPr>
              <w:t>’</w:t>
            </w:r>
            <w:r w:rsidRPr="001800B7">
              <w:rPr>
                <w:szCs w:val="22"/>
              </w:rPr>
              <w:t>action pour le développement</w:t>
            </w:r>
          </w:p>
        </w:tc>
        <w:tc>
          <w:tcPr>
            <w:tcW w:w="7266" w:type="dxa"/>
            <w:shd w:val="clear" w:color="auto" w:fill="auto"/>
          </w:tcPr>
          <w:p w:rsidR="008475D2" w:rsidRPr="001800B7" w:rsidRDefault="001B5312" w:rsidP="00477A00">
            <w:pPr>
              <w:spacing w:before="120" w:after="120"/>
              <w:rPr>
                <w:iCs/>
                <w:szCs w:val="22"/>
              </w:rPr>
            </w:pPr>
            <w:r w:rsidRPr="001800B7">
              <w:rPr>
                <w:i/>
                <w:iCs/>
                <w:szCs w:val="22"/>
              </w:rPr>
              <w:t>Recommandation n°</w:t>
            </w:r>
            <w:r w:rsidR="008005FD" w:rsidRPr="001800B7">
              <w:rPr>
                <w:i/>
                <w:iCs/>
                <w:szCs w:val="22"/>
              </w:rPr>
              <w:t> </w:t>
            </w:r>
            <w:r w:rsidRPr="001800B7">
              <w:rPr>
                <w:i/>
                <w:iCs/>
                <w:szCs w:val="22"/>
              </w:rPr>
              <w:t>19</w:t>
            </w:r>
            <w:r w:rsidR="008005FD" w:rsidRPr="001800B7">
              <w:rPr>
                <w:i/>
                <w:iCs/>
                <w:szCs w:val="22"/>
              </w:rPr>
              <w:t> </w:t>
            </w:r>
            <w:r w:rsidRPr="001800B7">
              <w:rPr>
                <w:i/>
                <w:iCs/>
                <w:szCs w:val="22"/>
              </w:rPr>
              <w:t xml:space="preserve">: </w:t>
            </w:r>
            <w:r w:rsidRPr="001800B7">
              <w:rPr>
                <w:iCs/>
                <w:szCs w:val="22"/>
              </w:rPr>
              <w:t>Engager les discussions sur les moyens à mettre en œuvre, dans le cadre du mandat de l</w:t>
            </w:r>
            <w:r w:rsidR="005311D6" w:rsidRPr="001800B7">
              <w:rPr>
                <w:iCs/>
                <w:szCs w:val="22"/>
              </w:rPr>
              <w:t>’</w:t>
            </w:r>
            <w:r w:rsidRPr="001800B7">
              <w:rPr>
                <w:iCs/>
                <w:szCs w:val="22"/>
              </w:rPr>
              <w:t>OMPI, pour faciliter davantage l</w:t>
            </w:r>
            <w:r w:rsidR="005311D6" w:rsidRPr="001800B7">
              <w:rPr>
                <w:iCs/>
                <w:szCs w:val="22"/>
              </w:rPr>
              <w:t>’</w:t>
            </w:r>
            <w:r w:rsidRPr="001800B7">
              <w:rPr>
                <w:iCs/>
                <w:szCs w:val="22"/>
              </w:rPr>
              <w:t>accès des pays en développement et</w:t>
            </w:r>
            <w:r w:rsidR="00456841" w:rsidRPr="001800B7">
              <w:rPr>
                <w:iCs/>
                <w:szCs w:val="22"/>
              </w:rPr>
              <w:t xml:space="preserve"> des PMA</w:t>
            </w:r>
            <w:r w:rsidRPr="001800B7">
              <w:rPr>
                <w:iCs/>
                <w:szCs w:val="22"/>
              </w:rPr>
              <w:t xml:space="preserve"> aux savoirs et à la technologie afin de stimuler la créativité et l</w:t>
            </w:r>
            <w:r w:rsidR="005311D6" w:rsidRPr="001800B7">
              <w:rPr>
                <w:iCs/>
                <w:szCs w:val="22"/>
              </w:rPr>
              <w:t>’</w:t>
            </w:r>
            <w:r w:rsidRPr="001800B7">
              <w:rPr>
                <w:iCs/>
                <w:szCs w:val="22"/>
              </w:rPr>
              <w:t>innovation et de renforcer les activités déjà entreprises dans ce domaine au sein de l</w:t>
            </w:r>
            <w:r w:rsidR="005311D6" w:rsidRPr="001800B7">
              <w:rPr>
                <w:iCs/>
                <w:szCs w:val="22"/>
              </w:rPr>
              <w:t>’</w:t>
            </w:r>
            <w:r w:rsidRPr="001800B7">
              <w:rPr>
                <w:iCs/>
                <w:szCs w:val="22"/>
              </w:rPr>
              <w:t>OMPI.</w:t>
            </w:r>
          </w:p>
          <w:p w:rsidR="008475D2" w:rsidRPr="001800B7" w:rsidRDefault="001B5312" w:rsidP="00477A00">
            <w:pPr>
              <w:spacing w:before="120" w:after="120"/>
              <w:rPr>
                <w:iCs/>
                <w:szCs w:val="22"/>
              </w:rPr>
            </w:pPr>
            <w:r w:rsidRPr="001800B7">
              <w:rPr>
                <w:i/>
                <w:iCs/>
                <w:szCs w:val="22"/>
              </w:rPr>
              <w:t>Recommandation n°</w:t>
            </w:r>
            <w:r w:rsidR="008005FD" w:rsidRPr="001800B7">
              <w:rPr>
                <w:i/>
                <w:iCs/>
                <w:szCs w:val="22"/>
              </w:rPr>
              <w:t> </w:t>
            </w:r>
            <w:r w:rsidRPr="001800B7">
              <w:rPr>
                <w:i/>
                <w:iCs/>
                <w:szCs w:val="22"/>
              </w:rPr>
              <w:t>25</w:t>
            </w:r>
            <w:r w:rsidR="008005FD" w:rsidRPr="001800B7">
              <w:rPr>
                <w:i/>
                <w:iCs/>
                <w:szCs w:val="22"/>
              </w:rPr>
              <w:t> </w:t>
            </w:r>
            <w:r w:rsidRPr="001800B7">
              <w:rPr>
                <w:i/>
                <w:iCs/>
                <w:szCs w:val="22"/>
              </w:rPr>
              <w:t xml:space="preserve">: </w:t>
            </w:r>
            <w:r w:rsidRPr="001800B7">
              <w:rPr>
                <w:iCs/>
                <w:szCs w:val="22"/>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5311D6" w:rsidRPr="001800B7">
              <w:rPr>
                <w:iCs/>
                <w:szCs w:val="22"/>
              </w:rPr>
              <w:t>’</w:t>
            </w:r>
            <w:r w:rsidRPr="001800B7">
              <w:rPr>
                <w:iCs/>
                <w:szCs w:val="22"/>
              </w:rPr>
              <w:t>en tirer profit, le cas échéant.</w:t>
            </w:r>
          </w:p>
          <w:p w:rsidR="008475D2" w:rsidRPr="001800B7" w:rsidRDefault="001B5312" w:rsidP="00477A00">
            <w:pPr>
              <w:spacing w:before="120" w:after="120"/>
              <w:rPr>
                <w:iCs/>
                <w:szCs w:val="22"/>
              </w:rPr>
            </w:pPr>
            <w:r w:rsidRPr="001800B7">
              <w:rPr>
                <w:i/>
                <w:iCs/>
                <w:szCs w:val="22"/>
              </w:rPr>
              <w:t>Recommandation n°</w:t>
            </w:r>
            <w:r w:rsidR="008005FD" w:rsidRPr="001800B7">
              <w:rPr>
                <w:i/>
                <w:iCs/>
                <w:szCs w:val="22"/>
              </w:rPr>
              <w:t> </w:t>
            </w:r>
            <w:r w:rsidRPr="001800B7">
              <w:rPr>
                <w:i/>
                <w:iCs/>
                <w:szCs w:val="22"/>
              </w:rPr>
              <w:t>26</w:t>
            </w:r>
            <w:r w:rsidR="008005FD" w:rsidRPr="001800B7">
              <w:rPr>
                <w:i/>
                <w:iCs/>
                <w:szCs w:val="22"/>
              </w:rPr>
              <w:t> </w:t>
            </w:r>
            <w:r w:rsidRPr="001800B7">
              <w:rPr>
                <w:i/>
                <w:iCs/>
                <w:szCs w:val="22"/>
              </w:rPr>
              <w:t xml:space="preserve">: </w:t>
            </w:r>
            <w:r w:rsidRPr="001800B7">
              <w:rPr>
                <w:iCs/>
                <w:szCs w:val="22"/>
              </w:rPr>
              <w:t>Encourager les États membres, en particulier les pays industrialisés, à inciter leurs institutions travaillant dans la recherche et le domaine scientifique à renforcer leur coopération et leurs échanges avec les institutions de recherche</w:t>
            </w:r>
            <w:r w:rsidR="001800B7" w:rsidRPr="001800B7">
              <w:rPr>
                <w:iCs/>
                <w:szCs w:val="22"/>
              </w:rPr>
              <w:noBreakHyphen/>
            </w:r>
            <w:r w:rsidRPr="001800B7">
              <w:rPr>
                <w:iCs/>
                <w:szCs w:val="22"/>
              </w:rPr>
              <w:t>développement des pays en développement, en particulier</w:t>
            </w:r>
            <w:r w:rsidR="00456841" w:rsidRPr="001800B7">
              <w:rPr>
                <w:iCs/>
                <w:szCs w:val="22"/>
              </w:rPr>
              <w:t xml:space="preserve"> des PMA</w:t>
            </w:r>
            <w:r w:rsidRPr="001800B7">
              <w:rPr>
                <w:iCs/>
                <w:szCs w:val="22"/>
              </w:rPr>
              <w:t>.</w:t>
            </w:r>
          </w:p>
          <w:p w:rsidR="00B907FC" w:rsidRPr="001800B7" w:rsidRDefault="001B5312" w:rsidP="00477A00">
            <w:pPr>
              <w:spacing w:before="120" w:after="120"/>
              <w:rPr>
                <w:i/>
                <w:szCs w:val="22"/>
              </w:rPr>
            </w:pPr>
            <w:r w:rsidRPr="001800B7">
              <w:rPr>
                <w:i/>
                <w:szCs w:val="22"/>
              </w:rPr>
              <w:t>Recommandation n°</w:t>
            </w:r>
            <w:r w:rsidR="008005FD" w:rsidRPr="001800B7">
              <w:rPr>
                <w:i/>
                <w:szCs w:val="22"/>
              </w:rPr>
              <w:t> </w:t>
            </w:r>
            <w:r w:rsidRPr="001800B7">
              <w:rPr>
                <w:i/>
                <w:szCs w:val="22"/>
              </w:rPr>
              <w:t>28</w:t>
            </w:r>
            <w:r w:rsidR="008005FD" w:rsidRPr="001800B7">
              <w:rPr>
                <w:i/>
                <w:szCs w:val="22"/>
              </w:rPr>
              <w:t> </w:t>
            </w:r>
            <w:r w:rsidRPr="001800B7">
              <w:rPr>
                <w:i/>
                <w:szCs w:val="22"/>
              </w:rPr>
              <w:t xml:space="preserve">: </w:t>
            </w:r>
            <w:r w:rsidRPr="001800B7">
              <w:rPr>
                <w:szCs w:val="22"/>
              </w:rPr>
              <w:t>Examiner les politiques et mesures relatives à la propriété intellectuelle que les États membres, en particulier les pays industrialisés, pourraient adopter pour promouvoir le transfert et la diffusion de la technologie vers les pays en développement</w:t>
            </w:r>
            <w:r w:rsidRPr="001800B7">
              <w:rPr>
                <w:i/>
                <w:szCs w:val="22"/>
              </w:rPr>
              <w:t>.</w:t>
            </w:r>
          </w:p>
        </w:tc>
      </w:tr>
      <w:tr w:rsidR="001800B7" w:rsidRPr="001800B7" w:rsidTr="00477A00">
        <w:tc>
          <w:tcPr>
            <w:tcW w:w="2235" w:type="dxa"/>
            <w:shd w:val="clear" w:color="auto" w:fill="auto"/>
          </w:tcPr>
          <w:p w:rsidR="00B907FC" w:rsidRPr="001800B7" w:rsidRDefault="001B5312" w:rsidP="00477A00">
            <w:pPr>
              <w:pStyle w:val="Heading3"/>
              <w:keepNext w:val="0"/>
              <w:spacing w:before="120" w:after="120"/>
              <w:rPr>
                <w:szCs w:val="22"/>
              </w:rPr>
            </w:pPr>
            <w:r w:rsidRPr="001800B7">
              <w:rPr>
                <w:szCs w:val="22"/>
              </w:rPr>
              <w:t>Budget du projet</w:t>
            </w:r>
          </w:p>
        </w:tc>
        <w:tc>
          <w:tcPr>
            <w:tcW w:w="7266" w:type="dxa"/>
            <w:shd w:val="clear" w:color="auto" w:fill="auto"/>
          </w:tcPr>
          <w:p w:rsidR="008475D2" w:rsidRPr="001800B7" w:rsidRDefault="001B5312" w:rsidP="00477A00">
            <w:pPr>
              <w:spacing w:before="120" w:after="120"/>
              <w:rPr>
                <w:szCs w:val="22"/>
              </w:rPr>
            </w:pPr>
            <w:r w:rsidRPr="001800B7">
              <w:rPr>
                <w:szCs w:val="22"/>
              </w:rPr>
              <w:t>Dépenses autres que les dépenses de personnel</w:t>
            </w:r>
            <w:r w:rsidR="008005FD" w:rsidRPr="001800B7">
              <w:rPr>
                <w:szCs w:val="22"/>
              </w:rPr>
              <w:t> </w:t>
            </w:r>
            <w:r w:rsidRPr="001800B7">
              <w:rPr>
                <w:szCs w:val="22"/>
              </w:rPr>
              <w:t>: 1</w:t>
            </w:r>
            <w:r w:rsidR="008005FD" w:rsidRPr="001800B7">
              <w:rPr>
                <w:szCs w:val="22"/>
              </w:rPr>
              <w:t> </w:t>
            </w:r>
            <w:r w:rsidRPr="001800B7">
              <w:rPr>
                <w:szCs w:val="22"/>
              </w:rPr>
              <w:t>193</w:t>
            </w:r>
            <w:r w:rsidR="008005FD" w:rsidRPr="001800B7">
              <w:rPr>
                <w:szCs w:val="22"/>
              </w:rPr>
              <w:t> </w:t>
            </w:r>
            <w:r w:rsidRPr="001800B7">
              <w:rPr>
                <w:szCs w:val="22"/>
              </w:rPr>
              <w:t>000</w:t>
            </w:r>
            <w:r w:rsidR="008005FD" w:rsidRPr="001800B7">
              <w:rPr>
                <w:szCs w:val="22"/>
              </w:rPr>
              <w:t> </w:t>
            </w:r>
            <w:r w:rsidRPr="001800B7">
              <w:rPr>
                <w:szCs w:val="22"/>
              </w:rPr>
              <w:t>francs suisses</w:t>
            </w:r>
          </w:p>
          <w:p w:rsidR="00B907FC" w:rsidRPr="001800B7" w:rsidRDefault="001B5312" w:rsidP="00477A00">
            <w:pPr>
              <w:spacing w:before="120" w:after="120"/>
              <w:rPr>
                <w:szCs w:val="22"/>
              </w:rPr>
            </w:pPr>
            <w:r w:rsidRPr="001800B7">
              <w:rPr>
                <w:szCs w:val="22"/>
              </w:rPr>
              <w:t>Dépenses de personnel</w:t>
            </w:r>
            <w:r w:rsidR="008005FD" w:rsidRPr="001800B7">
              <w:rPr>
                <w:szCs w:val="22"/>
              </w:rPr>
              <w:t> </w:t>
            </w:r>
            <w:r w:rsidRPr="001800B7">
              <w:rPr>
                <w:szCs w:val="22"/>
              </w:rPr>
              <w:t>: 598</w:t>
            </w:r>
            <w:r w:rsidR="008005FD" w:rsidRPr="001800B7">
              <w:rPr>
                <w:szCs w:val="22"/>
              </w:rPr>
              <w:t> </w:t>
            </w:r>
            <w:r w:rsidRPr="001800B7">
              <w:rPr>
                <w:szCs w:val="22"/>
              </w:rPr>
              <w:t>000</w:t>
            </w:r>
            <w:r w:rsidR="008005FD" w:rsidRPr="001800B7">
              <w:rPr>
                <w:szCs w:val="22"/>
              </w:rPr>
              <w:t> </w:t>
            </w:r>
            <w:r w:rsidRPr="001800B7">
              <w:rPr>
                <w:szCs w:val="22"/>
              </w:rPr>
              <w:t>francs suisses</w:t>
            </w:r>
          </w:p>
        </w:tc>
      </w:tr>
      <w:tr w:rsidR="001800B7" w:rsidRPr="001800B7" w:rsidTr="00477A00">
        <w:tc>
          <w:tcPr>
            <w:tcW w:w="2235" w:type="dxa"/>
            <w:shd w:val="clear" w:color="auto" w:fill="auto"/>
          </w:tcPr>
          <w:p w:rsidR="00B907FC" w:rsidRPr="001800B7" w:rsidRDefault="001B5312" w:rsidP="00477A00">
            <w:pPr>
              <w:pStyle w:val="Heading3"/>
              <w:keepNext w:val="0"/>
              <w:spacing w:before="120" w:after="120"/>
              <w:rPr>
                <w:szCs w:val="22"/>
              </w:rPr>
            </w:pPr>
            <w:r w:rsidRPr="001800B7">
              <w:rPr>
                <w:szCs w:val="22"/>
              </w:rPr>
              <w:t>Date de début du projet</w:t>
            </w:r>
          </w:p>
        </w:tc>
        <w:tc>
          <w:tcPr>
            <w:tcW w:w="7266" w:type="dxa"/>
            <w:shd w:val="clear" w:color="auto" w:fill="auto"/>
          </w:tcPr>
          <w:p w:rsidR="00B907FC" w:rsidRPr="001800B7" w:rsidRDefault="0008593D" w:rsidP="00477A00">
            <w:pPr>
              <w:spacing w:before="120" w:after="120"/>
              <w:rPr>
                <w:szCs w:val="22"/>
              </w:rPr>
            </w:pPr>
            <w:r w:rsidRPr="001800B7">
              <w:rPr>
                <w:szCs w:val="22"/>
              </w:rPr>
              <w:t>Janvier </w:t>
            </w:r>
            <w:r w:rsidR="001B5312" w:rsidRPr="001800B7">
              <w:rPr>
                <w:szCs w:val="22"/>
              </w:rPr>
              <w:t>2011</w:t>
            </w:r>
          </w:p>
        </w:tc>
      </w:tr>
      <w:tr w:rsidR="001800B7" w:rsidRPr="001800B7" w:rsidTr="00477A00">
        <w:tc>
          <w:tcPr>
            <w:tcW w:w="2235" w:type="dxa"/>
            <w:shd w:val="clear" w:color="auto" w:fill="auto"/>
          </w:tcPr>
          <w:p w:rsidR="00B907FC" w:rsidRPr="001800B7" w:rsidRDefault="001B5312" w:rsidP="00477A00">
            <w:pPr>
              <w:pStyle w:val="Heading3"/>
              <w:keepNext w:val="0"/>
              <w:spacing w:before="120" w:after="120"/>
              <w:rPr>
                <w:szCs w:val="22"/>
              </w:rPr>
            </w:pPr>
            <w:r w:rsidRPr="001800B7">
              <w:rPr>
                <w:szCs w:val="22"/>
              </w:rPr>
              <w:t>Durée du projet</w:t>
            </w:r>
          </w:p>
        </w:tc>
        <w:tc>
          <w:tcPr>
            <w:tcW w:w="7266" w:type="dxa"/>
            <w:shd w:val="clear" w:color="auto" w:fill="auto"/>
          </w:tcPr>
          <w:p w:rsidR="00B907FC" w:rsidRPr="001800B7" w:rsidRDefault="00B907FC" w:rsidP="00477A00">
            <w:pPr>
              <w:spacing w:before="120" w:after="120"/>
              <w:rPr>
                <w:szCs w:val="22"/>
              </w:rPr>
            </w:pPr>
            <w:r w:rsidRPr="001800B7">
              <w:rPr>
                <w:szCs w:val="22"/>
              </w:rPr>
              <w:t>42</w:t>
            </w:r>
            <w:r w:rsidR="00D4670E" w:rsidRPr="001800B7">
              <w:rPr>
                <w:szCs w:val="22"/>
              </w:rPr>
              <w:t> mois, conformément au nouveau calendrier approuvé par</w:t>
            </w:r>
            <w:r w:rsidR="00456841" w:rsidRPr="001800B7">
              <w:rPr>
                <w:szCs w:val="22"/>
              </w:rPr>
              <w:t xml:space="preserve"> le CDI</w:t>
            </w:r>
            <w:r w:rsidRPr="001800B7">
              <w:rPr>
                <w:szCs w:val="22"/>
              </w:rPr>
              <w:t xml:space="preserve">P </w:t>
            </w:r>
            <w:r w:rsidR="00D4670E" w:rsidRPr="001800B7">
              <w:rPr>
                <w:szCs w:val="22"/>
              </w:rPr>
              <w:t xml:space="preserve">à sa </w:t>
            </w:r>
            <w:r w:rsidR="00CB4748" w:rsidRPr="001800B7">
              <w:rPr>
                <w:szCs w:val="22"/>
              </w:rPr>
              <w:t>douzième</w:t>
            </w:r>
            <w:r w:rsidR="008005FD" w:rsidRPr="001800B7">
              <w:rPr>
                <w:szCs w:val="22"/>
              </w:rPr>
              <w:t> </w:t>
            </w:r>
            <w:r w:rsidR="00D4670E" w:rsidRPr="001800B7">
              <w:rPr>
                <w:szCs w:val="22"/>
              </w:rPr>
              <w:t>session</w:t>
            </w:r>
            <w:r w:rsidRPr="001800B7">
              <w:rPr>
                <w:szCs w:val="22"/>
              </w:rPr>
              <w:t>.</w:t>
            </w:r>
          </w:p>
        </w:tc>
      </w:tr>
      <w:tr w:rsidR="001800B7" w:rsidRPr="001800B7" w:rsidTr="00477A00">
        <w:tc>
          <w:tcPr>
            <w:tcW w:w="2235" w:type="dxa"/>
            <w:shd w:val="clear" w:color="auto" w:fill="auto"/>
          </w:tcPr>
          <w:p w:rsidR="00B907FC" w:rsidRPr="001800B7" w:rsidRDefault="001B5312" w:rsidP="008475D2">
            <w:pPr>
              <w:pStyle w:val="Heading3"/>
              <w:keepNext w:val="0"/>
              <w:spacing w:before="120" w:after="120"/>
              <w:rPr>
                <w:szCs w:val="22"/>
              </w:rPr>
            </w:pPr>
            <w:r w:rsidRPr="001800B7">
              <w:rPr>
                <w:szCs w:val="22"/>
              </w:rPr>
              <w:t>Principaux secteurs de l</w:t>
            </w:r>
            <w:r w:rsidR="005311D6" w:rsidRPr="001800B7">
              <w:rPr>
                <w:szCs w:val="22"/>
              </w:rPr>
              <w:t>’</w:t>
            </w:r>
            <w:r w:rsidRPr="001800B7">
              <w:rPr>
                <w:szCs w:val="22"/>
              </w:rPr>
              <w:t>OMPI concernés et liens avec les programmes de l</w:t>
            </w:r>
            <w:r w:rsidR="005311D6" w:rsidRPr="001800B7">
              <w:rPr>
                <w:szCs w:val="22"/>
              </w:rPr>
              <w:t>’</w:t>
            </w:r>
            <w:r w:rsidRPr="001800B7">
              <w:rPr>
                <w:szCs w:val="22"/>
              </w:rPr>
              <w:t>OMPI</w:t>
            </w:r>
          </w:p>
        </w:tc>
        <w:tc>
          <w:tcPr>
            <w:tcW w:w="7266" w:type="dxa"/>
            <w:shd w:val="clear" w:color="auto" w:fill="auto"/>
          </w:tcPr>
          <w:p w:rsidR="008475D2" w:rsidRPr="001800B7" w:rsidRDefault="001B5312" w:rsidP="008475D2">
            <w:pPr>
              <w:spacing w:before="120" w:after="120"/>
              <w:rPr>
                <w:szCs w:val="22"/>
              </w:rPr>
            </w:pPr>
            <w:r w:rsidRPr="001800B7">
              <w:rPr>
                <w:szCs w:val="22"/>
              </w:rPr>
              <w:t>Secteur de l</w:t>
            </w:r>
            <w:r w:rsidR="005311D6" w:rsidRPr="001800B7">
              <w:rPr>
                <w:szCs w:val="22"/>
              </w:rPr>
              <w:t>’</w:t>
            </w:r>
            <w:r w:rsidRPr="001800B7">
              <w:rPr>
                <w:szCs w:val="22"/>
              </w:rPr>
              <w:t>innovation et de la technologie;  Division des défis mondiaux et Division de l</w:t>
            </w:r>
            <w:r w:rsidR="005311D6" w:rsidRPr="001800B7">
              <w:rPr>
                <w:szCs w:val="22"/>
              </w:rPr>
              <w:t>’</w:t>
            </w:r>
            <w:r w:rsidRPr="001800B7">
              <w:rPr>
                <w:szCs w:val="22"/>
              </w:rPr>
              <w:t>économie et des statistiques</w:t>
            </w:r>
            <w:r w:rsidR="00477A00" w:rsidRPr="001800B7">
              <w:rPr>
                <w:szCs w:val="22"/>
              </w:rPr>
              <w:t>.</w:t>
            </w:r>
          </w:p>
          <w:p w:rsidR="008475D2" w:rsidRPr="001800B7" w:rsidRDefault="001B5312" w:rsidP="008475D2">
            <w:pPr>
              <w:spacing w:before="120" w:after="120"/>
              <w:rPr>
                <w:szCs w:val="22"/>
              </w:rPr>
            </w:pPr>
            <w:r w:rsidRPr="001800B7">
              <w:rPr>
                <w:szCs w:val="22"/>
              </w:rPr>
              <w:t>Projet sur la structure d</w:t>
            </w:r>
            <w:r w:rsidR="005311D6" w:rsidRPr="001800B7">
              <w:rPr>
                <w:szCs w:val="22"/>
              </w:rPr>
              <w:t>’</w:t>
            </w:r>
            <w:r w:rsidRPr="001800B7">
              <w:rPr>
                <w:szCs w:val="22"/>
              </w:rPr>
              <w:t>appui de l</w:t>
            </w:r>
            <w:r w:rsidR="005311D6" w:rsidRPr="001800B7">
              <w:rPr>
                <w:szCs w:val="22"/>
              </w:rPr>
              <w:t>’</w:t>
            </w:r>
            <w:r w:rsidRPr="001800B7">
              <w:rPr>
                <w:szCs w:val="22"/>
              </w:rPr>
              <w:t>innovation et du transfert de technologie à l</w:t>
            </w:r>
            <w:r w:rsidR="005311D6" w:rsidRPr="001800B7">
              <w:rPr>
                <w:szCs w:val="22"/>
              </w:rPr>
              <w:t>’</w:t>
            </w:r>
            <w:r w:rsidRPr="001800B7">
              <w:rPr>
                <w:szCs w:val="22"/>
              </w:rPr>
              <w:t>intention des institutions nationales.</w:t>
            </w:r>
          </w:p>
          <w:p w:rsidR="007C1A09" w:rsidRPr="001800B7" w:rsidRDefault="001B5312" w:rsidP="00477A00">
            <w:pPr>
              <w:spacing w:before="120" w:after="120"/>
              <w:rPr>
                <w:szCs w:val="22"/>
              </w:rPr>
            </w:pPr>
            <w:r w:rsidRPr="001800B7">
              <w:rPr>
                <w:szCs w:val="22"/>
              </w:rPr>
              <w:t xml:space="preserve">Liens avec </w:t>
            </w:r>
            <w:proofErr w:type="gramStart"/>
            <w:r w:rsidRPr="001800B7">
              <w:rPr>
                <w:szCs w:val="22"/>
              </w:rPr>
              <w:t xml:space="preserve">les </w:t>
            </w:r>
            <w:r w:rsidR="0008593D" w:rsidRPr="001800B7">
              <w:rPr>
                <w:szCs w:val="22"/>
              </w:rPr>
              <w:t>programmes </w:t>
            </w:r>
            <w:r w:rsidRPr="001800B7">
              <w:rPr>
                <w:szCs w:val="22"/>
              </w:rPr>
              <w:t>1, 8, 9, 10 et 18 de l</w:t>
            </w:r>
            <w:r w:rsidR="005311D6" w:rsidRPr="001800B7">
              <w:rPr>
                <w:szCs w:val="22"/>
              </w:rPr>
              <w:t>’</w:t>
            </w:r>
            <w:r w:rsidRPr="001800B7">
              <w:rPr>
                <w:szCs w:val="22"/>
              </w:rPr>
              <w:t>OMPI</w:t>
            </w:r>
            <w:proofErr w:type="gramEnd"/>
            <w:r w:rsidRPr="001800B7">
              <w:rPr>
                <w:szCs w:val="22"/>
              </w:rPr>
              <w:t>.</w:t>
            </w:r>
          </w:p>
        </w:tc>
      </w:tr>
      <w:tr w:rsidR="00F30D9D" w:rsidRPr="001800B7" w:rsidTr="00477A00">
        <w:tc>
          <w:tcPr>
            <w:tcW w:w="2235" w:type="dxa"/>
            <w:shd w:val="clear" w:color="auto" w:fill="auto"/>
          </w:tcPr>
          <w:p w:rsidR="00B907FC" w:rsidRPr="001800B7" w:rsidRDefault="001B5312" w:rsidP="008475D2">
            <w:pPr>
              <w:pStyle w:val="Heading3"/>
              <w:keepNext w:val="0"/>
              <w:spacing w:before="120" w:after="120"/>
              <w:rPr>
                <w:szCs w:val="22"/>
              </w:rPr>
            </w:pPr>
            <w:r w:rsidRPr="001800B7">
              <w:rPr>
                <w:szCs w:val="22"/>
              </w:rPr>
              <w:t>Brève description du projet</w:t>
            </w:r>
          </w:p>
        </w:tc>
        <w:tc>
          <w:tcPr>
            <w:tcW w:w="7266" w:type="dxa"/>
            <w:shd w:val="clear" w:color="auto" w:fill="auto"/>
          </w:tcPr>
          <w:p w:rsidR="008475D2" w:rsidRDefault="001B5312" w:rsidP="007C1A09">
            <w:pPr>
              <w:widowControl w:val="0"/>
              <w:spacing w:before="120" w:after="120"/>
              <w:rPr>
                <w:szCs w:val="22"/>
              </w:rPr>
            </w:pPr>
            <w:r w:rsidRPr="001800B7">
              <w:rPr>
                <w:szCs w:val="22"/>
              </w:rPr>
              <w:t>Ce projet comprend une série d</w:t>
            </w:r>
            <w:r w:rsidR="005311D6" w:rsidRPr="001800B7">
              <w:rPr>
                <w:szCs w:val="22"/>
              </w:rPr>
              <w:t>’</w:t>
            </w:r>
            <w:r w:rsidRPr="001800B7">
              <w:rPr>
                <w:szCs w:val="22"/>
              </w:rPr>
              <w:t>activités permettant d</w:t>
            </w:r>
            <w:r w:rsidR="005311D6" w:rsidRPr="001800B7">
              <w:rPr>
                <w:szCs w:val="22"/>
              </w:rPr>
              <w:t>’</w:t>
            </w:r>
            <w:r w:rsidRPr="001800B7">
              <w:rPr>
                <w:szCs w:val="22"/>
              </w:rPr>
              <w:t>étudier les initiatives et les politiques relatives à la propriété intellectuelle pouvant promouvoir le transfert et la diffusion de la technologie, ainsi que faciliter l</w:t>
            </w:r>
            <w:r w:rsidR="005311D6" w:rsidRPr="001800B7">
              <w:rPr>
                <w:szCs w:val="22"/>
              </w:rPr>
              <w:t>’</w:t>
            </w:r>
            <w:r w:rsidRPr="001800B7">
              <w:rPr>
                <w:szCs w:val="22"/>
              </w:rPr>
              <w:t xml:space="preserve">accès à la technologie en faveur du développement, au profit notamment des pays en développement, </w:t>
            </w:r>
            <w:r w:rsidR="005311D6" w:rsidRPr="001800B7">
              <w:rPr>
                <w:szCs w:val="22"/>
              </w:rPr>
              <w:t>y compris</w:t>
            </w:r>
            <w:r w:rsidR="00456841" w:rsidRPr="001800B7">
              <w:rPr>
                <w:szCs w:val="22"/>
              </w:rPr>
              <w:t xml:space="preserve"> des PMA</w:t>
            </w:r>
            <w:r w:rsidRPr="001800B7">
              <w:rPr>
                <w:szCs w:val="22"/>
              </w:rPr>
              <w:t>.</w:t>
            </w:r>
          </w:p>
          <w:p w:rsidR="007C1A09" w:rsidRDefault="007C1A09" w:rsidP="007C1A09">
            <w:pPr>
              <w:widowControl w:val="0"/>
              <w:spacing w:before="120" w:after="120"/>
              <w:rPr>
                <w:szCs w:val="22"/>
              </w:rPr>
            </w:pPr>
          </w:p>
          <w:p w:rsidR="008475D2" w:rsidRPr="001800B7" w:rsidRDefault="001B5312" w:rsidP="007C1A09">
            <w:pPr>
              <w:widowControl w:val="0"/>
              <w:spacing w:before="120" w:after="120"/>
              <w:rPr>
                <w:szCs w:val="22"/>
              </w:rPr>
            </w:pPr>
            <w:r w:rsidRPr="001800B7">
              <w:rPr>
                <w:szCs w:val="22"/>
              </w:rPr>
              <w:t>Les activités qu</w:t>
            </w:r>
            <w:r w:rsidR="005311D6" w:rsidRPr="001800B7">
              <w:rPr>
                <w:szCs w:val="22"/>
              </w:rPr>
              <w:t>’</w:t>
            </w:r>
            <w:r w:rsidRPr="001800B7">
              <w:rPr>
                <w:szCs w:val="22"/>
              </w:rPr>
              <w:t>il est envisagé de réaliser dans le cadre du projet sont les suivantes (voir le paragraphe</w:t>
            </w:r>
            <w:r w:rsidR="008005FD" w:rsidRPr="001800B7">
              <w:rPr>
                <w:szCs w:val="22"/>
              </w:rPr>
              <w:t> </w:t>
            </w:r>
            <w:r w:rsidRPr="001800B7">
              <w:rPr>
                <w:szCs w:val="22"/>
              </w:rPr>
              <w:t xml:space="preserve">55 du document </w:t>
            </w:r>
            <w:r w:rsidRPr="001800B7">
              <w:rPr>
                <w:szCs w:val="22"/>
                <w:u w:val="single"/>
              </w:rPr>
              <w:t>CDIP/9/INF/4</w:t>
            </w:r>
            <w:r w:rsidRPr="001800B7">
              <w:rPr>
                <w:szCs w:val="22"/>
              </w:rPr>
              <w:t>)</w:t>
            </w:r>
            <w:r w:rsidR="008005FD" w:rsidRPr="001800B7">
              <w:rPr>
                <w:szCs w:val="22"/>
              </w:rPr>
              <w:t> </w:t>
            </w:r>
            <w:r w:rsidRPr="001800B7">
              <w:rPr>
                <w:szCs w:val="22"/>
              </w:rPr>
              <w:t>:</w:t>
            </w:r>
          </w:p>
          <w:p w:rsidR="008475D2" w:rsidRPr="001800B7" w:rsidRDefault="0008593D" w:rsidP="008475D2">
            <w:pPr>
              <w:spacing w:before="120" w:after="120"/>
              <w:ind w:left="34"/>
              <w:rPr>
                <w:szCs w:val="22"/>
              </w:rPr>
            </w:pPr>
            <w:r w:rsidRPr="001800B7">
              <w:rPr>
                <w:szCs w:val="22"/>
                <w:u w:val="single"/>
              </w:rPr>
              <w:t>Activité </w:t>
            </w:r>
            <w:r w:rsidR="001B5312" w:rsidRPr="001800B7">
              <w:rPr>
                <w:szCs w:val="22"/>
                <w:u w:val="single"/>
              </w:rPr>
              <w:t>1</w:t>
            </w:r>
            <w:r w:rsidR="008005FD" w:rsidRPr="001800B7">
              <w:rPr>
                <w:szCs w:val="22"/>
              </w:rPr>
              <w:t> </w:t>
            </w:r>
            <w:r w:rsidR="001B5312" w:rsidRPr="001800B7">
              <w:rPr>
                <w:szCs w:val="22"/>
              </w:rPr>
              <w:t>: L</w:t>
            </w:r>
            <w:r w:rsidR="005311D6" w:rsidRPr="001800B7">
              <w:rPr>
                <w:szCs w:val="22"/>
              </w:rPr>
              <w:t>’</w:t>
            </w:r>
            <w:r w:rsidR="001B5312" w:rsidRPr="001800B7">
              <w:rPr>
                <w:szCs w:val="22"/>
              </w:rPr>
              <w:t>organisation de cinq</w:t>
            </w:r>
            <w:r w:rsidR="008005FD" w:rsidRPr="001800B7">
              <w:rPr>
                <w:szCs w:val="22"/>
              </w:rPr>
              <w:t> </w:t>
            </w:r>
            <w:r w:rsidR="001B5312" w:rsidRPr="001800B7">
              <w:rPr>
                <w:szCs w:val="22"/>
              </w:rPr>
              <w:t xml:space="preserve">réunions régionales de consultation sur le transfert de technologie dans différentes régions du monde, </w:t>
            </w:r>
            <w:r w:rsidR="005311D6" w:rsidRPr="001800B7">
              <w:rPr>
                <w:szCs w:val="22"/>
              </w:rPr>
              <w:t>y compris</w:t>
            </w:r>
            <w:r w:rsidR="001B5312" w:rsidRPr="001800B7">
              <w:rPr>
                <w:szCs w:val="22"/>
              </w:rPr>
              <w:t xml:space="preserve"> dans des pays développés, après consultation préalable avec les États membres à Genève et avec la participation de différentes parties prenantes dans le domaine du transfert de technologie, notamment d</w:t>
            </w:r>
            <w:r w:rsidR="005311D6" w:rsidRPr="001800B7">
              <w:rPr>
                <w:szCs w:val="22"/>
              </w:rPr>
              <w:t>’</w:t>
            </w:r>
            <w:r w:rsidR="001B5312" w:rsidRPr="001800B7">
              <w:rPr>
                <w:szCs w:val="22"/>
              </w:rPr>
              <w:t xml:space="preserve">autres organisations compétentes du système des </w:t>
            </w:r>
            <w:r w:rsidR="005311D6" w:rsidRPr="001800B7">
              <w:rPr>
                <w:szCs w:val="22"/>
              </w:rPr>
              <w:t>Nations Unies</w:t>
            </w:r>
            <w:r w:rsidR="001B5312" w:rsidRPr="001800B7">
              <w:rPr>
                <w:szCs w:val="22"/>
              </w:rPr>
              <w:t>.</w:t>
            </w:r>
          </w:p>
          <w:p w:rsidR="008475D2" w:rsidRPr="001800B7" w:rsidRDefault="0008593D" w:rsidP="008475D2">
            <w:pPr>
              <w:spacing w:before="120" w:after="120"/>
              <w:ind w:left="34"/>
              <w:rPr>
                <w:szCs w:val="22"/>
              </w:rPr>
            </w:pPr>
            <w:r w:rsidRPr="001800B7">
              <w:rPr>
                <w:szCs w:val="22"/>
                <w:u w:val="single"/>
              </w:rPr>
              <w:t>Activité </w:t>
            </w:r>
            <w:r w:rsidR="001B5312" w:rsidRPr="001800B7">
              <w:rPr>
                <w:szCs w:val="22"/>
                <w:u w:val="single"/>
              </w:rPr>
              <w:t>2</w:t>
            </w:r>
            <w:r w:rsidR="008005FD" w:rsidRPr="001800B7">
              <w:rPr>
                <w:szCs w:val="22"/>
              </w:rPr>
              <w:t> </w:t>
            </w:r>
            <w:r w:rsidR="001B5312" w:rsidRPr="001800B7">
              <w:rPr>
                <w:szCs w:val="22"/>
              </w:rPr>
              <w:t>: La réalisation d</w:t>
            </w:r>
            <w:r w:rsidR="005311D6" w:rsidRPr="001800B7">
              <w:rPr>
                <w:szCs w:val="22"/>
              </w:rPr>
              <w:t>’</w:t>
            </w:r>
            <w:r w:rsidR="001B5312" w:rsidRPr="001800B7">
              <w:rPr>
                <w:szCs w:val="22"/>
              </w:rPr>
              <w:t>un certain nombre d</w:t>
            </w:r>
            <w:r w:rsidR="005311D6" w:rsidRPr="001800B7">
              <w:rPr>
                <w:szCs w:val="22"/>
              </w:rPr>
              <w:t>’</w:t>
            </w:r>
            <w:r w:rsidR="001B5312" w:rsidRPr="001800B7">
              <w:rPr>
                <w:szCs w:val="22"/>
              </w:rPr>
              <w:t xml:space="preserve">études analytiques examinées par des pairs, en collaboration avec des organisations compétentes du système des </w:t>
            </w:r>
            <w:r w:rsidR="005311D6" w:rsidRPr="001800B7">
              <w:rPr>
                <w:szCs w:val="22"/>
              </w:rPr>
              <w:t>Nations Unies</w:t>
            </w:r>
            <w:r w:rsidR="001B5312" w:rsidRPr="001800B7">
              <w:rPr>
                <w:szCs w:val="22"/>
              </w:rPr>
              <w:t xml:space="preserve"> et d</w:t>
            </w:r>
            <w:r w:rsidR="005311D6" w:rsidRPr="001800B7">
              <w:rPr>
                <w:szCs w:val="22"/>
              </w:rPr>
              <w:t>’</w:t>
            </w:r>
            <w:r w:rsidR="001B5312" w:rsidRPr="001800B7">
              <w:rPr>
                <w:szCs w:val="22"/>
              </w:rPr>
              <w:t>autres organisations internationales, dont des études économiques et des études de cas sur le transfert de technologie au niveau international, qui permettront d</w:t>
            </w:r>
            <w:r w:rsidR="005311D6" w:rsidRPr="001800B7">
              <w:rPr>
                <w:szCs w:val="22"/>
              </w:rPr>
              <w:t>’</w:t>
            </w:r>
            <w:r w:rsidR="001B5312" w:rsidRPr="001800B7">
              <w:rPr>
                <w:szCs w:val="22"/>
              </w:rPr>
              <w:t>alimenter le forum d</w:t>
            </w:r>
            <w:r w:rsidR="005311D6" w:rsidRPr="001800B7">
              <w:rPr>
                <w:szCs w:val="22"/>
              </w:rPr>
              <w:t>’</w:t>
            </w:r>
            <w:r w:rsidR="001B5312" w:rsidRPr="001800B7">
              <w:rPr>
                <w:szCs w:val="22"/>
              </w:rPr>
              <w:t>experts de haut niveau.</w:t>
            </w:r>
          </w:p>
          <w:p w:rsidR="008475D2" w:rsidRPr="001800B7" w:rsidRDefault="0008593D" w:rsidP="008475D2">
            <w:pPr>
              <w:spacing w:before="120" w:after="120"/>
              <w:ind w:left="34"/>
              <w:rPr>
                <w:szCs w:val="22"/>
              </w:rPr>
            </w:pPr>
            <w:r w:rsidRPr="001800B7">
              <w:rPr>
                <w:szCs w:val="22"/>
                <w:u w:val="single"/>
              </w:rPr>
              <w:t>Activité </w:t>
            </w:r>
            <w:r w:rsidR="001B5312" w:rsidRPr="001800B7">
              <w:rPr>
                <w:szCs w:val="22"/>
                <w:u w:val="single"/>
              </w:rPr>
              <w:t>3</w:t>
            </w:r>
            <w:r w:rsidR="008005FD" w:rsidRPr="001800B7">
              <w:rPr>
                <w:szCs w:val="22"/>
              </w:rPr>
              <w:t> </w:t>
            </w:r>
            <w:r w:rsidR="001B5312" w:rsidRPr="001800B7">
              <w:rPr>
                <w:szCs w:val="22"/>
              </w:rPr>
              <w:t>: L</w:t>
            </w:r>
            <w:r w:rsidR="005311D6" w:rsidRPr="001800B7">
              <w:rPr>
                <w:szCs w:val="22"/>
              </w:rPr>
              <w:t>’</w:t>
            </w:r>
            <w:r w:rsidR="001B5312" w:rsidRPr="001800B7">
              <w:rPr>
                <w:szCs w:val="22"/>
              </w:rPr>
              <w:t>établissement d</w:t>
            </w:r>
            <w:r w:rsidR="005311D6" w:rsidRPr="001800B7">
              <w:rPr>
                <w:szCs w:val="22"/>
              </w:rPr>
              <w:t>’</w:t>
            </w:r>
            <w:r w:rsidR="001B5312" w:rsidRPr="001800B7">
              <w:rPr>
                <w:szCs w:val="22"/>
              </w:rPr>
              <w:t>un document de fond sur l</w:t>
            </w:r>
            <w:r w:rsidR="005311D6" w:rsidRPr="001800B7">
              <w:rPr>
                <w:szCs w:val="22"/>
              </w:rPr>
              <w:t>’</w:t>
            </w:r>
            <w:r w:rsidR="001B5312" w:rsidRPr="001800B7">
              <w:rPr>
                <w:szCs w:val="22"/>
              </w:rPr>
              <w:t>élaboration de solutions, destiné à servir de base aux délibérations du forum d</w:t>
            </w:r>
            <w:r w:rsidR="005311D6" w:rsidRPr="001800B7">
              <w:rPr>
                <w:szCs w:val="22"/>
              </w:rPr>
              <w:t>’</w:t>
            </w:r>
            <w:r w:rsidR="001B5312" w:rsidRPr="001800B7">
              <w:rPr>
                <w:szCs w:val="22"/>
              </w:rPr>
              <w:t>experts internationaux de haut niveau, qui devra être soumis</w:t>
            </w:r>
            <w:r w:rsidR="00456841" w:rsidRPr="001800B7">
              <w:rPr>
                <w:szCs w:val="22"/>
              </w:rPr>
              <w:t xml:space="preserve"> au CDI</w:t>
            </w:r>
            <w:r w:rsidR="001B5312" w:rsidRPr="001800B7">
              <w:rPr>
                <w:szCs w:val="22"/>
              </w:rPr>
              <w:t>P pour approbation (</w:t>
            </w:r>
            <w:r w:rsidR="005311D6" w:rsidRPr="001800B7">
              <w:rPr>
                <w:szCs w:val="22"/>
              </w:rPr>
              <w:t>y compris</w:t>
            </w:r>
            <w:r w:rsidR="001B5312" w:rsidRPr="001800B7">
              <w:rPr>
                <w:szCs w:val="22"/>
              </w:rPr>
              <w:t xml:space="preserve"> tout ce qui suit</w:t>
            </w:r>
            <w:r w:rsidR="008005FD" w:rsidRPr="001800B7">
              <w:rPr>
                <w:szCs w:val="22"/>
              </w:rPr>
              <w:t> </w:t>
            </w:r>
            <w:r w:rsidR="001B5312" w:rsidRPr="001800B7">
              <w:rPr>
                <w:szCs w:val="22"/>
              </w:rPr>
              <w:t>: la présentation d</w:t>
            </w:r>
            <w:r w:rsidR="005311D6" w:rsidRPr="001800B7">
              <w:rPr>
                <w:szCs w:val="22"/>
              </w:rPr>
              <w:t>’</w:t>
            </w:r>
            <w:r w:rsidR="001B5312" w:rsidRPr="001800B7">
              <w:rPr>
                <w:szCs w:val="22"/>
              </w:rPr>
              <w:t>un avant</w:t>
            </w:r>
            <w:r w:rsidR="001800B7" w:rsidRPr="001800B7">
              <w:rPr>
                <w:szCs w:val="22"/>
              </w:rPr>
              <w:noBreakHyphen/>
            </w:r>
            <w:r w:rsidR="001B5312" w:rsidRPr="001800B7">
              <w:rPr>
                <w:szCs w:val="22"/>
              </w:rPr>
              <w:t>projet de ce document aux experts internationaux pour observations;  la présentation du document aux missions permanentes à Genève;  et l</w:t>
            </w:r>
            <w:r w:rsidR="005311D6" w:rsidRPr="001800B7">
              <w:rPr>
                <w:szCs w:val="22"/>
              </w:rPr>
              <w:t>’</w:t>
            </w:r>
            <w:r w:rsidR="001B5312" w:rsidRPr="001800B7">
              <w:rPr>
                <w:szCs w:val="22"/>
              </w:rPr>
              <w:t>organisation d</w:t>
            </w:r>
            <w:r w:rsidR="005311D6" w:rsidRPr="001800B7">
              <w:rPr>
                <w:szCs w:val="22"/>
              </w:rPr>
              <w:t>’</w:t>
            </w:r>
            <w:r w:rsidR="001B5312" w:rsidRPr="001800B7">
              <w:rPr>
                <w:szCs w:val="22"/>
              </w:rPr>
              <w:t>une réunion d</w:t>
            </w:r>
            <w:r w:rsidR="005311D6" w:rsidRPr="001800B7">
              <w:rPr>
                <w:szCs w:val="22"/>
              </w:rPr>
              <w:t>’</w:t>
            </w:r>
            <w:r w:rsidR="001B5312" w:rsidRPr="001800B7">
              <w:rPr>
                <w:szCs w:val="22"/>
              </w:rPr>
              <w:t>une journée avec des organisations intergouvernementales ou non gouvernementales et des associations professionnelles (voir le paragraphe</w:t>
            </w:r>
            <w:r w:rsidR="008005FD" w:rsidRPr="001800B7">
              <w:rPr>
                <w:szCs w:val="22"/>
              </w:rPr>
              <w:t> </w:t>
            </w:r>
            <w:r w:rsidR="001B5312" w:rsidRPr="001800B7">
              <w:rPr>
                <w:szCs w:val="22"/>
              </w:rPr>
              <w:t xml:space="preserve">66 du document </w:t>
            </w:r>
            <w:r w:rsidR="001B5312" w:rsidRPr="001800B7">
              <w:rPr>
                <w:szCs w:val="22"/>
                <w:u w:val="single"/>
              </w:rPr>
              <w:t>CDIP/9/INF/4</w:t>
            </w:r>
            <w:r w:rsidR="001B5312" w:rsidRPr="001800B7">
              <w:rPr>
                <w:szCs w:val="22"/>
              </w:rPr>
              <w:t>).</w:t>
            </w:r>
          </w:p>
          <w:p w:rsidR="008475D2" w:rsidRPr="001800B7" w:rsidRDefault="0008593D" w:rsidP="008475D2">
            <w:pPr>
              <w:spacing w:before="120" w:after="120"/>
              <w:ind w:left="34"/>
              <w:rPr>
                <w:szCs w:val="22"/>
              </w:rPr>
            </w:pPr>
            <w:r w:rsidRPr="001800B7">
              <w:rPr>
                <w:szCs w:val="22"/>
                <w:u w:val="single"/>
              </w:rPr>
              <w:t>Activité </w:t>
            </w:r>
            <w:r w:rsidR="00B907FC" w:rsidRPr="001800B7">
              <w:rPr>
                <w:szCs w:val="22"/>
                <w:u w:val="single"/>
              </w:rPr>
              <w:t>4</w:t>
            </w:r>
            <w:r w:rsidR="008005FD" w:rsidRPr="001800B7">
              <w:rPr>
                <w:szCs w:val="22"/>
              </w:rPr>
              <w:t> </w:t>
            </w:r>
            <w:r w:rsidR="00B907FC" w:rsidRPr="001800B7">
              <w:rPr>
                <w:szCs w:val="22"/>
              </w:rPr>
              <w:t>:</w:t>
            </w:r>
            <w:r w:rsidR="00883D4F" w:rsidRPr="001800B7">
              <w:rPr>
                <w:szCs w:val="22"/>
              </w:rPr>
              <w:t xml:space="preserve"> La constitution et la fourniture d</w:t>
            </w:r>
            <w:r w:rsidR="005311D6" w:rsidRPr="001800B7">
              <w:rPr>
                <w:szCs w:val="22"/>
              </w:rPr>
              <w:t>’</w:t>
            </w:r>
            <w:r w:rsidR="00883D4F" w:rsidRPr="001800B7">
              <w:rPr>
                <w:szCs w:val="22"/>
              </w:rPr>
              <w:t>éléments d</w:t>
            </w:r>
            <w:r w:rsidR="005311D6" w:rsidRPr="001800B7">
              <w:rPr>
                <w:szCs w:val="22"/>
              </w:rPr>
              <w:t>’</w:t>
            </w:r>
            <w:r w:rsidR="00883D4F" w:rsidRPr="001800B7">
              <w:rPr>
                <w:szCs w:val="22"/>
              </w:rPr>
              <w:t>information, de modules, d</w:t>
            </w:r>
            <w:r w:rsidR="005311D6" w:rsidRPr="001800B7">
              <w:rPr>
                <w:szCs w:val="22"/>
              </w:rPr>
              <w:t>’</w:t>
            </w:r>
            <w:r w:rsidR="00883D4F" w:rsidRPr="001800B7">
              <w:rPr>
                <w:szCs w:val="22"/>
              </w:rPr>
              <w:t>instruments d</w:t>
            </w:r>
            <w:r w:rsidR="005311D6" w:rsidRPr="001800B7">
              <w:rPr>
                <w:szCs w:val="22"/>
              </w:rPr>
              <w:t>’</w:t>
            </w:r>
            <w:r w:rsidR="00883D4F" w:rsidRPr="001800B7">
              <w:rPr>
                <w:szCs w:val="22"/>
              </w:rPr>
              <w:t>apprentissage et d</w:t>
            </w:r>
            <w:r w:rsidR="005311D6" w:rsidRPr="001800B7">
              <w:rPr>
                <w:szCs w:val="22"/>
              </w:rPr>
              <w:t>’</w:t>
            </w:r>
            <w:r w:rsidR="00883D4F" w:rsidRPr="001800B7">
              <w:rPr>
                <w:szCs w:val="22"/>
              </w:rPr>
              <w:t>autres instruments à la suite des recommandations adoptées à la réunion d</w:t>
            </w:r>
            <w:r w:rsidR="005311D6" w:rsidRPr="001800B7">
              <w:rPr>
                <w:szCs w:val="22"/>
              </w:rPr>
              <w:t>’</w:t>
            </w:r>
            <w:r w:rsidR="00883D4F" w:rsidRPr="001800B7">
              <w:rPr>
                <w:szCs w:val="22"/>
              </w:rPr>
              <w:t>experts, et l</w:t>
            </w:r>
            <w:r w:rsidR="005311D6" w:rsidRPr="001800B7">
              <w:rPr>
                <w:szCs w:val="22"/>
              </w:rPr>
              <w:t>’</w:t>
            </w:r>
            <w:r w:rsidR="00883D4F" w:rsidRPr="001800B7">
              <w:rPr>
                <w:szCs w:val="22"/>
              </w:rPr>
              <w:t>incorporation de ces résultats dans le cadre mondial de renforcement des capacités de l</w:t>
            </w:r>
            <w:r w:rsidR="005311D6" w:rsidRPr="001800B7">
              <w:rPr>
                <w:szCs w:val="22"/>
              </w:rPr>
              <w:t>’</w:t>
            </w:r>
            <w:r w:rsidR="00883D4F" w:rsidRPr="001800B7">
              <w:rPr>
                <w:szCs w:val="22"/>
              </w:rPr>
              <w:t>OMPI</w:t>
            </w:r>
            <w:r w:rsidRPr="001800B7">
              <w:rPr>
                <w:szCs w:val="22"/>
              </w:rPr>
              <w:t xml:space="preserve">.  </w:t>
            </w:r>
            <w:r w:rsidR="00883D4F" w:rsidRPr="001800B7">
              <w:rPr>
                <w:szCs w:val="22"/>
              </w:rPr>
              <w:t>Il peut s</w:t>
            </w:r>
            <w:r w:rsidR="005311D6" w:rsidRPr="001800B7">
              <w:rPr>
                <w:szCs w:val="22"/>
              </w:rPr>
              <w:t>’</w:t>
            </w:r>
            <w:r w:rsidR="00883D4F" w:rsidRPr="001800B7">
              <w:rPr>
                <w:szCs w:val="22"/>
              </w:rPr>
              <w:t>agir d</w:t>
            </w:r>
            <w:r w:rsidR="005311D6" w:rsidRPr="001800B7">
              <w:rPr>
                <w:szCs w:val="22"/>
              </w:rPr>
              <w:t>’</w:t>
            </w:r>
            <w:r w:rsidR="00883D4F" w:rsidRPr="001800B7">
              <w:rPr>
                <w:szCs w:val="22"/>
              </w:rPr>
              <w:t>éléments et de projets nationaux concrets relatifs à la conception et au développement de l</w:t>
            </w:r>
            <w:r w:rsidR="005311D6" w:rsidRPr="001800B7">
              <w:rPr>
                <w:szCs w:val="22"/>
              </w:rPr>
              <w:t>’</w:t>
            </w:r>
            <w:r w:rsidR="00883D4F" w:rsidRPr="001800B7">
              <w:rPr>
                <w:szCs w:val="22"/>
              </w:rPr>
              <w:t>infrastructure nécessaire à la gestion des actifs de propriété intellectuelle en rapport avec le transfert de technologie.</w:t>
            </w:r>
          </w:p>
          <w:p w:rsidR="008475D2" w:rsidRPr="001800B7" w:rsidRDefault="0008593D" w:rsidP="008475D2">
            <w:pPr>
              <w:spacing w:before="120" w:after="120"/>
              <w:ind w:left="34"/>
              <w:rPr>
                <w:szCs w:val="22"/>
              </w:rPr>
            </w:pPr>
            <w:r w:rsidRPr="001800B7">
              <w:rPr>
                <w:szCs w:val="22"/>
                <w:u w:val="single"/>
              </w:rPr>
              <w:t>Activité </w:t>
            </w:r>
            <w:r w:rsidR="001B5312" w:rsidRPr="001800B7">
              <w:rPr>
                <w:szCs w:val="22"/>
                <w:u w:val="single"/>
              </w:rPr>
              <w:t>5</w:t>
            </w:r>
            <w:r w:rsidR="008005FD" w:rsidRPr="001800B7">
              <w:rPr>
                <w:szCs w:val="22"/>
              </w:rPr>
              <w:t> </w:t>
            </w:r>
            <w:r w:rsidR="001B5312" w:rsidRPr="001800B7">
              <w:rPr>
                <w:szCs w:val="22"/>
              </w:rPr>
              <w:t>: L</w:t>
            </w:r>
            <w:r w:rsidR="005311D6" w:rsidRPr="001800B7">
              <w:rPr>
                <w:szCs w:val="22"/>
              </w:rPr>
              <w:t>’</w:t>
            </w:r>
            <w:r w:rsidR="001B5312" w:rsidRPr="001800B7">
              <w:rPr>
                <w:szCs w:val="22"/>
              </w:rPr>
              <w:t>organisation d</w:t>
            </w:r>
            <w:r w:rsidR="005311D6" w:rsidRPr="001800B7">
              <w:rPr>
                <w:szCs w:val="22"/>
              </w:rPr>
              <w:t>’</w:t>
            </w:r>
            <w:r w:rsidR="001B5312" w:rsidRPr="001800B7">
              <w:rPr>
                <w:szCs w:val="22"/>
              </w:rPr>
              <w:t>un forum d</w:t>
            </w:r>
            <w:r w:rsidR="005311D6" w:rsidRPr="001800B7">
              <w:rPr>
                <w:szCs w:val="22"/>
              </w:rPr>
              <w:t>’</w:t>
            </w:r>
            <w:r w:rsidR="001B5312" w:rsidRPr="001800B7">
              <w:rPr>
                <w:szCs w:val="22"/>
              </w:rPr>
              <w:t>experts internationaux de haut niveau, sous la forme d</w:t>
            </w:r>
            <w:r w:rsidR="005311D6" w:rsidRPr="001800B7">
              <w:rPr>
                <w:szCs w:val="22"/>
              </w:rPr>
              <w:t>’</w:t>
            </w:r>
            <w:r w:rsidR="001B5312" w:rsidRPr="001800B7">
              <w:rPr>
                <w:szCs w:val="22"/>
              </w:rPr>
              <w:t>une conférence internationale, pour engager les discussions sur les moyens à mettre en œuvre, dans le cadre du mandat de l</w:t>
            </w:r>
            <w:r w:rsidR="005311D6" w:rsidRPr="001800B7">
              <w:rPr>
                <w:szCs w:val="22"/>
              </w:rPr>
              <w:t>’</w:t>
            </w:r>
            <w:r w:rsidR="001B5312" w:rsidRPr="001800B7">
              <w:rPr>
                <w:szCs w:val="22"/>
              </w:rPr>
              <w:t>OMPI, afin de faciliter davantage l</w:t>
            </w:r>
            <w:r w:rsidR="005311D6" w:rsidRPr="001800B7">
              <w:rPr>
                <w:szCs w:val="22"/>
              </w:rPr>
              <w:t>’</w:t>
            </w:r>
            <w:r w:rsidR="001B5312" w:rsidRPr="001800B7">
              <w:rPr>
                <w:szCs w:val="22"/>
              </w:rPr>
              <w:t>accès des pays en développement et</w:t>
            </w:r>
            <w:r w:rsidR="00456841" w:rsidRPr="001800B7">
              <w:rPr>
                <w:szCs w:val="22"/>
              </w:rPr>
              <w:t xml:space="preserve"> des PMA</w:t>
            </w:r>
            <w:r w:rsidR="001B5312" w:rsidRPr="001800B7">
              <w:rPr>
                <w:szCs w:val="22"/>
              </w:rPr>
              <w:t xml:space="preserve"> au savoir et à la technologie, </w:t>
            </w:r>
            <w:r w:rsidR="005311D6" w:rsidRPr="001800B7">
              <w:rPr>
                <w:szCs w:val="22"/>
              </w:rPr>
              <w:t>y compris</w:t>
            </w:r>
            <w:r w:rsidR="001B5312" w:rsidRPr="001800B7">
              <w:rPr>
                <w:szCs w:val="22"/>
              </w:rPr>
              <w:t xml:space="preserve"> dans des domaines émergents tels que le changement climatique ainsi que dans d</w:t>
            </w:r>
            <w:r w:rsidR="005311D6" w:rsidRPr="001800B7">
              <w:rPr>
                <w:szCs w:val="22"/>
              </w:rPr>
              <w:t>’</w:t>
            </w:r>
            <w:r w:rsidR="001B5312" w:rsidRPr="001800B7">
              <w:rPr>
                <w:szCs w:val="22"/>
              </w:rPr>
              <w:t>autres domaines présentant un intérêt particulier pour les pays en développement à la lumière des recommandations n</w:t>
            </w:r>
            <w:r w:rsidR="001B5312" w:rsidRPr="001800B7">
              <w:rPr>
                <w:szCs w:val="22"/>
                <w:vertAlign w:val="superscript"/>
              </w:rPr>
              <w:t>os</w:t>
            </w:r>
            <w:r w:rsidR="001B5312" w:rsidRPr="001800B7">
              <w:rPr>
                <w:szCs w:val="22"/>
              </w:rPr>
              <w:t xml:space="preserve"> 19, 25, 26 et 28.  Les experts devront notamment débattre de politiques de propriété intellectuelle à l</w:t>
            </w:r>
            <w:r w:rsidR="005311D6" w:rsidRPr="001800B7">
              <w:rPr>
                <w:szCs w:val="22"/>
              </w:rPr>
              <w:t>’</w:t>
            </w:r>
            <w:r w:rsidR="001B5312" w:rsidRPr="001800B7">
              <w:rPr>
                <w:szCs w:val="22"/>
              </w:rPr>
              <w:t>appui du transfert de technologie mises au point par les pays développés.</w:t>
            </w:r>
          </w:p>
          <w:p w:rsidR="008475D2" w:rsidRDefault="0008593D" w:rsidP="008475D2">
            <w:pPr>
              <w:spacing w:before="120" w:after="120"/>
              <w:ind w:left="34"/>
              <w:rPr>
                <w:szCs w:val="22"/>
              </w:rPr>
            </w:pPr>
            <w:r w:rsidRPr="001800B7">
              <w:rPr>
                <w:szCs w:val="22"/>
                <w:u w:val="single"/>
              </w:rPr>
              <w:t>Activité </w:t>
            </w:r>
            <w:r w:rsidR="001B5312" w:rsidRPr="001800B7">
              <w:rPr>
                <w:szCs w:val="22"/>
                <w:u w:val="single"/>
              </w:rPr>
              <w:t>6</w:t>
            </w:r>
            <w:r w:rsidR="008005FD" w:rsidRPr="001800B7">
              <w:rPr>
                <w:szCs w:val="22"/>
              </w:rPr>
              <w:t> </w:t>
            </w:r>
            <w:r w:rsidR="001B5312" w:rsidRPr="001800B7">
              <w:rPr>
                <w:szCs w:val="22"/>
              </w:rPr>
              <w:t>: La création d</w:t>
            </w:r>
            <w:r w:rsidR="005311D6" w:rsidRPr="001800B7">
              <w:rPr>
                <w:szCs w:val="22"/>
              </w:rPr>
              <w:t>’</w:t>
            </w:r>
            <w:r w:rsidR="001B5312" w:rsidRPr="001800B7">
              <w:rPr>
                <w:szCs w:val="22"/>
              </w:rPr>
              <w:t>un forum sur le Web intitulé “Transfert de technologie et propriété intellectuelle</w:t>
            </w:r>
            <w:r w:rsidR="008005FD" w:rsidRPr="001800B7">
              <w:rPr>
                <w:szCs w:val="22"/>
              </w:rPr>
              <w:t> </w:t>
            </w:r>
            <w:r w:rsidR="001B5312" w:rsidRPr="001800B7">
              <w:rPr>
                <w:szCs w:val="22"/>
              </w:rPr>
              <w:t>: élaborer des solutions face aux défis communs”, accessible depuis le portail sur la structure d</w:t>
            </w:r>
            <w:r w:rsidR="005311D6" w:rsidRPr="001800B7">
              <w:rPr>
                <w:szCs w:val="22"/>
              </w:rPr>
              <w:t>’</w:t>
            </w:r>
            <w:r w:rsidR="001B5312" w:rsidRPr="001800B7">
              <w:rPr>
                <w:szCs w:val="22"/>
              </w:rPr>
              <w:t>appui de l</w:t>
            </w:r>
            <w:r w:rsidR="005311D6" w:rsidRPr="001800B7">
              <w:rPr>
                <w:szCs w:val="22"/>
              </w:rPr>
              <w:t>’</w:t>
            </w:r>
            <w:r w:rsidR="001B5312" w:rsidRPr="001800B7">
              <w:rPr>
                <w:szCs w:val="22"/>
              </w:rPr>
              <w:t>innovation et du transfert de technologie à l</w:t>
            </w:r>
            <w:r w:rsidR="005311D6" w:rsidRPr="001800B7">
              <w:rPr>
                <w:szCs w:val="22"/>
              </w:rPr>
              <w:t>’</w:t>
            </w:r>
            <w:r w:rsidR="001B5312" w:rsidRPr="001800B7">
              <w:rPr>
                <w:szCs w:val="22"/>
              </w:rPr>
              <w:t>intention des institutions nationales, qui sera créé dans le cadre du projet concernant la recommandation n°</w:t>
            </w:r>
            <w:r w:rsidR="008005FD" w:rsidRPr="001800B7">
              <w:rPr>
                <w:szCs w:val="22"/>
              </w:rPr>
              <w:t> </w:t>
            </w:r>
            <w:r w:rsidR="001B5312" w:rsidRPr="001800B7">
              <w:rPr>
                <w:szCs w:val="22"/>
              </w:rPr>
              <w:t xml:space="preserve">10 en collaboration avec les États membres et les autres parties prenantes;  il conviendra de faciliter la participation des </w:t>
            </w:r>
            <w:r w:rsidR="001B5312" w:rsidRPr="001800B7">
              <w:rPr>
                <w:szCs w:val="22"/>
              </w:rPr>
              <w:lastRenderedPageBreak/>
              <w:t>pays en développement et</w:t>
            </w:r>
            <w:r w:rsidR="00456841" w:rsidRPr="001800B7">
              <w:rPr>
                <w:szCs w:val="22"/>
              </w:rPr>
              <w:t xml:space="preserve"> des PMA</w:t>
            </w:r>
            <w:r w:rsidR="001B5312" w:rsidRPr="001800B7">
              <w:rPr>
                <w:szCs w:val="22"/>
              </w:rPr>
              <w:t xml:space="preserve"> à ce forum sur le Web.</w:t>
            </w:r>
          </w:p>
          <w:p w:rsidR="007C1A09" w:rsidRPr="001800B7" w:rsidRDefault="007C1A09" w:rsidP="008475D2">
            <w:pPr>
              <w:spacing w:before="120" w:after="120"/>
              <w:ind w:left="34"/>
              <w:rPr>
                <w:szCs w:val="22"/>
              </w:rPr>
            </w:pPr>
          </w:p>
          <w:p w:rsidR="00B907FC" w:rsidRPr="001800B7" w:rsidRDefault="0008593D" w:rsidP="00477A00">
            <w:pPr>
              <w:spacing w:before="120" w:after="120"/>
              <w:ind w:left="34"/>
              <w:rPr>
                <w:szCs w:val="22"/>
              </w:rPr>
            </w:pPr>
            <w:r w:rsidRPr="001800B7">
              <w:rPr>
                <w:szCs w:val="22"/>
                <w:u w:val="single"/>
              </w:rPr>
              <w:t>Activité </w:t>
            </w:r>
            <w:r w:rsidR="001B5312" w:rsidRPr="001800B7">
              <w:rPr>
                <w:szCs w:val="22"/>
                <w:u w:val="single"/>
              </w:rPr>
              <w:t>7</w:t>
            </w:r>
            <w:r w:rsidR="008005FD" w:rsidRPr="001800B7">
              <w:rPr>
                <w:szCs w:val="22"/>
              </w:rPr>
              <w:t> </w:t>
            </w:r>
            <w:r w:rsidR="001B5312" w:rsidRPr="001800B7">
              <w:rPr>
                <w:szCs w:val="22"/>
              </w:rPr>
              <w:t>: L</w:t>
            </w:r>
            <w:r w:rsidR="005311D6" w:rsidRPr="001800B7">
              <w:rPr>
                <w:szCs w:val="22"/>
              </w:rPr>
              <w:t>’</w:t>
            </w:r>
            <w:r w:rsidR="001B5312" w:rsidRPr="001800B7">
              <w:rPr>
                <w:szCs w:val="22"/>
              </w:rPr>
              <w:t>incorporation, dans les programmes de l</w:t>
            </w:r>
            <w:r w:rsidR="005311D6" w:rsidRPr="001800B7">
              <w:rPr>
                <w:szCs w:val="22"/>
              </w:rPr>
              <w:t>’</w:t>
            </w:r>
            <w:r w:rsidR="001B5312" w:rsidRPr="001800B7">
              <w:rPr>
                <w:szCs w:val="22"/>
              </w:rPr>
              <w:t>OMPI, de tout résultat obtenu à la suite de la réalisation des activités susmentionnées, après examen par</w:t>
            </w:r>
            <w:r w:rsidR="00456841" w:rsidRPr="001800B7">
              <w:rPr>
                <w:szCs w:val="22"/>
              </w:rPr>
              <w:t xml:space="preserve"> le CDI</w:t>
            </w:r>
            <w:r w:rsidR="001B5312" w:rsidRPr="001800B7">
              <w:rPr>
                <w:szCs w:val="22"/>
              </w:rPr>
              <w:t>P et compte tenu de toute recommandation éventuelle du comité à l</w:t>
            </w:r>
            <w:r w:rsidR="005311D6" w:rsidRPr="001800B7">
              <w:rPr>
                <w:szCs w:val="22"/>
              </w:rPr>
              <w:t>’</w:t>
            </w:r>
            <w:r w:rsidR="001B5312" w:rsidRPr="001800B7">
              <w:rPr>
                <w:szCs w:val="22"/>
              </w:rPr>
              <w:t>Assemblée générale.</w:t>
            </w:r>
          </w:p>
        </w:tc>
      </w:tr>
    </w:tbl>
    <w:p w:rsidR="00B907FC" w:rsidRPr="001800B7" w:rsidRDefault="00B907FC" w:rsidP="00477A00">
      <w:pPr>
        <w:rPr>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477A00">
        <w:tc>
          <w:tcPr>
            <w:tcW w:w="2235" w:type="dxa"/>
            <w:shd w:val="clear" w:color="auto" w:fill="auto"/>
          </w:tcPr>
          <w:p w:rsidR="00B907FC" w:rsidRPr="001800B7" w:rsidRDefault="001B5312" w:rsidP="00477A00">
            <w:pPr>
              <w:pStyle w:val="Heading3"/>
              <w:keepNext w:val="0"/>
              <w:spacing w:before="120" w:after="120"/>
              <w:rPr>
                <w:szCs w:val="22"/>
              </w:rPr>
            </w:pPr>
            <w:r w:rsidRPr="001800B7">
              <w:rPr>
                <w:szCs w:val="22"/>
              </w:rPr>
              <w:t>Chef de projet</w:t>
            </w:r>
          </w:p>
        </w:tc>
        <w:tc>
          <w:tcPr>
            <w:tcW w:w="7266" w:type="dxa"/>
          </w:tcPr>
          <w:p w:rsidR="00B907FC" w:rsidRPr="001800B7" w:rsidRDefault="0008593D" w:rsidP="00477A00">
            <w:pPr>
              <w:spacing w:before="120" w:after="120"/>
              <w:rPr>
                <w:iCs/>
                <w:szCs w:val="22"/>
              </w:rPr>
            </w:pPr>
            <w:r w:rsidRPr="001800B7">
              <w:rPr>
                <w:iCs/>
                <w:szCs w:val="22"/>
              </w:rPr>
              <w:t>M. </w:t>
            </w:r>
            <w:r w:rsidR="001B5312" w:rsidRPr="001800B7">
              <w:rPr>
                <w:iCs/>
                <w:szCs w:val="22"/>
              </w:rPr>
              <w:t>Ali Jazairy</w:t>
            </w:r>
          </w:p>
        </w:tc>
      </w:tr>
      <w:tr w:rsidR="001800B7" w:rsidRPr="001800B7" w:rsidTr="00477A00">
        <w:tc>
          <w:tcPr>
            <w:tcW w:w="2235" w:type="dxa"/>
            <w:shd w:val="clear" w:color="auto" w:fill="auto"/>
          </w:tcPr>
          <w:p w:rsidR="00B907FC" w:rsidRPr="001800B7" w:rsidDel="00196374" w:rsidRDefault="001B5312" w:rsidP="00477A00">
            <w:pPr>
              <w:pStyle w:val="Heading3"/>
              <w:keepNext w:val="0"/>
              <w:spacing w:before="120" w:after="120"/>
              <w:rPr>
                <w:szCs w:val="22"/>
              </w:rPr>
            </w:pPr>
            <w:r w:rsidRPr="001800B7">
              <w:rPr>
                <w:szCs w:val="22"/>
              </w:rPr>
              <w:t>Liens avec les résultats escomptés dans le programme et budget pour 2012</w:t>
            </w:r>
            <w:r w:rsidR="001800B7" w:rsidRPr="001800B7">
              <w:rPr>
                <w:szCs w:val="22"/>
              </w:rPr>
              <w:noBreakHyphen/>
            </w:r>
            <w:r w:rsidRPr="001800B7">
              <w:rPr>
                <w:szCs w:val="22"/>
              </w:rPr>
              <w:t>2013</w:t>
            </w:r>
          </w:p>
        </w:tc>
        <w:tc>
          <w:tcPr>
            <w:tcW w:w="7266" w:type="dxa"/>
          </w:tcPr>
          <w:p w:rsidR="00B907FC" w:rsidRPr="001800B7" w:rsidDel="00196374" w:rsidRDefault="001B5312" w:rsidP="00477A00">
            <w:pPr>
              <w:spacing w:before="120" w:after="120"/>
              <w:rPr>
                <w:iCs/>
                <w:szCs w:val="22"/>
              </w:rPr>
            </w:pPr>
            <w:r w:rsidRPr="001800B7">
              <w:rPr>
                <w:i/>
                <w:iCs/>
                <w:szCs w:val="22"/>
              </w:rPr>
              <w:t xml:space="preserve">Résultat </w:t>
            </w:r>
            <w:r w:rsidR="0008593D" w:rsidRPr="001800B7">
              <w:rPr>
                <w:i/>
                <w:iCs/>
                <w:szCs w:val="22"/>
              </w:rPr>
              <w:t>escompté </w:t>
            </w:r>
            <w:r w:rsidRPr="001800B7">
              <w:rPr>
                <w:i/>
                <w:iCs/>
                <w:szCs w:val="22"/>
              </w:rPr>
              <w:t>IV.2</w:t>
            </w:r>
            <w:r w:rsidR="00477A00" w:rsidRPr="001800B7">
              <w:rPr>
                <w:i/>
                <w:iCs/>
                <w:szCs w:val="22"/>
              </w:rPr>
              <w:t xml:space="preserve"> : </w:t>
            </w:r>
            <w:r w:rsidRPr="001800B7">
              <w:rPr>
                <w:iCs/>
                <w:szCs w:val="22"/>
              </w:rPr>
              <w:t>Accès amélioré à l</w:t>
            </w:r>
            <w:r w:rsidR="005311D6" w:rsidRPr="001800B7">
              <w:rPr>
                <w:iCs/>
                <w:szCs w:val="22"/>
              </w:rPr>
              <w:t>’</w:t>
            </w:r>
            <w:r w:rsidRPr="001800B7">
              <w:rPr>
                <w:iCs/>
                <w:szCs w:val="22"/>
              </w:rPr>
              <w:t>information et aux savoirs en matière de propriété intellectuelle, et meilleure utilisation de cette information et de ces savoirs, par les institutions de propriété intellectuelle et le public, pour promouvoir l</w:t>
            </w:r>
            <w:r w:rsidR="005311D6" w:rsidRPr="001800B7">
              <w:rPr>
                <w:iCs/>
                <w:szCs w:val="22"/>
              </w:rPr>
              <w:t>’</w:t>
            </w:r>
            <w:r w:rsidRPr="001800B7">
              <w:rPr>
                <w:iCs/>
                <w:szCs w:val="22"/>
              </w:rPr>
              <w:t>innovation et faciliter l</w:t>
            </w:r>
            <w:r w:rsidR="005311D6" w:rsidRPr="001800B7">
              <w:rPr>
                <w:iCs/>
                <w:szCs w:val="22"/>
              </w:rPr>
              <w:t>’</w:t>
            </w:r>
            <w:r w:rsidRPr="001800B7">
              <w:rPr>
                <w:iCs/>
                <w:szCs w:val="22"/>
              </w:rPr>
              <w:t>accès aux œuvres de création protégées et aux œuvres de création dans le domaine public.</w:t>
            </w:r>
          </w:p>
        </w:tc>
      </w:tr>
      <w:tr w:rsidR="001800B7" w:rsidRPr="001800B7" w:rsidTr="00477A00">
        <w:tc>
          <w:tcPr>
            <w:tcW w:w="2235" w:type="dxa"/>
            <w:shd w:val="clear" w:color="auto" w:fill="auto"/>
          </w:tcPr>
          <w:p w:rsidR="00B907FC" w:rsidRPr="001800B7" w:rsidRDefault="001B5312" w:rsidP="00477A00">
            <w:pPr>
              <w:pStyle w:val="Heading3"/>
              <w:keepNext w:val="0"/>
              <w:spacing w:before="120" w:after="120"/>
              <w:rPr>
                <w:szCs w:val="22"/>
              </w:rPr>
            </w:pPr>
            <w:r w:rsidRPr="001800B7">
              <w:rPr>
                <w:szCs w:val="22"/>
              </w:rPr>
              <w:t>État d</w:t>
            </w:r>
            <w:r w:rsidR="005311D6" w:rsidRPr="001800B7">
              <w:rPr>
                <w:szCs w:val="22"/>
              </w:rPr>
              <w:t>’</w:t>
            </w:r>
            <w:r w:rsidRPr="001800B7">
              <w:rPr>
                <w:szCs w:val="22"/>
              </w:rPr>
              <w:t>avancement du projet</w:t>
            </w:r>
          </w:p>
        </w:tc>
        <w:tc>
          <w:tcPr>
            <w:tcW w:w="7266" w:type="dxa"/>
          </w:tcPr>
          <w:p w:rsidR="008475D2" w:rsidRPr="001800B7" w:rsidRDefault="00D4670E" w:rsidP="00477A00">
            <w:pPr>
              <w:spacing w:before="120" w:after="120"/>
              <w:rPr>
                <w:iCs/>
                <w:szCs w:val="22"/>
              </w:rPr>
            </w:pPr>
            <w:r w:rsidRPr="001800B7">
              <w:rPr>
                <w:iCs/>
                <w:szCs w:val="22"/>
              </w:rPr>
              <w:t>L</w:t>
            </w:r>
            <w:r w:rsidR="005311D6" w:rsidRPr="001800B7">
              <w:rPr>
                <w:iCs/>
                <w:szCs w:val="22"/>
              </w:rPr>
              <w:t>’</w:t>
            </w:r>
            <w:r w:rsidRPr="001800B7">
              <w:rPr>
                <w:iCs/>
                <w:szCs w:val="22"/>
              </w:rPr>
              <w:t>exécution du projet se fait dans les délais</w:t>
            </w:r>
            <w:r w:rsidR="00CB4748" w:rsidRPr="001800B7">
              <w:rPr>
                <w:iCs/>
                <w:szCs w:val="22"/>
              </w:rPr>
              <w:t xml:space="preserve"> prévus, conf</w:t>
            </w:r>
            <w:r w:rsidRPr="001800B7">
              <w:rPr>
                <w:iCs/>
                <w:szCs w:val="22"/>
              </w:rPr>
              <w:t>ormément au nouveau calendrier approuvé par</w:t>
            </w:r>
            <w:r w:rsidR="00456841" w:rsidRPr="001800B7">
              <w:rPr>
                <w:iCs/>
                <w:szCs w:val="22"/>
              </w:rPr>
              <w:t xml:space="preserve"> le CDI</w:t>
            </w:r>
            <w:r w:rsidRPr="001800B7">
              <w:rPr>
                <w:iCs/>
                <w:szCs w:val="22"/>
              </w:rPr>
              <w:t xml:space="preserve">P à sa </w:t>
            </w:r>
            <w:r w:rsidR="00CB4748" w:rsidRPr="001800B7">
              <w:rPr>
                <w:iCs/>
                <w:szCs w:val="22"/>
              </w:rPr>
              <w:t>douzième</w:t>
            </w:r>
            <w:r w:rsidR="008005FD" w:rsidRPr="001800B7">
              <w:rPr>
                <w:iCs/>
                <w:szCs w:val="22"/>
              </w:rPr>
              <w:t> </w:t>
            </w:r>
            <w:r w:rsidRPr="001800B7">
              <w:rPr>
                <w:iCs/>
                <w:szCs w:val="22"/>
              </w:rPr>
              <w:t xml:space="preserve">session </w:t>
            </w:r>
            <w:r w:rsidR="00B907FC" w:rsidRPr="001800B7">
              <w:rPr>
                <w:iCs/>
                <w:szCs w:val="22"/>
              </w:rPr>
              <w:t xml:space="preserve">(document </w:t>
            </w:r>
            <w:hyperlink r:id="rId16" w:history="1">
              <w:r w:rsidR="00B907FC" w:rsidRPr="001800B7">
                <w:rPr>
                  <w:rStyle w:val="Hyperlink"/>
                  <w:iCs/>
                  <w:color w:val="auto"/>
                  <w:szCs w:val="22"/>
                </w:rPr>
                <w:t xml:space="preserve">CDIP/12/2, </w:t>
              </w:r>
              <w:r w:rsidRPr="001800B7">
                <w:rPr>
                  <w:rStyle w:val="Hyperlink"/>
                  <w:iCs/>
                  <w:color w:val="auto"/>
                  <w:szCs w:val="22"/>
                </w:rPr>
                <w:t>a</w:t>
              </w:r>
              <w:r w:rsidR="00B907FC" w:rsidRPr="001800B7">
                <w:rPr>
                  <w:rStyle w:val="Hyperlink"/>
                  <w:iCs/>
                  <w:color w:val="auto"/>
                  <w:szCs w:val="22"/>
                </w:rPr>
                <w:t>nnex</w:t>
              </w:r>
              <w:r w:rsidRPr="001800B7">
                <w:rPr>
                  <w:rStyle w:val="Hyperlink"/>
                  <w:iCs/>
                  <w:color w:val="auto"/>
                  <w:szCs w:val="22"/>
                </w:rPr>
                <w:t>e </w:t>
              </w:r>
              <w:r w:rsidR="00B907FC" w:rsidRPr="001800B7">
                <w:rPr>
                  <w:rStyle w:val="Hyperlink"/>
                  <w:iCs/>
                  <w:color w:val="auto"/>
                  <w:szCs w:val="22"/>
                </w:rPr>
                <w:t>VI</w:t>
              </w:r>
            </w:hyperlink>
            <w:r w:rsidR="00B907FC" w:rsidRPr="001800B7">
              <w:rPr>
                <w:rStyle w:val="Hyperlink"/>
                <w:iCs/>
                <w:color w:val="auto"/>
                <w:szCs w:val="22"/>
              </w:rPr>
              <w:t>)</w:t>
            </w:r>
            <w:r w:rsidR="00B907FC" w:rsidRPr="001800B7">
              <w:rPr>
                <w:iCs/>
                <w:szCs w:val="22"/>
              </w:rPr>
              <w:t xml:space="preserve">, </w:t>
            </w:r>
            <w:r w:rsidRPr="001800B7">
              <w:rPr>
                <w:iCs/>
                <w:szCs w:val="22"/>
              </w:rPr>
              <w:t>si ce n</w:t>
            </w:r>
            <w:r w:rsidR="005311D6" w:rsidRPr="001800B7">
              <w:rPr>
                <w:iCs/>
                <w:szCs w:val="22"/>
              </w:rPr>
              <w:t>’</w:t>
            </w:r>
            <w:r w:rsidRPr="001800B7">
              <w:rPr>
                <w:iCs/>
                <w:szCs w:val="22"/>
              </w:rPr>
              <w:t>est que, pour des raisons logistiques, le forum d</w:t>
            </w:r>
            <w:r w:rsidR="005311D6" w:rsidRPr="001800B7">
              <w:rPr>
                <w:iCs/>
                <w:szCs w:val="22"/>
              </w:rPr>
              <w:t>’</w:t>
            </w:r>
            <w:r w:rsidRPr="001800B7">
              <w:rPr>
                <w:iCs/>
                <w:szCs w:val="22"/>
              </w:rPr>
              <w:t xml:space="preserve">experts internationaux de haut niveau sur le </w:t>
            </w:r>
            <w:r w:rsidR="008005FD" w:rsidRPr="001800B7">
              <w:rPr>
                <w:iCs/>
                <w:szCs w:val="22"/>
              </w:rPr>
              <w:t>“</w:t>
            </w:r>
            <w:r w:rsidRPr="001800B7">
              <w:rPr>
                <w:iCs/>
                <w:szCs w:val="22"/>
              </w:rPr>
              <w:t>Projet relatif à la propriété intellectuelle et au transfert de technologie : élaborer des solutions face aux défis communs</w:t>
            </w:r>
            <w:r w:rsidR="008005FD" w:rsidRPr="001800B7">
              <w:rPr>
                <w:iCs/>
                <w:szCs w:val="22"/>
              </w:rPr>
              <w:t>”</w:t>
            </w:r>
            <w:r w:rsidRPr="001800B7">
              <w:rPr>
                <w:iCs/>
                <w:szCs w:val="22"/>
              </w:rPr>
              <w:t xml:space="preserve"> (voir activité 5 ci</w:t>
            </w:r>
            <w:r w:rsidR="001800B7" w:rsidRPr="001800B7">
              <w:rPr>
                <w:iCs/>
                <w:szCs w:val="22"/>
              </w:rPr>
              <w:noBreakHyphen/>
            </w:r>
            <w:r w:rsidRPr="001800B7">
              <w:rPr>
                <w:iCs/>
                <w:szCs w:val="22"/>
              </w:rPr>
              <w:t>après) aura lieu désormais durant la semaine du 19 au 21 </w:t>
            </w:r>
            <w:r w:rsidR="00456841" w:rsidRPr="001800B7">
              <w:rPr>
                <w:iCs/>
                <w:szCs w:val="22"/>
              </w:rPr>
              <w:t>janvier 20</w:t>
            </w:r>
            <w:r w:rsidRPr="001800B7">
              <w:rPr>
                <w:iCs/>
                <w:szCs w:val="22"/>
              </w:rPr>
              <w:t>15, après l</w:t>
            </w:r>
            <w:r w:rsidR="005311D6" w:rsidRPr="001800B7">
              <w:rPr>
                <w:iCs/>
                <w:szCs w:val="22"/>
              </w:rPr>
              <w:t>’</w:t>
            </w:r>
            <w:r w:rsidRPr="001800B7">
              <w:rPr>
                <w:iCs/>
                <w:szCs w:val="22"/>
              </w:rPr>
              <w:t>approbation du document de fond par</w:t>
            </w:r>
            <w:r w:rsidR="00456841" w:rsidRPr="001800B7">
              <w:rPr>
                <w:iCs/>
                <w:szCs w:val="22"/>
              </w:rPr>
              <w:t xml:space="preserve"> le CDI</w:t>
            </w:r>
            <w:r w:rsidRPr="001800B7">
              <w:rPr>
                <w:iCs/>
                <w:szCs w:val="22"/>
              </w:rPr>
              <w:t>P à sa session actuelle et non pas, comme cela était prévu à l</w:t>
            </w:r>
            <w:r w:rsidR="005311D6" w:rsidRPr="001800B7">
              <w:rPr>
                <w:iCs/>
                <w:szCs w:val="22"/>
              </w:rPr>
              <w:t>’</w:t>
            </w:r>
            <w:r w:rsidRPr="001800B7">
              <w:rPr>
                <w:iCs/>
                <w:szCs w:val="22"/>
              </w:rPr>
              <w:t xml:space="preserve">origine, en </w:t>
            </w:r>
            <w:r w:rsidR="00456841" w:rsidRPr="001800B7">
              <w:rPr>
                <w:iCs/>
                <w:szCs w:val="22"/>
              </w:rPr>
              <w:t>juin </w:t>
            </w:r>
            <w:r w:rsidR="00456841" w:rsidRPr="001800B7">
              <w:rPr>
                <w:szCs w:val="22"/>
              </w:rPr>
              <w:t>20</w:t>
            </w:r>
            <w:r w:rsidR="00B907FC" w:rsidRPr="001800B7">
              <w:rPr>
                <w:szCs w:val="22"/>
              </w:rPr>
              <w:t>14.</w:t>
            </w:r>
          </w:p>
          <w:p w:rsidR="008475D2" w:rsidRPr="001800B7" w:rsidRDefault="00D4670E" w:rsidP="00477A00">
            <w:pPr>
              <w:spacing w:before="120" w:after="120"/>
              <w:rPr>
                <w:iCs/>
                <w:szCs w:val="22"/>
              </w:rPr>
            </w:pPr>
            <w:r w:rsidRPr="001800B7">
              <w:rPr>
                <w:szCs w:val="22"/>
                <w:u w:val="single"/>
              </w:rPr>
              <w:t>Activité </w:t>
            </w:r>
            <w:r w:rsidR="00B907FC" w:rsidRPr="001800B7">
              <w:rPr>
                <w:szCs w:val="22"/>
                <w:u w:val="single"/>
              </w:rPr>
              <w:t>1</w:t>
            </w:r>
            <w:r w:rsidRPr="001800B7">
              <w:rPr>
                <w:szCs w:val="22"/>
              </w:rPr>
              <w:t xml:space="preserve"> : Toutes les réunions régionales de consultations sur le transfert de technologie prévues ont eu lieu, la première à </w:t>
            </w:r>
            <w:hyperlink r:id="rId17" w:history="1">
              <w:r w:rsidR="00B907FC" w:rsidRPr="001800B7">
                <w:rPr>
                  <w:rStyle w:val="Hyperlink"/>
                  <w:iCs/>
                  <w:color w:val="auto"/>
                  <w:szCs w:val="22"/>
                </w:rPr>
                <w:t>Singapo</w:t>
              </w:r>
              <w:r w:rsidRPr="001800B7">
                <w:rPr>
                  <w:rStyle w:val="Hyperlink"/>
                  <w:iCs/>
                  <w:color w:val="auto"/>
                  <w:szCs w:val="22"/>
                </w:rPr>
                <w:t>u</w:t>
              </w:r>
              <w:r w:rsidR="00B907FC" w:rsidRPr="001800B7">
                <w:rPr>
                  <w:rStyle w:val="Hyperlink"/>
                  <w:iCs/>
                  <w:color w:val="auto"/>
                  <w:szCs w:val="22"/>
                </w:rPr>
                <w:t>r</w:t>
              </w:r>
            </w:hyperlink>
            <w:r w:rsidR="00B907FC" w:rsidRPr="001800B7">
              <w:rPr>
                <w:iCs/>
                <w:szCs w:val="22"/>
              </w:rPr>
              <w:t xml:space="preserve"> (</w:t>
            </w:r>
            <w:r w:rsidRPr="001800B7">
              <w:rPr>
                <w:iCs/>
                <w:szCs w:val="22"/>
              </w:rPr>
              <w:t>pour la région de</w:t>
            </w:r>
            <w:r w:rsidR="00CB4748" w:rsidRPr="001800B7">
              <w:rPr>
                <w:iCs/>
                <w:szCs w:val="22"/>
              </w:rPr>
              <w:t>s</w:t>
            </w:r>
            <w:r w:rsidRPr="001800B7">
              <w:rPr>
                <w:iCs/>
                <w:szCs w:val="22"/>
              </w:rPr>
              <w:t xml:space="preserve"> </w:t>
            </w:r>
            <w:r w:rsidR="00CB4748" w:rsidRPr="001800B7">
              <w:rPr>
                <w:iCs/>
                <w:szCs w:val="22"/>
              </w:rPr>
              <w:t>pays asiatiques</w:t>
            </w:r>
            <w:r w:rsidR="00B907FC" w:rsidRPr="001800B7">
              <w:rPr>
                <w:iCs/>
                <w:szCs w:val="22"/>
              </w:rPr>
              <w:t xml:space="preserve">) </w:t>
            </w:r>
            <w:r w:rsidRPr="001800B7">
              <w:rPr>
                <w:iCs/>
                <w:szCs w:val="22"/>
              </w:rPr>
              <w:t>les 16 et 17 </w:t>
            </w:r>
            <w:r w:rsidR="00456841" w:rsidRPr="001800B7">
              <w:rPr>
                <w:iCs/>
                <w:szCs w:val="22"/>
              </w:rPr>
              <w:t>juillet 20</w:t>
            </w:r>
            <w:r w:rsidR="00B907FC" w:rsidRPr="001800B7">
              <w:rPr>
                <w:iCs/>
                <w:szCs w:val="22"/>
              </w:rPr>
              <w:t xml:space="preserve">12, </w:t>
            </w:r>
            <w:r w:rsidRPr="001800B7">
              <w:rPr>
                <w:iCs/>
                <w:szCs w:val="22"/>
              </w:rPr>
              <w:t xml:space="preserve">la deuxième à </w:t>
            </w:r>
            <w:hyperlink r:id="rId18" w:history="1">
              <w:r w:rsidRPr="001800B7">
                <w:rPr>
                  <w:rStyle w:val="Hyperlink"/>
                  <w:iCs/>
                  <w:color w:val="auto"/>
                  <w:szCs w:val="22"/>
                </w:rPr>
                <w:t>Alg</w:t>
              </w:r>
              <w:r w:rsidR="00B907FC" w:rsidRPr="001800B7">
                <w:rPr>
                  <w:rStyle w:val="Hyperlink"/>
                  <w:iCs/>
                  <w:color w:val="auto"/>
                  <w:szCs w:val="22"/>
                </w:rPr>
                <w:t>er</w:t>
              </w:r>
            </w:hyperlink>
            <w:r w:rsidR="00B907FC" w:rsidRPr="001800B7">
              <w:rPr>
                <w:iCs/>
                <w:szCs w:val="22"/>
              </w:rPr>
              <w:t xml:space="preserve"> (</w:t>
            </w:r>
            <w:r w:rsidRPr="001800B7">
              <w:rPr>
                <w:iCs/>
                <w:szCs w:val="22"/>
              </w:rPr>
              <w:t xml:space="preserve">pour la région </w:t>
            </w:r>
            <w:r w:rsidR="00CB4748" w:rsidRPr="001800B7">
              <w:rPr>
                <w:iCs/>
                <w:szCs w:val="22"/>
              </w:rPr>
              <w:t>des pays africains</w:t>
            </w:r>
            <w:r w:rsidRPr="001800B7">
              <w:rPr>
                <w:iCs/>
                <w:szCs w:val="22"/>
              </w:rPr>
              <w:t xml:space="preserve"> et arabe</w:t>
            </w:r>
            <w:r w:rsidR="00CB4748" w:rsidRPr="001800B7">
              <w:rPr>
                <w:iCs/>
                <w:szCs w:val="22"/>
              </w:rPr>
              <w:t>s</w:t>
            </w:r>
            <w:r w:rsidR="00B907FC" w:rsidRPr="001800B7">
              <w:rPr>
                <w:iCs/>
                <w:szCs w:val="22"/>
              </w:rPr>
              <w:t xml:space="preserve">) </w:t>
            </w:r>
            <w:r w:rsidRPr="001800B7">
              <w:rPr>
                <w:iCs/>
                <w:szCs w:val="22"/>
              </w:rPr>
              <w:t>les 29 et 30 </w:t>
            </w:r>
            <w:r w:rsidR="00456841" w:rsidRPr="001800B7">
              <w:rPr>
                <w:iCs/>
                <w:szCs w:val="22"/>
              </w:rPr>
              <w:t>janvier 20</w:t>
            </w:r>
            <w:r w:rsidR="00B907FC" w:rsidRPr="001800B7">
              <w:rPr>
                <w:iCs/>
                <w:szCs w:val="22"/>
              </w:rPr>
              <w:t>13</w:t>
            </w:r>
            <w:r w:rsidR="00B907FC" w:rsidRPr="001800B7">
              <w:rPr>
                <w:szCs w:val="22"/>
              </w:rPr>
              <w:t xml:space="preserve">, </w:t>
            </w:r>
            <w:r w:rsidRPr="001800B7">
              <w:rPr>
                <w:szCs w:val="22"/>
              </w:rPr>
              <w:t>la troisième à</w:t>
            </w:r>
            <w:r w:rsidR="00B907FC" w:rsidRPr="001800B7">
              <w:rPr>
                <w:iCs/>
                <w:szCs w:val="22"/>
              </w:rPr>
              <w:t xml:space="preserve"> </w:t>
            </w:r>
            <w:hyperlink r:id="rId19" w:history="1">
              <w:r w:rsidR="00B907FC" w:rsidRPr="001800B7">
                <w:rPr>
                  <w:rStyle w:val="Hyperlink"/>
                  <w:iCs/>
                  <w:color w:val="auto"/>
                  <w:szCs w:val="22"/>
                </w:rPr>
                <w:t>Istanbul</w:t>
              </w:r>
            </w:hyperlink>
            <w:r w:rsidR="00B907FC" w:rsidRPr="001800B7">
              <w:rPr>
                <w:iCs/>
                <w:szCs w:val="22"/>
              </w:rPr>
              <w:t xml:space="preserve"> (</w:t>
            </w:r>
            <w:r w:rsidRPr="001800B7">
              <w:rPr>
                <w:iCs/>
                <w:szCs w:val="22"/>
              </w:rPr>
              <w:t>pour la région de</w:t>
            </w:r>
            <w:r w:rsidR="00CB4748" w:rsidRPr="001800B7">
              <w:rPr>
                <w:iCs/>
                <w:szCs w:val="22"/>
              </w:rPr>
              <w:t>s</w:t>
            </w:r>
            <w:r w:rsidRPr="001800B7">
              <w:rPr>
                <w:iCs/>
                <w:szCs w:val="22"/>
              </w:rPr>
              <w:t xml:space="preserve"> </w:t>
            </w:r>
            <w:r w:rsidR="00CB4748" w:rsidRPr="001800B7">
              <w:rPr>
                <w:iCs/>
                <w:szCs w:val="22"/>
              </w:rPr>
              <w:t xml:space="preserve">pays en </w:t>
            </w:r>
            <w:r w:rsidRPr="001800B7">
              <w:rPr>
                <w:iCs/>
                <w:szCs w:val="22"/>
              </w:rPr>
              <w:t>t</w:t>
            </w:r>
            <w:r w:rsidR="00B907FC" w:rsidRPr="001800B7">
              <w:rPr>
                <w:iCs/>
                <w:szCs w:val="22"/>
              </w:rPr>
              <w:t xml:space="preserve">ransition) </w:t>
            </w:r>
            <w:r w:rsidRPr="001800B7">
              <w:rPr>
                <w:iCs/>
                <w:szCs w:val="22"/>
              </w:rPr>
              <w:t>les 24 et 25 </w:t>
            </w:r>
            <w:r w:rsidR="00456841" w:rsidRPr="001800B7">
              <w:rPr>
                <w:iCs/>
                <w:szCs w:val="22"/>
              </w:rPr>
              <w:t>octobre 20</w:t>
            </w:r>
            <w:r w:rsidRPr="001800B7">
              <w:rPr>
                <w:iCs/>
                <w:szCs w:val="22"/>
              </w:rPr>
              <w:t xml:space="preserve">13, la quatrième à </w:t>
            </w:r>
            <w:hyperlink r:id="rId20" w:history="1">
              <w:r w:rsidR="00B907FC" w:rsidRPr="001800B7">
                <w:rPr>
                  <w:rStyle w:val="Hyperlink"/>
                  <w:iCs/>
                  <w:color w:val="auto"/>
                  <w:szCs w:val="22"/>
                </w:rPr>
                <w:t>Gen</w:t>
              </w:r>
              <w:r w:rsidRPr="001800B7">
                <w:rPr>
                  <w:rStyle w:val="Hyperlink"/>
                  <w:iCs/>
                  <w:color w:val="auto"/>
                  <w:szCs w:val="22"/>
                </w:rPr>
                <w:t>è</w:t>
              </w:r>
              <w:r w:rsidR="00B907FC" w:rsidRPr="001800B7">
                <w:rPr>
                  <w:rStyle w:val="Hyperlink"/>
                  <w:iCs/>
                  <w:color w:val="auto"/>
                  <w:szCs w:val="22"/>
                </w:rPr>
                <w:t>v</w:t>
              </w:r>
              <w:r w:rsidRPr="001800B7">
                <w:rPr>
                  <w:rStyle w:val="Hyperlink"/>
                  <w:iCs/>
                  <w:color w:val="auto"/>
                  <w:szCs w:val="22"/>
                </w:rPr>
                <w:t>e</w:t>
              </w:r>
            </w:hyperlink>
            <w:r w:rsidR="00B907FC" w:rsidRPr="001800B7">
              <w:rPr>
                <w:iCs/>
                <w:szCs w:val="22"/>
              </w:rPr>
              <w:t xml:space="preserve"> (</w:t>
            </w:r>
            <w:r w:rsidRPr="001800B7">
              <w:rPr>
                <w:iCs/>
                <w:szCs w:val="22"/>
              </w:rPr>
              <w:t>pour les pays développés) les 25 et 26 novembre</w:t>
            </w:r>
            <w:r w:rsidR="00B907FC" w:rsidRPr="001800B7">
              <w:rPr>
                <w:iCs/>
                <w:szCs w:val="22"/>
              </w:rPr>
              <w:t xml:space="preserve">2013, </w:t>
            </w:r>
            <w:r w:rsidR="00751EEA" w:rsidRPr="001800B7">
              <w:rPr>
                <w:iCs/>
                <w:szCs w:val="22"/>
              </w:rPr>
              <w:t xml:space="preserve">et la cinquième et dernière à </w:t>
            </w:r>
            <w:hyperlink r:id="rId21" w:history="1">
              <w:r w:rsidR="00B907FC" w:rsidRPr="001800B7">
                <w:rPr>
                  <w:rStyle w:val="Hyperlink"/>
                  <w:iCs/>
                  <w:color w:val="auto"/>
                  <w:szCs w:val="22"/>
                </w:rPr>
                <w:t>Monterrey</w:t>
              </w:r>
            </w:hyperlink>
            <w:r w:rsidR="00B907FC" w:rsidRPr="001800B7">
              <w:rPr>
                <w:iCs/>
                <w:szCs w:val="22"/>
              </w:rPr>
              <w:t xml:space="preserve"> (</w:t>
            </w:r>
            <w:r w:rsidR="00751EEA" w:rsidRPr="001800B7">
              <w:rPr>
                <w:iCs/>
                <w:szCs w:val="22"/>
              </w:rPr>
              <w:t xml:space="preserve">pour la région </w:t>
            </w:r>
            <w:r w:rsidR="00CB4748" w:rsidRPr="001800B7">
              <w:rPr>
                <w:iCs/>
                <w:szCs w:val="22"/>
              </w:rPr>
              <w:t xml:space="preserve">des pays </w:t>
            </w:r>
            <w:r w:rsidR="00751EEA" w:rsidRPr="001800B7">
              <w:rPr>
                <w:iCs/>
                <w:szCs w:val="22"/>
              </w:rPr>
              <w:t>d</w:t>
            </w:r>
            <w:r w:rsidR="005311D6" w:rsidRPr="001800B7">
              <w:rPr>
                <w:iCs/>
                <w:szCs w:val="22"/>
              </w:rPr>
              <w:t>’</w:t>
            </w:r>
            <w:r w:rsidR="00751EEA" w:rsidRPr="001800B7">
              <w:rPr>
                <w:iCs/>
                <w:szCs w:val="22"/>
              </w:rPr>
              <w:t>Amérique latine et des Caraïbes) les 5 et 6 </w:t>
            </w:r>
            <w:r w:rsidR="00456841" w:rsidRPr="001800B7">
              <w:rPr>
                <w:iCs/>
                <w:szCs w:val="22"/>
              </w:rPr>
              <w:t>décembre 20</w:t>
            </w:r>
            <w:r w:rsidR="00B907FC" w:rsidRPr="001800B7">
              <w:rPr>
                <w:iCs/>
                <w:szCs w:val="22"/>
              </w:rPr>
              <w:t>13.</w:t>
            </w:r>
          </w:p>
          <w:p w:rsidR="008475D2" w:rsidRPr="001800B7" w:rsidRDefault="00751EEA" w:rsidP="00477A00">
            <w:pPr>
              <w:spacing w:before="120" w:after="120"/>
              <w:rPr>
                <w:szCs w:val="22"/>
              </w:rPr>
            </w:pPr>
            <w:r w:rsidRPr="001800B7">
              <w:rPr>
                <w:szCs w:val="22"/>
                <w:u w:val="single"/>
              </w:rPr>
              <w:t>Activité </w:t>
            </w:r>
            <w:r w:rsidR="00B907FC" w:rsidRPr="001800B7">
              <w:rPr>
                <w:szCs w:val="22"/>
                <w:u w:val="single"/>
              </w:rPr>
              <w:t>2</w:t>
            </w:r>
            <w:r w:rsidRPr="001800B7">
              <w:rPr>
                <w:szCs w:val="22"/>
              </w:rPr>
              <w:t> </w:t>
            </w:r>
            <w:r w:rsidR="00B907FC" w:rsidRPr="001800B7">
              <w:rPr>
                <w:szCs w:val="22"/>
              </w:rPr>
              <w:t>:</w:t>
            </w:r>
            <w:r w:rsidRPr="001800B7">
              <w:rPr>
                <w:szCs w:val="22"/>
              </w:rPr>
              <w:t xml:space="preserve"> Au total, six</w:t>
            </w:r>
            <w:r w:rsidR="008005FD" w:rsidRPr="001800B7">
              <w:rPr>
                <w:szCs w:val="22"/>
              </w:rPr>
              <w:t> </w:t>
            </w:r>
            <w:r w:rsidRPr="001800B7">
              <w:rPr>
                <w:szCs w:val="22"/>
              </w:rPr>
              <w:t>études analytiques ont été commandées par le Secrétariat, et les versions définitives des six</w:t>
            </w:r>
            <w:r w:rsidR="008005FD" w:rsidRPr="001800B7">
              <w:rPr>
                <w:szCs w:val="22"/>
              </w:rPr>
              <w:t> </w:t>
            </w:r>
            <w:r w:rsidRPr="001800B7">
              <w:rPr>
                <w:szCs w:val="22"/>
              </w:rPr>
              <w:t xml:space="preserve">études ont été reçues avant la fin de la première semaine de </w:t>
            </w:r>
            <w:r w:rsidR="00456841" w:rsidRPr="001800B7">
              <w:rPr>
                <w:szCs w:val="22"/>
              </w:rPr>
              <w:t>septembre 20</w:t>
            </w:r>
            <w:r w:rsidRPr="001800B7">
              <w:rPr>
                <w:szCs w:val="22"/>
              </w:rPr>
              <w:t xml:space="preserve">14. </w:t>
            </w:r>
            <w:r w:rsidR="008005FD" w:rsidRPr="001800B7">
              <w:rPr>
                <w:szCs w:val="22"/>
              </w:rPr>
              <w:t xml:space="preserve"> </w:t>
            </w:r>
            <w:r w:rsidRPr="001800B7">
              <w:rPr>
                <w:szCs w:val="22"/>
              </w:rPr>
              <w:t>Les six</w:t>
            </w:r>
            <w:r w:rsidR="008005FD" w:rsidRPr="001800B7">
              <w:rPr>
                <w:szCs w:val="22"/>
              </w:rPr>
              <w:t> </w:t>
            </w:r>
            <w:r w:rsidRPr="001800B7">
              <w:rPr>
                <w:szCs w:val="22"/>
              </w:rPr>
              <w:t>études ont été examinées par des experts internationaux et tous les auteurs des études ont eu l</w:t>
            </w:r>
            <w:r w:rsidR="005311D6" w:rsidRPr="001800B7">
              <w:rPr>
                <w:szCs w:val="22"/>
              </w:rPr>
              <w:t>’</w:t>
            </w:r>
            <w:r w:rsidRPr="001800B7">
              <w:rPr>
                <w:szCs w:val="22"/>
              </w:rPr>
              <w:t>occasion d</w:t>
            </w:r>
            <w:r w:rsidR="005311D6" w:rsidRPr="001800B7">
              <w:rPr>
                <w:szCs w:val="22"/>
              </w:rPr>
              <w:t>’</w:t>
            </w:r>
            <w:r w:rsidRPr="001800B7">
              <w:rPr>
                <w:szCs w:val="22"/>
              </w:rPr>
              <w:t>intégrer les suggestions émanant du processus d</w:t>
            </w:r>
            <w:r w:rsidR="005311D6" w:rsidRPr="001800B7">
              <w:rPr>
                <w:szCs w:val="22"/>
              </w:rPr>
              <w:t>’</w:t>
            </w:r>
            <w:r w:rsidRPr="001800B7">
              <w:rPr>
                <w:szCs w:val="22"/>
              </w:rPr>
              <w:t xml:space="preserve">examen par des pairs. </w:t>
            </w:r>
            <w:r w:rsidR="008005FD" w:rsidRPr="001800B7">
              <w:rPr>
                <w:szCs w:val="22"/>
              </w:rPr>
              <w:t xml:space="preserve"> </w:t>
            </w:r>
            <w:r w:rsidRPr="001800B7">
              <w:rPr>
                <w:szCs w:val="22"/>
              </w:rPr>
              <w:t>Les deux</w:t>
            </w:r>
            <w:r w:rsidR="008005FD" w:rsidRPr="001800B7">
              <w:rPr>
                <w:szCs w:val="22"/>
              </w:rPr>
              <w:t> </w:t>
            </w:r>
            <w:r w:rsidRPr="001800B7">
              <w:rPr>
                <w:szCs w:val="22"/>
              </w:rPr>
              <w:t>versions finales des études ainsi que les observations formulées par les examinateurs sont à la disposition</w:t>
            </w:r>
            <w:r w:rsidR="00456841" w:rsidRPr="001800B7">
              <w:rPr>
                <w:szCs w:val="22"/>
              </w:rPr>
              <w:t xml:space="preserve"> du CDI</w:t>
            </w:r>
            <w:r w:rsidR="00064850" w:rsidRPr="001800B7">
              <w:rPr>
                <w:szCs w:val="22"/>
              </w:rPr>
              <w:t>P/</w:t>
            </w:r>
            <w:r w:rsidR="00B907FC" w:rsidRPr="001800B7">
              <w:rPr>
                <w:szCs w:val="22"/>
              </w:rPr>
              <w:t>14.</w:t>
            </w:r>
          </w:p>
          <w:p w:rsidR="008475D2" w:rsidRPr="001800B7" w:rsidRDefault="00751EEA" w:rsidP="00477A00">
            <w:pPr>
              <w:spacing w:before="120" w:after="120"/>
              <w:ind w:left="34"/>
              <w:rPr>
                <w:szCs w:val="22"/>
              </w:rPr>
            </w:pPr>
            <w:r w:rsidRPr="001800B7">
              <w:rPr>
                <w:szCs w:val="22"/>
                <w:u w:val="single"/>
              </w:rPr>
              <w:t>Activité </w:t>
            </w:r>
            <w:r w:rsidR="00B907FC" w:rsidRPr="001800B7">
              <w:rPr>
                <w:szCs w:val="22"/>
                <w:u w:val="single"/>
              </w:rPr>
              <w:t>3</w:t>
            </w:r>
            <w:r w:rsidRPr="001800B7">
              <w:rPr>
                <w:szCs w:val="22"/>
              </w:rPr>
              <w:t> </w:t>
            </w:r>
            <w:r w:rsidR="00B907FC" w:rsidRPr="001800B7">
              <w:rPr>
                <w:szCs w:val="22"/>
              </w:rPr>
              <w:t>:</w:t>
            </w:r>
            <w:r w:rsidRPr="001800B7">
              <w:rPr>
                <w:szCs w:val="22"/>
              </w:rPr>
              <w:t xml:space="preserve"> Le document de fond a été préparé, qui donne </w:t>
            </w:r>
            <w:r w:rsidR="00CB4748" w:rsidRPr="001800B7">
              <w:rPr>
                <w:szCs w:val="22"/>
              </w:rPr>
              <w:t xml:space="preserve">des informations générales sur </w:t>
            </w:r>
            <w:r w:rsidRPr="001800B7">
              <w:rPr>
                <w:szCs w:val="22"/>
              </w:rPr>
              <w:t xml:space="preserve">le projet et un résumé des divers résultats du projet (notamment les réunions régionales de consultations et les études analytiques examinées par des pairs). </w:t>
            </w:r>
            <w:r w:rsidR="008005FD" w:rsidRPr="001800B7">
              <w:rPr>
                <w:szCs w:val="22"/>
              </w:rPr>
              <w:t xml:space="preserve"> </w:t>
            </w:r>
            <w:r w:rsidRPr="001800B7">
              <w:rPr>
                <w:szCs w:val="22"/>
              </w:rPr>
              <w:t>En outre, comme le comité en était convenu (voir le document</w:t>
            </w:r>
            <w:r w:rsidR="00B907FC" w:rsidRPr="001800B7">
              <w:rPr>
                <w:szCs w:val="22"/>
              </w:rPr>
              <w:t xml:space="preserve"> </w:t>
            </w:r>
            <w:hyperlink r:id="rId22" w:history="1">
              <w:r w:rsidR="00B907FC" w:rsidRPr="001800B7">
                <w:rPr>
                  <w:rStyle w:val="Hyperlink"/>
                  <w:color w:val="auto"/>
                  <w:szCs w:val="22"/>
                </w:rPr>
                <w:t>CDIP/9/INF/4</w:t>
              </w:r>
            </w:hyperlink>
            <w:r w:rsidR="00B907FC" w:rsidRPr="001800B7">
              <w:rPr>
                <w:szCs w:val="22"/>
              </w:rPr>
              <w:t>, paragraph</w:t>
            </w:r>
            <w:r w:rsidRPr="001800B7">
              <w:rPr>
                <w:szCs w:val="22"/>
              </w:rPr>
              <w:t>e</w:t>
            </w:r>
            <w:r w:rsidR="00B907FC" w:rsidRPr="001800B7">
              <w:rPr>
                <w:szCs w:val="22"/>
              </w:rPr>
              <w:t> 66),</w:t>
            </w:r>
            <w:r w:rsidRPr="001800B7">
              <w:rPr>
                <w:szCs w:val="22"/>
              </w:rPr>
              <w:t xml:space="preserve"> avant que le document de fond ne soit soumis à l</w:t>
            </w:r>
            <w:r w:rsidR="005311D6" w:rsidRPr="001800B7">
              <w:rPr>
                <w:szCs w:val="22"/>
              </w:rPr>
              <w:t>’</w:t>
            </w:r>
            <w:r w:rsidRPr="001800B7">
              <w:rPr>
                <w:szCs w:val="22"/>
              </w:rPr>
              <w:t>approbation</w:t>
            </w:r>
            <w:r w:rsidR="00456841" w:rsidRPr="001800B7">
              <w:rPr>
                <w:szCs w:val="22"/>
              </w:rPr>
              <w:t xml:space="preserve"> du CDI</w:t>
            </w:r>
            <w:r w:rsidRPr="001800B7">
              <w:rPr>
                <w:szCs w:val="22"/>
              </w:rPr>
              <w:t>P à sa session actuelle, un avant</w:t>
            </w:r>
            <w:r w:rsidR="001800B7" w:rsidRPr="001800B7">
              <w:rPr>
                <w:szCs w:val="22"/>
              </w:rPr>
              <w:noBreakHyphen/>
            </w:r>
            <w:r w:rsidRPr="001800B7">
              <w:rPr>
                <w:szCs w:val="22"/>
              </w:rPr>
              <w:t>projet du document de fond a été présenté dans le cadre d</w:t>
            </w:r>
            <w:r w:rsidR="005311D6" w:rsidRPr="001800B7">
              <w:rPr>
                <w:szCs w:val="22"/>
              </w:rPr>
              <w:t>’</w:t>
            </w:r>
            <w:r w:rsidRPr="001800B7">
              <w:rPr>
                <w:szCs w:val="22"/>
              </w:rPr>
              <w:t>une séanc</w:t>
            </w:r>
            <w:r w:rsidR="00CB4748" w:rsidRPr="001800B7">
              <w:rPr>
                <w:szCs w:val="22"/>
              </w:rPr>
              <w:t>e d</w:t>
            </w:r>
            <w:r w:rsidR="005311D6" w:rsidRPr="001800B7">
              <w:rPr>
                <w:szCs w:val="22"/>
              </w:rPr>
              <w:t>’</w:t>
            </w:r>
            <w:r w:rsidR="00CB4748" w:rsidRPr="001800B7">
              <w:rPr>
                <w:szCs w:val="22"/>
              </w:rPr>
              <w:t xml:space="preserve">information informelle aux </w:t>
            </w:r>
            <w:r w:rsidRPr="001800B7">
              <w:rPr>
                <w:szCs w:val="22"/>
              </w:rPr>
              <w:t>missions permanentes des États membres à Genève le 1</w:t>
            </w:r>
            <w:r w:rsidRPr="001800B7">
              <w:rPr>
                <w:szCs w:val="22"/>
                <w:vertAlign w:val="superscript"/>
              </w:rPr>
              <w:t>er</w:t>
            </w:r>
            <w:r w:rsidRPr="001800B7">
              <w:rPr>
                <w:szCs w:val="22"/>
              </w:rPr>
              <w:t> </w:t>
            </w:r>
            <w:r w:rsidR="00456841" w:rsidRPr="001800B7">
              <w:rPr>
                <w:szCs w:val="22"/>
              </w:rPr>
              <w:t>septembre 20</w:t>
            </w:r>
            <w:r w:rsidRPr="001800B7">
              <w:rPr>
                <w:szCs w:val="22"/>
              </w:rPr>
              <w:t xml:space="preserve">14. </w:t>
            </w:r>
            <w:r w:rsidR="008005FD" w:rsidRPr="001800B7">
              <w:rPr>
                <w:szCs w:val="22"/>
              </w:rPr>
              <w:t xml:space="preserve"> </w:t>
            </w:r>
            <w:r w:rsidRPr="001800B7">
              <w:rPr>
                <w:szCs w:val="22"/>
              </w:rPr>
              <w:t>En outre, avant la session actuelle</w:t>
            </w:r>
            <w:r w:rsidR="00456841" w:rsidRPr="001800B7">
              <w:rPr>
                <w:szCs w:val="22"/>
              </w:rPr>
              <w:t xml:space="preserve"> </w:t>
            </w:r>
            <w:r w:rsidR="00456841" w:rsidRPr="001800B7">
              <w:rPr>
                <w:szCs w:val="22"/>
              </w:rPr>
              <w:lastRenderedPageBreak/>
              <w:t>du CDI</w:t>
            </w:r>
            <w:r w:rsidRPr="001800B7">
              <w:rPr>
                <w:szCs w:val="22"/>
              </w:rPr>
              <w:t xml:space="preserve">P, comme en était convenu le comité (voir </w:t>
            </w:r>
            <w:r w:rsidR="00B907FC" w:rsidRPr="001800B7">
              <w:rPr>
                <w:szCs w:val="22"/>
              </w:rPr>
              <w:t xml:space="preserve">document </w:t>
            </w:r>
            <w:hyperlink r:id="rId23" w:history="1">
              <w:r w:rsidR="00B907FC" w:rsidRPr="001800B7">
                <w:rPr>
                  <w:rStyle w:val="Hyperlink"/>
                  <w:color w:val="auto"/>
                  <w:szCs w:val="22"/>
                </w:rPr>
                <w:t>CDIP/9/INF/4</w:t>
              </w:r>
            </w:hyperlink>
            <w:r w:rsidR="00B907FC" w:rsidRPr="001800B7">
              <w:rPr>
                <w:szCs w:val="22"/>
              </w:rPr>
              <w:t>, paragraph</w:t>
            </w:r>
            <w:r w:rsidRPr="001800B7">
              <w:rPr>
                <w:szCs w:val="22"/>
              </w:rPr>
              <w:t>e</w:t>
            </w:r>
            <w:r w:rsidR="00B907FC" w:rsidRPr="001800B7">
              <w:rPr>
                <w:szCs w:val="22"/>
              </w:rPr>
              <w:t xml:space="preserve"> 66), </w:t>
            </w:r>
            <w:r w:rsidRPr="001800B7">
              <w:rPr>
                <w:szCs w:val="22"/>
              </w:rPr>
              <w:t>une réunion d</w:t>
            </w:r>
            <w:r w:rsidR="005311D6" w:rsidRPr="001800B7">
              <w:rPr>
                <w:szCs w:val="22"/>
              </w:rPr>
              <w:t>’</w:t>
            </w:r>
            <w:r w:rsidRPr="001800B7">
              <w:rPr>
                <w:szCs w:val="22"/>
              </w:rPr>
              <w:t>une journée avec des organisations intergouvernementales et non gouvernementales et des associations professionnelles aura lieu au début d</w:t>
            </w:r>
            <w:r w:rsidR="005311D6" w:rsidRPr="001800B7">
              <w:rPr>
                <w:szCs w:val="22"/>
              </w:rPr>
              <w:t>’</w:t>
            </w:r>
            <w:r w:rsidR="00456841" w:rsidRPr="001800B7">
              <w:rPr>
                <w:szCs w:val="22"/>
              </w:rPr>
              <w:t>octobre 20</w:t>
            </w:r>
            <w:r w:rsidRPr="001800B7">
              <w:rPr>
                <w:szCs w:val="22"/>
              </w:rPr>
              <w:t xml:space="preserve">14. </w:t>
            </w:r>
            <w:r w:rsidR="008005FD" w:rsidRPr="001800B7">
              <w:rPr>
                <w:szCs w:val="22"/>
              </w:rPr>
              <w:t xml:space="preserve"> </w:t>
            </w:r>
            <w:r w:rsidRPr="001800B7">
              <w:rPr>
                <w:szCs w:val="22"/>
              </w:rPr>
              <w:t>Le Secrétariat présentera un rapport verbal</w:t>
            </w:r>
            <w:r w:rsidR="00456841" w:rsidRPr="001800B7">
              <w:rPr>
                <w:szCs w:val="22"/>
              </w:rPr>
              <w:t xml:space="preserve"> au CDI</w:t>
            </w:r>
            <w:r w:rsidRPr="001800B7">
              <w:rPr>
                <w:szCs w:val="22"/>
              </w:rPr>
              <w:t>P sur les commentaires suscités par le document de fond reçu</w:t>
            </w:r>
            <w:r w:rsidR="00CB4748" w:rsidRPr="001800B7">
              <w:rPr>
                <w:szCs w:val="22"/>
              </w:rPr>
              <w:t>s</w:t>
            </w:r>
            <w:r w:rsidRPr="001800B7">
              <w:rPr>
                <w:szCs w:val="22"/>
              </w:rPr>
              <w:t xml:space="preserve"> à cette dernière réunion d</w:t>
            </w:r>
            <w:r w:rsidR="005311D6" w:rsidRPr="001800B7">
              <w:rPr>
                <w:szCs w:val="22"/>
              </w:rPr>
              <w:t>’</w:t>
            </w:r>
            <w:r w:rsidRPr="001800B7">
              <w:rPr>
                <w:szCs w:val="22"/>
              </w:rPr>
              <w:t>une journée</w:t>
            </w:r>
            <w:r w:rsidR="00B907FC" w:rsidRPr="001800B7">
              <w:rPr>
                <w:szCs w:val="22"/>
              </w:rPr>
              <w:t>.</w:t>
            </w:r>
          </w:p>
          <w:p w:rsidR="008475D2" w:rsidRPr="001800B7" w:rsidRDefault="00751EEA" w:rsidP="00477A00">
            <w:pPr>
              <w:spacing w:before="120" w:after="120"/>
              <w:ind w:left="34"/>
              <w:rPr>
                <w:szCs w:val="22"/>
              </w:rPr>
            </w:pPr>
            <w:r w:rsidRPr="001800B7">
              <w:rPr>
                <w:szCs w:val="22"/>
                <w:u w:val="single"/>
              </w:rPr>
              <w:t>Activité </w:t>
            </w:r>
            <w:r w:rsidR="00B907FC" w:rsidRPr="001800B7">
              <w:rPr>
                <w:szCs w:val="22"/>
                <w:u w:val="single"/>
              </w:rPr>
              <w:t>4</w:t>
            </w:r>
            <w:r w:rsidRPr="001800B7">
              <w:rPr>
                <w:szCs w:val="22"/>
              </w:rPr>
              <w:t> </w:t>
            </w:r>
            <w:r w:rsidR="00B907FC" w:rsidRPr="001800B7">
              <w:rPr>
                <w:szCs w:val="22"/>
              </w:rPr>
              <w:t>:</w:t>
            </w:r>
            <w:r w:rsidRPr="001800B7">
              <w:rPr>
                <w:szCs w:val="22"/>
              </w:rPr>
              <w:t xml:space="preserve"> Conformément au calendrier, les travaux visant la préparation et la fourniture de documents, de modules, d</w:t>
            </w:r>
            <w:r w:rsidR="005311D6" w:rsidRPr="001800B7">
              <w:rPr>
                <w:szCs w:val="22"/>
              </w:rPr>
              <w:t>’</w:t>
            </w:r>
            <w:r w:rsidRPr="001800B7">
              <w:rPr>
                <w:szCs w:val="22"/>
              </w:rPr>
              <w:t xml:space="preserve">outils pédagogiques et </w:t>
            </w:r>
            <w:r w:rsidR="00CB4748" w:rsidRPr="001800B7">
              <w:rPr>
                <w:szCs w:val="22"/>
              </w:rPr>
              <w:t>d</w:t>
            </w:r>
            <w:r w:rsidR="005311D6" w:rsidRPr="001800B7">
              <w:rPr>
                <w:szCs w:val="22"/>
              </w:rPr>
              <w:t>’</w:t>
            </w:r>
            <w:r w:rsidRPr="001800B7">
              <w:rPr>
                <w:szCs w:val="22"/>
              </w:rPr>
              <w:t>autres instruments découlant des recommandations adoptées par le Forum d</w:t>
            </w:r>
            <w:r w:rsidR="005311D6" w:rsidRPr="001800B7">
              <w:rPr>
                <w:szCs w:val="22"/>
              </w:rPr>
              <w:t>’</w:t>
            </w:r>
            <w:r w:rsidRPr="001800B7">
              <w:rPr>
                <w:szCs w:val="22"/>
              </w:rPr>
              <w:t>experts internationaux de haut niveau débuteront après que la réunion dudit forum aura eu lieu</w:t>
            </w:r>
            <w:r w:rsidR="00B907FC" w:rsidRPr="001800B7">
              <w:rPr>
                <w:szCs w:val="22"/>
              </w:rPr>
              <w:t>.</w:t>
            </w:r>
          </w:p>
          <w:p w:rsidR="00B907FC" w:rsidRPr="001800B7" w:rsidRDefault="0008593D" w:rsidP="00477A00">
            <w:pPr>
              <w:spacing w:before="120" w:after="120"/>
              <w:ind w:left="34"/>
              <w:rPr>
                <w:szCs w:val="22"/>
              </w:rPr>
            </w:pPr>
            <w:r w:rsidRPr="001800B7">
              <w:rPr>
                <w:szCs w:val="22"/>
                <w:u w:val="single"/>
              </w:rPr>
              <w:t>Activité </w:t>
            </w:r>
            <w:r w:rsidR="00CB36D8" w:rsidRPr="001800B7">
              <w:rPr>
                <w:szCs w:val="22"/>
                <w:u w:val="single"/>
              </w:rPr>
              <w:t>5</w:t>
            </w:r>
            <w:r w:rsidR="008005FD" w:rsidRPr="001800B7">
              <w:rPr>
                <w:szCs w:val="22"/>
              </w:rPr>
              <w:t> </w:t>
            </w:r>
            <w:r w:rsidR="00CB36D8" w:rsidRPr="001800B7">
              <w:rPr>
                <w:szCs w:val="22"/>
              </w:rPr>
              <w:t>: Le Forum d</w:t>
            </w:r>
            <w:r w:rsidR="005311D6" w:rsidRPr="001800B7">
              <w:rPr>
                <w:szCs w:val="22"/>
              </w:rPr>
              <w:t>’</w:t>
            </w:r>
            <w:r w:rsidR="00CB36D8" w:rsidRPr="001800B7">
              <w:rPr>
                <w:szCs w:val="22"/>
              </w:rPr>
              <w:t>experts internationaux de haut niveau sur le thème “Transfert de technologie et propriété intellectuelle</w:t>
            </w:r>
            <w:r w:rsidR="008005FD" w:rsidRPr="001800B7">
              <w:rPr>
                <w:szCs w:val="22"/>
              </w:rPr>
              <w:t> </w:t>
            </w:r>
            <w:r w:rsidR="00CB36D8" w:rsidRPr="001800B7">
              <w:rPr>
                <w:szCs w:val="22"/>
              </w:rPr>
              <w:t>: élaborer des solutions face aux défis communs” se tiendra du 19 au 2</w:t>
            </w:r>
            <w:r w:rsidR="00456841" w:rsidRPr="001800B7">
              <w:rPr>
                <w:szCs w:val="22"/>
              </w:rPr>
              <w:t>1 janvier 20</w:t>
            </w:r>
            <w:r w:rsidR="00CB36D8" w:rsidRPr="001800B7">
              <w:rPr>
                <w:szCs w:val="22"/>
              </w:rPr>
              <w:t>15, après approbation du document de fond par</w:t>
            </w:r>
            <w:r w:rsidR="00456841" w:rsidRPr="001800B7">
              <w:rPr>
                <w:szCs w:val="22"/>
              </w:rPr>
              <w:t xml:space="preserve"> le CDI</w:t>
            </w:r>
            <w:r w:rsidR="00CB36D8" w:rsidRPr="001800B7">
              <w:rPr>
                <w:szCs w:val="22"/>
              </w:rPr>
              <w:t>P à sa présente session.</w:t>
            </w:r>
          </w:p>
        </w:tc>
      </w:tr>
      <w:tr w:rsidR="001800B7" w:rsidRPr="001800B7" w:rsidTr="00477A00">
        <w:tc>
          <w:tcPr>
            <w:tcW w:w="2235" w:type="dxa"/>
            <w:shd w:val="clear" w:color="auto" w:fill="auto"/>
          </w:tcPr>
          <w:p w:rsidR="00B907FC" w:rsidRPr="001800B7" w:rsidRDefault="00CB36D8" w:rsidP="00477A00">
            <w:pPr>
              <w:pStyle w:val="Heading3"/>
              <w:keepNext w:val="0"/>
              <w:spacing w:before="120" w:after="120"/>
              <w:rPr>
                <w:szCs w:val="22"/>
              </w:rPr>
            </w:pPr>
            <w:r w:rsidRPr="001800B7">
              <w:rPr>
                <w:szCs w:val="22"/>
              </w:rPr>
              <w:lastRenderedPageBreak/>
              <w:t>Exemples de succès ou d</w:t>
            </w:r>
            <w:r w:rsidR="005311D6" w:rsidRPr="001800B7">
              <w:rPr>
                <w:szCs w:val="22"/>
              </w:rPr>
              <w:t>’</w:t>
            </w:r>
            <w:r w:rsidRPr="001800B7">
              <w:rPr>
                <w:szCs w:val="22"/>
              </w:rPr>
              <w:t>effets positifs et principaux enseignements</w:t>
            </w:r>
          </w:p>
        </w:tc>
        <w:tc>
          <w:tcPr>
            <w:tcW w:w="7266" w:type="dxa"/>
          </w:tcPr>
          <w:p w:rsidR="00B907FC" w:rsidRPr="001800B7" w:rsidRDefault="00CB36D8" w:rsidP="00477A00">
            <w:pPr>
              <w:spacing w:before="120" w:after="120"/>
              <w:rPr>
                <w:szCs w:val="22"/>
              </w:rPr>
            </w:pPr>
            <w:r w:rsidRPr="001800B7">
              <w:rPr>
                <w:szCs w:val="22"/>
              </w:rPr>
              <w:t>Les cinq</w:t>
            </w:r>
            <w:r w:rsidR="008005FD" w:rsidRPr="001800B7">
              <w:rPr>
                <w:szCs w:val="22"/>
              </w:rPr>
              <w:t> </w:t>
            </w:r>
            <w:r w:rsidRPr="001800B7">
              <w:rPr>
                <w:szCs w:val="22"/>
              </w:rPr>
              <w:t>réunions régionales de consultation sur le transfert de technologie tenues jusqu</w:t>
            </w:r>
            <w:r w:rsidR="005311D6" w:rsidRPr="001800B7">
              <w:rPr>
                <w:szCs w:val="22"/>
              </w:rPr>
              <w:t>’</w:t>
            </w:r>
            <w:r w:rsidRPr="001800B7">
              <w:rPr>
                <w:szCs w:val="22"/>
              </w:rPr>
              <w:t>ici ont suscité un très vif intérêt de la part des pays participants comme des délégués.</w:t>
            </w:r>
          </w:p>
        </w:tc>
      </w:tr>
      <w:tr w:rsidR="001800B7" w:rsidRPr="001800B7" w:rsidTr="00477A00">
        <w:tc>
          <w:tcPr>
            <w:tcW w:w="2235" w:type="dxa"/>
            <w:shd w:val="clear" w:color="auto" w:fill="auto"/>
          </w:tcPr>
          <w:p w:rsidR="00B907FC" w:rsidRPr="001800B7" w:rsidRDefault="00CB36D8" w:rsidP="00477A00">
            <w:pPr>
              <w:pStyle w:val="Heading3"/>
              <w:keepNext w:val="0"/>
              <w:spacing w:before="120" w:after="120"/>
              <w:rPr>
                <w:szCs w:val="22"/>
              </w:rPr>
            </w:pPr>
            <w:r w:rsidRPr="001800B7">
              <w:rPr>
                <w:szCs w:val="22"/>
              </w:rPr>
              <w:t>Risques et atténuation des risques</w:t>
            </w:r>
          </w:p>
        </w:tc>
        <w:tc>
          <w:tcPr>
            <w:tcW w:w="7266" w:type="dxa"/>
          </w:tcPr>
          <w:p w:rsidR="00B907FC" w:rsidRPr="001800B7" w:rsidRDefault="00CB36D8" w:rsidP="00477A00">
            <w:pPr>
              <w:spacing w:before="120" w:after="120"/>
              <w:rPr>
                <w:iCs/>
                <w:szCs w:val="22"/>
              </w:rPr>
            </w:pPr>
            <w:r w:rsidRPr="001800B7">
              <w:rPr>
                <w:iCs/>
                <w:szCs w:val="22"/>
              </w:rPr>
              <w:t>Aucun</w:t>
            </w:r>
          </w:p>
        </w:tc>
      </w:tr>
      <w:tr w:rsidR="001800B7" w:rsidRPr="001800B7" w:rsidTr="00477A00">
        <w:tc>
          <w:tcPr>
            <w:tcW w:w="2235" w:type="dxa"/>
            <w:shd w:val="clear" w:color="auto" w:fill="auto"/>
          </w:tcPr>
          <w:p w:rsidR="00B907FC" w:rsidRPr="001800B7" w:rsidRDefault="00CB36D8" w:rsidP="00477A00">
            <w:pPr>
              <w:pStyle w:val="Heading3"/>
              <w:keepNext w:val="0"/>
              <w:spacing w:before="120" w:after="120"/>
              <w:rPr>
                <w:szCs w:val="22"/>
              </w:rPr>
            </w:pPr>
            <w:r w:rsidRPr="001800B7">
              <w:rPr>
                <w:szCs w:val="22"/>
              </w:rPr>
              <w:t>Questions appelant des mesures ou une attention immédiates</w:t>
            </w:r>
          </w:p>
        </w:tc>
        <w:tc>
          <w:tcPr>
            <w:tcW w:w="7266" w:type="dxa"/>
          </w:tcPr>
          <w:p w:rsidR="00B907FC" w:rsidRPr="001800B7" w:rsidRDefault="00CB36D8" w:rsidP="00477A00">
            <w:pPr>
              <w:spacing w:before="120" w:after="120"/>
              <w:rPr>
                <w:iCs/>
                <w:szCs w:val="22"/>
              </w:rPr>
            </w:pPr>
            <w:r w:rsidRPr="001800B7">
              <w:rPr>
                <w:iCs/>
                <w:szCs w:val="22"/>
              </w:rPr>
              <w:t>Aucun</w:t>
            </w:r>
          </w:p>
        </w:tc>
      </w:tr>
      <w:tr w:rsidR="001800B7" w:rsidRPr="001800B7" w:rsidTr="00477A00">
        <w:tc>
          <w:tcPr>
            <w:tcW w:w="2235" w:type="dxa"/>
            <w:shd w:val="clear" w:color="auto" w:fill="auto"/>
          </w:tcPr>
          <w:p w:rsidR="00B907FC" w:rsidRPr="001800B7" w:rsidRDefault="00CB36D8" w:rsidP="00477A00">
            <w:pPr>
              <w:pStyle w:val="Heading3"/>
              <w:keepNext w:val="0"/>
              <w:spacing w:before="120" w:after="120"/>
              <w:rPr>
                <w:szCs w:val="22"/>
              </w:rPr>
            </w:pPr>
            <w:r w:rsidRPr="001800B7">
              <w:rPr>
                <w:szCs w:val="22"/>
              </w:rPr>
              <w:t>Mesures à prendre</w:t>
            </w:r>
          </w:p>
        </w:tc>
        <w:tc>
          <w:tcPr>
            <w:tcW w:w="7266" w:type="dxa"/>
          </w:tcPr>
          <w:p w:rsidR="008475D2" w:rsidRPr="001800B7" w:rsidRDefault="003E6FC7" w:rsidP="00477A00">
            <w:pPr>
              <w:spacing w:before="120" w:after="120"/>
              <w:ind w:left="34"/>
              <w:rPr>
                <w:szCs w:val="22"/>
              </w:rPr>
            </w:pPr>
            <w:r w:rsidRPr="001800B7">
              <w:rPr>
                <w:szCs w:val="22"/>
              </w:rPr>
              <w:t>Les travaux visant la création d</w:t>
            </w:r>
            <w:r w:rsidR="005311D6" w:rsidRPr="001800B7">
              <w:rPr>
                <w:szCs w:val="22"/>
              </w:rPr>
              <w:t>’</w:t>
            </w:r>
            <w:r w:rsidRPr="001800B7">
              <w:rPr>
                <w:szCs w:val="22"/>
              </w:rPr>
              <w:t>un forum sur le Web seront terminés après la tenue de la réunion du Forum d</w:t>
            </w:r>
            <w:r w:rsidR="005311D6" w:rsidRPr="001800B7">
              <w:rPr>
                <w:szCs w:val="22"/>
              </w:rPr>
              <w:t>’</w:t>
            </w:r>
            <w:r w:rsidRPr="001800B7">
              <w:rPr>
                <w:szCs w:val="22"/>
              </w:rPr>
              <w:t>experts internationaux de haut niveau</w:t>
            </w:r>
            <w:r w:rsidR="00B907FC" w:rsidRPr="001800B7">
              <w:rPr>
                <w:szCs w:val="22"/>
              </w:rPr>
              <w:t>.</w:t>
            </w:r>
          </w:p>
          <w:p w:rsidR="00B907FC" w:rsidRPr="001800B7" w:rsidRDefault="00CB36D8" w:rsidP="00477A00">
            <w:pPr>
              <w:spacing w:before="120" w:after="120"/>
              <w:ind w:left="34"/>
              <w:rPr>
                <w:iCs/>
                <w:szCs w:val="22"/>
              </w:rPr>
            </w:pPr>
            <w:r w:rsidRPr="001800B7">
              <w:rPr>
                <w:szCs w:val="22"/>
              </w:rPr>
              <w:t>Par ailleurs, l</w:t>
            </w:r>
            <w:r w:rsidR="005311D6" w:rsidRPr="001800B7">
              <w:rPr>
                <w:szCs w:val="22"/>
              </w:rPr>
              <w:t>’</w:t>
            </w:r>
            <w:r w:rsidRPr="001800B7">
              <w:rPr>
                <w:szCs w:val="22"/>
              </w:rPr>
              <w:t>incorporation, dans les programmes de l</w:t>
            </w:r>
            <w:r w:rsidR="005311D6" w:rsidRPr="001800B7">
              <w:rPr>
                <w:szCs w:val="22"/>
              </w:rPr>
              <w:t>’</w:t>
            </w:r>
            <w:r w:rsidRPr="001800B7">
              <w:rPr>
                <w:szCs w:val="22"/>
              </w:rPr>
              <w:t>OMPI, de tout résultat obtenu à la suite de la réalisation des activités susmentionnées commencera après le Forum d</w:t>
            </w:r>
            <w:r w:rsidR="005311D6" w:rsidRPr="001800B7">
              <w:rPr>
                <w:szCs w:val="22"/>
              </w:rPr>
              <w:t>’</w:t>
            </w:r>
            <w:r w:rsidRPr="001800B7">
              <w:rPr>
                <w:szCs w:val="22"/>
              </w:rPr>
              <w:t>experts internationaux de haut niveau et (comme convenu) ne commencera qu</w:t>
            </w:r>
            <w:r w:rsidR="005311D6" w:rsidRPr="001800B7">
              <w:rPr>
                <w:szCs w:val="22"/>
              </w:rPr>
              <w:t>’</w:t>
            </w:r>
            <w:r w:rsidRPr="001800B7">
              <w:rPr>
                <w:szCs w:val="22"/>
              </w:rPr>
              <w:t>après examen par</w:t>
            </w:r>
            <w:r w:rsidR="00456841" w:rsidRPr="001800B7">
              <w:rPr>
                <w:szCs w:val="22"/>
              </w:rPr>
              <w:t xml:space="preserve"> le CDI</w:t>
            </w:r>
            <w:r w:rsidRPr="001800B7">
              <w:rPr>
                <w:szCs w:val="22"/>
              </w:rPr>
              <w:t>P et compte tenu de toute recommandation éventuelle du comité à l</w:t>
            </w:r>
            <w:r w:rsidR="005311D6" w:rsidRPr="001800B7">
              <w:rPr>
                <w:szCs w:val="22"/>
              </w:rPr>
              <w:t>’</w:t>
            </w:r>
            <w:r w:rsidRPr="001800B7">
              <w:rPr>
                <w:szCs w:val="22"/>
              </w:rPr>
              <w:t>Assemblée générale.</w:t>
            </w:r>
          </w:p>
        </w:tc>
      </w:tr>
      <w:tr w:rsidR="001800B7" w:rsidRPr="001800B7" w:rsidTr="00477A00">
        <w:tc>
          <w:tcPr>
            <w:tcW w:w="2235" w:type="dxa"/>
            <w:shd w:val="clear" w:color="auto" w:fill="auto"/>
          </w:tcPr>
          <w:p w:rsidR="00B907FC" w:rsidRPr="001800B7" w:rsidRDefault="00CB36D8" w:rsidP="00477A00">
            <w:pPr>
              <w:pStyle w:val="Heading3"/>
              <w:keepNext w:val="0"/>
              <w:spacing w:before="120" w:after="120"/>
              <w:rPr>
                <w:szCs w:val="22"/>
              </w:rPr>
            </w:pPr>
            <w:r w:rsidRPr="001800B7">
              <w:rPr>
                <w:szCs w:val="22"/>
              </w:rPr>
              <w:t>Calendrier d</w:t>
            </w:r>
            <w:r w:rsidR="005311D6" w:rsidRPr="001800B7">
              <w:rPr>
                <w:szCs w:val="22"/>
              </w:rPr>
              <w:t>’</w:t>
            </w:r>
            <w:r w:rsidRPr="001800B7">
              <w:rPr>
                <w:szCs w:val="22"/>
              </w:rPr>
              <w:t>exécution</w:t>
            </w:r>
          </w:p>
        </w:tc>
        <w:tc>
          <w:tcPr>
            <w:tcW w:w="7266" w:type="dxa"/>
          </w:tcPr>
          <w:p w:rsidR="00B907FC" w:rsidRPr="001800B7" w:rsidRDefault="003E6FC7" w:rsidP="00477A00">
            <w:pPr>
              <w:spacing w:before="120" w:after="120"/>
              <w:rPr>
                <w:iCs/>
                <w:szCs w:val="22"/>
              </w:rPr>
            </w:pPr>
            <w:r w:rsidRPr="001800B7">
              <w:rPr>
                <w:iCs/>
                <w:szCs w:val="22"/>
              </w:rPr>
              <w:t>Toutes les phases du projet sont exécutées dans les délais</w:t>
            </w:r>
            <w:r w:rsidR="00CB4748" w:rsidRPr="001800B7">
              <w:rPr>
                <w:iCs/>
                <w:szCs w:val="22"/>
              </w:rPr>
              <w:t xml:space="preserve"> prévus</w:t>
            </w:r>
            <w:r w:rsidRPr="001800B7">
              <w:rPr>
                <w:iCs/>
                <w:szCs w:val="22"/>
              </w:rPr>
              <w:t>, conformément au nouveau calendrier approuvé par</w:t>
            </w:r>
            <w:r w:rsidR="00456841" w:rsidRPr="001800B7">
              <w:rPr>
                <w:iCs/>
                <w:szCs w:val="22"/>
              </w:rPr>
              <w:t xml:space="preserve"> le CDI</w:t>
            </w:r>
            <w:r w:rsidR="00B907FC" w:rsidRPr="001800B7">
              <w:rPr>
                <w:iCs/>
                <w:szCs w:val="22"/>
              </w:rPr>
              <w:t xml:space="preserve">P </w:t>
            </w:r>
            <w:r w:rsidRPr="001800B7">
              <w:rPr>
                <w:iCs/>
                <w:szCs w:val="22"/>
              </w:rPr>
              <w:t xml:space="preserve">à sa </w:t>
            </w:r>
            <w:r w:rsidR="00CB4748" w:rsidRPr="001800B7">
              <w:rPr>
                <w:iCs/>
                <w:szCs w:val="22"/>
              </w:rPr>
              <w:t>douzième</w:t>
            </w:r>
            <w:r w:rsidR="008005FD" w:rsidRPr="001800B7">
              <w:rPr>
                <w:iCs/>
                <w:szCs w:val="22"/>
              </w:rPr>
              <w:t> </w:t>
            </w:r>
            <w:r w:rsidR="00B907FC" w:rsidRPr="001800B7">
              <w:rPr>
                <w:iCs/>
                <w:szCs w:val="22"/>
              </w:rPr>
              <w:t xml:space="preserve">session (document </w:t>
            </w:r>
            <w:hyperlink r:id="rId24" w:history="1">
              <w:r w:rsidR="00B907FC" w:rsidRPr="001800B7">
                <w:rPr>
                  <w:rStyle w:val="Hyperlink"/>
                  <w:iCs/>
                  <w:color w:val="auto"/>
                  <w:szCs w:val="22"/>
                </w:rPr>
                <w:t>CDIP/12/2</w:t>
              </w:r>
            </w:hyperlink>
            <w:r w:rsidR="00B907FC" w:rsidRPr="001800B7">
              <w:rPr>
                <w:rStyle w:val="Hyperlink"/>
                <w:iCs/>
                <w:color w:val="auto"/>
                <w:szCs w:val="22"/>
              </w:rPr>
              <w:t xml:space="preserve">, </w:t>
            </w:r>
            <w:r w:rsidRPr="001800B7">
              <w:rPr>
                <w:rStyle w:val="Hyperlink"/>
                <w:iCs/>
                <w:color w:val="auto"/>
                <w:szCs w:val="22"/>
              </w:rPr>
              <w:t>annexe </w:t>
            </w:r>
            <w:r w:rsidR="00B907FC" w:rsidRPr="001800B7">
              <w:rPr>
                <w:rStyle w:val="Hyperlink"/>
                <w:iCs/>
                <w:color w:val="auto"/>
                <w:szCs w:val="22"/>
              </w:rPr>
              <w:t>VI).</w:t>
            </w:r>
          </w:p>
        </w:tc>
      </w:tr>
      <w:tr w:rsidR="001800B7" w:rsidRPr="001800B7" w:rsidTr="00477A00">
        <w:tc>
          <w:tcPr>
            <w:tcW w:w="2235" w:type="dxa"/>
            <w:shd w:val="clear" w:color="auto" w:fill="auto"/>
          </w:tcPr>
          <w:p w:rsidR="00B907FC" w:rsidRPr="001800B7" w:rsidRDefault="00CB36D8" w:rsidP="00477A00">
            <w:pPr>
              <w:pStyle w:val="Heading3"/>
              <w:keepNext w:val="0"/>
              <w:spacing w:before="120" w:after="120"/>
              <w:rPr>
                <w:szCs w:val="22"/>
              </w:rPr>
            </w:pPr>
            <w:r w:rsidRPr="001800B7">
              <w:rPr>
                <w:szCs w:val="22"/>
              </w:rPr>
              <w:t>Taux d</w:t>
            </w:r>
            <w:r w:rsidR="005311D6" w:rsidRPr="001800B7">
              <w:rPr>
                <w:szCs w:val="22"/>
              </w:rPr>
              <w:t>’</w:t>
            </w:r>
            <w:r w:rsidRPr="001800B7">
              <w:rPr>
                <w:szCs w:val="22"/>
              </w:rPr>
              <w:t>exécution du projet</w:t>
            </w:r>
          </w:p>
        </w:tc>
        <w:tc>
          <w:tcPr>
            <w:tcW w:w="7266" w:type="dxa"/>
          </w:tcPr>
          <w:p w:rsidR="00B907FC" w:rsidRPr="001800B7" w:rsidRDefault="00CB36D8" w:rsidP="00477A00">
            <w:pPr>
              <w:spacing w:before="120" w:after="120"/>
              <w:rPr>
                <w:iCs/>
                <w:szCs w:val="22"/>
              </w:rPr>
            </w:pPr>
            <w:r w:rsidRPr="001800B7">
              <w:rPr>
                <w:iCs/>
                <w:szCs w:val="22"/>
              </w:rPr>
              <w:t>Le taux d</w:t>
            </w:r>
            <w:r w:rsidR="005311D6" w:rsidRPr="001800B7">
              <w:rPr>
                <w:iCs/>
                <w:szCs w:val="22"/>
              </w:rPr>
              <w:t>’</w:t>
            </w:r>
            <w:r w:rsidRPr="001800B7">
              <w:rPr>
                <w:iCs/>
                <w:szCs w:val="22"/>
              </w:rPr>
              <w:t>utilisation du budget à la fin du mois d</w:t>
            </w:r>
            <w:r w:rsidR="005311D6" w:rsidRPr="001800B7">
              <w:rPr>
                <w:iCs/>
                <w:szCs w:val="22"/>
              </w:rPr>
              <w:t>’</w:t>
            </w:r>
            <w:r w:rsidR="00456841" w:rsidRPr="001800B7">
              <w:rPr>
                <w:iCs/>
                <w:szCs w:val="22"/>
              </w:rPr>
              <w:t>août 20</w:t>
            </w:r>
            <w:r w:rsidRPr="001800B7">
              <w:rPr>
                <w:iCs/>
                <w:szCs w:val="22"/>
              </w:rPr>
              <w:t>14 s</w:t>
            </w:r>
            <w:r w:rsidR="005311D6" w:rsidRPr="001800B7">
              <w:rPr>
                <w:iCs/>
                <w:szCs w:val="22"/>
              </w:rPr>
              <w:t>’</w:t>
            </w:r>
            <w:r w:rsidRPr="001800B7">
              <w:rPr>
                <w:iCs/>
                <w:szCs w:val="22"/>
              </w:rPr>
              <w:t>élevait à 68%.</w:t>
            </w:r>
          </w:p>
        </w:tc>
      </w:tr>
      <w:tr w:rsidR="00F30D9D" w:rsidRPr="001800B7" w:rsidTr="00477A00">
        <w:tc>
          <w:tcPr>
            <w:tcW w:w="2235" w:type="dxa"/>
            <w:shd w:val="clear" w:color="auto" w:fill="auto"/>
          </w:tcPr>
          <w:p w:rsidR="00B907FC" w:rsidRPr="001800B7" w:rsidRDefault="00CB36D8" w:rsidP="00477A00">
            <w:pPr>
              <w:pStyle w:val="Heading3"/>
              <w:keepNext w:val="0"/>
              <w:spacing w:before="120" w:after="120"/>
              <w:rPr>
                <w:szCs w:val="22"/>
              </w:rPr>
            </w:pPr>
            <w:r w:rsidRPr="001800B7">
              <w:rPr>
                <w:szCs w:val="22"/>
              </w:rPr>
              <w:t>Rapports précédents</w:t>
            </w:r>
          </w:p>
        </w:tc>
        <w:tc>
          <w:tcPr>
            <w:tcW w:w="7266" w:type="dxa"/>
          </w:tcPr>
          <w:p w:rsidR="00B907FC" w:rsidRPr="001800B7" w:rsidRDefault="003E6FC7" w:rsidP="00477A00">
            <w:pPr>
              <w:spacing w:before="120" w:after="120"/>
              <w:rPr>
                <w:iCs/>
                <w:szCs w:val="22"/>
              </w:rPr>
            </w:pPr>
            <w:r w:rsidRPr="001800B7">
              <w:rPr>
                <w:iCs/>
                <w:szCs w:val="22"/>
              </w:rPr>
              <w:t>Le premier rapport sur l</w:t>
            </w:r>
            <w:r w:rsidR="005311D6" w:rsidRPr="001800B7">
              <w:rPr>
                <w:iCs/>
                <w:szCs w:val="22"/>
              </w:rPr>
              <w:t>’</w:t>
            </w:r>
            <w:r w:rsidRPr="001800B7">
              <w:rPr>
                <w:iCs/>
                <w:szCs w:val="22"/>
              </w:rPr>
              <w:t>état d</w:t>
            </w:r>
            <w:r w:rsidR="005311D6" w:rsidRPr="001800B7">
              <w:rPr>
                <w:iCs/>
                <w:szCs w:val="22"/>
              </w:rPr>
              <w:t>’</w:t>
            </w:r>
            <w:r w:rsidRPr="001800B7">
              <w:rPr>
                <w:iCs/>
                <w:szCs w:val="22"/>
              </w:rPr>
              <w:t xml:space="preserve">avancement du projet, </w:t>
            </w:r>
            <w:r w:rsidR="00C937D4" w:rsidRPr="001800B7">
              <w:rPr>
                <w:iCs/>
                <w:szCs w:val="22"/>
              </w:rPr>
              <w:t xml:space="preserve">qui figure </w:t>
            </w:r>
            <w:r w:rsidRPr="001800B7">
              <w:rPr>
                <w:iCs/>
                <w:szCs w:val="22"/>
              </w:rPr>
              <w:t xml:space="preserve">dans le </w:t>
            </w:r>
            <w:r w:rsidR="00B907FC" w:rsidRPr="001800B7">
              <w:rPr>
                <w:iCs/>
                <w:szCs w:val="22"/>
              </w:rPr>
              <w:t xml:space="preserve">document </w:t>
            </w:r>
            <w:hyperlink r:id="rId25" w:history="1">
              <w:r w:rsidR="00B907FC" w:rsidRPr="001800B7">
                <w:rPr>
                  <w:rStyle w:val="Hyperlink"/>
                  <w:iCs/>
                  <w:color w:val="auto"/>
                  <w:szCs w:val="22"/>
                </w:rPr>
                <w:t>CDIP/8/2</w:t>
              </w:r>
            </w:hyperlink>
            <w:r w:rsidR="00B907FC" w:rsidRPr="001800B7">
              <w:rPr>
                <w:iCs/>
                <w:szCs w:val="22"/>
              </w:rPr>
              <w:t xml:space="preserve">, </w:t>
            </w:r>
            <w:r w:rsidRPr="001800B7">
              <w:rPr>
                <w:iCs/>
                <w:szCs w:val="22"/>
              </w:rPr>
              <w:t>annexe </w:t>
            </w:r>
            <w:r w:rsidR="00B907FC" w:rsidRPr="001800B7">
              <w:rPr>
                <w:iCs/>
                <w:szCs w:val="22"/>
              </w:rPr>
              <w:t xml:space="preserve">VIII, </w:t>
            </w:r>
            <w:r w:rsidRPr="001800B7">
              <w:rPr>
                <w:iCs/>
                <w:szCs w:val="22"/>
              </w:rPr>
              <w:t>a été présenté</w:t>
            </w:r>
            <w:r w:rsidR="00456841" w:rsidRPr="001800B7">
              <w:rPr>
                <w:iCs/>
                <w:szCs w:val="22"/>
              </w:rPr>
              <w:t xml:space="preserve"> au CDI</w:t>
            </w:r>
            <w:r w:rsidR="00B907FC" w:rsidRPr="001800B7">
              <w:rPr>
                <w:iCs/>
                <w:szCs w:val="22"/>
              </w:rPr>
              <w:t xml:space="preserve">P </w:t>
            </w:r>
            <w:r w:rsidRPr="001800B7">
              <w:rPr>
                <w:iCs/>
                <w:szCs w:val="22"/>
              </w:rPr>
              <w:t xml:space="preserve">à sa </w:t>
            </w:r>
            <w:r w:rsidR="00CB4748" w:rsidRPr="001800B7">
              <w:rPr>
                <w:iCs/>
                <w:szCs w:val="22"/>
              </w:rPr>
              <w:t>huitième</w:t>
            </w:r>
            <w:r w:rsidR="008005FD" w:rsidRPr="001800B7">
              <w:rPr>
                <w:iCs/>
                <w:szCs w:val="22"/>
              </w:rPr>
              <w:t> </w:t>
            </w:r>
            <w:r w:rsidR="00B907FC" w:rsidRPr="001800B7">
              <w:rPr>
                <w:iCs/>
                <w:szCs w:val="22"/>
              </w:rPr>
              <w:t xml:space="preserve">session </w:t>
            </w:r>
            <w:r w:rsidRPr="001800B7">
              <w:rPr>
                <w:iCs/>
                <w:szCs w:val="22"/>
              </w:rPr>
              <w:t xml:space="preserve">qui a eu lieu en </w:t>
            </w:r>
            <w:r w:rsidR="00456841" w:rsidRPr="001800B7">
              <w:rPr>
                <w:iCs/>
                <w:szCs w:val="22"/>
              </w:rPr>
              <w:t>novembre 20</w:t>
            </w:r>
            <w:r w:rsidR="00B907FC" w:rsidRPr="001800B7">
              <w:rPr>
                <w:iCs/>
                <w:szCs w:val="22"/>
              </w:rPr>
              <w:t>11.</w:t>
            </w:r>
            <w:r w:rsidR="008005FD" w:rsidRPr="001800B7">
              <w:rPr>
                <w:iCs/>
                <w:szCs w:val="22"/>
              </w:rPr>
              <w:t xml:space="preserve"> </w:t>
            </w:r>
            <w:r w:rsidR="00B907FC" w:rsidRPr="001800B7">
              <w:rPr>
                <w:iCs/>
                <w:szCs w:val="22"/>
              </w:rPr>
              <w:t xml:space="preserve"> </w:t>
            </w:r>
            <w:r w:rsidRPr="001800B7">
              <w:rPr>
                <w:iCs/>
                <w:szCs w:val="22"/>
              </w:rPr>
              <w:t>Le deuxième rapport sur l</w:t>
            </w:r>
            <w:r w:rsidR="005311D6" w:rsidRPr="001800B7">
              <w:rPr>
                <w:iCs/>
                <w:szCs w:val="22"/>
              </w:rPr>
              <w:t>’</w:t>
            </w:r>
            <w:r w:rsidRPr="001800B7">
              <w:rPr>
                <w:iCs/>
                <w:szCs w:val="22"/>
              </w:rPr>
              <w:t>état d</w:t>
            </w:r>
            <w:r w:rsidR="005311D6" w:rsidRPr="001800B7">
              <w:rPr>
                <w:iCs/>
                <w:szCs w:val="22"/>
              </w:rPr>
              <w:t>’</w:t>
            </w:r>
            <w:r w:rsidRPr="001800B7">
              <w:rPr>
                <w:iCs/>
                <w:szCs w:val="22"/>
              </w:rPr>
              <w:t xml:space="preserve">avancement, </w:t>
            </w:r>
            <w:r w:rsidR="00C937D4" w:rsidRPr="001800B7">
              <w:rPr>
                <w:iCs/>
                <w:szCs w:val="22"/>
              </w:rPr>
              <w:t xml:space="preserve">qui figure </w:t>
            </w:r>
            <w:r w:rsidRPr="001800B7">
              <w:rPr>
                <w:iCs/>
                <w:szCs w:val="22"/>
              </w:rPr>
              <w:t xml:space="preserve">dans le </w:t>
            </w:r>
            <w:r w:rsidR="00B907FC" w:rsidRPr="001800B7">
              <w:rPr>
                <w:iCs/>
                <w:szCs w:val="22"/>
              </w:rPr>
              <w:t xml:space="preserve">document </w:t>
            </w:r>
            <w:hyperlink r:id="rId26" w:history="1">
              <w:r w:rsidR="00B907FC" w:rsidRPr="001800B7">
                <w:rPr>
                  <w:rStyle w:val="Hyperlink"/>
                  <w:iCs/>
                  <w:color w:val="auto"/>
                  <w:szCs w:val="22"/>
                </w:rPr>
                <w:t>CDIP/10/2</w:t>
              </w:r>
            </w:hyperlink>
            <w:r w:rsidR="00B907FC" w:rsidRPr="001800B7">
              <w:rPr>
                <w:iCs/>
                <w:szCs w:val="22"/>
              </w:rPr>
              <w:t xml:space="preserve">, </w:t>
            </w:r>
            <w:r w:rsidRPr="001800B7">
              <w:rPr>
                <w:iCs/>
                <w:szCs w:val="22"/>
              </w:rPr>
              <w:t>a été présenté</w:t>
            </w:r>
            <w:r w:rsidR="00456841" w:rsidRPr="001800B7">
              <w:rPr>
                <w:iCs/>
                <w:szCs w:val="22"/>
              </w:rPr>
              <w:t xml:space="preserve"> au CDI</w:t>
            </w:r>
            <w:r w:rsidR="00B907FC" w:rsidRPr="001800B7">
              <w:rPr>
                <w:iCs/>
                <w:szCs w:val="22"/>
              </w:rPr>
              <w:t xml:space="preserve">P </w:t>
            </w:r>
            <w:r w:rsidRPr="001800B7">
              <w:rPr>
                <w:iCs/>
                <w:szCs w:val="22"/>
              </w:rPr>
              <w:t xml:space="preserve">à sa </w:t>
            </w:r>
            <w:r w:rsidR="00CB4748" w:rsidRPr="001800B7">
              <w:rPr>
                <w:iCs/>
                <w:szCs w:val="22"/>
              </w:rPr>
              <w:t>dixième</w:t>
            </w:r>
            <w:r w:rsidR="008005FD" w:rsidRPr="001800B7">
              <w:rPr>
                <w:iCs/>
                <w:szCs w:val="22"/>
              </w:rPr>
              <w:t> </w:t>
            </w:r>
            <w:r w:rsidRPr="001800B7">
              <w:rPr>
                <w:iCs/>
                <w:szCs w:val="22"/>
              </w:rPr>
              <w:t xml:space="preserve">session en </w:t>
            </w:r>
            <w:r w:rsidR="00456841" w:rsidRPr="001800B7">
              <w:rPr>
                <w:iCs/>
                <w:szCs w:val="22"/>
              </w:rPr>
              <w:t>novembre 20</w:t>
            </w:r>
            <w:r w:rsidR="00B907FC" w:rsidRPr="001800B7">
              <w:rPr>
                <w:iCs/>
                <w:szCs w:val="22"/>
              </w:rPr>
              <w:t>12.</w:t>
            </w:r>
            <w:r w:rsidR="008005FD" w:rsidRPr="001800B7">
              <w:rPr>
                <w:iCs/>
                <w:szCs w:val="22"/>
              </w:rPr>
              <w:t xml:space="preserve"> </w:t>
            </w:r>
            <w:r w:rsidR="00B907FC" w:rsidRPr="001800B7">
              <w:rPr>
                <w:iCs/>
                <w:szCs w:val="22"/>
              </w:rPr>
              <w:t xml:space="preserve"> </w:t>
            </w:r>
            <w:r w:rsidRPr="001800B7">
              <w:rPr>
                <w:iCs/>
                <w:szCs w:val="22"/>
              </w:rPr>
              <w:t xml:space="preserve">Le </w:t>
            </w:r>
            <w:r w:rsidRPr="001800B7">
              <w:rPr>
                <w:iCs/>
                <w:szCs w:val="22"/>
              </w:rPr>
              <w:lastRenderedPageBreak/>
              <w:t xml:space="preserve">troisième rapport, </w:t>
            </w:r>
            <w:r w:rsidR="00C937D4" w:rsidRPr="001800B7">
              <w:rPr>
                <w:iCs/>
                <w:szCs w:val="22"/>
              </w:rPr>
              <w:t xml:space="preserve">qui figure </w:t>
            </w:r>
            <w:r w:rsidRPr="001800B7">
              <w:rPr>
                <w:iCs/>
                <w:szCs w:val="22"/>
              </w:rPr>
              <w:t xml:space="preserve">dans le </w:t>
            </w:r>
            <w:r w:rsidR="00B907FC" w:rsidRPr="001800B7">
              <w:rPr>
                <w:iCs/>
                <w:szCs w:val="22"/>
              </w:rPr>
              <w:t xml:space="preserve">document </w:t>
            </w:r>
            <w:hyperlink r:id="rId27" w:history="1">
              <w:r w:rsidR="00B907FC" w:rsidRPr="001800B7">
                <w:rPr>
                  <w:rStyle w:val="Hyperlink"/>
                  <w:iCs/>
                  <w:color w:val="auto"/>
                  <w:szCs w:val="22"/>
                </w:rPr>
                <w:t>CDIP/12/2</w:t>
              </w:r>
            </w:hyperlink>
            <w:r w:rsidR="00B907FC" w:rsidRPr="001800B7">
              <w:rPr>
                <w:iCs/>
                <w:szCs w:val="22"/>
              </w:rPr>
              <w:t xml:space="preserve">, </w:t>
            </w:r>
            <w:r w:rsidRPr="001800B7">
              <w:rPr>
                <w:iCs/>
                <w:szCs w:val="22"/>
              </w:rPr>
              <w:t>a été présenté</w:t>
            </w:r>
            <w:r w:rsidR="00456841" w:rsidRPr="001800B7">
              <w:rPr>
                <w:iCs/>
                <w:szCs w:val="22"/>
              </w:rPr>
              <w:t xml:space="preserve"> au CDI</w:t>
            </w:r>
            <w:r w:rsidR="00B907FC" w:rsidRPr="001800B7">
              <w:rPr>
                <w:iCs/>
                <w:szCs w:val="22"/>
              </w:rPr>
              <w:t xml:space="preserve">P </w:t>
            </w:r>
            <w:r w:rsidRPr="001800B7">
              <w:rPr>
                <w:iCs/>
                <w:szCs w:val="22"/>
              </w:rPr>
              <w:t xml:space="preserve">à sa </w:t>
            </w:r>
            <w:r w:rsidR="00CB4748" w:rsidRPr="001800B7">
              <w:rPr>
                <w:iCs/>
                <w:szCs w:val="22"/>
              </w:rPr>
              <w:t>douzième</w:t>
            </w:r>
            <w:r w:rsidR="008005FD" w:rsidRPr="001800B7">
              <w:rPr>
                <w:iCs/>
                <w:szCs w:val="22"/>
              </w:rPr>
              <w:t> </w:t>
            </w:r>
            <w:r w:rsidR="00B907FC" w:rsidRPr="001800B7">
              <w:rPr>
                <w:iCs/>
                <w:szCs w:val="22"/>
              </w:rPr>
              <w:t xml:space="preserve">session </w:t>
            </w:r>
            <w:r w:rsidRPr="001800B7">
              <w:rPr>
                <w:iCs/>
                <w:szCs w:val="22"/>
              </w:rPr>
              <w:t xml:space="preserve">en </w:t>
            </w:r>
            <w:r w:rsidR="00456841" w:rsidRPr="001800B7">
              <w:rPr>
                <w:iCs/>
                <w:szCs w:val="22"/>
              </w:rPr>
              <w:t>novembre 20</w:t>
            </w:r>
            <w:r w:rsidR="00B907FC" w:rsidRPr="001800B7">
              <w:rPr>
                <w:iCs/>
                <w:szCs w:val="22"/>
              </w:rPr>
              <w:t>12.</w:t>
            </w:r>
          </w:p>
        </w:tc>
      </w:tr>
    </w:tbl>
    <w:p w:rsidR="00B907FC" w:rsidRPr="001800B7" w:rsidRDefault="00B907FC" w:rsidP="008B6BEE">
      <w:pPr>
        <w:rPr>
          <w:szCs w:val="22"/>
        </w:rPr>
      </w:pPr>
    </w:p>
    <w:p w:rsidR="008B6BEE" w:rsidRPr="001800B7" w:rsidRDefault="008B6BEE" w:rsidP="008B6BEE">
      <w:pPr>
        <w:rPr>
          <w:szCs w:val="22"/>
        </w:rPr>
      </w:pPr>
    </w:p>
    <w:p w:rsidR="007F337E" w:rsidRPr="001800B7" w:rsidRDefault="007F337E" w:rsidP="007F337E">
      <w:pPr>
        <w:rPr>
          <w:rFonts w:eastAsia="Times New Roman"/>
          <w:szCs w:val="22"/>
          <w:lang w:eastAsia="en-US"/>
        </w:rPr>
      </w:pPr>
      <w:r w:rsidRPr="001800B7">
        <w:rPr>
          <w:rFonts w:eastAsia="Times New Roman"/>
          <w:szCs w:val="22"/>
          <w:lang w:eastAsia="en-US"/>
        </w:rPr>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7F337E" w:rsidRPr="001800B7" w:rsidRDefault="007F337E" w:rsidP="007F337E">
      <w:pPr>
        <w:rPr>
          <w:szCs w:val="22"/>
        </w:rPr>
      </w:pPr>
    </w:p>
    <w:p w:rsidR="007F337E" w:rsidRPr="001800B7" w:rsidRDefault="007F337E" w:rsidP="007F337E">
      <w:pPr>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p w:rsidR="007F337E" w:rsidRPr="001800B7" w:rsidRDefault="007F337E" w:rsidP="007F337E">
      <w:pPr>
        <w:rPr>
          <w:rFonts w:eastAsia="Times New Roman"/>
          <w:szCs w:val="22"/>
          <w:lang w:eastAsia="en-US"/>
        </w:rPr>
      </w:pP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F30D9D">
        <w:trPr>
          <w:cantSplit/>
        </w:trPr>
        <w:tc>
          <w:tcPr>
            <w:tcW w:w="1900" w:type="dxa"/>
            <w:shd w:val="clear" w:color="auto" w:fill="auto"/>
            <w:vAlign w:val="center"/>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lang w:eastAsia="en-US"/>
              </w:rPr>
              <w:t>NE</w:t>
            </w:r>
          </w:p>
        </w:tc>
      </w:tr>
      <w:tr w:rsidR="00F30D9D" w:rsidRPr="001800B7" w:rsidTr="00F30D9D">
        <w:trPr>
          <w:cantSplit/>
        </w:trPr>
        <w:tc>
          <w:tcPr>
            <w:tcW w:w="1900" w:type="dxa"/>
            <w:shd w:val="clear" w:color="auto" w:fill="auto"/>
            <w:vAlign w:val="center"/>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7F337E" w:rsidRPr="001800B7" w:rsidRDefault="007F337E" w:rsidP="007F337E">
      <w:pPr>
        <w:rPr>
          <w:szCs w:val="22"/>
          <w:lang w:eastAsia="en-US"/>
        </w:rPr>
      </w:pPr>
    </w:p>
    <w:tbl>
      <w:tblPr>
        <w:tblStyle w:val="TableGrid"/>
        <w:tblW w:w="9485" w:type="dxa"/>
        <w:tblInd w:w="10" w:type="dxa"/>
        <w:tblLayout w:type="fixed"/>
        <w:tblLook w:val="04A0" w:firstRow="1" w:lastRow="0" w:firstColumn="1" w:lastColumn="0" w:noHBand="0" w:noVBand="1"/>
      </w:tblPr>
      <w:tblGrid>
        <w:gridCol w:w="2366"/>
        <w:gridCol w:w="2694"/>
        <w:gridCol w:w="2976"/>
        <w:gridCol w:w="1449"/>
      </w:tblGrid>
      <w:tr w:rsidR="001800B7" w:rsidRPr="001800B7" w:rsidTr="007F337E">
        <w:tc>
          <w:tcPr>
            <w:tcW w:w="2366" w:type="dxa"/>
          </w:tcPr>
          <w:p w:rsidR="007F337E" w:rsidRPr="001800B7" w:rsidRDefault="007F337E" w:rsidP="007F337E">
            <w:pPr>
              <w:spacing w:before="120" w:after="12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Fonts w:eastAsia="Times New Roman"/>
                <w:szCs w:val="22"/>
                <w:u w:val="single"/>
                <w:lang w:eastAsia="en-US"/>
              </w:rPr>
              <w:br/>
            </w:r>
            <w:r w:rsidRPr="001800B7">
              <w:rPr>
                <w:rFonts w:eastAsia="Times New Roman"/>
                <w:szCs w:val="22"/>
                <w:lang w:eastAsia="en-US"/>
              </w:rPr>
              <w:t>(résultat escompté)</w:t>
            </w:r>
          </w:p>
        </w:tc>
        <w:tc>
          <w:tcPr>
            <w:tcW w:w="2694" w:type="dxa"/>
          </w:tcPr>
          <w:p w:rsidR="007F337E" w:rsidRPr="001800B7" w:rsidRDefault="007F337E" w:rsidP="00F30D9D">
            <w:pPr>
              <w:spacing w:before="120" w:after="12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6" w:type="dxa"/>
          </w:tcPr>
          <w:p w:rsidR="007F337E" w:rsidRPr="001800B7" w:rsidRDefault="007F337E" w:rsidP="00F30D9D">
            <w:pPr>
              <w:keepNext/>
              <w:spacing w:before="120" w:after="120"/>
              <w:jc w:val="center"/>
              <w:outlineLvl w:val="2"/>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49" w:type="dxa"/>
          </w:tcPr>
          <w:p w:rsidR="007F337E" w:rsidRPr="001800B7" w:rsidRDefault="007F337E" w:rsidP="00F30D9D">
            <w:pPr>
              <w:keepNext/>
              <w:spacing w:before="120" w:after="120"/>
              <w:jc w:val="center"/>
              <w:outlineLvl w:val="2"/>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7F337E">
        <w:tc>
          <w:tcPr>
            <w:tcW w:w="2366" w:type="dxa"/>
          </w:tcPr>
          <w:p w:rsidR="007F337E" w:rsidRPr="001800B7" w:rsidRDefault="007F337E" w:rsidP="008475D2">
            <w:pPr>
              <w:spacing w:before="120" w:after="120"/>
              <w:rPr>
                <w:szCs w:val="22"/>
              </w:rPr>
            </w:pPr>
            <w:r w:rsidRPr="001800B7">
              <w:rPr>
                <w:bCs/>
                <w:szCs w:val="22"/>
              </w:rPr>
              <w:t xml:space="preserve">0.  Document relatif au projet </w:t>
            </w:r>
          </w:p>
        </w:tc>
        <w:tc>
          <w:tcPr>
            <w:tcW w:w="2694" w:type="dxa"/>
          </w:tcPr>
          <w:p w:rsidR="007F337E" w:rsidRPr="001800B7" w:rsidRDefault="007F337E" w:rsidP="008475D2">
            <w:pPr>
              <w:spacing w:before="120" w:after="120"/>
              <w:rPr>
                <w:szCs w:val="22"/>
              </w:rPr>
            </w:pPr>
            <w:r w:rsidRPr="001800B7">
              <w:rPr>
                <w:szCs w:val="22"/>
              </w:rPr>
              <w:t xml:space="preserve">Projet de document prêt dans un délai de trois mois après approbation du projet, en consultation avec les États membres.  </w:t>
            </w:r>
          </w:p>
        </w:tc>
        <w:tc>
          <w:tcPr>
            <w:tcW w:w="2976" w:type="dxa"/>
          </w:tcPr>
          <w:p w:rsidR="007F337E" w:rsidRPr="001800B7" w:rsidRDefault="007F337E" w:rsidP="007F337E">
            <w:pPr>
              <w:spacing w:before="120" w:after="120"/>
              <w:rPr>
                <w:szCs w:val="22"/>
              </w:rPr>
            </w:pPr>
            <w:r w:rsidRPr="001800B7">
              <w:rPr>
                <w:szCs w:val="22"/>
              </w:rPr>
              <w:t>Élaboration du document relatif au projet achevé pour novembre 2011 et révisé pour mai 2012</w:t>
            </w:r>
          </w:p>
        </w:tc>
        <w:tc>
          <w:tcPr>
            <w:tcW w:w="1449" w:type="dxa"/>
          </w:tcPr>
          <w:p w:rsidR="007F337E" w:rsidRPr="001800B7" w:rsidRDefault="007F337E" w:rsidP="008475D2">
            <w:pPr>
              <w:spacing w:before="120" w:after="120"/>
              <w:rPr>
                <w:szCs w:val="22"/>
              </w:rPr>
            </w:pPr>
            <w:r w:rsidRPr="001800B7">
              <w:rPr>
                <w:szCs w:val="22"/>
              </w:rPr>
              <w:t>****</w:t>
            </w:r>
          </w:p>
        </w:tc>
      </w:tr>
      <w:tr w:rsidR="001800B7" w:rsidRPr="001800B7" w:rsidTr="007F337E">
        <w:tc>
          <w:tcPr>
            <w:tcW w:w="2366" w:type="dxa"/>
          </w:tcPr>
          <w:p w:rsidR="007F337E" w:rsidRPr="001800B7" w:rsidRDefault="007F337E" w:rsidP="008475D2">
            <w:pPr>
              <w:spacing w:before="120" w:after="120"/>
              <w:rPr>
                <w:szCs w:val="22"/>
              </w:rPr>
            </w:pPr>
            <w:r w:rsidRPr="001800B7">
              <w:rPr>
                <w:bCs/>
                <w:szCs w:val="22"/>
              </w:rPr>
              <w:t>1.  Organisation de cinq réunions régionales de consultations sur le transfert de technologie</w:t>
            </w:r>
          </w:p>
        </w:tc>
        <w:tc>
          <w:tcPr>
            <w:tcW w:w="2694" w:type="dxa"/>
          </w:tcPr>
          <w:p w:rsidR="007F337E" w:rsidRPr="001800B7" w:rsidRDefault="007F337E" w:rsidP="008475D2">
            <w:pPr>
              <w:spacing w:before="120" w:after="120"/>
              <w:rPr>
                <w:szCs w:val="22"/>
              </w:rPr>
            </w:pPr>
            <w:r w:rsidRPr="001800B7">
              <w:rPr>
                <w:szCs w:val="22"/>
              </w:rPr>
              <w:t>Réunions organisées dans un délai de trois mois après la conclusion du document relatif au projet;</w:t>
            </w:r>
          </w:p>
          <w:p w:rsidR="007F337E" w:rsidRPr="001800B7" w:rsidRDefault="001800B7" w:rsidP="008475D2">
            <w:pPr>
              <w:spacing w:before="120" w:after="120"/>
              <w:rPr>
                <w:szCs w:val="22"/>
              </w:rPr>
            </w:pPr>
            <w:r w:rsidRPr="001800B7">
              <w:rPr>
                <w:szCs w:val="22"/>
              </w:rPr>
              <w:noBreakHyphen/>
            </w:r>
            <w:r w:rsidR="007F337E" w:rsidRPr="001800B7">
              <w:rPr>
                <w:szCs w:val="22"/>
              </w:rPr>
              <w:t xml:space="preserve"> Retour d</w:t>
            </w:r>
            <w:r w:rsidR="005311D6" w:rsidRPr="001800B7">
              <w:rPr>
                <w:szCs w:val="22"/>
              </w:rPr>
              <w:t>’</w:t>
            </w:r>
            <w:r w:rsidR="007F337E" w:rsidRPr="001800B7">
              <w:rPr>
                <w:szCs w:val="22"/>
              </w:rPr>
              <w:t>information de la part des participants;  et</w:t>
            </w:r>
          </w:p>
          <w:p w:rsidR="007F337E" w:rsidRPr="001800B7" w:rsidRDefault="001800B7" w:rsidP="008475D2">
            <w:pPr>
              <w:spacing w:before="120" w:after="120"/>
              <w:rPr>
                <w:szCs w:val="22"/>
              </w:rPr>
            </w:pPr>
            <w:r w:rsidRPr="001800B7">
              <w:rPr>
                <w:szCs w:val="22"/>
              </w:rPr>
              <w:noBreakHyphen/>
            </w:r>
            <w:r w:rsidR="007F337E" w:rsidRPr="001800B7">
              <w:rPr>
                <w:szCs w:val="22"/>
              </w:rPr>
              <w:t xml:space="preserve"> Observations émanant des consultations des États membres.</w:t>
            </w:r>
          </w:p>
        </w:tc>
        <w:tc>
          <w:tcPr>
            <w:tcW w:w="2976" w:type="dxa"/>
          </w:tcPr>
          <w:p w:rsidR="007F337E" w:rsidRPr="001800B7" w:rsidRDefault="007F337E" w:rsidP="007F337E">
            <w:pPr>
              <w:spacing w:before="120" w:after="120"/>
              <w:rPr>
                <w:szCs w:val="22"/>
              </w:rPr>
            </w:pPr>
            <w:r w:rsidRPr="001800B7">
              <w:rPr>
                <w:szCs w:val="22"/>
              </w:rPr>
              <w:t xml:space="preserve">Les cinq réunions régionales de consultations sur le transfert de technologie prévues ont eu lieu : la première à Singapour les 16 et 17 juillet 2012;  la deuxième à Alger les 29 et 30 janvier 2013;  la </w:t>
            </w:r>
            <w:proofErr w:type="spellStart"/>
            <w:r w:rsidRPr="001800B7">
              <w:rPr>
                <w:szCs w:val="22"/>
              </w:rPr>
              <w:t>troisìème</w:t>
            </w:r>
            <w:proofErr w:type="spellEnd"/>
            <w:r w:rsidRPr="001800B7">
              <w:rPr>
                <w:szCs w:val="22"/>
              </w:rPr>
              <w:t xml:space="preserve"> à Istanbul les 24 et 25 octobre 2013;  la quatrième à Genève les 25 et 26 novembre </w:t>
            </w:r>
            <w:r w:rsidRPr="001800B7">
              <w:rPr>
                <w:iCs/>
                <w:szCs w:val="22"/>
              </w:rPr>
              <w:t>2013;  et la cinquième à Monterrey les 5 et 6 décembre 2013.</w:t>
            </w:r>
          </w:p>
        </w:tc>
        <w:tc>
          <w:tcPr>
            <w:tcW w:w="1449" w:type="dxa"/>
          </w:tcPr>
          <w:p w:rsidR="007F337E" w:rsidRPr="001800B7" w:rsidRDefault="007F337E" w:rsidP="008475D2">
            <w:pPr>
              <w:spacing w:before="120" w:after="120"/>
              <w:rPr>
                <w:szCs w:val="22"/>
              </w:rPr>
            </w:pPr>
            <w:r w:rsidRPr="001800B7">
              <w:rPr>
                <w:szCs w:val="22"/>
              </w:rPr>
              <w:t>****</w:t>
            </w:r>
          </w:p>
        </w:tc>
      </w:tr>
      <w:tr w:rsidR="001800B7" w:rsidRPr="001800B7" w:rsidTr="007F337E">
        <w:tc>
          <w:tcPr>
            <w:tcW w:w="2366" w:type="dxa"/>
          </w:tcPr>
          <w:p w:rsidR="007F337E" w:rsidRPr="001800B7" w:rsidRDefault="007F337E" w:rsidP="008475D2">
            <w:pPr>
              <w:spacing w:before="120" w:after="120"/>
              <w:rPr>
                <w:szCs w:val="22"/>
              </w:rPr>
            </w:pPr>
            <w:r w:rsidRPr="001800B7">
              <w:rPr>
                <w:bCs/>
                <w:szCs w:val="22"/>
              </w:rPr>
              <w:t>2.  Études, études de cas et analyses</w:t>
            </w:r>
          </w:p>
        </w:tc>
        <w:tc>
          <w:tcPr>
            <w:tcW w:w="2694" w:type="dxa"/>
          </w:tcPr>
          <w:p w:rsidR="007F337E" w:rsidRPr="001800B7" w:rsidRDefault="007F337E" w:rsidP="008475D2">
            <w:pPr>
              <w:spacing w:before="120" w:after="120"/>
              <w:rPr>
                <w:szCs w:val="22"/>
              </w:rPr>
            </w:pPr>
            <w:r w:rsidRPr="001800B7">
              <w:rPr>
                <w:szCs w:val="22"/>
              </w:rPr>
              <w:t>Réalisation des études et des analyses, selon le calendrier établi et les critères prescrits dans le mandat.</w:t>
            </w:r>
          </w:p>
        </w:tc>
        <w:tc>
          <w:tcPr>
            <w:tcW w:w="2976" w:type="dxa"/>
          </w:tcPr>
          <w:p w:rsidR="007F337E" w:rsidRPr="001800B7" w:rsidRDefault="007F337E" w:rsidP="007F337E">
            <w:pPr>
              <w:spacing w:before="120" w:after="120"/>
              <w:rPr>
                <w:szCs w:val="22"/>
              </w:rPr>
            </w:pPr>
            <w:r w:rsidRPr="001800B7">
              <w:rPr>
                <w:szCs w:val="22"/>
              </w:rPr>
              <w:t>Au total, six études analytiques ont été commandées par le Secrétariat, et les versions définitives des six études ont été reçues avant la fin de la première semaine de septembre 2014.  Les six études ont été examinées par des experts internationaux et les auteurs de ces études ont eu l</w:t>
            </w:r>
            <w:r w:rsidR="005311D6" w:rsidRPr="001800B7">
              <w:rPr>
                <w:szCs w:val="22"/>
              </w:rPr>
              <w:t>’</w:t>
            </w:r>
            <w:r w:rsidRPr="001800B7">
              <w:rPr>
                <w:szCs w:val="22"/>
              </w:rPr>
              <w:t>occasion d</w:t>
            </w:r>
            <w:r w:rsidR="005311D6" w:rsidRPr="001800B7">
              <w:rPr>
                <w:szCs w:val="22"/>
              </w:rPr>
              <w:t>’</w:t>
            </w:r>
            <w:r w:rsidRPr="001800B7">
              <w:rPr>
                <w:szCs w:val="22"/>
              </w:rPr>
              <w:t xml:space="preserve">intégrer les </w:t>
            </w:r>
            <w:r w:rsidRPr="001800B7">
              <w:rPr>
                <w:szCs w:val="22"/>
              </w:rPr>
              <w:lastRenderedPageBreak/>
              <w:t>suggestions émanant du processus d</w:t>
            </w:r>
            <w:r w:rsidR="005311D6" w:rsidRPr="001800B7">
              <w:rPr>
                <w:szCs w:val="22"/>
              </w:rPr>
              <w:t>’</w:t>
            </w:r>
            <w:r w:rsidRPr="001800B7">
              <w:rPr>
                <w:szCs w:val="22"/>
              </w:rPr>
              <w:t>examen par des pairs.  Les deux versions finales des études de même que les observations formulées par les examinateurs sont mises à la disposition du CDIP/14.</w:t>
            </w:r>
          </w:p>
        </w:tc>
        <w:tc>
          <w:tcPr>
            <w:tcW w:w="1449" w:type="dxa"/>
          </w:tcPr>
          <w:p w:rsidR="007F337E" w:rsidRPr="001800B7" w:rsidRDefault="007F337E" w:rsidP="008475D2">
            <w:pPr>
              <w:spacing w:before="120" w:after="120"/>
              <w:rPr>
                <w:szCs w:val="22"/>
              </w:rPr>
            </w:pPr>
            <w:r w:rsidRPr="001800B7">
              <w:rPr>
                <w:szCs w:val="22"/>
              </w:rPr>
              <w:lastRenderedPageBreak/>
              <w:t>****</w:t>
            </w:r>
          </w:p>
        </w:tc>
      </w:tr>
      <w:tr w:rsidR="001800B7" w:rsidRPr="001800B7" w:rsidTr="007F337E">
        <w:tc>
          <w:tcPr>
            <w:tcW w:w="2366" w:type="dxa"/>
          </w:tcPr>
          <w:p w:rsidR="007F337E" w:rsidRPr="001800B7" w:rsidRDefault="007F337E" w:rsidP="008475D2">
            <w:pPr>
              <w:spacing w:before="120" w:after="120"/>
              <w:rPr>
                <w:bCs/>
                <w:szCs w:val="22"/>
              </w:rPr>
            </w:pPr>
            <w:r w:rsidRPr="001800B7">
              <w:rPr>
                <w:bCs/>
                <w:szCs w:val="22"/>
              </w:rPr>
              <w:lastRenderedPageBreak/>
              <w:t>3.  Document de fond</w:t>
            </w:r>
          </w:p>
        </w:tc>
        <w:tc>
          <w:tcPr>
            <w:tcW w:w="2694" w:type="dxa"/>
          </w:tcPr>
          <w:p w:rsidR="007F337E" w:rsidRPr="001800B7" w:rsidRDefault="007F337E" w:rsidP="008475D2">
            <w:pPr>
              <w:spacing w:before="120" w:after="120"/>
              <w:rPr>
                <w:szCs w:val="22"/>
              </w:rPr>
            </w:pPr>
            <w:r w:rsidRPr="001800B7">
              <w:rPr>
                <w:szCs w:val="22"/>
              </w:rPr>
              <w:t>Projet d</w:t>
            </w:r>
            <w:r w:rsidR="005311D6" w:rsidRPr="001800B7">
              <w:rPr>
                <w:szCs w:val="22"/>
              </w:rPr>
              <w:t>’</w:t>
            </w:r>
            <w:r w:rsidRPr="001800B7">
              <w:rPr>
                <w:szCs w:val="22"/>
              </w:rPr>
              <w:t>un document de fond sur l</w:t>
            </w:r>
            <w:r w:rsidR="005311D6" w:rsidRPr="001800B7">
              <w:rPr>
                <w:szCs w:val="22"/>
              </w:rPr>
              <w:t>’</w:t>
            </w:r>
            <w:r w:rsidRPr="001800B7">
              <w:rPr>
                <w:szCs w:val="22"/>
              </w:rPr>
              <w:t>élaboration de solutions comme base de discussion au Forum d</w:t>
            </w:r>
            <w:r w:rsidR="005311D6" w:rsidRPr="001800B7">
              <w:rPr>
                <w:szCs w:val="22"/>
              </w:rPr>
              <w:t>’</w:t>
            </w:r>
            <w:r w:rsidRPr="001800B7">
              <w:rPr>
                <w:szCs w:val="22"/>
              </w:rPr>
              <w:t>experts internationaux de haut niveau, qui sera soumis au CDIP pour approbation</w:t>
            </w:r>
          </w:p>
        </w:tc>
        <w:tc>
          <w:tcPr>
            <w:tcW w:w="2976" w:type="dxa"/>
          </w:tcPr>
          <w:p w:rsidR="007F337E" w:rsidRPr="001800B7" w:rsidRDefault="007F337E" w:rsidP="007F337E">
            <w:pPr>
              <w:spacing w:before="120" w:after="120"/>
              <w:rPr>
                <w:szCs w:val="22"/>
              </w:rPr>
            </w:pPr>
            <w:r w:rsidRPr="001800B7">
              <w:rPr>
                <w:szCs w:val="22"/>
              </w:rPr>
              <w:t xml:space="preserve">Une première version du document de fond a été préparée, qui donne des informations générales sur le projet et un résumé des divers résultats du projet (notamment les réunions régionales de consultations et les études analytiques examinées par des pairs).  En outre, comme en était convenu le comité (voir document </w:t>
            </w:r>
            <w:hyperlink r:id="rId28" w:history="1">
              <w:r w:rsidRPr="001800B7">
                <w:rPr>
                  <w:rStyle w:val="Hyperlink"/>
                  <w:color w:val="auto"/>
                  <w:szCs w:val="22"/>
                </w:rPr>
                <w:t>CDIP/9/INF/4</w:t>
              </w:r>
            </w:hyperlink>
            <w:r w:rsidRPr="001800B7">
              <w:rPr>
                <w:szCs w:val="22"/>
              </w:rPr>
              <w:t>, paragraphe 66), avant de soumettre les documents de fond à l</w:t>
            </w:r>
            <w:r w:rsidR="005311D6" w:rsidRPr="001800B7">
              <w:rPr>
                <w:szCs w:val="22"/>
              </w:rPr>
              <w:t>’</w:t>
            </w:r>
            <w:r w:rsidRPr="001800B7">
              <w:rPr>
                <w:szCs w:val="22"/>
              </w:rPr>
              <w:t>approbation du CDIP à sa session courante, un avant</w:t>
            </w:r>
            <w:r w:rsidR="001800B7" w:rsidRPr="001800B7">
              <w:rPr>
                <w:szCs w:val="22"/>
              </w:rPr>
              <w:noBreakHyphen/>
            </w:r>
            <w:r w:rsidRPr="001800B7">
              <w:rPr>
                <w:szCs w:val="22"/>
              </w:rPr>
              <w:t>projet du document de fond a été présenté à une séance d</w:t>
            </w:r>
            <w:r w:rsidR="005311D6" w:rsidRPr="001800B7">
              <w:rPr>
                <w:szCs w:val="22"/>
              </w:rPr>
              <w:t>’</w:t>
            </w:r>
            <w:r w:rsidRPr="001800B7">
              <w:rPr>
                <w:szCs w:val="22"/>
              </w:rPr>
              <w:t>information informelle aux missions permanentes des États membres à Genève le 1</w:t>
            </w:r>
            <w:r w:rsidRPr="001800B7">
              <w:rPr>
                <w:szCs w:val="22"/>
                <w:vertAlign w:val="superscript"/>
              </w:rPr>
              <w:t>er</w:t>
            </w:r>
            <w:r w:rsidRPr="001800B7">
              <w:rPr>
                <w:szCs w:val="22"/>
              </w:rPr>
              <w:t xml:space="preserve"> septembre 2014.  De plus, avant la session courante du CDIP, et comme en était convenu le comité (voir document </w:t>
            </w:r>
            <w:hyperlink r:id="rId29" w:history="1">
              <w:r w:rsidRPr="001800B7">
                <w:rPr>
                  <w:rStyle w:val="Hyperlink"/>
                  <w:color w:val="auto"/>
                  <w:szCs w:val="22"/>
                </w:rPr>
                <w:t>CDIP/9/INF/4</w:t>
              </w:r>
            </w:hyperlink>
            <w:r w:rsidRPr="001800B7">
              <w:rPr>
                <w:szCs w:val="22"/>
              </w:rPr>
              <w:t>, paragraphe 66), une réunion d</w:t>
            </w:r>
            <w:r w:rsidR="005311D6" w:rsidRPr="001800B7">
              <w:rPr>
                <w:szCs w:val="22"/>
              </w:rPr>
              <w:t>’</w:t>
            </w:r>
            <w:r w:rsidRPr="001800B7">
              <w:rPr>
                <w:szCs w:val="22"/>
              </w:rPr>
              <w:t>une journée avec des organisations intergouvernementales et non gouvernementales et des associations professionnelles aura lieu au début d</w:t>
            </w:r>
            <w:r w:rsidR="005311D6" w:rsidRPr="001800B7">
              <w:rPr>
                <w:szCs w:val="22"/>
              </w:rPr>
              <w:t>’</w:t>
            </w:r>
            <w:r w:rsidRPr="001800B7">
              <w:rPr>
                <w:szCs w:val="22"/>
              </w:rPr>
              <w:t>octobre 2014.  Le Secrétariat présentera un rapport verbal au CDIP sur les commentaires suscités par le document de fond et reçus à l</w:t>
            </w:r>
            <w:r w:rsidR="005311D6" w:rsidRPr="001800B7">
              <w:rPr>
                <w:szCs w:val="22"/>
              </w:rPr>
              <w:t>’</w:t>
            </w:r>
            <w:r w:rsidRPr="001800B7">
              <w:rPr>
                <w:szCs w:val="22"/>
              </w:rPr>
              <w:t>occasion de cette réunion d</w:t>
            </w:r>
            <w:r w:rsidR="005311D6" w:rsidRPr="001800B7">
              <w:rPr>
                <w:szCs w:val="22"/>
              </w:rPr>
              <w:t>’</w:t>
            </w:r>
            <w:r w:rsidRPr="001800B7">
              <w:rPr>
                <w:szCs w:val="22"/>
              </w:rPr>
              <w:t>une journée.</w:t>
            </w:r>
          </w:p>
        </w:tc>
        <w:tc>
          <w:tcPr>
            <w:tcW w:w="1449" w:type="dxa"/>
          </w:tcPr>
          <w:p w:rsidR="007F337E" w:rsidRPr="001800B7" w:rsidRDefault="007F337E" w:rsidP="008475D2">
            <w:pPr>
              <w:spacing w:before="120" w:after="120"/>
              <w:rPr>
                <w:szCs w:val="22"/>
              </w:rPr>
            </w:pPr>
            <w:r w:rsidRPr="001800B7">
              <w:rPr>
                <w:szCs w:val="22"/>
              </w:rPr>
              <w:t>****</w:t>
            </w:r>
          </w:p>
        </w:tc>
      </w:tr>
      <w:tr w:rsidR="001800B7" w:rsidRPr="001800B7" w:rsidTr="007F337E">
        <w:tc>
          <w:tcPr>
            <w:tcW w:w="2366" w:type="dxa"/>
          </w:tcPr>
          <w:p w:rsidR="007F337E" w:rsidRPr="001800B7" w:rsidRDefault="007F337E" w:rsidP="008475D2">
            <w:pPr>
              <w:spacing w:before="120" w:after="120"/>
              <w:rPr>
                <w:bCs/>
                <w:szCs w:val="22"/>
              </w:rPr>
            </w:pPr>
            <w:r w:rsidRPr="001800B7">
              <w:rPr>
                <w:bCs/>
                <w:szCs w:val="22"/>
              </w:rPr>
              <w:lastRenderedPageBreak/>
              <w:t>4.  Matériels du Forum</w:t>
            </w:r>
          </w:p>
        </w:tc>
        <w:tc>
          <w:tcPr>
            <w:tcW w:w="2694" w:type="dxa"/>
          </w:tcPr>
          <w:p w:rsidR="007F337E" w:rsidRPr="001800B7" w:rsidRDefault="007F337E" w:rsidP="008475D2">
            <w:pPr>
              <w:spacing w:before="120" w:after="120"/>
              <w:rPr>
                <w:szCs w:val="22"/>
              </w:rPr>
            </w:pPr>
            <w:r w:rsidRPr="001800B7">
              <w:rPr>
                <w:szCs w:val="22"/>
              </w:rPr>
              <w:t>Constitution et la fourniture d</w:t>
            </w:r>
            <w:r w:rsidR="005311D6" w:rsidRPr="001800B7">
              <w:rPr>
                <w:szCs w:val="22"/>
              </w:rPr>
              <w:t>’</w:t>
            </w:r>
            <w:r w:rsidRPr="001800B7">
              <w:rPr>
                <w:szCs w:val="22"/>
              </w:rPr>
              <w:t>éléments d</w:t>
            </w:r>
            <w:r w:rsidR="005311D6" w:rsidRPr="001800B7">
              <w:rPr>
                <w:szCs w:val="22"/>
              </w:rPr>
              <w:t>’</w:t>
            </w:r>
            <w:r w:rsidRPr="001800B7">
              <w:rPr>
                <w:szCs w:val="22"/>
              </w:rPr>
              <w:t>information, de modules, d</w:t>
            </w:r>
            <w:r w:rsidR="005311D6" w:rsidRPr="001800B7">
              <w:rPr>
                <w:szCs w:val="22"/>
              </w:rPr>
              <w:t>’</w:t>
            </w:r>
            <w:r w:rsidRPr="001800B7">
              <w:rPr>
                <w:szCs w:val="22"/>
              </w:rPr>
              <w:t>instruments d</w:t>
            </w:r>
            <w:r w:rsidR="005311D6" w:rsidRPr="001800B7">
              <w:rPr>
                <w:szCs w:val="22"/>
              </w:rPr>
              <w:t>’</w:t>
            </w:r>
            <w:r w:rsidRPr="001800B7">
              <w:rPr>
                <w:szCs w:val="22"/>
              </w:rPr>
              <w:t>apprentissage et d</w:t>
            </w:r>
            <w:r w:rsidR="005311D6" w:rsidRPr="001800B7">
              <w:rPr>
                <w:szCs w:val="22"/>
              </w:rPr>
              <w:t>’</w:t>
            </w:r>
            <w:r w:rsidRPr="001800B7">
              <w:rPr>
                <w:szCs w:val="22"/>
              </w:rPr>
              <w:t>autres instruments à la suite des recommandations adoptées à la réunion d</w:t>
            </w:r>
            <w:r w:rsidR="005311D6" w:rsidRPr="001800B7">
              <w:rPr>
                <w:szCs w:val="22"/>
              </w:rPr>
              <w:t>’</w:t>
            </w:r>
            <w:r w:rsidRPr="001800B7">
              <w:rPr>
                <w:szCs w:val="22"/>
              </w:rPr>
              <w:t>experts</w:t>
            </w:r>
          </w:p>
        </w:tc>
        <w:tc>
          <w:tcPr>
            <w:tcW w:w="2976" w:type="dxa"/>
          </w:tcPr>
          <w:p w:rsidR="007F337E" w:rsidRPr="001800B7" w:rsidRDefault="007F337E" w:rsidP="007F337E">
            <w:pPr>
              <w:spacing w:before="120" w:after="120"/>
              <w:rPr>
                <w:szCs w:val="22"/>
              </w:rPr>
            </w:pPr>
            <w:r w:rsidRPr="001800B7">
              <w:rPr>
                <w:szCs w:val="22"/>
              </w:rPr>
              <w:t>Prématuré à ce stade.  Les matériels d</w:t>
            </w:r>
            <w:r w:rsidR="005311D6" w:rsidRPr="001800B7">
              <w:rPr>
                <w:szCs w:val="22"/>
              </w:rPr>
              <w:t>’</w:t>
            </w:r>
            <w:r w:rsidRPr="001800B7">
              <w:rPr>
                <w:szCs w:val="22"/>
              </w:rPr>
              <w:t>information et instruments d</w:t>
            </w:r>
            <w:r w:rsidR="005311D6" w:rsidRPr="001800B7">
              <w:rPr>
                <w:szCs w:val="22"/>
              </w:rPr>
              <w:t>’</w:t>
            </w:r>
            <w:r w:rsidRPr="001800B7">
              <w:rPr>
                <w:szCs w:val="22"/>
              </w:rPr>
              <w:t>apprentissage résultant des consultations régionales et des études commandées sont déjà en cours d</w:t>
            </w:r>
            <w:r w:rsidR="005311D6" w:rsidRPr="001800B7">
              <w:rPr>
                <w:szCs w:val="22"/>
              </w:rPr>
              <w:t>’</w:t>
            </w:r>
            <w:r w:rsidRPr="001800B7">
              <w:rPr>
                <w:szCs w:val="22"/>
              </w:rPr>
              <w:t>élaboration.</w:t>
            </w:r>
          </w:p>
        </w:tc>
        <w:tc>
          <w:tcPr>
            <w:tcW w:w="1449" w:type="dxa"/>
          </w:tcPr>
          <w:p w:rsidR="007F337E" w:rsidRPr="001800B7" w:rsidRDefault="007F337E" w:rsidP="008475D2">
            <w:pPr>
              <w:spacing w:before="120" w:after="120"/>
              <w:rPr>
                <w:szCs w:val="22"/>
              </w:rPr>
            </w:pPr>
            <w:r w:rsidRPr="001800B7">
              <w:rPr>
                <w:szCs w:val="22"/>
              </w:rPr>
              <w:t>N.D.</w:t>
            </w:r>
          </w:p>
        </w:tc>
      </w:tr>
      <w:tr w:rsidR="001800B7" w:rsidRPr="001800B7" w:rsidTr="007F337E">
        <w:tc>
          <w:tcPr>
            <w:tcW w:w="2366" w:type="dxa"/>
          </w:tcPr>
          <w:p w:rsidR="007F337E" w:rsidRPr="001800B7" w:rsidRDefault="007F337E" w:rsidP="008475D2">
            <w:pPr>
              <w:spacing w:before="120" w:after="120"/>
              <w:rPr>
                <w:bCs/>
                <w:szCs w:val="22"/>
              </w:rPr>
            </w:pPr>
            <w:r w:rsidRPr="001800B7">
              <w:rPr>
                <w:bCs/>
                <w:szCs w:val="22"/>
              </w:rPr>
              <w:t>5.  Organisation d</w:t>
            </w:r>
            <w:r w:rsidR="005311D6" w:rsidRPr="001800B7">
              <w:rPr>
                <w:bCs/>
                <w:szCs w:val="22"/>
              </w:rPr>
              <w:t>’</w:t>
            </w:r>
            <w:r w:rsidRPr="001800B7">
              <w:rPr>
                <w:bCs/>
                <w:szCs w:val="22"/>
              </w:rPr>
              <w:t>un forum d</w:t>
            </w:r>
            <w:r w:rsidR="005311D6" w:rsidRPr="001800B7">
              <w:rPr>
                <w:bCs/>
                <w:szCs w:val="22"/>
              </w:rPr>
              <w:t>’</w:t>
            </w:r>
            <w:r w:rsidRPr="001800B7">
              <w:rPr>
                <w:bCs/>
                <w:szCs w:val="22"/>
              </w:rPr>
              <w:t>experts de haut niveau</w:t>
            </w:r>
          </w:p>
          <w:p w:rsidR="007F337E" w:rsidRPr="001800B7" w:rsidRDefault="007F337E" w:rsidP="008475D2">
            <w:pPr>
              <w:spacing w:before="120" w:after="120"/>
              <w:rPr>
                <w:bCs/>
                <w:szCs w:val="22"/>
              </w:rPr>
            </w:pPr>
          </w:p>
        </w:tc>
        <w:tc>
          <w:tcPr>
            <w:tcW w:w="2694" w:type="dxa"/>
          </w:tcPr>
          <w:p w:rsidR="007F337E" w:rsidRPr="001800B7" w:rsidRDefault="007F337E" w:rsidP="008475D2">
            <w:pPr>
              <w:spacing w:before="120" w:after="120"/>
              <w:rPr>
                <w:szCs w:val="22"/>
              </w:rPr>
            </w:pPr>
            <w:r w:rsidRPr="001800B7">
              <w:rPr>
                <w:szCs w:val="22"/>
              </w:rPr>
              <w:t>Forum d</w:t>
            </w:r>
            <w:r w:rsidR="005311D6" w:rsidRPr="001800B7">
              <w:rPr>
                <w:szCs w:val="22"/>
              </w:rPr>
              <w:t>’</w:t>
            </w:r>
            <w:r w:rsidRPr="001800B7">
              <w:rPr>
                <w:szCs w:val="22"/>
              </w:rPr>
              <w:t>experts de haut niveau organisé dans un délai de six mois après la fin des études;</w:t>
            </w:r>
          </w:p>
          <w:p w:rsidR="007F337E" w:rsidRPr="001800B7" w:rsidRDefault="001800B7" w:rsidP="008475D2">
            <w:pPr>
              <w:spacing w:before="120" w:after="120"/>
              <w:rPr>
                <w:szCs w:val="22"/>
              </w:rPr>
            </w:pPr>
            <w:r w:rsidRPr="001800B7">
              <w:rPr>
                <w:szCs w:val="22"/>
              </w:rPr>
              <w:noBreakHyphen/>
            </w:r>
            <w:r w:rsidR="007F337E" w:rsidRPr="001800B7">
              <w:rPr>
                <w:szCs w:val="22"/>
              </w:rPr>
              <w:t xml:space="preserve"> Taux de participation élevé au Forum;</w:t>
            </w:r>
          </w:p>
          <w:p w:rsidR="007F337E" w:rsidRPr="001800B7" w:rsidRDefault="001800B7" w:rsidP="008475D2">
            <w:pPr>
              <w:spacing w:before="120" w:after="120"/>
              <w:rPr>
                <w:szCs w:val="22"/>
              </w:rPr>
            </w:pPr>
            <w:r w:rsidRPr="001800B7">
              <w:rPr>
                <w:szCs w:val="22"/>
              </w:rPr>
              <w:noBreakHyphen/>
            </w:r>
            <w:r w:rsidR="007F337E" w:rsidRPr="001800B7">
              <w:rPr>
                <w:szCs w:val="22"/>
              </w:rPr>
              <w:t xml:space="preserve"> Retour d</w:t>
            </w:r>
            <w:r w:rsidR="005311D6" w:rsidRPr="001800B7">
              <w:rPr>
                <w:szCs w:val="22"/>
              </w:rPr>
              <w:t>’</w:t>
            </w:r>
            <w:r w:rsidR="007F337E" w:rsidRPr="001800B7">
              <w:rPr>
                <w:szCs w:val="22"/>
              </w:rPr>
              <w:t>information positif, de la part des participants, sur le document de fond et les études;  et</w:t>
            </w:r>
          </w:p>
          <w:p w:rsidR="007F337E" w:rsidRPr="001800B7" w:rsidRDefault="001800B7" w:rsidP="008475D2">
            <w:pPr>
              <w:spacing w:before="120" w:after="120"/>
              <w:rPr>
                <w:szCs w:val="22"/>
              </w:rPr>
            </w:pPr>
            <w:r w:rsidRPr="001800B7">
              <w:rPr>
                <w:szCs w:val="22"/>
              </w:rPr>
              <w:noBreakHyphen/>
            </w:r>
            <w:r w:rsidR="007F337E" w:rsidRPr="001800B7">
              <w:rPr>
                <w:szCs w:val="22"/>
              </w:rPr>
              <w:t xml:space="preserve"> Forum aboutissant à l</w:t>
            </w:r>
            <w:r w:rsidR="005311D6" w:rsidRPr="001800B7">
              <w:rPr>
                <w:szCs w:val="22"/>
              </w:rPr>
              <w:t>’</w:t>
            </w:r>
            <w:r w:rsidR="007F337E" w:rsidRPr="001800B7">
              <w:rPr>
                <w:szCs w:val="22"/>
              </w:rPr>
              <w:t>adoption d</w:t>
            </w:r>
            <w:r w:rsidR="005311D6" w:rsidRPr="001800B7">
              <w:rPr>
                <w:szCs w:val="22"/>
              </w:rPr>
              <w:t>’</w:t>
            </w:r>
            <w:r w:rsidR="007F337E" w:rsidRPr="001800B7">
              <w:rPr>
                <w:szCs w:val="22"/>
              </w:rPr>
              <w:t>une liste de propositions, recommandations et mesures éventuelles de promotion du transfert de technologie après consultations avec les États membres.</w:t>
            </w:r>
          </w:p>
        </w:tc>
        <w:tc>
          <w:tcPr>
            <w:tcW w:w="2976" w:type="dxa"/>
          </w:tcPr>
          <w:p w:rsidR="007F337E" w:rsidRPr="001800B7" w:rsidRDefault="007F337E" w:rsidP="007F337E">
            <w:pPr>
              <w:spacing w:before="120" w:after="120"/>
              <w:rPr>
                <w:szCs w:val="22"/>
              </w:rPr>
            </w:pPr>
            <w:r w:rsidRPr="001800B7">
              <w:rPr>
                <w:szCs w:val="22"/>
              </w:rPr>
              <w:t>Le Forum d</w:t>
            </w:r>
            <w:r w:rsidR="005311D6" w:rsidRPr="001800B7">
              <w:rPr>
                <w:szCs w:val="22"/>
              </w:rPr>
              <w:t>’</w:t>
            </w:r>
            <w:r w:rsidRPr="001800B7">
              <w:rPr>
                <w:szCs w:val="22"/>
              </w:rPr>
              <w:t>experts internationaux de haut niveau est prévu à la fin du projet durant le premier trimestre de 2015, après l</w:t>
            </w:r>
            <w:r w:rsidR="005311D6" w:rsidRPr="001800B7">
              <w:rPr>
                <w:szCs w:val="22"/>
              </w:rPr>
              <w:t>’</w:t>
            </w:r>
            <w:r w:rsidRPr="001800B7">
              <w:rPr>
                <w:szCs w:val="22"/>
              </w:rPr>
              <w:t>approbation par le CDIP, à sa session de novembre 2014, du document théorique.</w:t>
            </w:r>
          </w:p>
        </w:tc>
        <w:tc>
          <w:tcPr>
            <w:tcW w:w="1449" w:type="dxa"/>
          </w:tcPr>
          <w:p w:rsidR="007F337E" w:rsidRPr="001800B7" w:rsidRDefault="007F337E" w:rsidP="008475D2">
            <w:pPr>
              <w:spacing w:before="120" w:after="120"/>
              <w:rPr>
                <w:szCs w:val="22"/>
              </w:rPr>
            </w:pPr>
            <w:r w:rsidRPr="001800B7">
              <w:rPr>
                <w:szCs w:val="22"/>
              </w:rPr>
              <w:t>**</w:t>
            </w:r>
          </w:p>
        </w:tc>
      </w:tr>
      <w:tr w:rsidR="001800B7" w:rsidRPr="001800B7" w:rsidTr="007F337E">
        <w:tc>
          <w:tcPr>
            <w:tcW w:w="2366" w:type="dxa"/>
          </w:tcPr>
          <w:p w:rsidR="007F337E" w:rsidRPr="001800B7" w:rsidRDefault="007F337E" w:rsidP="008475D2">
            <w:pPr>
              <w:spacing w:before="120" w:after="120"/>
              <w:rPr>
                <w:bCs/>
                <w:szCs w:val="22"/>
              </w:rPr>
            </w:pPr>
            <w:r w:rsidRPr="001800B7">
              <w:rPr>
                <w:bCs/>
                <w:szCs w:val="22"/>
              </w:rPr>
              <w:t>6.  Création et utilisation d</w:t>
            </w:r>
            <w:r w:rsidR="005311D6" w:rsidRPr="001800B7">
              <w:rPr>
                <w:bCs/>
                <w:szCs w:val="22"/>
              </w:rPr>
              <w:t>’</w:t>
            </w:r>
            <w:r w:rsidRPr="001800B7">
              <w:rPr>
                <w:bCs/>
                <w:szCs w:val="22"/>
              </w:rPr>
              <w:t>un forum sur le Web</w:t>
            </w:r>
          </w:p>
        </w:tc>
        <w:tc>
          <w:tcPr>
            <w:tcW w:w="2694" w:type="dxa"/>
          </w:tcPr>
          <w:p w:rsidR="007F337E" w:rsidRPr="001800B7" w:rsidRDefault="001800B7" w:rsidP="008475D2">
            <w:pPr>
              <w:spacing w:before="120" w:after="120"/>
              <w:rPr>
                <w:szCs w:val="22"/>
              </w:rPr>
            </w:pPr>
            <w:r w:rsidRPr="001800B7">
              <w:rPr>
                <w:szCs w:val="22"/>
              </w:rPr>
              <w:noBreakHyphen/>
            </w:r>
            <w:r w:rsidR="007F337E" w:rsidRPr="001800B7">
              <w:rPr>
                <w:szCs w:val="22"/>
              </w:rPr>
              <w:t xml:space="preserve"> Mise en service du forum sur le Web à un stade précoce;</w:t>
            </w:r>
          </w:p>
          <w:p w:rsidR="007F337E" w:rsidRPr="001800B7" w:rsidRDefault="001800B7" w:rsidP="008475D2">
            <w:pPr>
              <w:spacing w:before="120" w:after="120"/>
              <w:rPr>
                <w:szCs w:val="22"/>
              </w:rPr>
            </w:pPr>
            <w:r w:rsidRPr="001800B7">
              <w:rPr>
                <w:szCs w:val="22"/>
              </w:rPr>
              <w:noBreakHyphen/>
            </w:r>
            <w:r w:rsidR="007F337E" w:rsidRPr="001800B7">
              <w:rPr>
                <w:szCs w:val="22"/>
              </w:rPr>
              <w:t xml:space="preserve"> Nombre d</w:t>
            </w:r>
            <w:r w:rsidR="005311D6" w:rsidRPr="001800B7">
              <w:rPr>
                <w:szCs w:val="22"/>
              </w:rPr>
              <w:t>’</w:t>
            </w:r>
            <w:r w:rsidR="007F337E" w:rsidRPr="001800B7">
              <w:rPr>
                <w:szCs w:val="22"/>
              </w:rPr>
              <w:t>utilisateurs et retour d</w:t>
            </w:r>
            <w:r w:rsidR="005311D6" w:rsidRPr="001800B7">
              <w:rPr>
                <w:szCs w:val="22"/>
              </w:rPr>
              <w:t>’</w:t>
            </w:r>
            <w:r w:rsidR="007F337E" w:rsidRPr="001800B7">
              <w:rPr>
                <w:szCs w:val="22"/>
              </w:rPr>
              <w:t>information sur la qualité du forum de la part des utilisateurs;  et</w:t>
            </w:r>
          </w:p>
          <w:p w:rsidR="007F337E" w:rsidRPr="001800B7" w:rsidRDefault="001800B7" w:rsidP="008475D2">
            <w:pPr>
              <w:spacing w:before="120" w:after="120"/>
              <w:rPr>
                <w:szCs w:val="22"/>
              </w:rPr>
            </w:pPr>
            <w:r w:rsidRPr="001800B7">
              <w:rPr>
                <w:szCs w:val="22"/>
              </w:rPr>
              <w:noBreakHyphen/>
            </w:r>
            <w:r w:rsidR="007F337E" w:rsidRPr="001800B7">
              <w:rPr>
                <w:szCs w:val="22"/>
              </w:rPr>
              <w:t xml:space="preserve"> Compilation et analyse des débats publics sur le forum électronique.</w:t>
            </w:r>
          </w:p>
        </w:tc>
        <w:tc>
          <w:tcPr>
            <w:tcW w:w="2976" w:type="dxa"/>
          </w:tcPr>
          <w:p w:rsidR="007F337E" w:rsidRPr="001800B7" w:rsidRDefault="007F337E" w:rsidP="007F337E">
            <w:pPr>
              <w:spacing w:before="120" w:after="120"/>
              <w:rPr>
                <w:szCs w:val="22"/>
              </w:rPr>
            </w:pPr>
            <w:r w:rsidRPr="001800B7">
              <w:rPr>
                <w:szCs w:val="22"/>
              </w:rPr>
              <w:t>Prématuré à ce stade.  Le Forum sur le Web est en cours d</w:t>
            </w:r>
            <w:r w:rsidR="005311D6" w:rsidRPr="001800B7">
              <w:rPr>
                <w:szCs w:val="22"/>
              </w:rPr>
              <w:t>’</w:t>
            </w:r>
            <w:r w:rsidRPr="001800B7">
              <w:rPr>
                <w:szCs w:val="22"/>
              </w:rPr>
              <w:t>incorporation dans le portail déjà créé et la Structure d</w:t>
            </w:r>
            <w:r w:rsidR="005311D6" w:rsidRPr="001800B7">
              <w:rPr>
                <w:szCs w:val="22"/>
              </w:rPr>
              <w:t>’</w:t>
            </w:r>
            <w:r w:rsidRPr="001800B7">
              <w:rPr>
                <w:szCs w:val="22"/>
              </w:rPr>
              <w:t>appui à l</w:t>
            </w:r>
            <w:r w:rsidR="005311D6" w:rsidRPr="001800B7">
              <w:rPr>
                <w:szCs w:val="22"/>
              </w:rPr>
              <w:t>’</w:t>
            </w:r>
            <w:r w:rsidRPr="001800B7">
              <w:rPr>
                <w:szCs w:val="22"/>
              </w:rPr>
              <w:t>innovation et au transfert de technologie à l</w:t>
            </w:r>
            <w:r w:rsidR="005311D6" w:rsidRPr="001800B7">
              <w:rPr>
                <w:szCs w:val="22"/>
              </w:rPr>
              <w:t>’</w:t>
            </w:r>
            <w:r w:rsidRPr="001800B7">
              <w:rPr>
                <w:szCs w:val="22"/>
              </w:rPr>
              <w:t xml:space="preserve">intention des institutions nationales mise en place dans le cadre du projet pour la recommandation n° 10 : </w:t>
            </w:r>
            <w:hyperlink r:id="rId30" w:history="1">
              <w:r w:rsidRPr="001800B7">
                <w:rPr>
                  <w:rStyle w:val="Hyperlink"/>
                  <w:color w:val="auto"/>
                  <w:szCs w:val="22"/>
                </w:rPr>
                <w:t>http://www</w:t>
              </w:r>
              <w:r w:rsidR="001800B7" w:rsidRPr="001800B7">
                <w:rPr>
                  <w:rStyle w:val="Hyperlink"/>
                  <w:color w:val="auto"/>
                  <w:szCs w:val="22"/>
                </w:rPr>
                <w:noBreakHyphen/>
              </w:r>
              <w:r w:rsidRPr="001800B7">
                <w:rPr>
                  <w:rStyle w:val="Hyperlink"/>
                  <w:color w:val="auto"/>
                  <w:szCs w:val="22"/>
                </w:rPr>
                <w:t>ocmstest.wipo.int/innovation</w:t>
              </w:r>
            </w:hyperlink>
          </w:p>
        </w:tc>
        <w:tc>
          <w:tcPr>
            <w:tcW w:w="1449" w:type="dxa"/>
          </w:tcPr>
          <w:p w:rsidR="007F337E" w:rsidRPr="001800B7" w:rsidRDefault="007F337E" w:rsidP="008475D2">
            <w:pPr>
              <w:spacing w:before="120" w:after="120"/>
              <w:rPr>
                <w:szCs w:val="22"/>
              </w:rPr>
            </w:pPr>
            <w:r w:rsidRPr="001800B7">
              <w:rPr>
                <w:szCs w:val="22"/>
              </w:rPr>
              <w:t>N.D.</w:t>
            </w:r>
          </w:p>
        </w:tc>
      </w:tr>
      <w:tr w:rsidR="001800B7" w:rsidRPr="001800B7" w:rsidTr="007F337E">
        <w:trPr>
          <w:cantSplit/>
        </w:trPr>
        <w:tc>
          <w:tcPr>
            <w:tcW w:w="2366" w:type="dxa"/>
          </w:tcPr>
          <w:p w:rsidR="007F337E" w:rsidRPr="001800B7" w:rsidRDefault="007F337E" w:rsidP="008475D2">
            <w:pPr>
              <w:spacing w:before="120" w:after="120"/>
              <w:rPr>
                <w:bCs/>
                <w:szCs w:val="22"/>
              </w:rPr>
            </w:pPr>
            <w:r w:rsidRPr="001800B7">
              <w:rPr>
                <w:bCs/>
                <w:szCs w:val="22"/>
              </w:rPr>
              <w:lastRenderedPageBreak/>
              <w:t>7.  Renforcement des activités actuelles de l</w:t>
            </w:r>
            <w:r w:rsidR="005311D6" w:rsidRPr="001800B7">
              <w:rPr>
                <w:bCs/>
                <w:szCs w:val="22"/>
              </w:rPr>
              <w:t>’</w:t>
            </w:r>
            <w:r w:rsidRPr="001800B7">
              <w:rPr>
                <w:bCs/>
                <w:szCs w:val="22"/>
              </w:rPr>
              <w:t>OMPI visant à améliorer l</w:t>
            </w:r>
            <w:r w:rsidR="005311D6" w:rsidRPr="001800B7">
              <w:rPr>
                <w:bCs/>
                <w:szCs w:val="22"/>
              </w:rPr>
              <w:t>’</w:t>
            </w:r>
            <w:r w:rsidRPr="001800B7">
              <w:rPr>
                <w:bCs/>
                <w:szCs w:val="22"/>
              </w:rPr>
              <w:t>accès au savoir et à la technologie</w:t>
            </w:r>
          </w:p>
        </w:tc>
        <w:tc>
          <w:tcPr>
            <w:tcW w:w="2694" w:type="dxa"/>
          </w:tcPr>
          <w:p w:rsidR="007F337E" w:rsidRPr="001800B7" w:rsidRDefault="007F337E" w:rsidP="008475D2">
            <w:pPr>
              <w:spacing w:before="120" w:after="120"/>
              <w:rPr>
                <w:szCs w:val="22"/>
              </w:rPr>
            </w:pPr>
            <w:r w:rsidRPr="001800B7">
              <w:rPr>
                <w:szCs w:val="22"/>
              </w:rPr>
              <w:t>Incorporation, dans les programmes de l</w:t>
            </w:r>
            <w:r w:rsidR="005311D6" w:rsidRPr="001800B7">
              <w:rPr>
                <w:szCs w:val="22"/>
              </w:rPr>
              <w:t>’</w:t>
            </w:r>
            <w:r w:rsidRPr="001800B7">
              <w:rPr>
                <w:szCs w:val="22"/>
              </w:rPr>
              <w:t>OMPI, de tout résultat obtenu à la suite de la réalisation des activités susmentionnées, après examen par le CDIP et compte tenu de toute recommandation éventuelle du comité à l</w:t>
            </w:r>
            <w:r w:rsidR="005311D6" w:rsidRPr="001800B7">
              <w:rPr>
                <w:szCs w:val="22"/>
              </w:rPr>
              <w:t>’</w:t>
            </w:r>
            <w:r w:rsidRPr="001800B7">
              <w:rPr>
                <w:szCs w:val="22"/>
              </w:rPr>
              <w:t>Assemblée générale.</w:t>
            </w:r>
          </w:p>
        </w:tc>
        <w:tc>
          <w:tcPr>
            <w:tcW w:w="2976" w:type="dxa"/>
          </w:tcPr>
          <w:p w:rsidR="007F337E" w:rsidRPr="001800B7" w:rsidRDefault="007F337E" w:rsidP="007F337E">
            <w:pPr>
              <w:spacing w:before="120" w:after="120"/>
              <w:rPr>
                <w:szCs w:val="22"/>
              </w:rPr>
            </w:pPr>
            <w:r w:rsidRPr="001800B7">
              <w:rPr>
                <w:szCs w:val="22"/>
              </w:rPr>
              <w:t>Prématuré à ce stade</w:t>
            </w:r>
          </w:p>
        </w:tc>
        <w:tc>
          <w:tcPr>
            <w:tcW w:w="1449" w:type="dxa"/>
          </w:tcPr>
          <w:p w:rsidR="007F337E" w:rsidRPr="001800B7" w:rsidRDefault="007F337E" w:rsidP="008475D2">
            <w:pPr>
              <w:spacing w:before="120" w:after="120"/>
              <w:rPr>
                <w:szCs w:val="22"/>
              </w:rPr>
            </w:pPr>
            <w:r w:rsidRPr="001800B7">
              <w:rPr>
                <w:szCs w:val="22"/>
              </w:rPr>
              <w:t>N.D.</w:t>
            </w:r>
          </w:p>
        </w:tc>
      </w:tr>
    </w:tbl>
    <w:p w:rsidR="007F337E" w:rsidRPr="001800B7" w:rsidRDefault="007F337E" w:rsidP="007F337E">
      <w:pPr>
        <w:rPr>
          <w:szCs w:val="22"/>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5"/>
        <w:gridCol w:w="2694"/>
        <w:gridCol w:w="2976"/>
        <w:gridCol w:w="1456"/>
      </w:tblGrid>
      <w:tr w:rsidR="001800B7" w:rsidRPr="001800B7" w:rsidTr="00F30D9D">
        <w:trPr>
          <w:trHeight w:val="616"/>
          <w:tblHeader/>
        </w:trPr>
        <w:tc>
          <w:tcPr>
            <w:tcW w:w="2366" w:type="dxa"/>
            <w:shd w:val="clear" w:color="auto" w:fill="auto"/>
            <w:vAlign w:val="center"/>
          </w:tcPr>
          <w:p w:rsidR="007F337E" w:rsidRPr="001800B7" w:rsidRDefault="007F337E" w:rsidP="00F30D9D">
            <w:pPr>
              <w:spacing w:before="120" w:after="120"/>
              <w:jc w:val="center"/>
              <w:rPr>
                <w:szCs w:val="22"/>
                <w:u w:val="single"/>
              </w:rPr>
            </w:pPr>
            <w:r w:rsidRPr="001800B7">
              <w:rPr>
                <w:szCs w:val="22"/>
                <w:u w:val="single"/>
              </w:rPr>
              <w:t xml:space="preserve">Objectifs généraux </w:t>
            </w:r>
            <w:r w:rsidRPr="001800B7">
              <w:rPr>
                <w:szCs w:val="22"/>
                <w:u w:val="single"/>
              </w:rPr>
              <w:br/>
              <w:t>du projet</w:t>
            </w:r>
          </w:p>
        </w:tc>
        <w:tc>
          <w:tcPr>
            <w:tcW w:w="2694" w:type="dxa"/>
            <w:shd w:val="clear" w:color="auto" w:fill="auto"/>
            <w:vAlign w:val="center"/>
          </w:tcPr>
          <w:p w:rsidR="007F337E" w:rsidRPr="001800B7" w:rsidRDefault="007F337E" w:rsidP="00F30D9D">
            <w:pPr>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shd w:val="clear" w:color="auto" w:fill="auto"/>
            <w:vAlign w:val="center"/>
          </w:tcPr>
          <w:p w:rsidR="007F337E" w:rsidRPr="001800B7" w:rsidRDefault="007F337E" w:rsidP="00F30D9D">
            <w:pPr>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shd w:val="clear" w:color="auto" w:fill="auto"/>
            <w:vAlign w:val="center"/>
          </w:tcPr>
          <w:p w:rsidR="007F337E" w:rsidRPr="001800B7" w:rsidRDefault="007F337E" w:rsidP="00F30D9D">
            <w:pPr>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7F3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2366" w:type="dxa"/>
            <w:tcBorders>
              <w:top w:val="single" w:sz="2" w:space="0" w:color="000000"/>
              <w:left w:val="single" w:sz="2" w:space="0" w:color="000000"/>
              <w:bottom w:val="single" w:sz="2" w:space="0" w:color="000000"/>
              <w:right w:val="single" w:sz="2" w:space="0" w:color="000000"/>
            </w:tcBorders>
            <w:shd w:val="clear" w:color="auto" w:fill="auto"/>
          </w:tcPr>
          <w:p w:rsidR="00B907FC" w:rsidRPr="001800B7" w:rsidRDefault="00B907FC" w:rsidP="007F337E">
            <w:pPr>
              <w:spacing w:before="120" w:after="120"/>
              <w:rPr>
                <w:szCs w:val="22"/>
              </w:rPr>
            </w:pPr>
            <w:r w:rsidRPr="001800B7">
              <w:rPr>
                <w:szCs w:val="22"/>
              </w:rPr>
              <w:br w:type="page"/>
            </w:r>
            <w:r w:rsidR="00113BC5" w:rsidRPr="001800B7">
              <w:rPr>
                <w:szCs w:val="22"/>
              </w:rPr>
              <w:t>Étude de nouvelles solutions permettant de renforcer la collaboration internationale en matière de propriété intellectuelle, compréhension accrue des initiatives ou des politiques de propriété intellectuelle pouvant servir à améliorer le transfert de technologie.</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8475D2" w:rsidRPr="001800B7" w:rsidRDefault="00113BC5" w:rsidP="0010628F">
            <w:pPr>
              <w:pStyle w:val="ListParagraph"/>
              <w:numPr>
                <w:ilvl w:val="0"/>
                <w:numId w:val="5"/>
              </w:numPr>
              <w:spacing w:before="120" w:after="120"/>
              <w:contextualSpacing w:val="0"/>
              <w:rPr>
                <w:szCs w:val="22"/>
              </w:rPr>
            </w:pPr>
            <w:r w:rsidRPr="001800B7">
              <w:rPr>
                <w:szCs w:val="22"/>
              </w:rPr>
              <w:t>Retour d</w:t>
            </w:r>
            <w:r w:rsidR="005311D6" w:rsidRPr="001800B7">
              <w:rPr>
                <w:szCs w:val="22"/>
              </w:rPr>
              <w:t>’</w:t>
            </w:r>
            <w:r w:rsidRPr="001800B7">
              <w:rPr>
                <w:szCs w:val="22"/>
              </w:rPr>
              <w:t>information de la part du comité quant à la mesure dans laquelle la compréhension des questions a été accrue et les objectifs du projet ont été atteints;</w:t>
            </w:r>
          </w:p>
          <w:p w:rsidR="008475D2" w:rsidRPr="001800B7" w:rsidRDefault="00113BC5" w:rsidP="0010628F">
            <w:pPr>
              <w:pStyle w:val="ListParagraph"/>
              <w:numPr>
                <w:ilvl w:val="0"/>
                <w:numId w:val="5"/>
              </w:numPr>
              <w:spacing w:before="120" w:after="120"/>
              <w:contextualSpacing w:val="0"/>
              <w:rPr>
                <w:szCs w:val="22"/>
              </w:rPr>
            </w:pPr>
            <w:r w:rsidRPr="001800B7">
              <w:rPr>
                <w:szCs w:val="22"/>
              </w:rPr>
              <w:t>Adoption et utilisation concrète par les États membres de la liste des propositions, recommandations et mesures éventuelles de promotion du transfert de technologie;</w:t>
            </w:r>
          </w:p>
          <w:p w:rsidR="008475D2" w:rsidRPr="001800B7" w:rsidRDefault="00113BC5" w:rsidP="0010628F">
            <w:pPr>
              <w:pStyle w:val="ListParagraph"/>
              <w:numPr>
                <w:ilvl w:val="0"/>
                <w:numId w:val="5"/>
              </w:numPr>
              <w:spacing w:before="120" w:after="120"/>
              <w:contextualSpacing w:val="0"/>
              <w:rPr>
                <w:szCs w:val="22"/>
              </w:rPr>
            </w:pPr>
            <w:r w:rsidRPr="001800B7">
              <w:rPr>
                <w:szCs w:val="22"/>
              </w:rPr>
              <w:t>Retour d</w:t>
            </w:r>
            <w:r w:rsidR="005311D6" w:rsidRPr="001800B7">
              <w:rPr>
                <w:szCs w:val="22"/>
              </w:rPr>
              <w:t>’</w:t>
            </w:r>
            <w:r w:rsidRPr="001800B7">
              <w:rPr>
                <w:szCs w:val="22"/>
              </w:rPr>
              <w:t>information sur le contenu de la part des utilisateurs via le forum sur le Web et les questionnaires d</w:t>
            </w:r>
            <w:r w:rsidR="005311D6" w:rsidRPr="001800B7">
              <w:rPr>
                <w:szCs w:val="22"/>
              </w:rPr>
              <w:t>’</w:t>
            </w:r>
            <w:r w:rsidRPr="001800B7">
              <w:rPr>
                <w:szCs w:val="22"/>
              </w:rPr>
              <w:t>évaluation;  et</w:t>
            </w:r>
          </w:p>
          <w:p w:rsidR="00B907FC" w:rsidRPr="001800B7" w:rsidRDefault="00113BC5" w:rsidP="0010628F">
            <w:pPr>
              <w:pStyle w:val="ListParagraph"/>
              <w:numPr>
                <w:ilvl w:val="0"/>
                <w:numId w:val="5"/>
              </w:numPr>
              <w:spacing w:before="120" w:after="120"/>
              <w:contextualSpacing w:val="0"/>
              <w:rPr>
                <w:szCs w:val="22"/>
              </w:rPr>
            </w:pPr>
            <w:r w:rsidRPr="001800B7">
              <w:rPr>
                <w:szCs w:val="22"/>
              </w:rPr>
              <w:t>Utilisation générale de ce support par les pays en développement et</w:t>
            </w:r>
            <w:r w:rsidR="00456841" w:rsidRPr="001800B7">
              <w:rPr>
                <w:szCs w:val="22"/>
              </w:rPr>
              <w:t xml:space="preserve"> les PMA</w:t>
            </w:r>
            <w:r w:rsidRPr="001800B7">
              <w:rPr>
                <w:szCs w:val="22"/>
              </w:rPr>
              <w:t>.</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B907FC" w:rsidRPr="001800B7" w:rsidRDefault="00113BC5" w:rsidP="007F337E">
            <w:pPr>
              <w:spacing w:before="120" w:after="120"/>
              <w:rPr>
                <w:szCs w:val="22"/>
              </w:rPr>
            </w:pPr>
            <w:r w:rsidRPr="001800B7">
              <w:rPr>
                <w:szCs w:val="22"/>
              </w:rPr>
              <w:t>Prématuré à ce stade</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B907FC" w:rsidRPr="001800B7" w:rsidRDefault="00113BC5" w:rsidP="008475D2">
            <w:pPr>
              <w:pStyle w:val="Heading3"/>
              <w:spacing w:before="120" w:after="120"/>
              <w:rPr>
                <w:szCs w:val="22"/>
                <w:u w:val="none"/>
              </w:rPr>
            </w:pPr>
            <w:r w:rsidRPr="001800B7">
              <w:rPr>
                <w:szCs w:val="22"/>
                <w:u w:val="none"/>
              </w:rPr>
              <w:t>NE</w:t>
            </w:r>
          </w:p>
        </w:tc>
      </w:tr>
    </w:tbl>
    <w:p w:rsidR="008475D2" w:rsidRPr="001800B7" w:rsidRDefault="008475D2" w:rsidP="007F337E">
      <w:pPr>
        <w:rPr>
          <w:szCs w:val="22"/>
        </w:rPr>
      </w:pPr>
    </w:p>
    <w:p w:rsidR="007F337E" w:rsidRPr="001800B7" w:rsidRDefault="007F337E" w:rsidP="007F337E">
      <w:pPr>
        <w:rPr>
          <w:szCs w:val="22"/>
        </w:rPr>
      </w:pPr>
    </w:p>
    <w:p w:rsidR="00B650B1" w:rsidRPr="001800B7" w:rsidRDefault="00B650B1" w:rsidP="007F337E">
      <w:pPr>
        <w:rPr>
          <w:szCs w:val="22"/>
        </w:rPr>
      </w:pPr>
    </w:p>
    <w:p w:rsidR="008475D2" w:rsidRPr="001800B7" w:rsidRDefault="00CD731A" w:rsidP="007F337E">
      <w:pPr>
        <w:pStyle w:val="Endofdocument-Annex"/>
        <w:rPr>
          <w:szCs w:val="22"/>
        </w:rPr>
      </w:pPr>
      <w:r w:rsidRPr="001800B7">
        <w:rPr>
          <w:szCs w:val="22"/>
        </w:rPr>
        <w:t>[L</w:t>
      </w:r>
      <w:r w:rsidR="005311D6" w:rsidRPr="001800B7">
        <w:rPr>
          <w:szCs w:val="22"/>
        </w:rPr>
        <w:t>’</w:t>
      </w:r>
      <w:r w:rsidRPr="001800B7">
        <w:rPr>
          <w:szCs w:val="22"/>
        </w:rPr>
        <w:t>annexe</w:t>
      </w:r>
      <w:r w:rsidR="008005FD" w:rsidRPr="001800B7">
        <w:rPr>
          <w:szCs w:val="22"/>
        </w:rPr>
        <w:t> </w:t>
      </w:r>
      <w:r w:rsidRPr="001800B7">
        <w:rPr>
          <w:szCs w:val="22"/>
        </w:rPr>
        <w:t>III suit]</w:t>
      </w:r>
    </w:p>
    <w:p w:rsidR="00A96251" w:rsidRPr="001800B7" w:rsidRDefault="00A96251" w:rsidP="008475D2">
      <w:pPr>
        <w:pStyle w:val="Endofdocument"/>
        <w:spacing w:before="120" w:after="120"/>
        <w:ind w:left="0"/>
        <w:jc w:val="left"/>
        <w:rPr>
          <w:rFonts w:ascii="Arial" w:hAnsi="Arial" w:cs="Arial"/>
          <w:sz w:val="22"/>
          <w:szCs w:val="22"/>
        </w:rPr>
        <w:sectPr w:rsidR="00A96251" w:rsidRPr="001800B7" w:rsidSect="00BF4C15">
          <w:headerReference w:type="default" r:id="rId31"/>
          <w:headerReference w:type="first" r:id="rId32"/>
          <w:endnotePr>
            <w:numFmt w:val="decimal"/>
          </w:endnotePr>
          <w:pgSz w:w="11907" w:h="16840" w:code="9"/>
          <w:pgMar w:top="567" w:right="1134" w:bottom="1418" w:left="1418" w:header="510" w:footer="1021" w:gutter="0"/>
          <w:pgNumType w:start="1"/>
          <w:cols w:space="720"/>
          <w:titlePg/>
          <w:docGrid w:linePitch="299"/>
        </w:sect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1F4C06">
        <w:tc>
          <w:tcPr>
            <w:tcW w:w="9501" w:type="dxa"/>
            <w:gridSpan w:val="2"/>
            <w:tcBorders>
              <w:top w:val="single" w:sz="4" w:space="0" w:color="auto"/>
              <w:left w:val="single" w:sz="4" w:space="0" w:color="auto"/>
              <w:bottom w:val="single" w:sz="4" w:space="0" w:color="auto"/>
              <w:right w:val="single" w:sz="4" w:space="0" w:color="auto"/>
            </w:tcBorders>
            <w:shd w:val="clear" w:color="auto" w:fill="auto"/>
          </w:tcPr>
          <w:p w:rsidR="007908EA" w:rsidRPr="001800B7" w:rsidRDefault="00113BC5" w:rsidP="001F4C06">
            <w:pPr>
              <w:spacing w:before="120" w:after="120"/>
              <w:rPr>
                <w:bCs/>
                <w:iCs/>
                <w:caps/>
                <w:szCs w:val="22"/>
                <w:lang w:eastAsia="en-US"/>
              </w:rPr>
            </w:pPr>
            <w:r w:rsidRPr="001800B7">
              <w:rPr>
                <w:bCs/>
                <w:iCs/>
                <w:caps/>
                <w:szCs w:val="22"/>
                <w:lang w:eastAsia="en-US"/>
              </w:rPr>
              <w:lastRenderedPageBreak/>
              <w:t>RÉSUMÉ DU PROJET</w:t>
            </w:r>
          </w:p>
        </w:tc>
      </w:tr>
      <w:tr w:rsidR="001800B7" w:rsidRPr="001800B7" w:rsidTr="001F4C06">
        <w:tc>
          <w:tcPr>
            <w:tcW w:w="2235" w:type="dxa"/>
            <w:shd w:val="clear" w:color="auto" w:fill="auto"/>
          </w:tcPr>
          <w:p w:rsidR="007908EA" w:rsidRPr="001800B7" w:rsidRDefault="00113BC5" w:rsidP="001F4C06">
            <w:pPr>
              <w:pStyle w:val="Heading3"/>
              <w:keepNext w:val="0"/>
              <w:spacing w:before="120" w:after="120"/>
              <w:rPr>
                <w:szCs w:val="22"/>
              </w:rPr>
            </w:pPr>
            <w:r w:rsidRPr="001800B7">
              <w:rPr>
                <w:szCs w:val="22"/>
              </w:rPr>
              <w:t>Code du projet</w:t>
            </w:r>
          </w:p>
        </w:tc>
        <w:tc>
          <w:tcPr>
            <w:tcW w:w="7266" w:type="dxa"/>
            <w:shd w:val="clear" w:color="auto" w:fill="auto"/>
          </w:tcPr>
          <w:p w:rsidR="007908EA" w:rsidRPr="001800B7" w:rsidRDefault="00113BC5" w:rsidP="001F4C06">
            <w:pPr>
              <w:spacing w:before="120" w:after="120"/>
              <w:rPr>
                <w:iCs/>
                <w:szCs w:val="22"/>
              </w:rPr>
            </w:pPr>
            <w:r w:rsidRPr="001800B7">
              <w:rPr>
                <w:iCs/>
                <w:szCs w:val="22"/>
              </w:rPr>
              <w:t>DA_36</w:t>
            </w:r>
          </w:p>
        </w:tc>
      </w:tr>
      <w:tr w:rsidR="001800B7" w:rsidRPr="001800B7" w:rsidTr="001F4C06">
        <w:tc>
          <w:tcPr>
            <w:tcW w:w="2235" w:type="dxa"/>
            <w:shd w:val="clear" w:color="auto" w:fill="auto"/>
          </w:tcPr>
          <w:p w:rsidR="007908EA" w:rsidRPr="001800B7" w:rsidRDefault="00113BC5" w:rsidP="001F4C06">
            <w:pPr>
              <w:pStyle w:val="Heading3"/>
              <w:keepNext w:val="0"/>
              <w:spacing w:before="120" w:after="120"/>
              <w:rPr>
                <w:szCs w:val="22"/>
              </w:rPr>
            </w:pPr>
            <w:r w:rsidRPr="001800B7">
              <w:rPr>
                <w:szCs w:val="22"/>
              </w:rPr>
              <w:t>Titre</w:t>
            </w:r>
          </w:p>
        </w:tc>
        <w:tc>
          <w:tcPr>
            <w:tcW w:w="7266" w:type="dxa"/>
            <w:shd w:val="clear" w:color="auto" w:fill="auto"/>
          </w:tcPr>
          <w:p w:rsidR="007908EA" w:rsidRPr="001800B7" w:rsidRDefault="00113BC5" w:rsidP="001F4C06">
            <w:pPr>
              <w:spacing w:before="120" w:after="120"/>
              <w:rPr>
                <w:iCs/>
                <w:szCs w:val="22"/>
              </w:rPr>
            </w:pPr>
            <w:r w:rsidRPr="001800B7">
              <w:rPr>
                <w:iCs/>
                <w:szCs w:val="22"/>
              </w:rPr>
              <w:t>Projet relatif aux partenariats ouverts et aux modèles fondés sur la propriété intellectuelle</w:t>
            </w:r>
          </w:p>
        </w:tc>
      </w:tr>
      <w:tr w:rsidR="001800B7" w:rsidRPr="001800B7" w:rsidTr="001F4C06">
        <w:tc>
          <w:tcPr>
            <w:tcW w:w="2235" w:type="dxa"/>
            <w:shd w:val="clear" w:color="auto" w:fill="auto"/>
          </w:tcPr>
          <w:p w:rsidR="007908EA" w:rsidRPr="001800B7" w:rsidRDefault="00113BC5" w:rsidP="001F4C06">
            <w:pPr>
              <w:pStyle w:val="Heading3"/>
              <w:keepNext w:val="0"/>
              <w:spacing w:before="120" w:after="120"/>
              <w:rPr>
                <w:szCs w:val="22"/>
              </w:rPr>
            </w:pPr>
            <w:r w:rsidRPr="001800B7">
              <w:rPr>
                <w:szCs w:val="22"/>
              </w:rPr>
              <w:t>Recommandations du Plan d</w:t>
            </w:r>
            <w:r w:rsidR="005311D6" w:rsidRPr="001800B7">
              <w:rPr>
                <w:szCs w:val="22"/>
              </w:rPr>
              <w:t>’</w:t>
            </w:r>
            <w:r w:rsidRPr="001800B7">
              <w:rPr>
                <w:szCs w:val="22"/>
              </w:rPr>
              <w:t>action pour le développement</w:t>
            </w:r>
          </w:p>
        </w:tc>
        <w:tc>
          <w:tcPr>
            <w:tcW w:w="7266" w:type="dxa"/>
            <w:shd w:val="clear" w:color="auto" w:fill="auto"/>
          </w:tcPr>
          <w:p w:rsidR="007908EA" w:rsidRPr="001800B7" w:rsidRDefault="00113BC5" w:rsidP="001F4C06">
            <w:pPr>
              <w:spacing w:before="120" w:after="120"/>
              <w:rPr>
                <w:iCs/>
                <w:szCs w:val="22"/>
              </w:rPr>
            </w:pPr>
            <w:r w:rsidRPr="001800B7">
              <w:rPr>
                <w:i/>
                <w:iCs/>
                <w:szCs w:val="22"/>
              </w:rPr>
              <w:t>Recommandation n°</w:t>
            </w:r>
            <w:r w:rsidR="008005FD" w:rsidRPr="001800B7">
              <w:rPr>
                <w:i/>
                <w:iCs/>
                <w:szCs w:val="22"/>
              </w:rPr>
              <w:t> </w:t>
            </w:r>
            <w:r w:rsidRPr="001800B7">
              <w:rPr>
                <w:i/>
                <w:iCs/>
                <w:szCs w:val="22"/>
              </w:rPr>
              <w:t>36 (groupe D)</w:t>
            </w:r>
            <w:r w:rsidR="008005FD" w:rsidRPr="001800B7">
              <w:rPr>
                <w:i/>
                <w:iCs/>
                <w:szCs w:val="22"/>
              </w:rPr>
              <w:t> :</w:t>
            </w:r>
            <w:r w:rsidRPr="001800B7">
              <w:rPr>
                <w:i/>
                <w:iCs/>
                <w:szCs w:val="22"/>
              </w:rPr>
              <w:t xml:space="preserve"> </w:t>
            </w:r>
            <w:r w:rsidRPr="001800B7">
              <w:rPr>
                <w:iCs/>
                <w:szCs w:val="22"/>
              </w:rPr>
              <w:t>Échanger des données d</w:t>
            </w:r>
            <w:r w:rsidR="005311D6" w:rsidRPr="001800B7">
              <w:rPr>
                <w:iCs/>
                <w:szCs w:val="22"/>
              </w:rPr>
              <w:t>’</w:t>
            </w:r>
            <w:r w:rsidRPr="001800B7">
              <w:rPr>
                <w:iCs/>
                <w:szCs w:val="22"/>
              </w:rPr>
              <w:t>expérience sur des projets de partenariat ouvert tels que le projet sur le génome humain et sur des modèles de propriété intellectuelle.</w:t>
            </w:r>
          </w:p>
        </w:tc>
      </w:tr>
      <w:tr w:rsidR="001800B7" w:rsidRPr="001800B7" w:rsidTr="001F4C06">
        <w:tc>
          <w:tcPr>
            <w:tcW w:w="2235" w:type="dxa"/>
            <w:shd w:val="clear" w:color="auto" w:fill="auto"/>
          </w:tcPr>
          <w:p w:rsidR="007908EA" w:rsidRPr="001800B7" w:rsidRDefault="00113BC5" w:rsidP="001F4C06">
            <w:pPr>
              <w:pStyle w:val="Heading3"/>
              <w:keepNext w:val="0"/>
              <w:spacing w:before="120" w:after="120"/>
              <w:rPr>
                <w:szCs w:val="22"/>
              </w:rPr>
            </w:pPr>
            <w:r w:rsidRPr="001800B7">
              <w:rPr>
                <w:szCs w:val="22"/>
              </w:rPr>
              <w:t>Budget du projet</w:t>
            </w:r>
          </w:p>
        </w:tc>
        <w:tc>
          <w:tcPr>
            <w:tcW w:w="7266" w:type="dxa"/>
            <w:shd w:val="clear" w:color="auto" w:fill="auto"/>
          </w:tcPr>
          <w:p w:rsidR="008475D2" w:rsidRPr="001800B7" w:rsidRDefault="00113BC5" w:rsidP="001F4C06">
            <w:pPr>
              <w:spacing w:before="120" w:after="120"/>
              <w:rPr>
                <w:szCs w:val="22"/>
              </w:rPr>
            </w:pPr>
            <w:r w:rsidRPr="001800B7">
              <w:rPr>
                <w:szCs w:val="22"/>
              </w:rPr>
              <w:t>Dépenses autres que les dépenses de personnel</w:t>
            </w:r>
            <w:r w:rsidR="008005FD" w:rsidRPr="001800B7">
              <w:rPr>
                <w:szCs w:val="22"/>
              </w:rPr>
              <w:t> </w:t>
            </w:r>
            <w:r w:rsidRPr="001800B7">
              <w:rPr>
                <w:szCs w:val="22"/>
              </w:rPr>
              <w:t>: 734</w:t>
            </w:r>
            <w:r w:rsidR="008005FD" w:rsidRPr="001800B7">
              <w:rPr>
                <w:szCs w:val="22"/>
              </w:rPr>
              <w:t> </w:t>
            </w:r>
            <w:r w:rsidRPr="001800B7">
              <w:rPr>
                <w:szCs w:val="22"/>
              </w:rPr>
              <w:t>000</w:t>
            </w:r>
            <w:r w:rsidR="008005FD" w:rsidRPr="001800B7">
              <w:rPr>
                <w:szCs w:val="22"/>
              </w:rPr>
              <w:t> </w:t>
            </w:r>
            <w:r w:rsidRPr="001800B7">
              <w:rPr>
                <w:szCs w:val="22"/>
              </w:rPr>
              <w:t>francs suisses</w:t>
            </w:r>
          </w:p>
          <w:p w:rsidR="007908EA" w:rsidRPr="001800B7" w:rsidRDefault="00113BC5" w:rsidP="001F4C06">
            <w:pPr>
              <w:spacing w:before="120" w:after="120"/>
              <w:rPr>
                <w:szCs w:val="22"/>
              </w:rPr>
            </w:pPr>
            <w:r w:rsidRPr="001800B7">
              <w:rPr>
                <w:szCs w:val="22"/>
              </w:rPr>
              <w:t>Dépenses de personnel</w:t>
            </w:r>
            <w:r w:rsidR="008005FD" w:rsidRPr="001800B7">
              <w:rPr>
                <w:szCs w:val="22"/>
              </w:rPr>
              <w:t> </w:t>
            </w:r>
            <w:r w:rsidRPr="001800B7">
              <w:rPr>
                <w:szCs w:val="22"/>
              </w:rPr>
              <w:t>: 161</w:t>
            </w:r>
            <w:r w:rsidR="008005FD" w:rsidRPr="001800B7">
              <w:rPr>
                <w:szCs w:val="22"/>
              </w:rPr>
              <w:t> </w:t>
            </w:r>
            <w:r w:rsidRPr="001800B7">
              <w:rPr>
                <w:szCs w:val="22"/>
              </w:rPr>
              <w:t>000</w:t>
            </w:r>
            <w:r w:rsidR="008005FD" w:rsidRPr="001800B7">
              <w:rPr>
                <w:szCs w:val="22"/>
              </w:rPr>
              <w:t> </w:t>
            </w:r>
            <w:r w:rsidRPr="001800B7">
              <w:rPr>
                <w:szCs w:val="22"/>
              </w:rPr>
              <w:t>francs suisses</w:t>
            </w:r>
          </w:p>
        </w:tc>
      </w:tr>
      <w:tr w:rsidR="001800B7" w:rsidRPr="001800B7" w:rsidTr="001F4C06">
        <w:tc>
          <w:tcPr>
            <w:tcW w:w="2235" w:type="dxa"/>
            <w:shd w:val="clear" w:color="auto" w:fill="auto"/>
          </w:tcPr>
          <w:p w:rsidR="007908EA" w:rsidRPr="001800B7" w:rsidRDefault="00113BC5" w:rsidP="001F4C06">
            <w:pPr>
              <w:pStyle w:val="Heading3"/>
              <w:keepNext w:val="0"/>
              <w:spacing w:before="120" w:after="120"/>
              <w:rPr>
                <w:szCs w:val="22"/>
              </w:rPr>
            </w:pPr>
            <w:r w:rsidRPr="001800B7">
              <w:rPr>
                <w:szCs w:val="22"/>
              </w:rPr>
              <w:t>Date de début du projet</w:t>
            </w:r>
          </w:p>
        </w:tc>
        <w:tc>
          <w:tcPr>
            <w:tcW w:w="7266" w:type="dxa"/>
            <w:shd w:val="clear" w:color="auto" w:fill="auto"/>
          </w:tcPr>
          <w:p w:rsidR="007908EA" w:rsidRPr="001800B7" w:rsidRDefault="0008593D" w:rsidP="001F4C06">
            <w:pPr>
              <w:spacing w:before="120" w:after="120"/>
              <w:rPr>
                <w:szCs w:val="22"/>
              </w:rPr>
            </w:pPr>
            <w:r w:rsidRPr="001800B7">
              <w:rPr>
                <w:szCs w:val="22"/>
              </w:rPr>
              <w:t>Janvier </w:t>
            </w:r>
            <w:r w:rsidR="00113BC5" w:rsidRPr="001800B7">
              <w:rPr>
                <w:szCs w:val="22"/>
              </w:rPr>
              <w:t>2011</w:t>
            </w:r>
          </w:p>
        </w:tc>
      </w:tr>
      <w:tr w:rsidR="001800B7" w:rsidRPr="001800B7" w:rsidTr="001F4C06">
        <w:tc>
          <w:tcPr>
            <w:tcW w:w="2235" w:type="dxa"/>
            <w:shd w:val="clear" w:color="auto" w:fill="auto"/>
          </w:tcPr>
          <w:p w:rsidR="007908EA" w:rsidRPr="001800B7" w:rsidRDefault="00113BC5" w:rsidP="001F4C06">
            <w:pPr>
              <w:pStyle w:val="Heading3"/>
              <w:keepNext w:val="0"/>
              <w:spacing w:before="120" w:after="120"/>
              <w:rPr>
                <w:szCs w:val="22"/>
              </w:rPr>
            </w:pPr>
            <w:r w:rsidRPr="001800B7">
              <w:rPr>
                <w:szCs w:val="22"/>
              </w:rPr>
              <w:t>Durée du projet</w:t>
            </w:r>
          </w:p>
        </w:tc>
        <w:tc>
          <w:tcPr>
            <w:tcW w:w="7266" w:type="dxa"/>
            <w:shd w:val="clear" w:color="auto" w:fill="auto"/>
          </w:tcPr>
          <w:p w:rsidR="007908EA" w:rsidRPr="001800B7" w:rsidRDefault="007908EA" w:rsidP="001F4C06">
            <w:pPr>
              <w:spacing w:before="120" w:after="120"/>
              <w:rPr>
                <w:szCs w:val="22"/>
              </w:rPr>
            </w:pPr>
            <w:r w:rsidRPr="001800B7">
              <w:rPr>
                <w:szCs w:val="22"/>
              </w:rPr>
              <w:t>42</w:t>
            </w:r>
            <w:r w:rsidR="00A326A5" w:rsidRPr="001800B7">
              <w:rPr>
                <w:szCs w:val="22"/>
              </w:rPr>
              <w:t> mois, conformément au nouveau calendrier approuvé par</w:t>
            </w:r>
            <w:r w:rsidR="00456841" w:rsidRPr="001800B7">
              <w:rPr>
                <w:szCs w:val="22"/>
              </w:rPr>
              <w:t xml:space="preserve"> le CDI</w:t>
            </w:r>
            <w:r w:rsidRPr="001800B7">
              <w:rPr>
                <w:szCs w:val="22"/>
              </w:rPr>
              <w:t xml:space="preserve">P </w:t>
            </w:r>
            <w:r w:rsidR="00A326A5" w:rsidRPr="001800B7">
              <w:rPr>
                <w:szCs w:val="22"/>
              </w:rPr>
              <w:t xml:space="preserve">à sa </w:t>
            </w:r>
            <w:r w:rsidR="00CB4748" w:rsidRPr="001800B7">
              <w:rPr>
                <w:szCs w:val="22"/>
              </w:rPr>
              <w:t>douzième</w:t>
            </w:r>
            <w:r w:rsidR="008005FD" w:rsidRPr="001800B7">
              <w:rPr>
                <w:szCs w:val="22"/>
              </w:rPr>
              <w:t> </w:t>
            </w:r>
            <w:r w:rsidRPr="001800B7">
              <w:rPr>
                <w:szCs w:val="22"/>
              </w:rPr>
              <w:t>session</w:t>
            </w:r>
            <w:r w:rsidR="00DC45C9" w:rsidRPr="001800B7">
              <w:rPr>
                <w:szCs w:val="22"/>
              </w:rPr>
              <w:t>.</w:t>
            </w:r>
          </w:p>
        </w:tc>
      </w:tr>
      <w:tr w:rsidR="001800B7" w:rsidRPr="001800B7" w:rsidTr="001F4C06">
        <w:tc>
          <w:tcPr>
            <w:tcW w:w="2235" w:type="dxa"/>
            <w:shd w:val="clear" w:color="auto" w:fill="auto"/>
          </w:tcPr>
          <w:p w:rsidR="007908EA" w:rsidRPr="001800B7" w:rsidRDefault="00113BC5" w:rsidP="001F4C06">
            <w:pPr>
              <w:pStyle w:val="Heading3"/>
              <w:keepNext w:val="0"/>
              <w:spacing w:before="120" w:after="120"/>
              <w:rPr>
                <w:szCs w:val="22"/>
              </w:rPr>
            </w:pPr>
            <w:r w:rsidRPr="001800B7">
              <w:rPr>
                <w:szCs w:val="22"/>
              </w:rPr>
              <w:t>Principaux secteurs de l</w:t>
            </w:r>
            <w:r w:rsidR="005311D6" w:rsidRPr="001800B7">
              <w:rPr>
                <w:szCs w:val="22"/>
              </w:rPr>
              <w:t>’</w:t>
            </w:r>
            <w:r w:rsidRPr="001800B7">
              <w:rPr>
                <w:szCs w:val="22"/>
              </w:rPr>
              <w:t>OMPI concernés et liens avec les programmes de l</w:t>
            </w:r>
            <w:r w:rsidR="005311D6" w:rsidRPr="001800B7">
              <w:rPr>
                <w:szCs w:val="22"/>
              </w:rPr>
              <w:t>’</w:t>
            </w:r>
            <w:r w:rsidRPr="001800B7">
              <w:rPr>
                <w:szCs w:val="22"/>
              </w:rPr>
              <w:t>OMPI</w:t>
            </w:r>
          </w:p>
        </w:tc>
        <w:tc>
          <w:tcPr>
            <w:tcW w:w="7266" w:type="dxa"/>
            <w:shd w:val="clear" w:color="auto" w:fill="auto"/>
          </w:tcPr>
          <w:p w:rsidR="008475D2" w:rsidRPr="001800B7" w:rsidRDefault="00113BC5" w:rsidP="001F4C06">
            <w:pPr>
              <w:spacing w:before="120" w:after="120"/>
              <w:rPr>
                <w:szCs w:val="22"/>
              </w:rPr>
            </w:pPr>
            <w:r w:rsidRPr="001800B7">
              <w:rPr>
                <w:szCs w:val="22"/>
              </w:rPr>
              <w:t>Section de l</w:t>
            </w:r>
            <w:r w:rsidR="005311D6" w:rsidRPr="001800B7">
              <w:rPr>
                <w:szCs w:val="22"/>
              </w:rPr>
              <w:t>’</w:t>
            </w:r>
            <w:r w:rsidRPr="001800B7">
              <w:rPr>
                <w:szCs w:val="22"/>
              </w:rPr>
              <w:t>innovation et du transfert de technologie, Secteur de l</w:t>
            </w:r>
            <w:r w:rsidR="005311D6" w:rsidRPr="001800B7">
              <w:rPr>
                <w:szCs w:val="22"/>
              </w:rPr>
              <w:t>’</w:t>
            </w:r>
            <w:r w:rsidRPr="001800B7">
              <w:rPr>
                <w:szCs w:val="22"/>
              </w:rPr>
              <w:t>innovation et de la technologie.</w:t>
            </w:r>
          </w:p>
          <w:p w:rsidR="008475D2" w:rsidRPr="001800B7" w:rsidRDefault="00113BC5" w:rsidP="001F4C06">
            <w:pPr>
              <w:spacing w:before="120" w:after="120"/>
              <w:rPr>
                <w:szCs w:val="22"/>
              </w:rPr>
            </w:pPr>
            <w:r w:rsidRPr="001800B7">
              <w:rPr>
                <w:szCs w:val="22"/>
              </w:rPr>
              <w:t>Division de l</w:t>
            </w:r>
            <w:r w:rsidR="005311D6" w:rsidRPr="001800B7">
              <w:rPr>
                <w:szCs w:val="22"/>
              </w:rPr>
              <w:t>’</w:t>
            </w:r>
            <w:r w:rsidRPr="001800B7">
              <w:rPr>
                <w:szCs w:val="22"/>
              </w:rPr>
              <w:t>économie et des statistiques.</w:t>
            </w:r>
          </w:p>
          <w:p w:rsidR="007908EA" w:rsidRPr="001800B7" w:rsidRDefault="00113BC5" w:rsidP="001F4C06">
            <w:pPr>
              <w:spacing w:before="120" w:after="120"/>
              <w:rPr>
                <w:szCs w:val="22"/>
              </w:rPr>
            </w:pPr>
            <w:r w:rsidRPr="001800B7">
              <w:rPr>
                <w:szCs w:val="22"/>
              </w:rPr>
              <w:t xml:space="preserve">Liens avec </w:t>
            </w:r>
            <w:proofErr w:type="gramStart"/>
            <w:r w:rsidRPr="001800B7">
              <w:rPr>
                <w:szCs w:val="22"/>
              </w:rPr>
              <w:t xml:space="preserve">les </w:t>
            </w:r>
            <w:r w:rsidR="0008593D" w:rsidRPr="001800B7">
              <w:rPr>
                <w:szCs w:val="22"/>
              </w:rPr>
              <w:t>programmes </w:t>
            </w:r>
            <w:r w:rsidRPr="001800B7">
              <w:rPr>
                <w:szCs w:val="22"/>
              </w:rPr>
              <w:t>1, 8, 9, 10, 16 et 18 de l</w:t>
            </w:r>
            <w:r w:rsidR="005311D6" w:rsidRPr="001800B7">
              <w:rPr>
                <w:szCs w:val="22"/>
              </w:rPr>
              <w:t>’</w:t>
            </w:r>
            <w:r w:rsidRPr="001800B7">
              <w:rPr>
                <w:szCs w:val="22"/>
              </w:rPr>
              <w:t>OMPI</w:t>
            </w:r>
            <w:proofErr w:type="gramEnd"/>
            <w:r w:rsidRPr="001800B7">
              <w:rPr>
                <w:szCs w:val="22"/>
              </w:rPr>
              <w:t>.</w:t>
            </w:r>
          </w:p>
        </w:tc>
      </w:tr>
      <w:tr w:rsidR="00F30D9D" w:rsidRPr="001800B7" w:rsidTr="001F4C06">
        <w:tc>
          <w:tcPr>
            <w:tcW w:w="2235" w:type="dxa"/>
            <w:shd w:val="clear" w:color="auto" w:fill="auto"/>
          </w:tcPr>
          <w:p w:rsidR="007908EA" w:rsidRPr="001800B7" w:rsidRDefault="00113BC5" w:rsidP="001F4C06">
            <w:pPr>
              <w:pStyle w:val="Heading3"/>
              <w:keepNext w:val="0"/>
              <w:spacing w:before="120" w:after="120"/>
              <w:rPr>
                <w:szCs w:val="22"/>
              </w:rPr>
            </w:pPr>
            <w:r w:rsidRPr="001800B7">
              <w:rPr>
                <w:szCs w:val="22"/>
              </w:rPr>
              <w:t>Brève description du projet</w:t>
            </w:r>
          </w:p>
        </w:tc>
        <w:tc>
          <w:tcPr>
            <w:tcW w:w="7266" w:type="dxa"/>
            <w:shd w:val="clear" w:color="auto" w:fill="auto"/>
          </w:tcPr>
          <w:p w:rsidR="008475D2" w:rsidRPr="001800B7" w:rsidRDefault="00113BC5" w:rsidP="001F4C06">
            <w:pPr>
              <w:spacing w:before="120" w:after="120"/>
              <w:rPr>
                <w:szCs w:val="22"/>
              </w:rPr>
            </w:pPr>
            <w:r w:rsidRPr="001800B7">
              <w:rPr>
                <w:szCs w:val="22"/>
              </w:rPr>
              <w:t>Les projets de partenariat ouvert font intervenir des solutions novatrices élaborées par des inventeurs et des résolveurs de problèmes du monde entier grâce à l</w:t>
            </w:r>
            <w:r w:rsidR="005311D6" w:rsidRPr="001800B7">
              <w:rPr>
                <w:szCs w:val="22"/>
              </w:rPr>
              <w:t>’</w:t>
            </w:r>
            <w:r w:rsidRPr="001800B7">
              <w:rPr>
                <w:szCs w:val="22"/>
              </w:rPr>
              <w:t>échange de pratiques recommandées dans ce domaine entre plusieurs entités.</w:t>
            </w:r>
          </w:p>
          <w:p w:rsidR="008475D2" w:rsidRPr="001800B7" w:rsidRDefault="00113BC5" w:rsidP="001F4C06">
            <w:pPr>
              <w:spacing w:before="120" w:after="120"/>
              <w:rPr>
                <w:szCs w:val="22"/>
              </w:rPr>
            </w:pPr>
            <w:r w:rsidRPr="001800B7">
              <w:rPr>
                <w:szCs w:val="22"/>
              </w:rPr>
              <w:t>À cet égard, le présent projet permettra de lancer et d</w:t>
            </w:r>
            <w:r w:rsidR="005311D6" w:rsidRPr="001800B7">
              <w:rPr>
                <w:szCs w:val="22"/>
              </w:rPr>
              <w:t>’</w:t>
            </w:r>
            <w:r w:rsidRPr="001800B7">
              <w:rPr>
                <w:szCs w:val="22"/>
              </w:rPr>
              <w:t>explorer toute une série d</w:t>
            </w:r>
            <w:r w:rsidR="005311D6" w:rsidRPr="001800B7">
              <w:rPr>
                <w:szCs w:val="22"/>
              </w:rPr>
              <w:t>’</w:t>
            </w:r>
            <w:r w:rsidRPr="001800B7">
              <w:rPr>
                <w:szCs w:val="22"/>
              </w:rPr>
              <w:t>activités relatives à l</w:t>
            </w:r>
            <w:r w:rsidR="005311D6" w:rsidRPr="001800B7">
              <w:rPr>
                <w:szCs w:val="22"/>
              </w:rPr>
              <w:t>’</w:t>
            </w:r>
            <w:r w:rsidRPr="001800B7">
              <w:rPr>
                <w:szCs w:val="22"/>
              </w:rPr>
              <w:t>échange de données d</w:t>
            </w:r>
            <w:r w:rsidR="005311D6" w:rsidRPr="001800B7">
              <w:rPr>
                <w:szCs w:val="22"/>
              </w:rPr>
              <w:t>’</w:t>
            </w:r>
            <w:r w:rsidRPr="001800B7">
              <w:rPr>
                <w:szCs w:val="22"/>
              </w:rPr>
              <w:t>expérience sur les environnements d</w:t>
            </w:r>
            <w:r w:rsidR="005311D6" w:rsidRPr="001800B7">
              <w:rPr>
                <w:szCs w:val="22"/>
              </w:rPr>
              <w:t>’</w:t>
            </w:r>
            <w:r w:rsidRPr="001800B7">
              <w:rPr>
                <w:szCs w:val="22"/>
              </w:rPr>
              <w:t>innovation ouverte (</w:t>
            </w:r>
            <w:r w:rsidR="005311D6" w:rsidRPr="001800B7">
              <w:rPr>
                <w:szCs w:val="22"/>
              </w:rPr>
              <w:t>y compris</w:t>
            </w:r>
            <w:r w:rsidRPr="001800B7">
              <w:rPr>
                <w:szCs w:val="22"/>
              </w:rPr>
              <w:t xml:space="preserve"> les environnements axés sur les utilisateurs dans lesquels les utilisateurs créent conjointement des produits novateurs dans le cadre d</w:t>
            </w:r>
            <w:r w:rsidR="005311D6" w:rsidRPr="001800B7">
              <w:rPr>
                <w:szCs w:val="22"/>
              </w:rPr>
              <w:t>’</w:t>
            </w:r>
            <w:r w:rsidRPr="001800B7">
              <w:rPr>
                <w:szCs w:val="22"/>
              </w:rPr>
              <w:t>accords de partenariat ouvert) dans les pays développés comme dans les pays en développement, ainsi que les modèles fondés sur la propriété intellectuelle</w:t>
            </w:r>
            <w:r w:rsidR="0008593D" w:rsidRPr="001800B7">
              <w:rPr>
                <w:szCs w:val="22"/>
              </w:rPr>
              <w:t xml:space="preserve">.  </w:t>
            </w:r>
            <w:r w:rsidRPr="001800B7">
              <w:rPr>
                <w:szCs w:val="22"/>
              </w:rPr>
              <w:t>L</w:t>
            </w:r>
            <w:r w:rsidR="005311D6" w:rsidRPr="001800B7">
              <w:rPr>
                <w:szCs w:val="22"/>
              </w:rPr>
              <w:t>’</w:t>
            </w:r>
            <w:r w:rsidRPr="001800B7">
              <w:rPr>
                <w:szCs w:val="22"/>
              </w:rPr>
              <w:t>innovation en partenariat ouvert peut être définie comme l</w:t>
            </w:r>
            <w:r w:rsidR="005311D6" w:rsidRPr="001800B7">
              <w:rPr>
                <w:szCs w:val="22"/>
              </w:rPr>
              <w:t>’</w:t>
            </w:r>
            <w:r w:rsidRPr="001800B7">
              <w:rPr>
                <w:szCs w:val="22"/>
              </w:rPr>
              <w:t>osmose et l</w:t>
            </w:r>
            <w:r w:rsidR="005311D6" w:rsidRPr="001800B7">
              <w:rPr>
                <w:szCs w:val="22"/>
              </w:rPr>
              <w:t>’</w:t>
            </w:r>
            <w:r w:rsidRPr="001800B7">
              <w:rPr>
                <w:szCs w:val="22"/>
              </w:rPr>
              <w:t>osmose inverse des savoirs à travers la membrane poreuse séparant une organisation ou une communauté de son environnement</w:t>
            </w:r>
            <w:r w:rsidR="0008593D" w:rsidRPr="001800B7">
              <w:rPr>
                <w:szCs w:val="22"/>
              </w:rPr>
              <w:t xml:space="preserve">.  </w:t>
            </w:r>
            <w:r w:rsidRPr="001800B7">
              <w:rPr>
                <w:szCs w:val="22"/>
              </w:rPr>
              <w:t>Des mesures en faveur de l</w:t>
            </w:r>
            <w:r w:rsidR="005311D6" w:rsidRPr="001800B7">
              <w:rPr>
                <w:szCs w:val="22"/>
              </w:rPr>
              <w:t>’</w:t>
            </w:r>
            <w:r w:rsidRPr="001800B7">
              <w:rPr>
                <w:szCs w:val="22"/>
              </w:rPr>
              <w:t>innovation en partenariat ouvert peuvent être prises dans le cadre d</w:t>
            </w:r>
            <w:r w:rsidR="005311D6" w:rsidRPr="001800B7">
              <w:rPr>
                <w:szCs w:val="22"/>
              </w:rPr>
              <w:t>’</w:t>
            </w:r>
            <w:r w:rsidRPr="001800B7">
              <w:rPr>
                <w:szCs w:val="22"/>
              </w:rPr>
              <w:t>un large éventail d</w:t>
            </w:r>
            <w:r w:rsidR="005311D6" w:rsidRPr="001800B7">
              <w:rPr>
                <w:szCs w:val="22"/>
              </w:rPr>
              <w:t>’</w:t>
            </w:r>
            <w:r w:rsidRPr="001800B7">
              <w:rPr>
                <w:szCs w:val="22"/>
              </w:rPr>
              <w:t>accords</w:t>
            </w:r>
            <w:r w:rsidR="0008593D" w:rsidRPr="001800B7">
              <w:rPr>
                <w:szCs w:val="22"/>
              </w:rPr>
              <w:t xml:space="preserve">.  </w:t>
            </w:r>
            <w:r w:rsidRPr="001800B7">
              <w:rPr>
                <w:szCs w:val="22"/>
              </w:rPr>
              <w:t>Ces derniers peuvent porter sur des modèles plus traditionnels tels que la concession de licences (par exemple, dans le domaine des brevets, des modèles d</w:t>
            </w:r>
            <w:r w:rsidR="005311D6" w:rsidRPr="001800B7">
              <w:rPr>
                <w:szCs w:val="22"/>
              </w:rPr>
              <w:t>’</w:t>
            </w:r>
            <w:r w:rsidRPr="001800B7">
              <w:rPr>
                <w:szCs w:val="22"/>
              </w:rPr>
              <w:t>utilité, des marques, du droit d</w:t>
            </w:r>
            <w:r w:rsidR="005311D6" w:rsidRPr="001800B7">
              <w:rPr>
                <w:szCs w:val="22"/>
              </w:rPr>
              <w:t>’</w:t>
            </w:r>
            <w:r w:rsidRPr="001800B7">
              <w:rPr>
                <w:szCs w:val="22"/>
              </w:rPr>
              <w:t>auteur, des dessins et modèles industriels et des secrets d</w:t>
            </w:r>
            <w:r w:rsidR="005311D6" w:rsidRPr="001800B7">
              <w:rPr>
                <w:szCs w:val="22"/>
              </w:rPr>
              <w:t>’</w:t>
            </w:r>
            <w:r w:rsidRPr="001800B7">
              <w:rPr>
                <w:szCs w:val="22"/>
              </w:rPr>
              <w:t>affaires), la sous</w:t>
            </w:r>
            <w:r w:rsidR="001800B7" w:rsidRPr="001800B7">
              <w:rPr>
                <w:szCs w:val="22"/>
              </w:rPr>
              <w:noBreakHyphen/>
            </w:r>
            <w:r w:rsidRPr="001800B7">
              <w:rPr>
                <w:szCs w:val="22"/>
              </w:rPr>
              <w:t>traitance, les contrats de partenariat en matière de recherche</w:t>
            </w:r>
            <w:r w:rsidR="001800B7" w:rsidRPr="001800B7">
              <w:rPr>
                <w:szCs w:val="22"/>
              </w:rPr>
              <w:noBreakHyphen/>
            </w:r>
            <w:r w:rsidRPr="001800B7">
              <w:rPr>
                <w:szCs w:val="22"/>
              </w:rPr>
              <w:t>développement, les coentreprises et les communautés de brevets</w:t>
            </w:r>
            <w:r w:rsidR="0008593D" w:rsidRPr="001800B7">
              <w:rPr>
                <w:szCs w:val="22"/>
              </w:rPr>
              <w:t xml:space="preserve">.  </w:t>
            </w:r>
            <w:r w:rsidRPr="001800B7">
              <w:rPr>
                <w:szCs w:val="22"/>
              </w:rPr>
              <w:t>D</w:t>
            </w:r>
            <w:r w:rsidR="005311D6" w:rsidRPr="001800B7">
              <w:rPr>
                <w:szCs w:val="22"/>
              </w:rPr>
              <w:t>’</w:t>
            </w:r>
            <w:r w:rsidRPr="001800B7">
              <w:rPr>
                <w:szCs w:val="22"/>
              </w:rPr>
              <w:t>autres options ont trait à des tendances fondées sur l</w:t>
            </w:r>
            <w:r w:rsidR="005311D6" w:rsidRPr="001800B7">
              <w:rPr>
                <w:szCs w:val="22"/>
              </w:rPr>
              <w:t>’</w:t>
            </w:r>
            <w:r w:rsidRPr="001800B7">
              <w:rPr>
                <w:szCs w:val="22"/>
              </w:rPr>
              <w:t>Internet, dans lesquelles le client suscite la création volontaire et collective de solutions complexes par des méthodes telles que l</w:t>
            </w:r>
            <w:r w:rsidR="005311D6" w:rsidRPr="001800B7">
              <w:rPr>
                <w:szCs w:val="22"/>
              </w:rPr>
              <w:t>’</w:t>
            </w:r>
            <w:r w:rsidRPr="001800B7">
              <w:rPr>
                <w:szCs w:val="22"/>
              </w:rPr>
              <w:t>externalisation à grande échelle (</w:t>
            </w:r>
            <w:proofErr w:type="spellStart"/>
            <w:r w:rsidRPr="001800B7">
              <w:rPr>
                <w:i/>
                <w:szCs w:val="22"/>
              </w:rPr>
              <w:t>crowdsourcing</w:t>
            </w:r>
            <w:proofErr w:type="spellEnd"/>
            <w:r w:rsidRPr="001800B7">
              <w:rPr>
                <w:szCs w:val="22"/>
              </w:rPr>
              <w:t xml:space="preserve">), </w:t>
            </w:r>
            <w:r w:rsidRPr="001800B7">
              <w:rPr>
                <w:szCs w:val="22"/>
              </w:rPr>
              <w:lastRenderedPageBreak/>
              <w:t>les concours d</w:t>
            </w:r>
            <w:r w:rsidR="005311D6" w:rsidRPr="001800B7">
              <w:rPr>
                <w:szCs w:val="22"/>
              </w:rPr>
              <w:t>’</w:t>
            </w:r>
            <w:r w:rsidRPr="001800B7">
              <w:rPr>
                <w:szCs w:val="22"/>
              </w:rPr>
              <w:t xml:space="preserve">idées, les </w:t>
            </w:r>
            <w:proofErr w:type="spellStart"/>
            <w:r w:rsidRPr="001800B7">
              <w:rPr>
                <w:i/>
                <w:szCs w:val="22"/>
              </w:rPr>
              <w:t>Creative</w:t>
            </w:r>
            <w:proofErr w:type="spellEnd"/>
            <w:r w:rsidRPr="001800B7">
              <w:rPr>
                <w:i/>
                <w:szCs w:val="22"/>
              </w:rPr>
              <w:t xml:space="preserve"> Commons</w:t>
            </w:r>
            <w:r w:rsidRPr="001800B7">
              <w:rPr>
                <w:szCs w:val="22"/>
              </w:rPr>
              <w:t>, les logiciels libres et les encyclopédies en ligne</w:t>
            </w:r>
            <w:r w:rsidR="0008593D" w:rsidRPr="001800B7">
              <w:rPr>
                <w:szCs w:val="22"/>
              </w:rPr>
              <w:t xml:space="preserve">.  </w:t>
            </w:r>
            <w:r w:rsidRPr="001800B7">
              <w:rPr>
                <w:szCs w:val="22"/>
              </w:rPr>
              <w:t>Le présent projet vise à cartographier ou examiner les initiatives de partenariat ouvert typiques existant actuellement, ainsi que leurs rapports avec les modèles de propriété intellectuelle à travers une étude analytique</w:t>
            </w:r>
            <w:r w:rsidR="001800B7" w:rsidRPr="001800B7">
              <w:rPr>
                <w:szCs w:val="22"/>
              </w:rPr>
              <w:noBreakHyphen/>
            </w:r>
            <w:r w:rsidRPr="001800B7">
              <w:rPr>
                <w:szCs w:val="22"/>
              </w:rPr>
              <w:t>taxonomie</w:t>
            </w:r>
            <w:r w:rsidR="0008593D" w:rsidRPr="001800B7">
              <w:rPr>
                <w:szCs w:val="22"/>
              </w:rPr>
              <w:t xml:space="preserve">.  </w:t>
            </w:r>
            <w:r w:rsidRPr="001800B7">
              <w:rPr>
                <w:szCs w:val="22"/>
              </w:rPr>
              <w:t>À la suite d</w:t>
            </w:r>
            <w:r w:rsidR="005311D6" w:rsidRPr="001800B7">
              <w:rPr>
                <w:szCs w:val="22"/>
              </w:rPr>
              <w:t>’</w:t>
            </w:r>
            <w:r w:rsidRPr="001800B7">
              <w:rPr>
                <w:szCs w:val="22"/>
              </w:rPr>
              <w:t>un échange de vues et de pratiques recommandées entre les États membres et entre les experts, l</w:t>
            </w:r>
            <w:r w:rsidR="005311D6" w:rsidRPr="001800B7">
              <w:rPr>
                <w:szCs w:val="22"/>
              </w:rPr>
              <w:t>’</w:t>
            </w:r>
            <w:r w:rsidRPr="001800B7">
              <w:rPr>
                <w:szCs w:val="22"/>
              </w:rPr>
              <w:t>étude évaluera les avantages et les inconvénients des projets existants et les enseignements à en tirer</w:t>
            </w:r>
            <w:r w:rsidR="0008593D" w:rsidRPr="001800B7">
              <w:rPr>
                <w:szCs w:val="22"/>
              </w:rPr>
              <w:t xml:space="preserve">.  </w:t>
            </w:r>
            <w:r w:rsidRPr="001800B7">
              <w:rPr>
                <w:szCs w:val="22"/>
              </w:rPr>
              <w:t>Afin de favoriser un échange et une diffusion d</w:t>
            </w:r>
            <w:r w:rsidR="005311D6" w:rsidRPr="001800B7">
              <w:rPr>
                <w:szCs w:val="22"/>
              </w:rPr>
              <w:t>’</w:t>
            </w:r>
            <w:r w:rsidRPr="001800B7">
              <w:rPr>
                <w:szCs w:val="22"/>
              </w:rPr>
              <w:t>informations et de données d</w:t>
            </w:r>
            <w:r w:rsidR="005311D6" w:rsidRPr="001800B7">
              <w:rPr>
                <w:szCs w:val="22"/>
              </w:rPr>
              <w:t>’</w:t>
            </w:r>
            <w:r w:rsidRPr="001800B7">
              <w:rPr>
                <w:szCs w:val="22"/>
              </w:rPr>
              <w:t>expérience les plus larges possibles entre toutes les parties prenantes, le projet propose la création d</w:t>
            </w:r>
            <w:r w:rsidR="005311D6" w:rsidRPr="001800B7">
              <w:rPr>
                <w:szCs w:val="22"/>
              </w:rPr>
              <w:t>’</w:t>
            </w:r>
            <w:r w:rsidRPr="001800B7">
              <w:rPr>
                <w:szCs w:val="22"/>
              </w:rPr>
              <w:t>une “plate</w:t>
            </w:r>
            <w:r w:rsidR="001800B7" w:rsidRPr="001800B7">
              <w:rPr>
                <w:szCs w:val="22"/>
              </w:rPr>
              <w:noBreakHyphen/>
            </w:r>
            <w:r w:rsidRPr="001800B7">
              <w:rPr>
                <w:szCs w:val="22"/>
              </w:rPr>
              <w:t>forme interactive sur les projets de partenariat ouvert et les modèles fondés sur la propriété intellectuelle”.</w:t>
            </w:r>
          </w:p>
          <w:p w:rsidR="008475D2" w:rsidRPr="001800B7" w:rsidRDefault="00113BC5" w:rsidP="001F4C06">
            <w:pPr>
              <w:spacing w:before="120" w:after="120"/>
              <w:rPr>
                <w:szCs w:val="22"/>
              </w:rPr>
            </w:pPr>
            <w:r w:rsidRPr="001800B7">
              <w:rPr>
                <w:szCs w:val="22"/>
              </w:rPr>
              <w:t>Le projet consiste en des propositions relatives à l</w:t>
            </w:r>
            <w:r w:rsidR="005311D6" w:rsidRPr="001800B7">
              <w:rPr>
                <w:szCs w:val="22"/>
              </w:rPr>
              <w:t>’</w:t>
            </w:r>
            <w:r w:rsidRPr="001800B7">
              <w:rPr>
                <w:szCs w:val="22"/>
              </w:rPr>
              <w:t>élaboration d</w:t>
            </w:r>
            <w:r w:rsidR="005311D6" w:rsidRPr="001800B7">
              <w:rPr>
                <w:szCs w:val="22"/>
              </w:rPr>
              <w:t>’</w:t>
            </w:r>
            <w:r w:rsidRPr="001800B7">
              <w:rPr>
                <w:szCs w:val="22"/>
              </w:rPr>
              <w:t>une plate</w:t>
            </w:r>
            <w:r w:rsidR="001800B7" w:rsidRPr="001800B7">
              <w:rPr>
                <w:szCs w:val="22"/>
              </w:rPr>
              <w:noBreakHyphen/>
            </w:r>
            <w:r w:rsidRPr="001800B7">
              <w:rPr>
                <w:szCs w:val="22"/>
              </w:rPr>
              <w:t>forme interactive pour l</w:t>
            </w:r>
            <w:r w:rsidR="005311D6" w:rsidRPr="001800B7">
              <w:rPr>
                <w:szCs w:val="22"/>
              </w:rPr>
              <w:t>’</w:t>
            </w:r>
            <w:r w:rsidRPr="001800B7">
              <w:rPr>
                <w:szCs w:val="22"/>
              </w:rPr>
              <w:t>échange de données d</w:t>
            </w:r>
            <w:r w:rsidR="005311D6" w:rsidRPr="001800B7">
              <w:rPr>
                <w:szCs w:val="22"/>
              </w:rPr>
              <w:t>’</w:t>
            </w:r>
            <w:r w:rsidRPr="001800B7">
              <w:rPr>
                <w:szCs w:val="22"/>
              </w:rPr>
              <w:t>expérience sur les projets de partenariat ouvert tels que le projet relatif au génome humain, ainsi sur les modèles fondés sur la propriété intellectuelle</w:t>
            </w:r>
            <w:r w:rsidR="0008593D" w:rsidRPr="001800B7">
              <w:rPr>
                <w:szCs w:val="22"/>
              </w:rPr>
              <w:t xml:space="preserve">.  </w:t>
            </w:r>
            <w:r w:rsidR="00A326A5" w:rsidRPr="001800B7">
              <w:rPr>
                <w:szCs w:val="22"/>
              </w:rPr>
              <w:t xml:space="preserve">La </w:t>
            </w:r>
            <w:r w:rsidR="008005FD" w:rsidRPr="001800B7">
              <w:rPr>
                <w:szCs w:val="22"/>
              </w:rPr>
              <w:t>“</w:t>
            </w:r>
            <w:r w:rsidR="00A326A5" w:rsidRPr="001800B7">
              <w:rPr>
                <w:szCs w:val="22"/>
              </w:rPr>
              <w:t>plate</w:t>
            </w:r>
            <w:r w:rsidR="001800B7" w:rsidRPr="001800B7">
              <w:rPr>
                <w:szCs w:val="22"/>
              </w:rPr>
              <w:noBreakHyphen/>
            </w:r>
            <w:r w:rsidR="00A326A5" w:rsidRPr="001800B7">
              <w:rPr>
                <w:szCs w:val="22"/>
              </w:rPr>
              <w:t>forme interactive</w:t>
            </w:r>
            <w:r w:rsidR="008005FD" w:rsidRPr="001800B7">
              <w:rPr>
                <w:szCs w:val="22"/>
              </w:rPr>
              <w:t>”</w:t>
            </w:r>
            <w:r w:rsidR="00A326A5" w:rsidRPr="001800B7">
              <w:rPr>
                <w:szCs w:val="22"/>
              </w:rPr>
              <w:t xml:space="preserve"> sera conçue comme portail numérique à double entrée qui consistera en un site</w:t>
            </w:r>
            <w:r w:rsidR="008005FD" w:rsidRPr="001800B7">
              <w:rPr>
                <w:szCs w:val="22"/>
              </w:rPr>
              <w:t> </w:t>
            </w:r>
            <w:r w:rsidR="00A326A5" w:rsidRPr="001800B7">
              <w:rPr>
                <w:szCs w:val="22"/>
              </w:rPr>
              <w:t xml:space="preserve">Web et un </w:t>
            </w:r>
            <w:r w:rsidR="007908EA" w:rsidRPr="001800B7">
              <w:rPr>
                <w:szCs w:val="22"/>
              </w:rPr>
              <w:t>forum</w:t>
            </w:r>
            <w:r w:rsidR="0008593D" w:rsidRPr="001800B7">
              <w:rPr>
                <w:szCs w:val="22"/>
              </w:rPr>
              <w:t xml:space="preserve">.  </w:t>
            </w:r>
            <w:r w:rsidRPr="001800B7">
              <w:rPr>
                <w:szCs w:val="22"/>
              </w:rPr>
              <w:t>Le site</w:t>
            </w:r>
            <w:r w:rsidR="008005FD" w:rsidRPr="001800B7">
              <w:rPr>
                <w:szCs w:val="22"/>
              </w:rPr>
              <w:t> </w:t>
            </w:r>
            <w:r w:rsidRPr="001800B7">
              <w:rPr>
                <w:szCs w:val="22"/>
              </w:rPr>
              <w:t>Web (fonction “Envoi”) servira de dispositif intelligent de centralisation permettant d</w:t>
            </w:r>
            <w:r w:rsidR="005311D6" w:rsidRPr="001800B7">
              <w:rPr>
                <w:szCs w:val="22"/>
              </w:rPr>
              <w:t>’</w:t>
            </w:r>
            <w:r w:rsidRPr="001800B7">
              <w:rPr>
                <w:szCs w:val="22"/>
              </w:rPr>
              <w:t>envoyer des informations sur les études et données d</w:t>
            </w:r>
            <w:r w:rsidR="005311D6" w:rsidRPr="001800B7">
              <w:rPr>
                <w:szCs w:val="22"/>
              </w:rPr>
              <w:t>’</w:t>
            </w:r>
            <w:r w:rsidRPr="001800B7">
              <w:rPr>
                <w:szCs w:val="22"/>
              </w:rPr>
              <w:t>expérience relatives aux projets de partenariat ouvert et aux modèles fondés sur la propriété intellectuelle</w:t>
            </w:r>
            <w:r w:rsidR="0008593D" w:rsidRPr="001800B7">
              <w:rPr>
                <w:szCs w:val="22"/>
              </w:rPr>
              <w:t xml:space="preserve">.  </w:t>
            </w:r>
            <w:r w:rsidRPr="001800B7">
              <w:rPr>
                <w:szCs w:val="22"/>
              </w:rPr>
              <w:t>Le forum sur le Web (fonction “Réception”) servira de moyen de réception des retours d</w:t>
            </w:r>
            <w:r w:rsidR="005311D6" w:rsidRPr="001800B7">
              <w:rPr>
                <w:szCs w:val="22"/>
              </w:rPr>
              <w:t>’</w:t>
            </w:r>
            <w:r w:rsidRPr="001800B7">
              <w:rPr>
                <w:szCs w:val="22"/>
              </w:rPr>
              <w:t>information sur l</w:t>
            </w:r>
            <w:r w:rsidR="005311D6" w:rsidRPr="001800B7">
              <w:rPr>
                <w:szCs w:val="22"/>
              </w:rPr>
              <w:t>’</w:t>
            </w:r>
            <w:r w:rsidRPr="001800B7">
              <w:rPr>
                <w:szCs w:val="22"/>
              </w:rPr>
              <w:t>expérience acquise dans les projets de partenariat ouvert et les modèles fondés sur la propriété intellectuelle.</w:t>
            </w:r>
          </w:p>
          <w:p w:rsidR="008475D2" w:rsidRPr="001800B7" w:rsidRDefault="00113BC5" w:rsidP="001F4C06">
            <w:pPr>
              <w:spacing w:before="120" w:after="120"/>
              <w:rPr>
                <w:szCs w:val="22"/>
              </w:rPr>
            </w:pPr>
            <w:r w:rsidRPr="001800B7">
              <w:rPr>
                <w:szCs w:val="22"/>
              </w:rPr>
              <w:t>Les activités qu</w:t>
            </w:r>
            <w:r w:rsidR="005311D6" w:rsidRPr="001800B7">
              <w:rPr>
                <w:szCs w:val="22"/>
              </w:rPr>
              <w:t>’</w:t>
            </w:r>
            <w:r w:rsidRPr="001800B7">
              <w:rPr>
                <w:szCs w:val="22"/>
              </w:rPr>
              <w:t xml:space="preserve">il est envisagé de réaliser dans le cadre du projet sont les suivantes (voir le document </w:t>
            </w:r>
            <w:r w:rsidRPr="001800B7">
              <w:rPr>
                <w:szCs w:val="22"/>
                <w:u w:val="single"/>
              </w:rPr>
              <w:t xml:space="preserve">CDIP/6/6 </w:t>
            </w:r>
            <w:proofErr w:type="spellStart"/>
            <w:r w:rsidRPr="001800B7">
              <w:rPr>
                <w:szCs w:val="22"/>
                <w:u w:val="single"/>
              </w:rPr>
              <w:t>Rev</w:t>
            </w:r>
            <w:proofErr w:type="spellEnd"/>
            <w:r w:rsidRPr="001800B7">
              <w:rPr>
                <w:szCs w:val="22"/>
              </w:rPr>
              <w:t>)</w:t>
            </w:r>
            <w:r w:rsidR="008005FD" w:rsidRPr="001800B7">
              <w:rPr>
                <w:szCs w:val="22"/>
              </w:rPr>
              <w:t> </w:t>
            </w:r>
            <w:r w:rsidRPr="001800B7">
              <w:rPr>
                <w:szCs w:val="22"/>
              </w:rPr>
              <w:t>:</w:t>
            </w:r>
          </w:p>
          <w:p w:rsidR="008475D2" w:rsidRPr="001800B7" w:rsidRDefault="0008593D" w:rsidP="001F4C06">
            <w:pPr>
              <w:spacing w:before="120" w:after="120"/>
              <w:rPr>
                <w:szCs w:val="22"/>
              </w:rPr>
            </w:pPr>
            <w:r w:rsidRPr="001800B7">
              <w:rPr>
                <w:szCs w:val="22"/>
                <w:u w:val="single"/>
              </w:rPr>
              <w:t>Activité </w:t>
            </w:r>
            <w:r w:rsidR="00113BC5" w:rsidRPr="001800B7">
              <w:rPr>
                <w:szCs w:val="22"/>
                <w:u w:val="single"/>
              </w:rPr>
              <w:t>1</w:t>
            </w:r>
            <w:r w:rsidR="008005FD" w:rsidRPr="001800B7">
              <w:rPr>
                <w:szCs w:val="22"/>
              </w:rPr>
              <w:t> </w:t>
            </w:r>
            <w:r w:rsidR="00113BC5" w:rsidRPr="001800B7">
              <w:rPr>
                <w:szCs w:val="22"/>
              </w:rPr>
              <w:t>: Élaborer une étude analytique</w:t>
            </w:r>
            <w:r w:rsidR="001800B7" w:rsidRPr="001800B7">
              <w:rPr>
                <w:szCs w:val="22"/>
              </w:rPr>
              <w:noBreakHyphen/>
            </w:r>
            <w:r w:rsidR="00113BC5" w:rsidRPr="001800B7">
              <w:rPr>
                <w:szCs w:val="22"/>
              </w:rPr>
              <w:t>taxonomie visant à cartographier, regrouper, analyser et harmoniser les différentes initiatives en matière de partenariat ouvert et les modèles de propriété intellectuelle sur lesquels elles sont respectivement fondées.</w:t>
            </w:r>
          </w:p>
          <w:p w:rsidR="008475D2" w:rsidRPr="001800B7" w:rsidRDefault="0008593D" w:rsidP="001F4C06">
            <w:pPr>
              <w:spacing w:before="120" w:after="120"/>
              <w:rPr>
                <w:szCs w:val="22"/>
              </w:rPr>
            </w:pPr>
            <w:r w:rsidRPr="001800B7">
              <w:rPr>
                <w:szCs w:val="22"/>
                <w:u w:val="single"/>
              </w:rPr>
              <w:t>Activité </w:t>
            </w:r>
            <w:r w:rsidR="00113BC5" w:rsidRPr="001800B7">
              <w:rPr>
                <w:szCs w:val="22"/>
                <w:u w:val="single"/>
              </w:rPr>
              <w:t>2</w:t>
            </w:r>
            <w:r w:rsidR="008005FD" w:rsidRPr="001800B7">
              <w:rPr>
                <w:szCs w:val="22"/>
              </w:rPr>
              <w:t> </w:t>
            </w:r>
            <w:r w:rsidR="00113BC5" w:rsidRPr="001800B7">
              <w:rPr>
                <w:szCs w:val="22"/>
              </w:rPr>
              <w:t>: Organiser une réunion des États membres à participation non limitée en vue de favoriser un débat constructif sur l</w:t>
            </w:r>
            <w:r w:rsidR="005311D6" w:rsidRPr="001800B7">
              <w:rPr>
                <w:szCs w:val="22"/>
              </w:rPr>
              <w:t>’</w:t>
            </w:r>
            <w:r w:rsidR="00113BC5" w:rsidRPr="001800B7">
              <w:rPr>
                <w:szCs w:val="22"/>
              </w:rPr>
              <w:t>essence, la logique et les différentes étapes de la démarche suivie.</w:t>
            </w:r>
          </w:p>
          <w:p w:rsidR="008475D2" w:rsidRPr="001800B7" w:rsidRDefault="0008593D" w:rsidP="001F4C06">
            <w:pPr>
              <w:spacing w:before="120" w:after="120"/>
              <w:rPr>
                <w:szCs w:val="22"/>
              </w:rPr>
            </w:pPr>
            <w:r w:rsidRPr="001800B7">
              <w:rPr>
                <w:szCs w:val="22"/>
                <w:u w:val="single"/>
              </w:rPr>
              <w:t>Activité </w:t>
            </w:r>
            <w:r w:rsidR="00113BC5" w:rsidRPr="001800B7">
              <w:rPr>
                <w:szCs w:val="22"/>
                <w:u w:val="single"/>
              </w:rPr>
              <w:t>3</w:t>
            </w:r>
            <w:r w:rsidR="008005FD" w:rsidRPr="001800B7">
              <w:rPr>
                <w:szCs w:val="22"/>
              </w:rPr>
              <w:t> </w:t>
            </w:r>
            <w:r w:rsidR="00113BC5" w:rsidRPr="001800B7">
              <w:rPr>
                <w:szCs w:val="22"/>
              </w:rPr>
              <w:t>: Achever une étude d</w:t>
            </w:r>
            <w:r w:rsidR="005311D6" w:rsidRPr="001800B7">
              <w:rPr>
                <w:szCs w:val="22"/>
              </w:rPr>
              <w:t>’</w:t>
            </w:r>
            <w:r w:rsidR="00113BC5" w:rsidRPr="001800B7">
              <w:rPr>
                <w:szCs w:val="22"/>
              </w:rPr>
              <w:t>évaluation approfondie établissant les avantages et les inconvénients des projets existants en exploitant les modèles de propriété intellectuelle spécifiques permettant de créer des environnements de partenariat ouvert fructueux.</w:t>
            </w:r>
          </w:p>
          <w:p w:rsidR="008475D2" w:rsidRPr="001800B7" w:rsidRDefault="0008593D" w:rsidP="001F4C06">
            <w:pPr>
              <w:spacing w:before="120" w:after="120"/>
              <w:rPr>
                <w:szCs w:val="22"/>
              </w:rPr>
            </w:pPr>
            <w:r w:rsidRPr="001800B7">
              <w:rPr>
                <w:szCs w:val="22"/>
                <w:u w:val="single"/>
              </w:rPr>
              <w:t>Activité </w:t>
            </w:r>
            <w:r w:rsidR="00DC6B44" w:rsidRPr="001800B7">
              <w:rPr>
                <w:szCs w:val="22"/>
                <w:u w:val="single"/>
              </w:rPr>
              <w:t>4</w:t>
            </w:r>
            <w:r w:rsidR="008005FD" w:rsidRPr="001800B7">
              <w:rPr>
                <w:szCs w:val="22"/>
              </w:rPr>
              <w:t> </w:t>
            </w:r>
            <w:r w:rsidR="00DC6B44" w:rsidRPr="001800B7">
              <w:rPr>
                <w:szCs w:val="22"/>
              </w:rPr>
              <w:t>: Organiser une réunion d</w:t>
            </w:r>
            <w:r w:rsidR="005311D6" w:rsidRPr="001800B7">
              <w:rPr>
                <w:szCs w:val="22"/>
              </w:rPr>
              <w:t>’</w:t>
            </w:r>
            <w:r w:rsidR="00DC6B44" w:rsidRPr="001800B7">
              <w:rPr>
                <w:szCs w:val="22"/>
              </w:rPr>
              <w:t>experts aux fins de l</w:t>
            </w:r>
            <w:r w:rsidR="005311D6" w:rsidRPr="001800B7">
              <w:rPr>
                <w:szCs w:val="22"/>
              </w:rPr>
              <w:t>’</w:t>
            </w:r>
            <w:r w:rsidR="00DC6B44" w:rsidRPr="001800B7">
              <w:rPr>
                <w:szCs w:val="22"/>
              </w:rPr>
              <w:t xml:space="preserve">échange de pratiques recommandées sur les projets de partenariat ouvert tels que le projet relatif au génome humain, le projet de la Commission européenne dénommé Open Living </w:t>
            </w:r>
            <w:proofErr w:type="spellStart"/>
            <w:r w:rsidR="00DC6B44" w:rsidRPr="001800B7">
              <w:rPr>
                <w:szCs w:val="22"/>
              </w:rPr>
              <w:t>Labs</w:t>
            </w:r>
            <w:proofErr w:type="spellEnd"/>
            <w:r w:rsidR="00DC6B44" w:rsidRPr="001800B7">
              <w:rPr>
                <w:szCs w:val="22"/>
              </w:rPr>
              <w:t>, les propositions de prix présentées par les gouvernements du Bangladesh, de la Barbade, de la Bolivie et du Suriname au groupe d</w:t>
            </w:r>
            <w:r w:rsidR="005311D6" w:rsidRPr="001800B7">
              <w:rPr>
                <w:szCs w:val="22"/>
              </w:rPr>
              <w:t>’</w:t>
            </w:r>
            <w:r w:rsidR="00DC6B44" w:rsidRPr="001800B7">
              <w:rPr>
                <w:szCs w:val="22"/>
              </w:rPr>
              <w:t>experts du financement de la recherche</w:t>
            </w:r>
            <w:r w:rsidR="001800B7" w:rsidRPr="001800B7">
              <w:rPr>
                <w:szCs w:val="22"/>
              </w:rPr>
              <w:noBreakHyphen/>
            </w:r>
            <w:r w:rsidR="00DC6B44" w:rsidRPr="001800B7">
              <w:rPr>
                <w:szCs w:val="22"/>
              </w:rPr>
              <w:t>développement de l</w:t>
            </w:r>
            <w:r w:rsidR="005311D6" w:rsidRPr="001800B7">
              <w:rPr>
                <w:szCs w:val="22"/>
              </w:rPr>
              <w:t>’</w:t>
            </w:r>
            <w:r w:rsidR="00DC6B44" w:rsidRPr="001800B7">
              <w:rPr>
                <w:szCs w:val="22"/>
              </w:rPr>
              <w:t>OMS ainsi que d</w:t>
            </w:r>
            <w:r w:rsidR="005311D6" w:rsidRPr="001800B7">
              <w:rPr>
                <w:szCs w:val="22"/>
              </w:rPr>
              <w:t>’</w:t>
            </w:r>
            <w:r w:rsidR="00DC6B44" w:rsidRPr="001800B7">
              <w:rPr>
                <w:szCs w:val="22"/>
              </w:rPr>
              <w:t xml:space="preserve">autres expériences menées par des entreprises privées telles que </w:t>
            </w:r>
            <w:proofErr w:type="spellStart"/>
            <w:r w:rsidR="00DC6B44" w:rsidRPr="001800B7">
              <w:rPr>
                <w:szCs w:val="22"/>
              </w:rPr>
              <w:t>InnoCentive</w:t>
            </w:r>
            <w:proofErr w:type="spellEnd"/>
            <w:r w:rsidR="00DC6B44" w:rsidRPr="001800B7">
              <w:rPr>
                <w:szCs w:val="22"/>
              </w:rPr>
              <w:t xml:space="preserve">, le </w:t>
            </w:r>
            <w:proofErr w:type="spellStart"/>
            <w:r w:rsidR="00DC6B44" w:rsidRPr="001800B7">
              <w:rPr>
                <w:szCs w:val="22"/>
              </w:rPr>
              <w:t>Merck</w:t>
            </w:r>
            <w:proofErr w:type="spellEnd"/>
            <w:r w:rsidR="00DC6B44" w:rsidRPr="001800B7">
              <w:rPr>
                <w:szCs w:val="22"/>
              </w:rPr>
              <w:t xml:space="preserve"> Gene Index et </w:t>
            </w:r>
            <w:proofErr w:type="spellStart"/>
            <w:r w:rsidR="00DC6B44" w:rsidRPr="001800B7">
              <w:rPr>
                <w:szCs w:val="22"/>
              </w:rPr>
              <w:t>Natura</w:t>
            </w:r>
            <w:proofErr w:type="spellEnd"/>
            <w:r w:rsidR="00DC6B44" w:rsidRPr="001800B7">
              <w:rPr>
                <w:szCs w:val="22"/>
              </w:rPr>
              <w:t>.</w:t>
            </w:r>
          </w:p>
          <w:p w:rsidR="008475D2" w:rsidRPr="001800B7" w:rsidRDefault="0008593D" w:rsidP="001F4C06">
            <w:pPr>
              <w:spacing w:before="120" w:after="120"/>
              <w:rPr>
                <w:szCs w:val="22"/>
              </w:rPr>
            </w:pPr>
            <w:r w:rsidRPr="001800B7">
              <w:rPr>
                <w:szCs w:val="22"/>
                <w:u w:val="single"/>
              </w:rPr>
              <w:t>Activité </w:t>
            </w:r>
            <w:r w:rsidR="00DC6B44" w:rsidRPr="001800B7">
              <w:rPr>
                <w:szCs w:val="22"/>
                <w:u w:val="single"/>
              </w:rPr>
              <w:t>5</w:t>
            </w:r>
            <w:r w:rsidR="008005FD" w:rsidRPr="001800B7">
              <w:rPr>
                <w:szCs w:val="22"/>
              </w:rPr>
              <w:t> </w:t>
            </w:r>
            <w:r w:rsidR="00DC6B44" w:rsidRPr="001800B7">
              <w:rPr>
                <w:szCs w:val="22"/>
              </w:rPr>
              <w:t>: Mettre en place une plate</w:t>
            </w:r>
            <w:r w:rsidR="001800B7" w:rsidRPr="001800B7">
              <w:rPr>
                <w:szCs w:val="22"/>
              </w:rPr>
              <w:noBreakHyphen/>
            </w:r>
            <w:r w:rsidR="00DC6B44" w:rsidRPr="001800B7">
              <w:rPr>
                <w:szCs w:val="22"/>
              </w:rPr>
              <w:t>forme interactive d</w:t>
            </w:r>
            <w:r w:rsidR="005311D6" w:rsidRPr="001800B7">
              <w:rPr>
                <w:szCs w:val="22"/>
              </w:rPr>
              <w:t>’</w:t>
            </w:r>
            <w:r w:rsidR="00DC6B44" w:rsidRPr="001800B7">
              <w:rPr>
                <w:szCs w:val="22"/>
              </w:rPr>
              <w:t>échange de données d</w:t>
            </w:r>
            <w:r w:rsidR="005311D6" w:rsidRPr="001800B7">
              <w:rPr>
                <w:szCs w:val="22"/>
              </w:rPr>
              <w:t>’</w:t>
            </w:r>
            <w:r w:rsidR="00DC6B44" w:rsidRPr="001800B7">
              <w:rPr>
                <w:szCs w:val="22"/>
              </w:rPr>
              <w:t>expérience comportant deux</w:t>
            </w:r>
            <w:r w:rsidR="008005FD" w:rsidRPr="001800B7">
              <w:rPr>
                <w:szCs w:val="22"/>
              </w:rPr>
              <w:t> </w:t>
            </w:r>
            <w:r w:rsidR="00DC6B44" w:rsidRPr="001800B7">
              <w:rPr>
                <w:szCs w:val="22"/>
              </w:rPr>
              <w:t>éléments</w:t>
            </w:r>
            <w:r w:rsidR="008005FD" w:rsidRPr="001800B7">
              <w:rPr>
                <w:szCs w:val="22"/>
              </w:rPr>
              <w:t> </w:t>
            </w:r>
            <w:r w:rsidR="00DC6B44" w:rsidRPr="001800B7">
              <w:rPr>
                <w:szCs w:val="22"/>
              </w:rPr>
              <w:t>: un site</w:t>
            </w:r>
            <w:r w:rsidR="008005FD" w:rsidRPr="001800B7">
              <w:rPr>
                <w:szCs w:val="22"/>
              </w:rPr>
              <w:t> </w:t>
            </w:r>
            <w:r w:rsidR="00DC6B44" w:rsidRPr="001800B7">
              <w:rPr>
                <w:szCs w:val="22"/>
              </w:rPr>
              <w:t xml:space="preserve">Web contenant des informations sur les études réalisées et des propositions relatives aux éventuels instruments de propriété intellectuelle et un </w:t>
            </w:r>
            <w:r w:rsidR="00DC6B44" w:rsidRPr="001800B7">
              <w:rPr>
                <w:szCs w:val="22"/>
              </w:rPr>
              <w:lastRenderedPageBreak/>
              <w:t>forum sur le Web destiné à la réception des retours d</w:t>
            </w:r>
            <w:r w:rsidR="005311D6" w:rsidRPr="001800B7">
              <w:rPr>
                <w:szCs w:val="22"/>
              </w:rPr>
              <w:t>’</w:t>
            </w:r>
            <w:r w:rsidR="00DC6B44" w:rsidRPr="001800B7">
              <w:rPr>
                <w:szCs w:val="22"/>
              </w:rPr>
              <w:t>information sur l</w:t>
            </w:r>
            <w:r w:rsidR="005311D6" w:rsidRPr="001800B7">
              <w:rPr>
                <w:szCs w:val="22"/>
              </w:rPr>
              <w:t>’</w:t>
            </w:r>
            <w:r w:rsidR="00DC6B44" w:rsidRPr="001800B7">
              <w:rPr>
                <w:szCs w:val="22"/>
              </w:rPr>
              <w:t>expérience acquise dans les projets de partenariat ouvert et les modèles fondés sur la propriété intellectuelle.</w:t>
            </w:r>
          </w:p>
          <w:p w:rsidR="007908EA" w:rsidRPr="001800B7" w:rsidRDefault="0008593D" w:rsidP="001F4C06">
            <w:pPr>
              <w:spacing w:before="120" w:after="120"/>
              <w:rPr>
                <w:szCs w:val="22"/>
              </w:rPr>
            </w:pPr>
            <w:r w:rsidRPr="001800B7">
              <w:rPr>
                <w:szCs w:val="22"/>
                <w:u w:val="single"/>
              </w:rPr>
              <w:t>Activité </w:t>
            </w:r>
            <w:r w:rsidR="00DC6B44" w:rsidRPr="001800B7">
              <w:rPr>
                <w:szCs w:val="22"/>
                <w:u w:val="single"/>
              </w:rPr>
              <w:t>6</w:t>
            </w:r>
            <w:r w:rsidR="008005FD" w:rsidRPr="001800B7">
              <w:rPr>
                <w:szCs w:val="22"/>
              </w:rPr>
              <w:t> </w:t>
            </w:r>
            <w:r w:rsidR="00DC6B44" w:rsidRPr="001800B7">
              <w:rPr>
                <w:szCs w:val="22"/>
              </w:rPr>
              <w:t>: Incorporer les recommandations dans les programmes pertinents de l</w:t>
            </w:r>
            <w:r w:rsidR="005311D6" w:rsidRPr="001800B7">
              <w:rPr>
                <w:szCs w:val="22"/>
              </w:rPr>
              <w:t>’</w:t>
            </w:r>
            <w:r w:rsidR="00DC6B44" w:rsidRPr="001800B7">
              <w:rPr>
                <w:szCs w:val="22"/>
              </w:rPr>
              <w:t>OMPI après approbation des États membres.</w:t>
            </w:r>
          </w:p>
        </w:tc>
      </w:tr>
    </w:tbl>
    <w:p w:rsidR="001F4C06" w:rsidRPr="001800B7" w:rsidRDefault="001F4C06" w:rsidP="001F4C06">
      <w:pPr>
        <w:rPr>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1F4C06">
        <w:tc>
          <w:tcPr>
            <w:tcW w:w="2235" w:type="dxa"/>
            <w:shd w:val="clear" w:color="auto" w:fill="auto"/>
            <w:vAlign w:val="center"/>
          </w:tcPr>
          <w:p w:rsidR="007908EA" w:rsidRPr="001800B7" w:rsidRDefault="00DC6B44" w:rsidP="008475D2">
            <w:pPr>
              <w:pStyle w:val="Heading3"/>
              <w:keepNext w:val="0"/>
              <w:spacing w:before="120" w:after="120"/>
              <w:rPr>
                <w:szCs w:val="22"/>
              </w:rPr>
            </w:pPr>
            <w:r w:rsidRPr="001800B7">
              <w:rPr>
                <w:szCs w:val="22"/>
              </w:rPr>
              <w:t>Chef de projet</w:t>
            </w:r>
          </w:p>
        </w:tc>
        <w:tc>
          <w:tcPr>
            <w:tcW w:w="7266" w:type="dxa"/>
            <w:vAlign w:val="center"/>
          </w:tcPr>
          <w:p w:rsidR="007908EA" w:rsidRPr="001800B7" w:rsidRDefault="0008593D" w:rsidP="008475D2">
            <w:pPr>
              <w:spacing w:before="120" w:after="120"/>
              <w:rPr>
                <w:iCs/>
                <w:szCs w:val="22"/>
              </w:rPr>
            </w:pPr>
            <w:r w:rsidRPr="001800B7">
              <w:rPr>
                <w:iCs/>
                <w:szCs w:val="22"/>
              </w:rPr>
              <w:t>M. </w:t>
            </w:r>
            <w:r w:rsidR="00DC6B44" w:rsidRPr="001800B7">
              <w:rPr>
                <w:iCs/>
                <w:szCs w:val="22"/>
              </w:rPr>
              <w:t>Ali Jazairy</w:t>
            </w:r>
          </w:p>
        </w:tc>
      </w:tr>
      <w:tr w:rsidR="001800B7" w:rsidRPr="001800B7" w:rsidTr="001F4C06">
        <w:tc>
          <w:tcPr>
            <w:tcW w:w="2235" w:type="dxa"/>
            <w:shd w:val="clear" w:color="auto" w:fill="auto"/>
          </w:tcPr>
          <w:p w:rsidR="007908EA" w:rsidRPr="001800B7" w:rsidDel="00196374" w:rsidRDefault="00DC6B44" w:rsidP="008475D2">
            <w:pPr>
              <w:pStyle w:val="Heading3"/>
              <w:keepNext w:val="0"/>
              <w:spacing w:before="120" w:after="120"/>
              <w:rPr>
                <w:szCs w:val="22"/>
              </w:rPr>
            </w:pPr>
            <w:r w:rsidRPr="001800B7">
              <w:rPr>
                <w:szCs w:val="22"/>
              </w:rPr>
              <w:t>Liens avec les résultats escomptés dans le programme et budget pour 2012</w:t>
            </w:r>
            <w:r w:rsidR="001800B7" w:rsidRPr="001800B7">
              <w:rPr>
                <w:szCs w:val="22"/>
              </w:rPr>
              <w:noBreakHyphen/>
            </w:r>
            <w:r w:rsidRPr="001800B7">
              <w:rPr>
                <w:szCs w:val="22"/>
              </w:rPr>
              <w:t>2013</w:t>
            </w:r>
          </w:p>
        </w:tc>
        <w:tc>
          <w:tcPr>
            <w:tcW w:w="7266" w:type="dxa"/>
          </w:tcPr>
          <w:p w:rsidR="00B650B1" w:rsidRPr="001800B7" w:rsidRDefault="00DC6B44" w:rsidP="008475D2">
            <w:pPr>
              <w:spacing w:before="120" w:after="120"/>
              <w:rPr>
                <w:iCs/>
                <w:szCs w:val="22"/>
              </w:rPr>
            </w:pPr>
            <w:r w:rsidRPr="001800B7">
              <w:rPr>
                <w:i/>
                <w:iCs/>
                <w:szCs w:val="22"/>
              </w:rPr>
              <w:t xml:space="preserve">Résultat </w:t>
            </w:r>
            <w:r w:rsidR="0008593D" w:rsidRPr="001800B7">
              <w:rPr>
                <w:i/>
                <w:iCs/>
                <w:szCs w:val="22"/>
              </w:rPr>
              <w:t>escompté </w:t>
            </w:r>
            <w:r w:rsidRPr="001800B7">
              <w:rPr>
                <w:i/>
                <w:iCs/>
                <w:szCs w:val="22"/>
              </w:rPr>
              <w:t>IV.2</w:t>
            </w:r>
            <w:r w:rsidR="001F4C06" w:rsidRPr="001800B7">
              <w:rPr>
                <w:i/>
                <w:iCs/>
                <w:szCs w:val="22"/>
              </w:rPr>
              <w:t xml:space="preserve"> : </w:t>
            </w:r>
            <w:r w:rsidRPr="001800B7">
              <w:rPr>
                <w:iCs/>
                <w:szCs w:val="22"/>
              </w:rPr>
              <w:t>Accès amélioré à l</w:t>
            </w:r>
            <w:r w:rsidR="005311D6" w:rsidRPr="001800B7">
              <w:rPr>
                <w:iCs/>
                <w:szCs w:val="22"/>
              </w:rPr>
              <w:t>’</w:t>
            </w:r>
            <w:r w:rsidRPr="001800B7">
              <w:rPr>
                <w:iCs/>
                <w:szCs w:val="22"/>
              </w:rPr>
              <w:t>information et aux savoirs en matière de propriété intellectuelle, et meilleure utilisation de cette information et de ces savoirs, par les institutions de propriété intellectuelle et le public, pour promouvoir l</w:t>
            </w:r>
            <w:r w:rsidR="005311D6" w:rsidRPr="001800B7">
              <w:rPr>
                <w:iCs/>
                <w:szCs w:val="22"/>
              </w:rPr>
              <w:t>’</w:t>
            </w:r>
            <w:r w:rsidRPr="001800B7">
              <w:rPr>
                <w:iCs/>
                <w:szCs w:val="22"/>
              </w:rPr>
              <w:t>innovation et faciliter l</w:t>
            </w:r>
            <w:r w:rsidR="005311D6" w:rsidRPr="001800B7">
              <w:rPr>
                <w:iCs/>
                <w:szCs w:val="22"/>
              </w:rPr>
              <w:t>’</w:t>
            </w:r>
            <w:r w:rsidRPr="001800B7">
              <w:rPr>
                <w:iCs/>
                <w:szCs w:val="22"/>
              </w:rPr>
              <w:t>accès aux œuvres de création protégées et aux œuvres de création dans le domaine public.</w:t>
            </w:r>
          </w:p>
          <w:p w:rsidR="007908EA" w:rsidRPr="001800B7" w:rsidDel="00196374" w:rsidRDefault="00DC6B44" w:rsidP="001F4C06">
            <w:pPr>
              <w:spacing w:before="120" w:after="120"/>
              <w:rPr>
                <w:iCs/>
                <w:szCs w:val="22"/>
              </w:rPr>
            </w:pPr>
            <w:r w:rsidRPr="001800B7">
              <w:rPr>
                <w:i/>
                <w:iCs/>
                <w:szCs w:val="22"/>
              </w:rPr>
              <w:t xml:space="preserve">Résultat </w:t>
            </w:r>
            <w:r w:rsidR="0008593D" w:rsidRPr="001800B7">
              <w:rPr>
                <w:i/>
                <w:iCs/>
                <w:szCs w:val="22"/>
              </w:rPr>
              <w:t>escompté </w:t>
            </w:r>
            <w:r w:rsidRPr="001800B7">
              <w:rPr>
                <w:i/>
                <w:iCs/>
                <w:szCs w:val="22"/>
              </w:rPr>
              <w:t>VII.3</w:t>
            </w:r>
            <w:r w:rsidR="001F4C06" w:rsidRPr="001800B7">
              <w:rPr>
                <w:i/>
                <w:iCs/>
                <w:szCs w:val="22"/>
              </w:rPr>
              <w:t xml:space="preserve"> : </w:t>
            </w:r>
            <w:r w:rsidRPr="001800B7">
              <w:rPr>
                <w:iCs/>
                <w:szCs w:val="22"/>
              </w:rPr>
              <w:t>Les instruments axés sur la propriété intellectuelle sont utilisés pour le transfert de technologie entre les pays développés et les pays en développement, notamment les pays les moins avancés, pour répondre aux défis mondiaux</w:t>
            </w:r>
          </w:p>
        </w:tc>
      </w:tr>
      <w:tr w:rsidR="001800B7" w:rsidRPr="001800B7" w:rsidTr="001F4C06">
        <w:tc>
          <w:tcPr>
            <w:tcW w:w="2235" w:type="dxa"/>
            <w:shd w:val="clear" w:color="auto" w:fill="auto"/>
          </w:tcPr>
          <w:p w:rsidR="007908EA" w:rsidRPr="001800B7" w:rsidRDefault="00DC6B44" w:rsidP="001F4C06">
            <w:pPr>
              <w:pStyle w:val="Heading3"/>
              <w:keepNext w:val="0"/>
              <w:spacing w:before="120" w:after="120"/>
              <w:rPr>
                <w:szCs w:val="22"/>
              </w:rPr>
            </w:pPr>
            <w:r w:rsidRPr="001800B7">
              <w:rPr>
                <w:szCs w:val="22"/>
              </w:rPr>
              <w:t>État d</w:t>
            </w:r>
            <w:r w:rsidR="005311D6" w:rsidRPr="001800B7">
              <w:rPr>
                <w:szCs w:val="22"/>
              </w:rPr>
              <w:t>’</w:t>
            </w:r>
            <w:r w:rsidRPr="001800B7">
              <w:rPr>
                <w:szCs w:val="22"/>
              </w:rPr>
              <w:t>avancement du projet</w:t>
            </w:r>
          </w:p>
        </w:tc>
        <w:tc>
          <w:tcPr>
            <w:tcW w:w="7266" w:type="dxa"/>
          </w:tcPr>
          <w:p w:rsidR="008475D2" w:rsidRPr="001800B7" w:rsidRDefault="00A326A5" w:rsidP="008475D2">
            <w:pPr>
              <w:spacing w:before="120" w:after="120"/>
              <w:rPr>
                <w:iCs/>
                <w:szCs w:val="22"/>
              </w:rPr>
            </w:pPr>
            <w:r w:rsidRPr="001800B7">
              <w:rPr>
                <w:iCs/>
                <w:szCs w:val="22"/>
              </w:rPr>
              <w:t>Le projet est exécuté conformément au nouveau calendrier approuvé par</w:t>
            </w:r>
            <w:r w:rsidR="00456841" w:rsidRPr="001800B7">
              <w:rPr>
                <w:iCs/>
                <w:szCs w:val="22"/>
              </w:rPr>
              <w:t xml:space="preserve"> le CDI</w:t>
            </w:r>
            <w:r w:rsidR="007908EA" w:rsidRPr="001800B7">
              <w:rPr>
                <w:iCs/>
                <w:szCs w:val="22"/>
              </w:rPr>
              <w:t xml:space="preserve">P </w:t>
            </w:r>
            <w:r w:rsidRPr="001800B7">
              <w:rPr>
                <w:iCs/>
                <w:szCs w:val="22"/>
              </w:rPr>
              <w:t xml:space="preserve">à sa </w:t>
            </w:r>
            <w:r w:rsidR="00CB4748" w:rsidRPr="001800B7">
              <w:rPr>
                <w:iCs/>
                <w:szCs w:val="22"/>
              </w:rPr>
              <w:t>douzième</w:t>
            </w:r>
            <w:r w:rsidR="008005FD" w:rsidRPr="001800B7">
              <w:rPr>
                <w:iCs/>
                <w:szCs w:val="22"/>
              </w:rPr>
              <w:t> </w:t>
            </w:r>
            <w:r w:rsidR="007908EA" w:rsidRPr="001800B7">
              <w:rPr>
                <w:iCs/>
                <w:szCs w:val="22"/>
              </w:rPr>
              <w:t>session</w:t>
            </w:r>
            <w:r w:rsidRPr="001800B7">
              <w:rPr>
                <w:iCs/>
                <w:szCs w:val="22"/>
              </w:rPr>
              <w:t xml:space="preserve"> </w:t>
            </w:r>
            <w:r w:rsidR="007908EA" w:rsidRPr="001800B7">
              <w:rPr>
                <w:iCs/>
                <w:szCs w:val="22"/>
              </w:rPr>
              <w:t>(</w:t>
            </w:r>
            <w:r w:rsidR="00377536" w:rsidRPr="001800B7">
              <w:rPr>
                <w:rStyle w:val="Hyperlink"/>
                <w:iCs/>
                <w:color w:val="auto"/>
                <w:szCs w:val="22"/>
              </w:rPr>
              <w:t>Annexe</w:t>
            </w:r>
            <w:r w:rsidR="008005FD" w:rsidRPr="001800B7">
              <w:rPr>
                <w:rStyle w:val="Hyperlink"/>
                <w:iCs/>
                <w:color w:val="auto"/>
                <w:szCs w:val="22"/>
              </w:rPr>
              <w:t> </w:t>
            </w:r>
            <w:r w:rsidR="00377536" w:rsidRPr="001800B7">
              <w:rPr>
                <w:rStyle w:val="Hyperlink"/>
                <w:iCs/>
                <w:color w:val="auto"/>
                <w:szCs w:val="22"/>
              </w:rPr>
              <w:t>VII</w:t>
            </w:r>
            <w:r w:rsidR="00377536" w:rsidRPr="001800B7">
              <w:rPr>
                <w:iCs/>
                <w:szCs w:val="22"/>
              </w:rPr>
              <w:t xml:space="preserve"> du </w:t>
            </w:r>
            <w:r w:rsidR="007908EA" w:rsidRPr="001800B7">
              <w:rPr>
                <w:iCs/>
                <w:szCs w:val="22"/>
              </w:rPr>
              <w:t xml:space="preserve">document </w:t>
            </w:r>
            <w:hyperlink r:id="rId33" w:history="1">
              <w:r w:rsidR="007908EA" w:rsidRPr="001800B7">
                <w:rPr>
                  <w:rStyle w:val="Hyperlink"/>
                  <w:iCs/>
                  <w:color w:val="auto"/>
                  <w:szCs w:val="22"/>
                </w:rPr>
                <w:t>CDIP/12/2</w:t>
              </w:r>
            </w:hyperlink>
            <w:r w:rsidR="007908EA" w:rsidRPr="001800B7">
              <w:rPr>
                <w:rStyle w:val="Hyperlink"/>
                <w:iCs/>
                <w:color w:val="auto"/>
                <w:szCs w:val="22"/>
              </w:rPr>
              <w:t>)</w:t>
            </w:r>
            <w:r w:rsidR="007908EA" w:rsidRPr="001800B7">
              <w:rPr>
                <w:iCs/>
                <w:szCs w:val="22"/>
              </w:rPr>
              <w:t>.</w:t>
            </w:r>
          </w:p>
          <w:p w:rsidR="008475D2" w:rsidRPr="001800B7" w:rsidRDefault="0008593D" w:rsidP="008475D2">
            <w:pPr>
              <w:spacing w:before="120" w:after="120"/>
              <w:rPr>
                <w:iCs/>
                <w:szCs w:val="22"/>
              </w:rPr>
            </w:pPr>
            <w:r w:rsidRPr="001800B7">
              <w:rPr>
                <w:iCs/>
                <w:szCs w:val="22"/>
                <w:u w:val="single"/>
              </w:rPr>
              <w:t>Activité </w:t>
            </w:r>
            <w:r w:rsidR="00DC6B44" w:rsidRPr="001800B7">
              <w:rPr>
                <w:iCs/>
                <w:szCs w:val="22"/>
                <w:u w:val="single"/>
              </w:rPr>
              <w:t>1</w:t>
            </w:r>
            <w:r w:rsidR="008005FD" w:rsidRPr="001800B7">
              <w:rPr>
                <w:iCs/>
                <w:szCs w:val="22"/>
              </w:rPr>
              <w:t> </w:t>
            </w:r>
            <w:r w:rsidR="00DC6B44" w:rsidRPr="001800B7">
              <w:rPr>
                <w:iCs/>
                <w:szCs w:val="22"/>
              </w:rPr>
              <w:t>: La version préliminaire de l</w:t>
            </w:r>
            <w:r w:rsidR="005311D6" w:rsidRPr="001800B7">
              <w:rPr>
                <w:iCs/>
                <w:szCs w:val="22"/>
              </w:rPr>
              <w:t>’</w:t>
            </w:r>
            <w:r w:rsidR="00DC6B44" w:rsidRPr="001800B7">
              <w:rPr>
                <w:iCs/>
                <w:szCs w:val="22"/>
              </w:rPr>
              <w:t>étude analytique</w:t>
            </w:r>
            <w:r w:rsidR="001800B7" w:rsidRPr="001800B7">
              <w:rPr>
                <w:iCs/>
                <w:szCs w:val="22"/>
              </w:rPr>
              <w:noBreakHyphen/>
            </w:r>
            <w:r w:rsidR="00DC6B44" w:rsidRPr="001800B7">
              <w:rPr>
                <w:iCs/>
                <w:szCs w:val="22"/>
              </w:rPr>
              <w:t xml:space="preserve">taxonomie des projets de partenariat ouvert et modèles fondés sur la propriété intellectuelle a été achevée en </w:t>
            </w:r>
            <w:r w:rsidR="00456841" w:rsidRPr="001800B7">
              <w:rPr>
                <w:iCs/>
                <w:szCs w:val="22"/>
              </w:rPr>
              <w:t>octobre 20</w:t>
            </w:r>
            <w:r w:rsidR="00DC6B44" w:rsidRPr="001800B7">
              <w:rPr>
                <w:iCs/>
                <w:szCs w:val="22"/>
              </w:rPr>
              <w:t>11 et présentée à la huitième</w:t>
            </w:r>
            <w:r w:rsidR="008005FD" w:rsidRPr="001800B7">
              <w:rPr>
                <w:iCs/>
                <w:szCs w:val="22"/>
              </w:rPr>
              <w:t> </w:t>
            </w:r>
            <w:r w:rsidR="00DC6B44" w:rsidRPr="001800B7">
              <w:rPr>
                <w:iCs/>
                <w:szCs w:val="22"/>
              </w:rPr>
              <w:t>session</w:t>
            </w:r>
            <w:r w:rsidR="00456841" w:rsidRPr="001800B7">
              <w:rPr>
                <w:iCs/>
                <w:szCs w:val="22"/>
              </w:rPr>
              <w:t xml:space="preserve"> du CDI</w:t>
            </w:r>
            <w:r w:rsidR="00DC6B44" w:rsidRPr="001800B7">
              <w:rPr>
                <w:iCs/>
                <w:szCs w:val="22"/>
              </w:rPr>
              <w:t>P.  Les observations des États membres et observateurs ont été incorporées dans l</w:t>
            </w:r>
            <w:r w:rsidR="005311D6" w:rsidRPr="001800B7">
              <w:rPr>
                <w:iCs/>
                <w:szCs w:val="22"/>
              </w:rPr>
              <w:t>’</w:t>
            </w:r>
            <w:r w:rsidR="00DC6B44" w:rsidRPr="001800B7">
              <w:rPr>
                <w:iCs/>
                <w:szCs w:val="22"/>
              </w:rPr>
              <w:t xml:space="preserve">étude finale en </w:t>
            </w:r>
            <w:r w:rsidR="00456841" w:rsidRPr="001800B7">
              <w:rPr>
                <w:iCs/>
                <w:szCs w:val="22"/>
              </w:rPr>
              <w:t>mars 20</w:t>
            </w:r>
            <w:r w:rsidR="00DC6B44" w:rsidRPr="001800B7">
              <w:rPr>
                <w:iCs/>
                <w:szCs w:val="22"/>
              </w:rPr>
              <w:t>12 pour la neuvième</w:t>
            </w:r>
            <w:r w:rsidR="008005FD" w:rsidRPr="001800B7">
              <w:rPr>
                <w:iCs/>
                <w:szCs w:val="22"/>
              </w:rPr>
              <w:t> </w:t>
            </w:r>
            <w:r w:rsidR="00DC6B44" w:rsidRPr="001800B7">
              <w:rPr>
                <w:iCs/>
                <w:szCs w:val="22"/>
              </w:rPr>
              <w:t>session</w:t>
            </w:r>
            <w:r w:rsidR="00456841" w:rsidRPr="001800B7">
              <w:rPr>
                <w:iCs/>
                <w:szCs w:val="22"/>
              </w:rPr>
              <w:t xml:space="preserve"> du CDI</w:t>
            </w:r>
            <w:r w:rsidR="00DC6B44" w:rsidRPr="001800B7">
              <w:rPr>
                <w:iCs/>
                <w:szCs w:val="22"/>
              </w:rPr>
              <w:t>P/9 (</w:t>
            </w:r>
            <w:r w:rsidR="00DC6B44" w:rsidRPr="001800B7">
              <w:rPr>
                <w:iCs/>
                <w:szCs w:val="22"/>
                <w:u w:val="single"/>
              </w:rPr>
              <w:t>http://www.wipo.int/edocs/mdocs/mdocs/en/cdip_8/cdip_8_inf_7_rev.pdf</w:t>
            </w:r>
            <w:r w:rsidR="00DC6B44" w:rsidRPr="001800B7">
              <w:rPr>
                <w:iCs/>
                <w:szCs w:val="22"/>
              </w:rPr>
              <w:t>).</w:t>
            </w:r>
          </w:p>
          <w:p w:rsidR="008475D2" w:rsidRPr="001800B7" w:rsidRDefault="0008593D" w:rsidP="008475D2">
            <w:pPr>
              <w:spacing w:before="120" w:after="120"/>
              <w:rPr>
                <w:rStyle w:val="Hyperlink"/>
                <w:iCs/>
                <w:color w:val="auto"/>
                <w:szCs w:val="22"/>
              </w:rPr>
            </w:pPr>
            <w:r w:rsidRPr="001800B7">
              <w:rPr>
                <w:iCs/>
                <w:szCs w:val="22"/>
                <w:u w:val="single"/>
              </w:rPr>
              <w:t>Activité </w:t>
            </w:r>
            <w:r w:rsidR="00DC6B44" w:rsidRPr="001800B7">
              <w:rPr>
                <w:iCs/>
                <w:szCs w:val="22"/>
                <w:u w:val="single"/>
              </w:rPr>
              <w:t>2</w:t>
            </w:r>
            <w:r w:rsidR="008005FD" w:rsidRPr="001800B7">
              <w:rPr>
                <w:iCs/>
                <w:szCs w:val="22"/>
              </w:rPr>
              <w:t> </w:t>
            </w:r>
            <w:r w:rsidR="00DC6B44" w:rsidRPr="001800B7">
              <w:rPr>
                <w:iCs/>
                <w:szCs w:val="22"/>
              </w:rPr>
              <w:t>: Deux</w:t>
            </w:r>
            <w:r w:rsidR="008005FD" w:rsidRPr="001800B7">
              <w:rPr>
                <w:iCs/>
                <w:szCs w:val="22"/>
              </w:rPr>
              <w:t> </w:t>
            </w:r>
            <w:r w:rsidR="00DC6B44" w:rsidRPr="001800B7">
              <w:rPr>
                <w:iCs/>
                <w:szCs w:val="22"/>
              </w:rPr>
              <w:t>réunions à participation non limitée avec les États membres ont été organisées</w:t>
            </w:r>
            <w:r w:rsidRPr="001800B7">
              <w:rPr>
                <w:iCs/>
                <w:szCs w:val="22"/>
              </w:rPr>
              <w:t xml:space="preserve">.  </w:t>
            </w:r>
            <w:r w:rsidR="00DC6B44" w:rsidRPr="001800B7">
              <w:rPr>
                <w:iCs/>
                <w:szCs w:val="22"/>
              </w:rPr>
              <w:t>Une manifestation informelle en marge de la neuvième</w:t>
            </w:r>
            <w:r w:rsidR="008005FD" w:rsidRPr="001800B7">
              <w:rPr>
                <w:iCs/>
                <w:szCs w:val="22"/>
              </w:rPr>
              <w:t> </w:t>
            </w:r>
            <w:r w:rsidR="00DC6B44" w:rsidRPr="001800B7">
              <w:rPr>
                <w:iCs/>
                <w:szCs w:val="22"/>
              </w:rPr>
              <w:t>session</w:t>
            </w:r>
            <w:r w:rsidR="00456841" w:rsidRPr="001800B7">
              <w:rPr>
                <w:iCs/>
                <w:szCs w:val="22"/>
              </w:rPr>
              <w:t xml:space="preserve"> du CDI</w:t>
            </w:r>
            <w:r w:rsidR="00DC6B44" w:rsidRPr="001800B7">
              <w:rPr>
                <w:iCs/>
                <w:szCs w:val="22"/>
              </w:rPr>
              <w:t>P/9 a eu lieu le 1</w:t>
            </w:r>
            <w:r w:rsidR="00456841" w:rsidRPr="001800B7">
              <w:rPr>
                <w:iCs/>
                <w:szCs w:val="22"/>
              </w:rPr>
              <w:t>1 mai 20</w:t>
            </w:r>
            <w:r w:rsidR="00DC6B44" w:rsidRPr="001800B7">
              <w:rPr>
                <w:iCs/>
                <w:szCs w:val="22"/>
              </w:rPr>
              <w:t>12 ainsi qu</w:t>
            </w:r>
            <w:r w:rsidR="005311D6" w:rsidRPr="001800B7">
              <w:rPr>
                <w:iCs/>
                <w:szCs w:val="22"/>
              </w:rPr>
              <w:t>’</w:t>
            </w:r>
            <w:r w:rsidR="00DC6B44" w:rsidRPr="001800B7">
              <w:rPr>
                <w:iCs/>
                <w:szCs w:val="22"/>
              </w:rPr>
              <w:t>une réunion officielle de l</w:t>
            </w:r>
            <w:r w:rsidR="005311D6" w:rsidRPr="001800B7">
              <w:rPr>
                <w:iCs/>
                <w:szCs w:val="22"/>
              </w:rPr>
              <w:t>’</w:t>
            </w:r>
            <w:r w:rsidR="00DC6B44" w:rsidRPr="001800B7">
              <w:rPr>
                <w:iCs/>
                <w:szCs w:val="22"/>
              </w:rPr>
              <w:t>OMPI le 1</w:t>
            </w:r>
            <w:r w:rsidR="00456841" w:rsidRPr="001800B7">
              <w:rPr>
                <w:iCs/>
                <w:szCs w:val="22"/>
              </w:rPr>
              <w:t>8 juin 20</w:t>
            </w:r>
            <w:r w:rsidR="00DC6B44" w:rsidRPr="001800B7">
              <w:rPr>
                <w:iCs/>
                <w:szCs w:val="22"/>
              </w:rPr>
              <w:t>12 (http://www.wipo.int/meetings/fr/details.jsp?meeting_id=26782).</w:t>
            </w:r>
          </w:p>
          <w:p w:rsidR="008475D2" w:rsidRPr="001800B7" w:rsidRDefault="00A326A5" w:rsidP="008475D2">
            <w:pPr>
              <w:spacing w:before="120" w:after="120"/>
              <w:rPr>
                <w:szCs w:val="22"/>
              </w:rPr>
            </w:pPr>
            <w:r w:rsidRPr="001800B7">
              <w:rPr>
                <w:iCs/>
                <w:szCs w:val="22"/>
                <w:u w:val="single"/>
              </w:rPr>
              <w:t>Activité </w:t>
            </w:r>
            <w:r w:rsidR="007908EA" w:rsidRPr="001800B7">
              <w:rPr>
                <w:iCs/>
                <w:szCs w:val="22"/>
                <w:u w:val="single"/>
              </w:rPr>
              <w:t>3</w:t>
            </w:r>
            <w:r w:rsidRPr="001800B7">
              <w:rPr>
                <w:iCs/>
                <w:szCs w:val="22"/>
              </w:rPr>
              <w:t> </w:t>
            </w:r>
            <w:r w:rsidR="007908EA" w:rsidRPr="001800B7">
              <w:rPr>
                <w:iCs/>
                <w:szCs w:val="22"/>
              </w:rPr>
              <w:t>:</w:t>
            </w:r>
            <w:r w:rsidRPr="001800B7">
              <w:rPr>
                <w:iCs/>
                <w:szCs w:val="22"/>
              </w:rPr>
              <w:t xml:space="preserve"> L</w:t>
            </w:r>
            <w:r w:rsidR="005311D6" w:rsidRPr="001800B7">
              <w:rPr>
                <w:iCs/>
                <w:szCs w:val="22"/>
              </w:rPr>
              <w:t>’</w:t>
            </w:r>
            <w:r w:rsidRPr="001800B7">
              <w:rPr>
                <w:iCs/>
                <w:szCs w:val="22"/>
              </w:rPr>
              <w:t>étude d</w:t>
            </w:r>
            <w:r w:rsidR="005311D6" w:rsidRPr="001800B7">
              <w:rPr>
                <w:iCs/>
                <w:szCs w:val="22"/>
              </w:rPr>
              <w:t>’</w:t>
            </w:r>
            <w:r w:rsidRPr="001800B7">
              <w:rPr>
                <w:iCs/>
                <w:szCs w:val="22"/>
              </w:rPr>
              <w:t xml:space="preserve">évaluation approfondie </w:t>
            </w:r>
            <w:r w:rsidR="00CB4748" w:rsidRPr="001800B7">
              <w:rPr>
                <w:iCs/>
                <w:szCs w:val="22"/>
              </w:rPr>
              <w:t xml:space="preserve">établissant les avantages et les inconvénients </w:t>
            </w:r>
            <w:r w:rsidRPr="001800B7">
              <w:rPr>
                <w:iCs/>
                <w:szCs w:val="22"/>
              </w:rPr>
              <w:t xml:space="preserve">des projets existants en </w:t>
            </w:r>
            <w:r w:rsidR="00CB4748" w:rsidRPr="001800B7">
              <w:rPr>
                <w:iCs/>
                <w:szCs w:val="22"/>
              </w:rPr>
              <w:t>exploitant l</w:t>
            </w:r>
            <w:r w:rsidRPr="001800B7">
              <w:rPr>
                <w:iCs/>
                <w:szCs w:val="22"/>
              </w:rPr>
              <w:t xml:space="preserve">es modèles de propriété intellectuelle </w:t>
            </w:r>
            <w:r w:rsidR="00CB4748" w:rsidRPr="001800B7">
              <w:rPr>
                <w:iCs/>
                <w:szCs w:val="22"/>
              </w:rPr>
              <w:t>spécifiques permettant de créer des environnements de partenariat ouvert</w:t>
            </w:r>
            <w:r w:rsidRPr="001800B7">
              <w:rPr>
                <w:iCs/>
                <w:szCs w:val="22"/>
              </w:rPr>
              <w:t xml:space="preserve"> fructueux a été commandée par une équipe d</w:t>
            </w:r>
            <w:r w:rsidR="005311D6" w:rsidRPr="001800B7">
              <w:rPr>
                <w:iCs/>
                <w:szCs w:val="22"/>
              </w:rPr>
              <w:t>’</w:t>
            </w:r>
            <w:r w:rsidRPr="001800B7">
              <w:rPr>
                <w:iCs/>
                <w:szCs w:val="22"/>
              </w:rPr>
              <w:t xml:space="preserve">experts sous la direction </w:t>
            </w:r>
            <w:r w:rsidR="00664193" w:rsidRPr="001800B7">
              <w:rPr>
                <w:iCs/>
                <w:szCs w:val="22"/>
              </w:rPr>
              <w:t>de Mme</w:t>
            </w:r>
            <w:r w:rsidR="00664193" w:rsidRPr="001800B7">
              <w:rPr>
                <w:szCs w:val="22"/>
              </w:rPr>
              <w:t> </w:t>
            </w:r>
            <w:r w:rsidR="0008593D" w:rsidRPr="001800B7">
              <w:rPr>
                <w:szCs w:val="22"/>
              </w:rPr>
              <w:t>Ellen </w:t>
            </w:r>
            <w:proofErr w:type="spellStart"/>
            <w:r w:rsidR="007908EA" w:rsidRPr="001800B7">
              <w:rPr>
                <w:szCs w:val="22"/>
              </w:rPr>
              <w:t>Enkel</w:t>
            </w:r>
            <w:proofErr w:type="spellEnd"/>
            <w:r w:rsidR="007908EA" w:rsidRPr="001800B7">
              <w:rPr>
                <w:szCs w:val="22"/>
              </w:rPr>
              <w:t xml:space="preserve">, </w:t>
            </w:r>
            <w:r w:rsidRPr="001800B7">
              <w:rPr>
                <w:szCs w:val="22"/>
              </w:rPr>
              <w:t>directrice de l</w:t>
            </w:r>
            <w:r w:rsidR="005311D6" w:rsidRPr="001800B7">
              <w:rPr>
                <w:szCs w:val="22"/>
              </w:rPr>
              <w:t>’</w:t>
            </w:r>
            <w:r w:rsidRPr="001800B7">
              <w:rPr>
                <w:szCs w:val="22"/>
              </w:rPr>
              <w:t>Institut D</w:t>
            </w:r>
            <w:r w:rsidRPr="001800B7">
              <w:rPr>
                <w:szCs w:val="22"/>
                <w:vertAlign w:val="superscript"/>
              </w:rPr>
              <w:t>r</w:t>
            </w:r>
            <w:r w:rsidRPr="001800B7">
              <w:rPr>
                <w:szCs w:val="22"/>
              </w:rPr>
              <w:t> </w:t>
            </w:r>
            <w:r w:rsidR="0008593D" w:rsidRPr="001800B7">
              <w:rPr>
                <w:szCs w:val="22"/>
              </w:rPr>
              <w:t>Manfred </w:t>
            </w:r>
            <w:r w:rsidR="007908EA" w:rsidRPr="001800B7">
              <w:rPr>
                <w:szCs w:val="22"/>
              </w:rPr>
              <w:t xml:space="preserve">Bischoff </w:t>
            </w:r>
            <w:r w:rsidRPr="001800B7">
              <w:rPr>
                <w:szCs w:val="22"/>
              </w:rPr>
              <w:t>de gestion de l</w:t>
            </w:r>
            <w:r w:rsidR="005311D6" w:rsidRPr="001800B7">
              <w:rPr>
                <w:szCs w:val="22"/>
              </w:rPr>
              <w:t>’</w:t>
            </w:r>
            <w:r w:rsidRPr="001800B7">
              <w:rPr>
                <w:szCs w:val="22"/>
              </w:rPr>
              <w:t>innovation du groupe Airbus, présidente de la Gestion de l</w:t>
            </w:r>
            <w:r w:rsidR="005311D6" w:rsidRPr="001800B7">
              <w:rPr>
                <w:szCs w:val="22"/>
              </w:rPr>
              <w:t>’</w:t>
            </w:r>
            <w:r w:rsidRPr="001800B7">
              <w:rPr>
                <w:szCs w:val="22"/>
              </w:rPr>
              <w:t>innovation à l</w:t>
            </w:r>
            <w:r w:rsidR="005311D6" w:rsidRPr="001800B7">
              <w:rPr>
                <w:szCs w:val="22"/>
              </w:rPr>
              <w:t>’</w:t>
            </w:r>
            <w:r w:rsidRPr="001800B7">
              <w:rPr>
                <w:szCs w:val="22"/>
              </w:rPr>
              <w:t xml:space="preserve">Université </w:t>
            </w:r>
            <w:r w:rsidR="007908EA" w:rsidRPr="001800B7">
              <w:rPr>
                <w:szCs w:val="22"/>
              </w:rPr>
              <w:t xml:space="preserve">Zeppelin, </w:t>
            </w:r>
            <w:r w:rsidRPr="001800B7">
              <w:rPr>
                <w:szCs w:val="22"/>
              </w:rPr>
              <w:t xml:space="preserve">à </w:t>
            </w:r>
            <w:r w:rsidR="007908EA" w:rsidRPr="001800B7">
              <w:rPr>
                <w:szCs w:val="22"/>
              </w:rPr>
              <w:t>Friedrichshafen</w:t>
            </w:r>
            <w:r w:rsidR="00664193" w:rsidRPr="001800B7">
              <w:rPr>
                <w:szCs w:val="22"/>
              </w:rPr>
              <w:t xml:space="preserve"> (</w:t>
            </w:r>
            <w:r w:rsidRPr="001800B7">
              <w:rPr>
                <w:szCs w:val="22"/>
              </w:rPr>
              <w:t>Allemagne</w:t>
            </w:r>
            <w:r w:rsidR="00664193" w:rsidRPr="001800B7">
              <w:rPr>
                <w:szCs w:val="22"/>
              </w:rPr>
              <w:t>).</w:t>
            </w:r>
            <w:r w:rsidRPr="001800B7">
              <w:rPr>
                <w:szCs w:val="22"/>
              </w:rPr>
              <w:t xml:space="preserve"> </w:t>
            </w:r>
            <w:r w:rsidR="008005FD" w:rsidRPr="001800B7">
              <w:rPr>
                <w:szCs w:val="22"/>
              </w:rPr>
              <w:t xml:space="preserve"> </w:t>
            </w:r>
            <w:r w:rsidRPr="001800B7">
              <w:rPr>
                <w:szCs w:val="22"/>
              </w:rPr>
              <w:t>La version définitive de l</w:t>
            </w:r>
            <w:r w:rsidR="005311D6" w:rsidRPr="001800B7">
              <w:rPr>
                <w:szCs w:val="22"/>
              </w:rPr>
              <w:t>’</w:t>
            </w:r>
            <w:r w:rsidRPr="001800B7">
              <w:rPr>
                <w:szCs w:val="22"/>
              </w:rPr>
              <w:t xml:space="preserve">étude a été reçue en </w:t>
            </w:r>
            <w:r w:rsidR="00456841" w:rsidRPr="001800B7">
              <w:rPr>
                <w:szCs w:val="22"/>
              </w:rPr>
              <w:t>juillet 20</w:t>
            </w:r>
            <w:r w:rsidR="007908EA" w:rsidRPr="001800B7">
              <w:rPr>
                <w:szCs w:val="22"/>
              </w:rPr>
              <w:t xml:space="preserve">14 </w:t>
            </w:r>
            <w:r w:rsidRPr="001800B7">
              <w:rPr>
                <w:szCs w:val="22"/>
              </w:rPr>
              <w:t>et sera mise à la disposition</w:t>
            </w:r>
            <w:r w:rsidR="00456841" w:rsidRPr="001800B7">
              <w:rPr>
                <w:szCs w:val="22"/>
              </w:rPr>
              <w:t xml:space="preserve"> du CDI</w:t>
            </w:r>
            <w:r w:rsidR="007908EA" w:rsidRPr="001800B7">
              <w:rPr>
                <w:szCs w:val="22"/>
              </w:rPr>
              <w:t xml:space="preserve">P/14. </w:t>
            </w:r>
            <w:r w:rsidR="008005FD" w:rsidRPr="001800B7">
              <w:rPr>
                <w:szCs w:val="22"/>
              </w:rPr>
              <w:t xml:space="preserve"> </w:t>
            </w:r>
            <w:r w:rsidRPr="001800B7">
              <w:rPr>
                <w:szCs w:val="22"/>
              </w:rPr>
              <w:t>L</w:t>
            </w:r>
            <w:r w:rsidR="005311D6" w:rsidRPr="001800B7">
              <w:rPr>
                <w:szCs w:val="22"/>
              </w:rPr>
              <w:t>’</w:t>
            </w:r>
            <w:r w:rsidRPr="001800B7">
              <w:rPr>
                <w:szCs w:val="22"/>
              </w:rPr>
              <w:t>étude se compose des éléments suivants </w:t>
            </w:r>
            <w:r w:rsidR="007908EA" w:rsidRPr="001800B7">
              <w:rPr>
                <w:szCs w:val="22"/>
              </w:rPr>
              <w:t>:</w:t>
            </w:r>
          </w:p>
          <w:p w:rsidR="008475D2" w:rsidRPr="001800B7" w:rsidRDefault="00DC6B44" w:rsidP="0010628F">
            <w:pPr>
              <w:pStyle w:val="ListParagraph"/>
              <w:numPr>
                <w:ilvl w:val="0"/>
                <w:numId w:val="6"/>
              </w:numPr>
              <w:spacing w:before="120" w:after="120"/>
              <w:contextualSpacing w:val="0"/>
              <w:rPr>
                <w:szCs w:val="22"/>
              </w:rPr>
            </w:pPr>
            <w:r w:rsidRPr="001800B7">
              <w:rPr>
                <w:szCs w:val="22"/>
              </w:rPr>
              <w:t>un aperçu de l</w:t>
            </w:r>
            <w:r w:rsidR="005311D6" w:rsidRPr="001800B7">
              <w:rPr>
                <w:szCs w:val="22"/>
              </w:rPr>
              <w:t>’</w:t>
            </w:r>
            <w:r w:rsidRPr="001800B7">
              <w:rPr>
                <w:szCs w:val="22"/>
              </w:rPr>
              <w:t>évolution des concepts de partenariats ouverts;</w:t>
            </w:r>
          </w:p>
          <w:p w:rsidR="008475D2" w:rsidRPr="001800B7" w:rsidRDefault="00DC6B44" w:rsidP="0010628F">
            <w:pPr>
              <w:pStyle w:val="ListParagraph"/>
              <w:numPr>
                <w:ilvl w:val="0"/>
                <w:numId w:val="6"/>
              </w:numPr>
              <w:spacing w:before="120" w:after="120"/>
              <w:contextualSpacing w:val="0"/>
              <w:rPr>
                <w:szCs w:val="22"/>
              </w:rPr>
            </w:pPr>
            <w:r w:rsidRPr="001800B7">
              <w:rPr>
                <w:szCs w:val="22"/>
              </w:rPr>
              <w:t>un aperçu de l</w:t>
            </w:r>
            <w:r w:rsidR="005311D6" w:rsidRPr="001800B7">
              <w:rPr>
                <w:szCs w:val="22"/>
              </w:rPr>
              <w:t>’</w:t>
            </w:r>
            <w:r w:rsidRPr="001800B7">
              <w:rPr>
                <w:szCs w:val="22"/>
              </w:rPr>
              <w:t xml:space="preserve">innovation ouverte depuis la création de ce concept il y a </w:t>
            </w:r>
            <w:r w:rsidR="0008593D" w:rsidRPr="001800B7">
              <w:rPr>
                <w:szCs w:val="22"/>
              </w:rPr>
              <w:t>10 </w:t>
            </w:r>
            <w:r w:rsidRPr="001800B7">
              <w:rPr>
                <w:szCs w:val="22"/>
              </w:rPr>
              <w:t>ans;</w:t>
            </w:r>
          </w:p>
          <w:p w:rsidR="008475D2" w:rsidRPr="001800B7" w:rsidRDefault="00DC6B44" w:rsidP="0010628F">
            <w:pPr>
              <w:pStyle w:val="ListParagraph"/>
              <w:numPr>
                <w:ilvl w:val="0"/>
                <w:numId w:val="6"/>
              </w:numPr>
              <w:spacing w:before="120" w:after="120"/>
              <w:contextualSpacing w:val="0"/>
              <w:rPr>
                <w:szCs w:val="22"/>
              </w:rPr>
            </w:pPr>
            <w:r w:rsidRPr="001800B7">
              <w:rPr>
                <w:szCs w:val="22"/>
              </w:rPr>
              <w:t xml:space="preserve">une liste des avantages et des difficultés découlant des projets existants et définir les enseignements tirés de chaque initiative typique </w:t>
            </w:r>
            <w:r w:rsidRPr="001800B7">
              <w:rPr>
                <w:szCs w:val="22"/>
              </w:rPr>
              <w:lastRenderedPageBreak/>
              <w:t>de partenariat ouvert;</w:t>
            </w:r>
          </w:p>
          <w:p w:rsidR="008475D2" w:rsidRPr="001800B7" w:rsidRDefault="00DC6B44" w:rsidP="0010628F">
            <w:pPr>
              <w:pStyle w:val="ListParagraph"/>
              <w:numPr>
                <w:ilvl w:val="0"/>
                <w:numId w:val="6"/>
              </w:numPr>
              <w:spacing w:before="120" w:after="120"/>
              <w:contextualSpacing w:val="0"/>
              <w:rPr>
                <w:szCs w:val="22"/>
              </w:rPr>
            </w:pPr>
            <w:r w:rsidRPr="001800B7">
              <w:rPr>
                <w:szCs w:val="22"/>
              </w:rPr>
              <w:t>une liste des conditions favorables spécifiques et des modèles de propriété intellectuelle efficaces applicables aux initiatives typiques de partenariat ouvert couronnées de succès;  et</w:t>
            </w:r>
          </w:p>
          <w:p w:rsidR="008475D2" w:rsidRPr="001800B7" w:rsidRDefault="00DC6B44" w:rsidP="0010628F">
            <w:pPr>
              <w:pStyle w:val="ListParagraph"/>
              <w:numPr>
                <w:ilvl w:val="0"/>
                <w:numId w:val="6"/>
              </w:numPr>
              <w:spacing w:before="120" w:after="120"/>
              <w:contextualSpacing w:val="0"/>
              <w:rPr>
                <w:szCs w:val="22"/>
              </w:rPr>
            </w:pPr>
            <w:r w:rsidRPr="001800B7">
              <w:rPr>
                <w:szCs w:val="22"/>
              </w:rPr>
              <w:t>une liste de recommandations sur les manières dont</w:t>
            </w:r>
            <w:r w:rsidR="00456841" w:rsidRPr="001800B7">
              <w:rPr>
                <w:szCs w:val="22"/>
              </w:rPr>
              <w:t xml:space="preserve"> les PMA</w:t>
            </w:r>
            <w:r w:rsidRPr="001800B7">
              <w:rPr>
                <w:szCs w:val="22"/>
              </w:rPr>
              <w:t xml:space="preserve"> peuvent être aidés dans le cadre des programmes de l</w:t>
            </w:r>
            <w:r w:rsidR="005311D6" w:rsidRPr="001800B7">
              <w:rPr>
                <w:szCs w:val="22"/>
              </w:rPr>
              <w:t>’</w:t>
            </w:r>
            <w:r w:rsidRPr="001800B7">
              <w:rPr>
                <w:szCs w:val="22"/>
              </w:rPr>
              <w:t>OMPI à surmonter les difficultés auxquelles ils sont confrontés en matière d</w:t>
            </w:r>
            <w:r w:rsidR="005311D6" w:rsidRPr="001800B7">
              <w:rPr>
                <w:szCs w:val="22"/>
              </w:rPr>
              <w:t>’</w:t>
            </w:r>
            <w:r w:rsidRPr="001800B7">
              <w:rPr>
                <w:szCs w:val="22"/>
              </w:rPr>
              <w:t>innovation en partenariat ouvert.</w:t>
            </w:r>
          </w:p>
          <w:p w:rsidR="008475D2" w:rsidRPr="001800B7" w:rsidRDefault="00A326A5" w:rsidP="008475D2">
            <w:pPr>
              <w:pStyle w:val="ListParagraph"/>
              <w:spacing w:before="120" w:after="120"/>
              <w:ind w:left="0"/>
              <w:contextualSpacing w:val="0"/>
              <w:rPr>
                <w:szCs w:val="22"/>
              </w:rPr>
            </w:pPr>
            <w:r w:rsidRPr="001800B7">
              <w:rPr>
                <w:szCs w:val="22"/>
              </w:rPr>
              <w:t>L</w:t>
            </w:r>
            <w:r w:rsidR="005311D6" w:rsidRPr="001800B7">
              <w:rPr>
                <w:szCs w:val="22"/>
              </w:rPr>
              <w:t>’</w:t>
            </w:r>
            <w:r w:rsidRPr="001800B7">
              <w:rPr>
                <w:szCs w:val="22"/>
              </w:rPr>
              <w:t xml:space="preserve">étude pourrait donner </w:t>
            </w:r>
            <w:r w:rsidR="008005FD" w:rsidRPr="001800B7">
              <w:rPr>
                <w:szCs w:val="22"/>
              </w:rPr>
              <w:t>“</w:t>
            </w:r>
            <w:r w:rsidRPr="001800B7">
              <w:rPr>
                <w:szCs w:val="22"/>
              </w:rPr>
              <w:t>matière à réflexion</w:t>
            </w:r>
            <w:r w:rsidR="008005FD" w:rsidRPr="001800B7">
              <w:rPr>
                <w:szCs w:val="22"/>
              </w:rPr>
              <w:t>”</w:t>
            </w:r>
            <w:r w:rsidRPr="001800B7">
              <w:rPr>
                <w:szCs w:val="22"/>
              </w:rPr>
              <w:t xml:space="preserve"> pour d</w:t>
            </w:r>
            <w:r w:rsidR="005311D6" w:rsidRPr="001800B7">
              <w:rPr>
                <w:szCs w:val="22"/>
              </w:rPr>
              <w:t>’</w:t>
            </w:r>
            <w:r w:rsidRPr="001800B7">
              <w:rPr>
                <w:szCs w:val="22"/>
              </w:rPr>
              <w:t>éventuels futurs ateliers de l</w:t>
            </w:r>
            <w:r w:rsidR="005311D6" w:rsidRPr="001800B7">
              <w:rPr>
                <w:szCs w:val="22"/>
              </w:rPr>
              <w:t>’</w:t>
            </w:r>
            <w:r w:rsidRPr="001800B7">
              <w:rPr>
                <w:szCs w:val="22"/>
              </w:rPr>
              <w:t>OMPI sur les partenariats ouverts, ce qui pourrait être l</w:t>
            </w:r>
            <w:r w:rsidR="005311D6" w:rsidRPr="001800B7">
              <w:rPr>
                <w:szCs w:val="22"/>
              </w:rPr>
              <w:t>’</w:t>
            </w:r>
            <w:r w:rsidRPr="001800B7">
              <w:rPr>
                <w:szCs w:val="22"/>
              </w:rPr>
              <w:t>un des résultats du projet qui pourra être intégré dans les programmes de l</w:t>
            </w:r>
            <w:r w:rsidR="005311D6" w:rsidRPr="001800B7">
              <w:rPr>
                <w:szCs w:val="22"/>
              </w:rPr>
              <w:t>’</w:t>
            </w:r>
            <w:r w:rsidRPr="001800B7">
              <w:rPr>
                <w:szCs w:val="22"/>
              </w:rPr>
              <w:t>OMPI</w:t>
            </w:r>
            <w:r w:rsidR="007908EA" w:rsidRPr="001800B7">
              <w:rPr>
                <w:szCs w:val="22"/>
              </w:rPr>
              <w:t>.</w:t>
            </w:r>
          </w:p>
          <w:p w:rsidR="00B650B1" w:rsidRPr="001800B7" w:rsidRDefault="00A326A5" w:rsidP="008475D2">
            <w:pPr>
              <w:tabs>
                <w:tab w:val="left" w:pos="6129"/>
              </w:tabs>
              <w:spacing w:before="120" w:after="120"/>
              <w:rPr>
                <w:szCs w:val="22"/>
              </w:rPr>
            </w:pPr>
            <w:r w:rsidRPr="001800B7">
              <w:rPr>
                <w:szCs w:val="22"/>
                <w:u w:val="single"/>
              </w:rPr>
              <w:t>Activité </w:t>
            </w:r>
            <w:r w:rsidR="007908EA" w:rsidRPr="001800B7">
              <w:rPr>
                <w:szCs w:val="22"/>
                <w:u w:val="single"/>
              </w:rPr>
              <w:t>4</w:t>
            </w:r>
            <w:r w:rsidRPr="001800B7">
              <w:rPr>
                <w:szCs w:val="22"/>
              </w:rPr>
              <w:t> </w:t>
            </w:r>
            <w:r w:rsidR="007908EA" w:rsidRPr="001800B7">
              <w:rPr>
                <w:szCs w:val="22"/>
              </w:rPr>
              <w:t>:</w:t>
            </w:r>
            <w:r w:rsidRPr="001800B7">
              <w:rPr>
                <w:szCs w:val="22"/>
              </w:rPr>
              <w:t xml:space="preserve"> La réunion d</w:t>
            </w:r>
            <w:r w:rsidR="005311D6" w:rsidRPr="001800B7">
              <w:rPr>
                <w:szCs w:val="22"/>
              </w:rPr>
              <w:t>’</w:t>
            </w:r>
            <w:r w:rsidRPr="001800B7">
              <w:rPr>
                <w:szCs w:val="22"/>
              </w:rPr>
              <w:t>experts sous forme d</w:t>
            </w:r>
            <w:r w:rsidR="005311D6" w:rsidRPr="001800B7">
              <w:rPr>
                <w:szCs w:val="22"/>
              </w:rPr>
              <w:t>’</w:t>
            </w:r>
            <w:r w:rsidRPr="001800B7">
              <w:rPr>
                <w:szCs w:val="22"/>
              </w:rPr>
              <w:t xml:space="preserve">une </w:t>
            </w:r>
            <w:r w:rsidRPr="001800B7">
              <w:rPr>
                <w:i/>
                <w:szCs w:val="22"/>
              </w:rPr>
              <w:t>conférence de l</w:t>
            </w:r>
            <w:r w:rsidR="005311D6" w:rsidRPr="001800B7">
              <w:rPr>
                <w:i/>
                <w:szCs w:val="22"/>
              </w:rPr>
              <w:t>’</w:t>
            </w:r>
            <w:r w:rsidRPr="001800B7">
              <w:rPr>
                <w:i/>
                <w:szCs w:val="22"/>
              </w:rPr>
              <w:t>OMPI sur l</w:t>
            </w:r>
            <w:r w:rsidR="005311D6" w:rsidRPr="001800B7">
              <w:rPr>
                <w:i/>
                <w:szCs w:val="22"/>
              </w:rPr>
              <w:t>’</w:t>
            </w:r>
            <w:r w:rsidRPr="001800B7">
              <w:rPr>
                <w:i/>
                <w:szCs w:val="22"/>
              </w:rPr>
              <w:t>innovation ouverte : projets de collaboration et avenir du savoir</w:t>
            </w:r>
            <w:r w:rsidRPr="001800B7">
              <w:rPr>
                <w:szCs w:val="22"/>
              </w:rPr>
              <w:t xml:space="preserve"> a été organisée avec succès les 22 et 23 </w:t>
            </w:r>
            <w:r w:rsidR="00456841" w:rsidRPr="001800B7">
              <w:rPr>
                <w:szCs w:val="22"/>
              </w:rPr>
              <w:t>janvier 20</w:t>
            </w:r>
            <w:r w:rsidRPr="001800B7">
              <w:rPr>
                <w:szCs w:val="22"/>
              </w:rPr>
              <w:t xml:space="preserve">14. </w:t>
            </w:r>
            <w:r w:rsidR="008005FD" w:rsidRPr="001800B7">
              <w:rPr>
                <w:szCs w:val="22"/>
              </w:rPr>
              <w:t xml:space="preserve"> </w:t>
            </w:r>
            <w:r w:rsidRPr="001800B7">
              <w:rPr>
                <w:szCs w:val="22"/>
              </w:rPr>
              <w:t>Pour d</w:t>
            </w:r>
            <w:r w:rsidR="005311D6" w:rsidRPr="001800B7">
              <w:rPr>
                <w:szCs w:val="22"/>
              </w:rPr>
              <w:t>’</w:t>
            </w:r>
            <w:r w:rsidRPr="001800B7">
              <w:rPr>
                <w:szCs w:val="22"/>
              </w:rPr>
              <w:t>autres précisions, consulter l</w:t>
            </w:r>
            <w:r w:rsidR="005311D6" w:rsidRPr="001800B7">
              <w:rPr>
                <w:szCs w:val="22"/>
              </w:rPr>
              <w:t>’</w:t>
            </w:r>
            <w:r w:rsidRPr="001800B7">
              <w:rPr>
                <w:szCs w:val="22"/>
              </w:rPr>
              <w:t>adresse </w:t>
            </w:r>
            <w:r w:rsidR="007908EA" w:rsidRPr="001800B7">
              <w:rPr>
                <w:szCs w:val="22"/>
              </w:rPr>
              <w:t>:</w:t>
            </w:r>
          </w:p>
          <w:p w:rsidR="008475D2" w:rsidRPr="001800B7" w:rsidRDefault="007C1A09" w:rsidP="008475D2">
            <w:pPr>
              <w:tabs>
                <w:tab w:val="left" w:pos="6129"/>
              </w:tabs>
              <w:spacing w:before="120" w:after="120"/>
              <w:rPr>
                <w:szCs w:val="22"/>
              </w:rPr>
            </w:pPr>
            <w:hyperlink r:id="rId34" w:history="1">
              <w:r w:rsidR="007908EA" w:rsidRPr="001800B7">
                <w:rPr>
                  <w:rStyle w:val="Hyperlink"/>
                  <w:color w:val="auto"/>
                  <w:szCs w:val="22"/>
                </w:rPr>
                <w:t>http://www.wipo.int/meetings/en/details.jsp?meeting_id=31762</w:t>
              </w:r>
            </w:hyperlink>
          </w:p>
          <w:p w:rsidR="008475D2" w:rsidRPr="001800B7" w:rsidRDefault="00A326A5" w:rsidP="008475D2">
            <w:pPr>
              <w:tabs>
                <w:tab w:val="left" w:pos="6129"/>
              </w:tabs>
              <w:spacing w:before="120" w:after="120"/>
              <w:rPr>
                <w:szCs w:val="22"/>
              </w:rPr>
            </w:pPr>
            <w:r w:rsidRPr="001800B7">
              <w:rPr>
                <w:szCs w:val="22"/>
              </w:rPr>
              <w:t>Cette conférence mondiale a présenté 17 intervenants de haut niveau originaires de pays développés et en développement et comporté des discussions en table ronde sur l</w:t>
            </w:r>
            <w:r w:rsidR="005311D6" w:rsidRPr="001800B7">
              <w:rPr>
                <w:szCs w:val="22"/>
              </w:rPr>
              <w:t>’</w:t>
            </w:r>
            <w:r w:rsidRPr="001800B7">
              <w:rPr>
                <w:szCs w:val="22"/>
              </w:rPr>
              <w:t xml:space="preserve">innovation ouverte. </w:t>
            </w:r>
            <w:r w:rsidR="008005FD" w:rsidRPr="001800B7">
              <w:rPr>
                <w:szCs w:val="22"/>
              </w:rPr>
              <w:t xml:space="preserve"> </w:t>
            </w:r>
            <w:r w:rsidRPr="001800B7">
              <w:rPr>
                <w:szCs w:val="22"/>
              </w:rPr>
              <w:t>Son objectif était d</w:t>
            </w:r>
            <w:r w:rsidR="005311D6" w:rsidRPr="001800B7">
              <w:rPr>
                <w:szCs w:val="22"/>
              </w:rPr>
              <w:t>’</w:t>
            </w:r>
            <w:r w:rsidRPr="001800B7">
              <w:rPr>
                <w:szCs w:val="22"/>
              </w:rPr>
              <w:t>échanger des pratiques exemplaires sur les projets de collaboration ouverte pour des coentreprises publiques et des entreprises privées dans diverses industries et secteurs d</w:t>
            </w:r>
            <w:r w:rsidR="005311D6" w:rsidRPr="001800B7">
              <w:rPr>
                <w:szCs w:val="22"/>
              </w:rPr>
              <w:t>’</w:t>
            </w:r>
            <w:r w:rsidRPr="001800B7">
              <w:rPr>
                <w:szCs w:val="22"/>
              </w:rPr>
              <w:t xml:space="preserve">intérêt. </w:t>
            </w:r>
            <w:r w:rsidR="008005FD" w:rsidRPr="001800B7">
              <w:rPr>
                <w:szCs w:val="22"/>
              </w:rPr>
              <w:t xml:space="preserve"> </w:t>
            </w:r>
            <w:r w:rsidRPr="001800B7">
              <w:rPr>
                <w:szCs w:val="22"/>
              </w:rPr>
              <w:t>Elle a tiré profit de l</w:t>
            </w:r>
            <w:r w:rsidR="005311D6" w:rsidRPr="001800B7">
              <w:rPr>
                <w:szCs w:val="22"/>
              </w:rPr>
              <w:t>’</w:t>
            </w:r>
            <w:r w:rsidRPr="001800B7">
              <w:rPr>
                <w:szCs w:val="22"/>
              </w:rPr>
              <w:t>expérience d</w:t>
            </w:r>
            <w:r w:rsidR="005311D6" w:rsidRPr="001800B7">
              <w:rPr>
                <w:szCs w:val="22"/>
              </w:rPr>
              <w:t>’</w:t>
            </w:r>
            <w:r w:rsidRPr="001800B7">
              <w:rPr>
                <w:szCs w:val="22"/>
              </w:rPr>
              <w:t>experts mondiaux dans le secteur de l</w:t>
            </w:r>
            <w:r w:rsidR="005311D6" w:rsidRPr="001800B7">
              <w:rPr>
                <w:szCs w:val="22"/>
              </w:rPr>
              <w:t>’</w:t>
            </w:r>
            <w:r w:rsidRPr="001800B7">
              <w:rPr>
                <w:szCs w:val="22"/>
              </w:rPr>
              <w:t>innovation ouverte dans le milieu universitaire et l</w:t>
            </w:r>
            <w:r w:rsidR="005311D6" w:rsidRPr="001800B7">
              <w:rPr>
                <w:szCs w:val="22"/>
              </w:rPr>
              <w:t>’</w:t>
            </w:r>
            <w:r w:rsidRPr="001800B7">
              <w:rPr>
                <w:szCs w:val="22"/>
              </w:rPr>
              <w:t>industrie (</w:t>
            </w:r>
            <w:r w:rsidR="005311D6" w:rsidRPr="001800B7">
              <w:rPr>
                <w:szCs w:val="22"/>
              </w:rPr>
              <w:t>y compris</w:t>
            </w:r>
            <w:r w:rsidRPr="001800B7">
              <w:rPr>
                <w:szCs w:val="22"/>
              </w:rPr>
              <w:t xml:space="preserve"> l</w:t>
            </w:r>
            <w:r w:rsidR="005311D6" w:rsidRPr="001800B7">
              <w:rPr>
                <w:szCs w:val="22"/>
              </w:rPr>
              <w:t>’</w:t>
            </w:r>
            <w:r w:rsidRPr="001800B7">
              <w:rPr>
                <w:szCs w:val="22"/>
              </w:rPr>
              <w:t>industrie cinématographique)</w:t>
            </w:r>
            <w:r w:rsidR="002B5A7D" w:rsidRPr="001800B7">
              <w:rPr>
                <w:szCs w:val="22"/>
              </w:rPr>
              <w:t xml:space="preserve"> et a fait état des principaux enjeux dont il faut tenir compte lorsqu</w:t>
            </w:r>
            <w:r w:rsidR="005311D6" w:rsidRPr="001800B7">
              <w:rPr>
                <w:szCs w:val="22"/>
              </w:rPr>
              <w:t>’</w:t>
            </w:r>
            <w:r w:rsidR="002B5A7D" w:rsidRPr="001800B7">
              <w:rPr>
                <w:szCs w:val="22"/>
              </w:rPr>
              <w:t>on met en œuvre les concepts de l</w:t>
            </w:r>
            <w:r w:rsidR="005311D6" w:rsidRPr="001800B7">
              <w:rPr>
                <w:szCs w:val="22"/>
              </w:rPr>
              <w:t>’</w:t>
            </w:r>
            <w:r w:rsidR="002B5A7D" w:rsidRPr="001800B7">
              <w:rPr>
                <w:szCs w:val="22"/>
              </w:rPr>
              <w:t xml:space="preserve">innovation ouverte ainsi que des outils pour établir des partenariats ouverts dans le monde en développement. </w:t>
            </w:r>
            <w:r w:rsidR="008005FD" w:rsidRPr="001800B7">
              <w:rPr>
                <w:szCs w:val="22"/>
              </w:rPr>
              <w:t xml:space="preserve"> </w:t>
            </w:r>
            <w:r w:rsidR="002B5A7D" w:rsidRPr="001800B7">
              <w:rPr>
                <w:szCs w:val="22"/>
              </w:rPr>
              <w:t>Elle a également permis des plates</w:t>
            </w:r>
            <w:r w:rsidR="001800B7" w:rsidRPr="001800B7">
              <w:rPr>
                <w:szCs w:val="22"/>
              </w:rPr>
              <w:noBreakHyphen/>
            </w:r>
            <w:r w:rsidR="002B5A7D" w:rsidRPr="001800B7">
              <w:rPr>
                <w:szCs w:val="22"/>
              </w:rPr>
              <w:t>formes de réseaux</w:t>
            </w:r>
            <w:r w:rsidR="001800B7" w:rsidRPr="001800B7">
              <w:rPr>
                <w:szCs w:val="22"/>
              </w:rPr>
              <w:noBreakHyphen/>
            </w:r>
            <w:r w:rsidR="002B5A7D" w:rsidRPr="001800B7">
              <w:rPr>
                <w:szCs w:val="22"/>
              </w:rPr>
              <w:t>pouvoir avec des grands experts pour échanger des expériences sur les partenariats ouverts</w:t>
            </w:r>
            <w:r w:rsidR="007908EA" w:rsidRPr="001800B7">
              <w:rPr>
                <w:szCs w:val="22"/>
              </w:rPr>
              <w:t>.</w:t>
            </w:r>
          </w:p>
          <w:p w:rsidR="008475D2" w:rsidRPr="001800B7" w:rsidRDefault="00281B53" w:rsidP="008475D2">
            <w:pPr>
              <w:spacing w:before="120" w:after="120"/>
              <w:rPr>
                <w:szCs w:val="22"/>
              </w:rPr>
            </w:pPr>
            <w:r w:rsidRPr="001800B7">
              <w:rPr>
                <w:szCs w:val="22"/>
                <w:u w:val="single"/>
              </w:rPr>
              <w:t>Activité </w:t>
            </w:r>
            <w:r w:rsidR="007908EA" w:rsidRPr="001800B7">
              <w:rPr>
                <w:szCs w:val="22"/>
                <w:u w:val="single"/>
              </w:rPr>
              <w:t>5</w:t>
            </w:r>
            <w:r w:rsidRPr="001800B7">
              <w:rPr>
                <w:szCs w:val="22"/>
              </w:rPr>
              <w:t> </w:t>
            </w:r>
            <w:r w:rsidR="007908EA" w:rsidRPr="001800B7">
              <w:rPr>
                <w:szCs w:val="22"/>
              </w:rPr>
              <w:t xml:space="preserve">: </w:t>
            </w:r>
            <w:r w:rsidRPr="001800B7">
              <w:rPr>
                <w:szCs w:val="22"/>
              </w:rPr>
              <w:t>À l</w:t>
            </w:r>
            <w:r w:rsidR="005311D6" w:rsidRPr="001800B7">
              <w:rPr>
                <w:szCs w:val="22"/>
              </w:rPr>
              <w:t>’</w:t>
            </w:r>
            <w:r w:rsidRPr="001800B7">
              <w:rPr>
                <w:szCs w:val="22"/>
              </w:rPr>
              <w:t>issue d</w:t>
            </w:r>
            <w:r w:rsidR="005311D6" w:rsidRPr="001800B7">
              <w:rPr>
                <w:szCs w:val="22"/>
              </w:rPr>
              <w:t>’</w:t>
            </w:r>
            <w:r w:rsidRPr="001800B7">
              <w:rPr>
                <w:szCs w:val="22"/>
              </w:rPr>
              <w:t>un appel d</w:t>
            </w:r>
            <w:r w:rsidR="005311D6" w:rsidRPr="001800B7">
              <w:rPr>
                <w:szCs w:val="22"/>
              </w:rPr>
              <w:t>’</w:t>
            </w:r>
            <w:r w:rsidRPr="001800B7">
              <w:rPr>
                <w:szCs w:val="22"/>
              </w:rPr>
              <w:t>offres international, une étude consacrée au</w:t>
            </w:r>
            <w:r w:rsidR="00566844" w:rsidRPr="001800B7">
              <w:rPr>
                <w:szCs w:val="22"/>
              </w:rPr>
              <w:t>x</w:t>
            </w:r>
            <w:r w:rsidRPr="001800B7">
              <w:rPr>
                <w:szCs w:val="22"/>
              </w:rPr>
              <w:t xml:space="preserve"> </w:t>
            </w:r>
            <w:r w:rsidR="008005FD" w:rsidRPr="001800B7">
              <w:rPr>
                <w:szCs w:val="22"/>
              </w:rPr>
              <w:t>“</w:t>
            </w:r>
            <w:r w:rsidRPr="001800B7">
              <w:rPr>
                <w:szCs w:val="22"/>
              </w:rPr>
              <w:t>flux de savoirs mondiaux</w:t>
            </w:r>
            <w:r w:rsidR="008005FD" w:rsidRPr="001800B7">
              <w:rPr>
                <w:szCs w:val="22"/>
              </w:rPr>
              <w:t>”</w:t>
            </w:r>
            <w:r w:rsidRPr="001800B7">
              <w:rPr>
                <w:szCs w:val="22"/>
              </w:rPr>
              <w:t>, qui doit être intégrée dans la plate</w:t>
            </w:r>
            <w:r w:rsidR="001800B7" w:rsidRPr="001800B7">
              <w:rPr>
                <w:szCs w:val="22"/>
              </w:rPr>
              <w:noBreakHyphen/>
            </w:r>
            <w:r w:rsidRPr="001800B7">
              <w:rPr>
                <w:szCs w:val="22"/>
              </w:rPr>
              <w:t xml:space="preserve">forme interactive, a été commandée par une équipe de la </w:t>
            </w:r>
            <w:proofErr w:type="spellStart"/>
            <w:r w:rsidR="007908EA" w:rsidRPr="001800B7">
              <w:rPr>
                <w:szCs w:val="22"/>
              </w:rPr>
              <w:t>Community</w:t>
            </w:r>
            <w:proofErr w:type="spellEnd"/>
            <w:r w:rsidR="007908EA" w:rsidRPr="001800B7">
              <w:rPr>
                <w:szCs w:val="22"/>
              </w:rPr>
              <w:t xml:space="preserve"> </w:t>
            </w:r>
            <w:proofErr w:type="spellStart"/>
            <w:r w:rsidR="007908EA" w:rsidRPr="001800B7">
              <w:rPr>
                <w:szCs w:val="22"/>
              </w:rPr>
              <w:t>Systems</w:t>
            </w:r>
            <w:proofErr w:type="spellEnd"/>
            <w:r w:rsidR="007908EA" w:rsidRPr="001800B7">
              <w:rPr>
                <w:szCs w:val="22"/>
              </w:rPr>
              <w:t xml:space="preserve"> </w:t>
            </w:r>
            <w:proofErr w:type="spellStart"/>
            <w:r w:rsidR="007908EA" w:rsidRPr="001800B7">
              <w:rPr>
                <w:szCs w:val="22"/>
              </w:rPr>
              <w:t>Foundation</w:t>
            </w:r>
            <w:proofErr w:type="spellEnd"/>
            <w:r w:rsidR="007908EA" w:rsidRPr="001800B7">
              <w:rPr>
                <w:szCs w:val="22"/>
              </w:rPr>
              <w:t xml:space="preserve"> (CSF), </w:t>
            </w:r>
            <w:r w:rsidRPr="001800B7">
              <w:rPr>
                <w:szCs w:val="22"/>
              </w:rPr>
              <w:t>à New </w:t>
            </w:r>
            <w:r w:rsidR="007908EA" w:rsidRPr="001800B7">
              <w:rPr>
                <w:szCs w:val="22"/>
              </w:rPr>
              <w:t xml:space="preserve">York, </w:t>
            </w:r>
            <w:r w:rsidRPr="001800B7">
              <w:rPr>
                <w:szCs w:val="22"/>
              </w:rPr>
              <w:t>aux États</w:t>
            </w:r>
            <w:r w:rsidR="001800B7" w:rsidRPr="001800B7">
              <w:rPr>
                <w:szCs w:val="22"/>
              </w:rPr>
              <w:noBreakHyphen/>
            </w:r>
            <w:r w:rsidRPr="001800B7">
              <w:rPr>
                <w:szCs w:val="22"/>
              </w:rPr>
              <w:t>Unis</w:t>
            </w:r>
            <w:r w:rsidR="008005FD" w:rsidRPr="001800B7">
              <w:rPr>
                <w:szCs w:val="22"/>
              </w:rPr>
              <w:t xml:space="preserve"> d</w:t>
            </w:r>
            <w:r w:rsidR="005311D6" w:rsidRPr="001800B7">
              <w:rPr>
                <w:szCs w:val="22"/>
              </w:rPr>
              <w:t>’</w:t>
            </w:r>
            <w:r w:rsidR="008005FD" w:rsidRPr="001800B7">
              <w:rPr>
                <w:szCs w:val="22"/>
              </w:rPr>
              <w:t xml:space="preserve">Amérique. </w:t>
            </w:r>
            <w:r w:rsidRPr="001800B7">
              <w:rPr>
                <w:szCs w:val="22"/>
              </w:rPr>
              <w:t xml:space="preserve"> La version définitive de l</w:t>
            </w:r>
            <w:r w:rsidR="005311D6" w:rsidRPr="001800B7">
              <w:rPr>
                <w:szCs w:val="22"/>
              </w:rPr>
              <w:t>’</w:t>
            </w:r>
            <w:r w:rsidRPr="001800B7">
              <w:rPr>
                <w:szCs w:val="22"/>
              </w:rPr>
              <w:t xml:space="preserve">étude a été reçue dans la première moitié de </w:t>
            </w:r>
            <w:r w:rsidR="00456841" w:rsidRPr="001800B7">
              <w:rPr>
                <w:szCs w:val="22"/>
              </w:rPr>
              <w:t>septembre 20</w:t>
            </w:r>
            <w:r w:rsidR="007908EA" w:rsidRPr="001800B7">
              <w:rPr>
                <w:szCs w:val="22"/>
              </w:rPr>
              <w:t xml:space="preserve">14 </w:t>
            </w:r>
            <w:r w:rsidRPr="001800B7">
              <w:rPr>
                <w:szCs w:val="22"/>
              </w:rPr>
              <w:t>et sera mise à la disposition</w:t>
            </w:r>
            <w:r w:rsidR="00456841" w:rsidRPr="001800B7">
              <w:rPr>
                <w:szCs w:val="22"/>
              </w:rPr>
              <w:t xml:space="preserve"> du CDI</w:t>
            </w:r>
            <w:r w:rsidR="007908EA" w:rsidRPr="001800B7">
              <w:rPr>
                <w:szCs w:val="22"/>
              </w:rPr>
              <w:t>P/14.</w:t>
            </w:r>
          </w:p>
          <w:p w:rsidR="008475D2" w:rsidRPr="001800B7" w:rsidRDefault="00281B53" w:rsidP="008475D2">
            <w:pPr>
              <w:spacing w:before="120" w:after="120"/>
              <w:rPr>
                <w:szCs w:val="22"/>
              </w:rPr>
            </w:pPr>
            <w:r w:rsidRPr="001800B7">
              <w:rPr>
                <w:szCs w:val="22"/>
              </w:rPr>
              <w:t>L</w:t>
            </w:r>
            <w:r w:rsidR="005311D6" w:rsidRPr="001800B7">
              <w:rPr>
                <w:szCs w:val="22"/>
              </w:rPr>
              <w:t>’</w:t>
            </w:r>
            <w:r w:rsidRPr="001800B7">
              <w:rPr>
                <w:szCs w:val="22"/>
              </w:rPr>
              <w:t>étude fournit des statistiques sur certains échanges de savoirs à l</w:t>
            </w:r>
            <w:r w:rsidR="005311D6" w:rsidRPr="001800B7">
              <w:rPr>
                <w:szCs w:val="22"/>
              </w:rPr>
              <w:t>’</w:t>
            </w:r>
            <w:r w:rsidRPr="001800B7">
              <w:rPr>
                <w:szCs w:val="22"/>
              </w:rPr>
              <w:t>échelle mondiale et consiste en un recueil d</w:t>
            </w:r>
            <w:r w:rsidR="005311D6" w:rsidRPr="001800B7">
              <w:rPr>
                <w:szCs w:val="22"/>
              </w:rPr>
              <w:t>’</w:t>
            </w:r>
            <w:r w:rsidRPr="001800B7">
              <w:rPr>
                <w:szCs w:val="22"/>
              </w:rPr>
              <w:t>éléments visuels de grande qualité, de cartes, d</w:t>
            </w:r>
            <w:r w:rsidR="005311D6" w:rsidRPr="001800B7">
              <w:rPr>
                <w:szCs w:val="22"/>
              </w:rPr>
              <w:t>’</w:t>
            </w:r>
            <w:r w:rsidRPr="001800B7">
              <w:rPr>
                <w:szCs w:val="22"/>
              </w:rPr>
              <w:t>infographiques, d</w:t>
            </w:r>
            <w:r w:rsidR="005311D6" w:rsidRPr="001800B7">
              <w:rPr>
                <w:szCs w:val="22"/>
              </w:rPr>
              <w:t>’</w:t>
            </w:r>
            <w:r w:rsidRPr="001800B7">
              <w:rPr>
                <w:szCs w:val="22"/>
              </w:rPr>
              <w:t>études de cas et d</w:t>
            </w:r>
            <w:r w:rsidR="005311D6" w:rsidRPr="001800B7">
              <w:rPr>
                <w:szCs w:val="22"/>
              </w:rPr>
              <w:t>’</w:t>
            </w:r>
            <w:r w:rsidRPr="001800B7">
              <w:rPr>
                <w:szCs w:val="22"/>
              </w:rPr>
              <w:t>entrev</w:t>
            </w:r>
            <w:r w:rsidR="00566844" w:rsidRPr="001800B7">
              <w:rPr>
                <w:szCs w:val="22"/>
              </w:rPr>
              <w:t>ues sur les modes traditionnel</w:t>
            </w:r>
            <w:r w:rsidRPr="001800B7">
              <w:rPr>
                <w:szCs w:val="22"/>
              </w:rPr>
              <w:t>s de flux du savoir comm</w:t>
            </w:r>
            <w:r w:rsidR="00566844" w:rsidRPr="001800B7">
              <w:rPr>
                <w:szCs w:val="22"/>
              </w:rPr>
              <w:t>e la concession de licences (</w:t>
            </w:r>
            <w:r w:rsidRPr="001800B7">
              <w:rPr>
                <w:szCs w:val="22"/>
              </w:rPr>
              <w:t>brevets, marques de commerce, droits d</w:t>
            </w:r>
            <w:r w:rsidR="005311D6" w:rsidRPr="001800B7">
              <w:rPr>
                <w:szCs w:val="22"/>
              </w:rPr>
              <w:t>’</w:t>
            </w:r>
            <w:r w:rsidRPr="001800B7">
              <w:rPr>
                <w:szCs w:val="22"/>
              </w:rPr>
              <w:t>auteur, secrets commerciaux), de coentreprises, de contrats de collaboration en matière de R et D, de franchisage, de contentieux et de bassins de brevets</w:t>
            </w:r>
            <w:r w:rsidR="008005FD" w:rsidRPr="001800B7">
              <w:rPr>
                <w:szCs w:val="22"/>
              </w:rPr>
              <w:t xml:space="preserve">; </w:t>
            </w:r>
            <w:r w:rsidRPr="001800B7">
              <w:rPr>
                <w:szCs w:val="22"/>
              </w:rPr>
              <w:t xml:space="preserve"> ainsi que des approches facilitées par Internet pour la transmission de savoirs comme le </w:t>
            </w:r>
            <w:r w:rsidR="008005FD" w:rsidRPr="001800B7">
              <w:rPr>
                <w:szCs w:val="22"/>
              </w:rPr>
              <w:t>“</w:t>
            </w:r>
            <w:proofErr w:type="spellStart"/>
            <w:r w:rsidR="007908EA" w:rsidRPr="001800B7">
              <w:rPr>
                <w:szCs w:val="22"/>
              </w:rPr>
              <w:t>crowd</w:t>
            </w:r>
            <w:r w:rsidR="0008593D" w:rsidRPr="001800B7">
              <w:rPr>
                <w:szCs w:val="22"/>
              </w:rPr>
              <w:t>s</w:t>
            </w:r>
            <w:r w:rsidR="007908EA" w:rsidRPr="001800B7">
              <w:rPr>
                <w:szCs w:val="22"/>
              </w:rPr>
              <w:t>ourcing</w:t>
            </w:r>
            <w:proofErr w:type="spellEnd"/>
            <w:r w:rsidR="008005FD" w:rsidRPr="001800B7">
              <w:rPr>
                <w:szCs w:val="22"/>
              </w:rPr>
              <w:t>”</w:t>
            </w:r>
            <w:r w:rsidR="007908EA" w:rsidRPr="001800B7">
              <w:rPr>
                <w:szCs w:val="22"/>
              </w:rPr>
              <w:t xml:space="preserve">, </w:t>
            </w:r>
            <w:r w:rsidRPr="001800B7">
              <w:rPr>
                <w:szCs w:val="22"/>
              </w:rPr>
              <w:t>les prix récompensant l</w:t>
            </w:r>
            <w:r w:rsidR="005311D6" w:rsidRPr="001800B7">
              <w:rPr>
                <w:szCs w:val="22"/>
              </w:rPr>
              <w:t>’</w:t>
            </w:r>
            <w:r w:rsidRPr="001800B7">
              <w:rPr>
                <w:szCs w:val="22"/>
              </w:rPr>
              <w:t>innovation, les projets de collaboration ouverte et les ressources pédagogiques ouvertes</w:t>
            </w:r>
            <w:r w:rsidR="007908EA" w:rsidRPr="001800B7">
              <w:rPr>
                <w:szCs w:val="22"/>
              </w:rPr>
              <w:t>.</w:t>
            </w:r>
          </w:p>
          <w:p w:rsidR="008475D2" w:rsidRPr="001800B7" w:rsidRDefault="00281B53" w:rsidP="008475D2">
            <w:pPr>
              <w:pStyle w:val="ListParagraph"/>
              <w:spacing w:before="120" w:after="120"/>
              <w:ind w:left="0"/>
              <w:contextualSpacing w:val="0"/>
              <w:rPr>
                <w:szCs w:val="22"/>
              </w:rPr>
            </w:pPr>
            <w:r w:rsidRPr="001800B7">
              <w:rPr>
                <w:szCs w:val="22"/>
              </w:rPr>
              <w:t>Cette étude pourrait donner matière à réflexion pour d</w:t>
            </w:r>
            <w:r w:rsidR="005311D6" w:rsidRPr="001800B7">
              <w:rPr>
                <w:szCs w:val="22"/>
              </w:rPr>
              <w:t>’</w:t>
            </w:r>
            <w:r w:rsidRPr="001800B7">
              <w:rPr>
                <w:szCs w:val="22"/>
              </w:rPr>
              <w:t>éventuels futurs ateliers de l</w:t>
            </w:r>
            <w:r w:rsidR="005311D6" w:rsidRPr="001800B7">
              <w:rPr>
                <w:szCs w:val="22"/>
              </w:rPr>
              <w:t>’</w:t>
            </w:r>
            <w:r w:rsidRPr="001800B7">
              <w:rPr>
                <w:szCs w:val="22"/>
              </w:rPr>
              <w:t>OMPI sur les partenariats ouverts, ce qui pourrait être l</w:t>
            </w:r>
            <w:r w:rsidR="005311D6" w:rsidRPr="001800B7">
              <w:rPr>
                <w:szCs w:val="22"/>
              </w:rPr>
              <w:t>’</w:t>
            </w:r>
            <w:r w:rsidRPr="001800B7">
              <w:rPr>
                <w:szCs w:val="22"/>
              </w:rPr>
              <w:t xml:space="preserve">un </w:t>
            </w:r>
            <w:r w:rsidRPr="001800B7">
              <w:rPr>
                <w:szCs w:val="22"/>
              </w:rPr>
              <w:lastRenderedPageBreak/>
              <w:t>des résultats découlant du projet qui pourront être intégrés dans les programmes de l</w:t>
            </w:r>
            <w:r w:rsidR="005311D6" w:rsidRPr="001800B7">
              <w:rPr>
                <w:szCs w:val="22"/>
              </w:rPr>
              <w:t>’</w:t>
            </w:r>
            <w:r w:rsidRPr="001800B7">
              <w:rPr>
                <w:szCs w:val="22"/>
              </w:rPr>
              <w:t>OMPI</w:t>
            </w:r>
            <w:r w:rsidR="007908EA" w:rsidRPr="001800B7">
              <w:rPr>
                <w:szCs w:val="22"/>
              </w:rPr>
              <w:t>.</w:t>
            </w:r>
          </w:p>
          <w:p w:rsidR="007908EA" w:rsidRPr="001800B7" w:rsidRDefault="0008593D" w:rsidP="008475D2">
            <w:pPr>
              <w:spacing w:before="120" w:after="120"/>
              <w:rPr>
                <w:szCs w:val="22"/>
              </w:rPr>
            </w:pPr>
            <w:r w:rsidRPr="001800B7">
              <w:rPr>
                <w:szCs w:val="22"/>
                <w:u w:val="single"/>
              </w:rPr>
              <w:t>Activité </w:t>
            </w:r>
            <w:r w:rsidR="00DC6B44" w:rsidRPr="001800B7">
              <w:rPr>
                <w:szCs w:val="22"/>
                <w:u w:val="single"/>
              </w:rPr>
              <w:t>6</w:t>
            </w:r>
            <w:r w:rsidR="008005FD" w:rsidRPr="001800B7">
              <w:rPr>
                <w:szCs w:val="22"/>
              </w:rPr>
              <w:t> </w:t>
            </w:r>
            <w:r w:rsidR="00DC6B44" w:rsidRPr="001800B7">
              <w:rPr>
                <w:szCs w:val="22"/>
              </w:rPr>
              <w:t>: Le travail d</w:t>
            </w:r>
            <w:r w:rsidR="005311D6" w:rsidRPr="001800B7">
              <w:rPr>
                <w:szCs w:val="22"/>
              </w:rPr>
              <w:t>’</w:t>
            </w:r>
            <w:r w:rsidR="00DC6B44" w:rsidRPr="001800B7">
              <w:rPr>
                <w:szCs w:val="22"/>
              </w:rPr>
              <w:t>incorporation des résultats découlant des activités susmentionnées dans les programmes de l</w:t>
            </w:r>
            <w:r w:rsidR="005311D6" w:rsidRPr="001800B7">
              <w:rPr>
                <w:szCs w:val="22"/>
              </w:rPr>
              <w:t>’</w:t>
            </w:r>
            <w:r w:rsidR="00DC6B44" w:rsidRPr="001800B7">
              <w:rPr>
                <w:szCs w:val="22"/>
              </w:rPr>
              <w:t>OMPI ne peut commencer qu</w:t>
            </w:r>
            <w:r w:rsidR="005311D6" w:rsidRPr="001800B7">
              <w:rPr>
                <w:szCs w:val="22"/>
              </w:rPr>
              <w:t>’</w:t>
            </w:r>
            <w:r w:rsidR="00DC6B44" w:rsidRPr="001800B7">
              <w:rPr>
                <w:szCs w:val="22"/>
              </w:rPr>
              <w:t>après la finalisation et l</w:t>
            </w:r>
            <w:r w:rsidR="005311D6" w:rsidRPr="001800B7">
              <w:rPr>
                <w:szCs w:val="22"/>
              </w:rPr>
              <w:t>’</w:t>
            </w:r>
            <w:r w:rsidR="00DC6B44" w:rsidRPr="001800B7">
              <w:rPr>
                <w:szCs w:val="22"/>
              </w:rPr>
              <w:t>entrée en vigueur de la plate</w:t>
            </w:r>
            <w:r w:rsidR="001800B7" w:rsidRPr="001800B7">
              <w:rPr>
                <w:szCs w:val="22"/>
              </w:rPr>
              <w:noBreakHyphen/>
            </w:r>
            <w:r w:rsidR="00DC6B44" w:rsidRPr="001800B7">
              <w:rPr>
                <w:szCs w:val="22"/>
              </w:rPr>
              <w:t>forme interactive, et (comme convenu) il ne commencera qu</w:t>
            </w:r>
            <w:r w:rsidR="005311D6" w:rsidRPr="001800B7">
              <w:rPr>
                <w:szCs w:val="22"/>
              </w:rPr>
              <w:t>’</w:t>
            </w:r>
            <w:r w:rsidR="00DC6B44" w:rsidRPr="001800B7">
              <w:rPr>
                <w:szCs w:val="22"/>
              </w:rPr>
              <w:t>après leur examen par</w:t>
            </w:r>
            <w:r w:rsidR="00456841" w:rsidRPr="001800B7">
              <w:rPr>
                <w:szCs w:val="22"/>
              </w:rPr>
              <w:t xml:space="preserve"> le CDI</w:t>
            </w:r>
            <w:r w:rsidR="00DC6B44" w:rsidRPr="001800B7">
              <w:rPr>
                <w:szCs w:val="22"/>
              </w:rPr>
              <w:t>P.</w:t>
            </w:r>
          </w:p>
        </w:tc>
      </w:tr>
      <w:tr w:rsidR="001800B7" w:rsidRPr="001800B7" w:rsidTr="001F4C06">
        <w:tc>
          <w:tcPr>
            <w:tcW w:w="2235" w:type="dxa"/>
            <w:shd w:val="clear" w:color="auto" w:fill="auto"/>
          </w:tcPr>
          <w:p w:rsidR="007908EA" w:rsidRPr="001800B7" w:rsidRDefault="00DC6B44" w:rsidP="008475D2">
            <w:pPr>
              <w:pStyle w:val="Heading3"/>
              <w:keepNext w:val="0"/>
              <w:spacing w:before="120" w:after="120"/>
              <w:rPr>
                <w:szCs w:val="22"/>
              </w:rPr>
            </w:pPr>
            <w:r w:rsidRPr="001800B7">
              <w:rPr>
                <w:szCs w:val="22"/>
              </w:rPr>
              <w:lastRenderedPageBreak/>
              <w:t>Exemples de succès ou d</w:t>
            </w:r>
            <w:r w:rsidR="005311D6" w:rsidRPr="001800B7">
              <w:rPr>
                <w:szCs w:val="22"/>
              </w:rPr>
              <w:t>’</w:t>
            </w:r>
            <w:r w:rsidRPr="001800B7">
              <w:rPr>
                <w:szCs w:val="22"/>
              </w:rPr>
              <w:t>effets positifs et principaux enseignements</w:t>
            </w:r>
          </w:p>
        </w:tc>
        <w:tc>
          <w:tcPr>
            <w:tcW w:w="7266" w:type="dxa"/>
            <w:vAlign w:val="center"/>
          </w:tcPr>
          <w:p w:rsidR="008475D2" w:rsidRPr="001800B7" w:rsidRDefault="00281B53" w:rsidP="008475D2">
            <w:pPr>
              <w:spacing w:before="120" w:after="120"/>
              <w:rPr>
                <w:iCs/>
                <w:szCs w:val="22"/>
              </w:rPr>
            </w:pPr>
            <w:r w:rsidRPr="001800B7">
              <w:rPr>
                <w:i/>
                <w:iCs/>
                <w:szCs w:val="22"/>
              </w:rPr>
              <w:t>L</w:t>
            </w:r>
            <w:r w:rsidR="005311D6" w:rsidRPr="001800B7">
              <w:rPr>
                <w:i/>
                <w:iCs/>
                <w:szCs w:val="22"/>
              </w:rPr>
              <w:t>’</w:t>
            </w:r>
            <w:r w:rsidRPr="001800B7">
              <w:rPr>
                <w:i/>
                <w:iCs/>
                <w:szCs w:val="22"/>
              </w:rPr>
              <w:t>étude analytique taxonomie des différentes initiatives en matière de partenariat ouvert et modèles fondés sur la propriété intellectuelle</w:t>
            </w:r>
            <w:r w:rsidR="007908EA" w:rsidRPr="001800B7">
              <w:rPr>
                <w:iCs/>
                <w:szCs w:val="22"/>
              </w:rPr>
              <w:t xml:space="preserve"> </w:t>
            </w:r>
            <w:r w:rsidRPr="001800B7">
              <w:rPr>
                <w:iCs/>
                <w:szCs w:val="22"/>
              </w:rPr>
              <w:t>a fait l</w:t>
            </w:r>
            <w:r w:rsidR="005311D6" w:rsidRPr="001800B7">
              <w:rPr>
                <w:iCs/>
                <w:szCs w:val="22"/>
              </w:rPr>
              <w:t>’</w:t>
            </w:r>
            <w:r w:rsidRPr="001800B7">
              <w:rPr>
                <w:iCs/>
                <w:szCs w:val="22"/>
              </w:rPr>
              <w:t>objet d</w:t>
            </w:r>
            <w:r w:rsidR="005311D6" w:rsidRPr="001800B7">
              <w:rPr>
                <w:iCs/>
                <w:szCs w:val="22"/>
              </w:rPr>
              <w:t>’</w:t>
            </w:r>
            <w:r w:rsidRPr="001800B7">
              <w:rPr>
                <w:iCs/>
                <w:szCs w:val="22"/>
              </w:rPr>
              <w:t>un grand nombre de commentaires de la part des États membres, lesquels ont été intégrés dans la version définitive de l</w:t>
            </w:r>
            <w:r w:rsidR="005311D6" w:rsidRPr="001800B7">
              <w:rPr>
                <w:iCs/>
                <w:szCs w:val="22"/>
              </w:rPr>
              <w:t>’</w:t>
            </w:r>
            <w:r w:rsidRPr="001800B7">
              <w:rPr>
                <w:iCs/>
                <w:szCs w:val="22"/>
              </w:rPr>
              <w:t xml:space="preserve">étude. </w:t>
            </w:r>
            <w:r w:rsidR="008005FD" w:rsidRPr="001800B7">
              <w:rPr>
                <w:iCs/>
                <w:szCs w:val="22"/>
              </w:rPr>
              <w:t xml:space="preserve"> </w:t>
            </w:r>
            <w:r w:rsidRPr="001800B7">
              <w:rPr>
                <w:iCs/>
                <w:szCs w:val="22"/>
              </w:rPr>
              <w:t xml:space="preserve">Les </w:t>
            </w:r>
            <w:r w:rsidRPr="001800B7">
              <w:rPr>
                <w:i/>
                <w:iCs/>
                <w:szCs w:val="22"/>
              </w:rPr>
              <w:t>ré</w:t>
            </w:r>
            <w:r w:rsidR="008B6CD8" w:rsidRPr="001800B7">
              <w:rPr>
                <w:i/>
                <w:iCs/>
                <w:szCs w:val="22"/>
              </w:rPr>
              <w:t>unions à participation non limitée</w:t>
            </w:r>
            <w:r w:rsidR="008B6CD8" w:rsidRPr="001800B7">
              <w:rPr>
                <w:iCs/>
                <w:szCs w:val="22"/>
              </w:rPr>
              <w:t xml:space="preserve"> ont suscité beaucoup d</w:t>
            </w:r>
            <w:r w:rsidR="005311D6" w:rsidRPr="001800B7">
              <w:rPr>
                <w:iCs/>
                <w:szCs w:val="22"/>
              </w:rPr>
              <w:t>’</w:t>
            </w:r>
            <w:r w:rsidR="008B6CD8" w:rsidRPr="001800B7">
              <w:rPr>
                <w:iCs/>
                <w:szCs w:val="22"/>
              </w:rPr>
              <w:t>intérêt de la part des États membres</w:t>
            </w:r>
            <w:r w:rsidR="007908EA" w:rsidRPr="001800B7">
              <w:rPr>
                <w:iCs/>
                <w:szCs w:val="22"/>
              </w:rPr>
              <w:t>.</w:t>
            </w:r>
          </w:p>
          <w:p w:rsidR="008475D2" w:rsidRPr="001800B7" w:rsidRDefault="008B6CD8" w:rsidP="008475D2">
            <w:pPr>
              <w:spacing w:before="120" w:after="120"/>
              <w:rPr>
                <w:iCs/>
                <w:szCs w:val="22"/>
              </w:rPr>
            </w:pPr>
            <w:r w:rsidRPr="001800B7">
              <w:rPr>
                <w:iCs/>
                <w:szCs w:val="22"/>
              </w:rPr>
              <w:t xml:space="preserve">La </w:t>
            </w:r>
            <w:r w:rsidRPr="001800B7">
              <w:rPr>
                <w:i/>
                <w:iCs/>
                <w:szCs w:val="22"/>
              </w:rPr>
              <w:t>Conférence de l</w:t>
            </w:r>
            <w:r w:rsidR="005311D6" w:rsidRPr="001800B7">
              <w:rPr>
                <w:i/>
                <w:iCs/>
                <w:szCs w:val="22"/>
              </w:rPr>
              <w:t>’</w:t>
            </w:r>
            <w:r w:rsidRPr="001800B7">
              <w:rPr>
                <w:i/>
                <w:iCs/>
                <w:szCs w:val="22"/>
              </w:rPr>
              <w:t>OMPI sur l</w:t>
            </w:r>
            <w:r w:rsidR="005311D6" w:rsidRPr="001800B7">
              <w:rPr>
                <w:i/>
                <w:iCs/>
                <w:szCs w:val="22"/>
              </w:rPr>
              <w:t>’</w:t>
            </w:r>
            <w:r w:rsidRPr="001800B7">
              <w:rPr>
                <w:i/>
                <w:iCs/>
                <w:szCs w:val="22"/>
              </w:rPr>
              <w:t>innovation ouverte </w:t>
            </w:r>
            <w:r w:rsidR="00566844" w:rsidRPr="001800B7">
              <w:rPr>
                <w:i/>
                <w:iCs/>
                <w:szCs w:val="22"/>
              </w:rPr>
              <w:t xml:space="preserve">: projets de collaboration et </w:t>
            </w:r>
            <w:r w:rsidRPr="001800B7">
              <w:rPr>
                <w:i/>
                <w:iCs/>
                <w:szCs w:val="22"/>
              </w:rPr>
              <w:t xml:space="preserve">avenir </w:t>
            </w:r>
            <w:r w:rsidR="00566844" w:rsidRPr="001800B7">
              <w:rPr>
                <w:i/>
                <w:iCs/>
                <w:szCs w:val="22"/>
              </w:rPr>
              <w:t xml:space="preserve">du </w:t>
            </w:r>
            <w:r w:rsidRPr="001800B7">
              <w:rPr>
                <w:i/>
                <w:iCs/>
                <w:szCs w:val="22"/>
              </w:rPr>
              <w:t>savoir</w:t>
            </w:r>
            <w:r w:rsidR="007908EA" w:rsidRPr="001800B7">
              <w:rPr>
                <w:iCs/>
                <w:szCs w:val="22"/>
              </w:rPr>
              <w:t>,</w:t>
            </w:r>
            <w:r w:rsidR="007908EA" w:rsidRPr="001800B7">
              <w:rPr>
                <w:i/>
                <w:iCs/>
                <w:szCs w:val="22"/>
              </w:rPr>
              <w:t xml:space="preserve"> </w:t>
            </w:r>
            <w:r w:rsidRPr="001800B7">
              <w:rPr>
                <w:iCs/>
                <w:szCs w:val="22"/>
              </w:rPr>
              <w:t>organisée les 22 et 23 </w:t>
            </w:r>
            <w:r w:rsidR="00456841" w:rsidRPr="001800B7">
              <w:rPr>
                <w:iCs/>
                <w:szCs w:val="22"/>
              </w:rPr>
              <w:t>janvier 20</w:t>
            </w:r>
            <w:r w:rsidRPr="001800B7">
              <w:rPr>
                <w:iCs/>
                <w:szCs w:val="22"/>
              </w:rPr>
              <w:t xml:space="preserve">14, a attiré environ 200 participants locaux et internationaux et suscité les éloges des participants ainsi que de la presse et des médias locaux. </w:t>
            </w:r>
            <w:r w:rsidR="008005FD" w:rsidRPr="001800B7">
              <w:rPr>
                <w:iCs/>
                <w:szCs w:val="22"/>
              </w:rPr>
              <w:t xml:space="preserve"> </w:t>
            </w:r>
            <w:r w:rsidRPr="001800B7">
              <w:rPr>
                <w:iCs/>
                <w:szCs w:val="22"/>
              </w:rPr>
              <w:t>Voir le</w:t>
            </w:r>
            <w:r w:rsidR="005016FD" w:rsidRPr="001800B7">
              <w:rPr>
                <w:iCs/>
                <w:szCs w:val="22"/>
              </w:rPr>
              <w:t xml:space="preserve"> reportage</w:t>
            </w:r>
            <w:r w:rsidRPr="001800B7">
              <w:rPr>
                <w:iCs/>
                <w:szCs w:val="22"/>
              </w:rPr>
              <w:t xml:space="preserve"> à </w:t>
            </w:r>
            <w:r w:rsidR="007908EA" w:rsidRPr="001800B7">
              <w:rPr>
                <w:iCs/>
                <w:szCs w:val="22"/>
              </w:rPr>
              <w:t>:</w:t>
            </w:r>
          </w:p>
          <w:p w:rsidR="007908EA" w:rsidRPr="001800B7" w:rsidRDefault="007C1A09" w:rsidP="001F4C06">
            <w:pPr>
              <w:spacing w:before="120" w:after="120"/>
              <w:rPr>
                <w:iCs/>
                <w:szCs w:val="22"/>
              </w:rPr>
            </w:pPr>
            <w:hyperlink r:id="rId35" w:history="1">
              <w:r w:rsidR="00377536" w:rsidRPr="001800B7">
                <w:rPr>
                  <w:rStyle w:val="Hyperlink"/>
                  <w:color w:val="auto"/>
                  <w:szCs w:val="22"/>
                </w:rPr>
                <w:t>http://www.wipo.int/pressroom/fr/stories/collaborative_innovation.html</w:t>
              </w:r>
            </w:hyperlink>
          </w:p>
        </w:tc>
      </w:tr>
      <w:tr w:rsidR="001800B7" w:rsidRPr="001800B7" w:rsidTr="001F4C06">
        <w:tc>
          <w:tcPr>
            <w:tcW w:w="2235" w:type="dxa"/>
            <w:shd w:val="clear" w:color="auto" w:fill="auto"/>
          </w:tcPr>
          <w:p w:rsidR="007908EA" w:rsidRPr="001800B7" w:rsidRDefault="00DC6B44" w:rsidP="008475D2">
            <w:pPr>
              <w:pStyle w:val="Heading3"/>
              <w:keepNext w:val="0"/>
              <w:spacing w:before="120" w:after="120"/>
              <w:rPr>
                <w:szCs w:val="22"/>
              </w:rPr>
            </w:pPr>
            <w:r w:rsidRPr="001800B7">
              <w:rPr>
                <w:szCs w:val="22"/>
              </w:rPr>
              <w:t>Risques et atténuation des risques</w:t>
            </w:r>
          </w:p>
        </w:tc>
        <w:tc>
          <w:tcPr>
            <w:tcW w:w="7266" w:type="dxa"/>
          </w:tcPr>
          <w:p w:rsidR="007908EA" w:rsidRPr="001800B7" w:rsidRDefault="00DC6B44" w:rsidP="008475D2">
            <w:pPr>
              <w:spacing w:before="120" w:after="120"/>
              <w:rPr>
                <w:iCs/>
                <w:szCs w:val="22"/>
              </w:rPr>
            </w:pPr>
            <w:r w:rsidRPr="001800B7">
              <w:rPr>
                <w:iCs/>
                <w:szCs w:val="22"/>
              </w:rPr>
              <w:t>Aucun</w:t>
            </w:r>
          </w:p>
        </w:tc>
      </w:tr>
      <w:tr w:rsidR="001800B7" w:rsidRPr="001800B7" w:rsidTr="001F4C06">
        <w:tc>
          <w:tcPr>
            <w:tcW w:w="2235" w:type="dxa"/>
            <w:shd w:val="clear" w:color="auto" w:fill="auto"/>
          </w:tcPr>
          <w:p w:rsidR="007908EA" w:rsidRPr="001800B7" w:rsidRDefault="00DC6B44" w:rsidP="001F4C06">
            <w:pPr>
              <w:pStyle w:val="Heading3"/>
              <w:keepNext w:val="0"/>
              <w:spacing w:before="120" w:after="120"/>
              <w:rPr>
                <w:szCs w:val="22"/>
              </w:rPr>
            </w:pPr>
            <w:r w:rsidRPr="001800B7">
              <w:rPr>
                <w:szCs w:val="22"/>
              </w:rPr>
              <w:t>Questions appelant des mesures ou une attention immédiates</w:t>
            </w:r>
          </w:p>
        </w:tc>
        <w:tc>
          <w:tcPr>
            <w:tcW w:w="7266" w:type="dxa"/>
          </w:tcPr>
          <w:p w:rsidR="007908EA" w:rsidRPr="001800B7" w:rsidRDefault="00DC6B44" w:rsidP="008475D2">
            <w:pPr>
              <w:spacing w:before="120" w:after="120"/>
              <w:rPr>
                <w:iCs/>
                <w:szCs w:val="22"/>
              </w:rPr>
            </w:pPr>
            <w:r w:rsidRPr="001800B7">
              <w:rPr>
                <w:iCs/>
                <w:szCs w:val="22"/>
              </w:rPr>
              <w:t>Aucun</w:t>
            </w:r>
          </w:p>
        </w:tc>
      </w:tr>
      <w:tr w:rsidR="001800B7" w:rsidRPr="001800B7" w:rsidTr="001F4C06">
        <w:tc>
          <w:tcPr>
            <w:tcW w:w="2235" w:type="dxa"/>
            <w:shd w:val="clear" w:color="auto" w:fill="auto"/>
          </w:tcPr>
          <w:p w:rsidR="007908EA" w:rsidRPr="001800B7" w:rsidRDefault="00DC6B44" w:rsidP="008475D2">
            <w:pPr>
              <w:pStyle w:val="Heading3"/>
              <w:keepNext w:val="0"/>
              <w:spacing w:before="120" w:after="120"/>
              <w:rPr>
                <w:szCs w:val="22"/>
              </w:rPr>
            </w:pPr>
            <w:r w:rsidRPr="001800B7">
              <w:rPr>
                <w:szCs w:val="22"/>
              </w:rPr>
              <w:t>Mesures à prendre</w:t>
            </w:r>
          </w:p>
        </w:tc>
        <w:tc>
          <w:tcPr>
            <w:tcW w:w="7266" w:type="dxa"/>
          </w:tcPr>
          <w:p w:rsidR="007908EA" w:rsidRPr="001800B7" w:rsidRDefault="00DB3665" w:rsidP="008475D2">
            <w:pPr>
              <w:spacing w:before="120" w:after="120"/>
              <w:rPr>
                <w:iCs/>
                <w:szCs w:val="22"/>
              </w:rPr>
            </w:pPr>
            <w:r w:rsidRPr="001800B7">
              <w:rPr>
                <w:iCs/>
                <w:szCs w:val="22"/>
              </w:rPr>
              <w:t>Ce projet prendra fin après l</w:t>
            </w:r>
            <w:r w:rsidR="005311D6" w:rsidRPr="001800B7">
              <w:rPr>
                <w:iCs/>
                <w:szCs w:val="22"/>
              </w:rPr>
              <w:t>’</w:t>
            </w:r>
            <w:r w:rsidRPr="001800B7">
              <w:rPr>
                <w:iCs/>
                <w:szCs w:val="22"/>
              </w:rPr>
              <w:t>intégration de tous les résultats du projet dans le portail interactif du projet</w:t>
            </w:r>
            <w:r w:rsidR="00DC45C9" w:rsidRPr="001800B7">
              <w:rPr>
                <w:iCs/>
                <w:szCs w:val="22"/>
              </w:rPr>
              <w:t>.</w:t>
            </w:r>
          </w:p>
        </w:tc>
      </w:tr>
      <w:tr w:rsidR="001800B7" w:rsidRPr="001800B7" w:rsidTr="001F4C06">
        <w:tc>
          <w:tcPr>
            <w:tcW w:w="2235" w:type="dxa"/>
            <w:shd w:val="clear" w:color="auto" w:fill="auto"/>
          </w:tcPr>
          <w:p w:rsidR="007908EA" w:rsidRPr="001800B7" w:rsidRDefault="00DC6B44" w:rsidP="001F4C06">
            <w:pPr>
              <w:pStyle w:val="Heading3"/>
              <w:keepNext w:val="0"/>
              <w:spacing w:before="120" w:after="120"/>
              <w:rPr>
                <w:szCs w:val="22"/>
              </w:rPr>
            </w:pPr>
            <w:r w:rsidRPr="001800B7">
              <w:rPr>
                <w:szCs w:val="22"/>
              </w:rPr>
              <w:t>Calendrier d</w:t>
            </w:r>
            <w:r w:rsidR="005311D6" w:rsidRPr="001800B7">
              <w:rPr>
                <w:szCs w:val="22"/>
              </w:rPr>
              <w:t>’</w:t>
            </w:r>
            <w:r w:rsidRPr="001800B7">
              <w:rPr>
                <w:szCs w:val="22"/>
              </w:rPr>
              <w:t>exécution</w:t>
            </w:r>
          </w:p>
        </w:tc>
        <w:tc>
          <w:tcPr>
            <w:tcW w:w="7266" w:type="dxa"/>
          </w:tcPr>
          <w:p w:rsidR="007908EA" w:rsidRPr="001800B7" w:rsidRDefault="00DB3665" w:rsidP="001F4C06">
            <w:pPr>
              <w:spacing w:before="120" w:after="120"/>
              <w:rPr>
                <w:iCs/>
                <w:szCs w:val="22"/>
              </w:rPr>
            </w:pPr>
            <w:r w:rsidRPr="001800B7">
              <w:rPr>
                <w:iCs/>
                <w:szCs w:val="22"/>
              </w:rPr>
              <w:t>Toutes les phases du projet ont pris fin conformément au n</w:t>
            </w:r>
            <w:r w:rsidR="0008593D" w:rsidRPr="001800B7">
              <w:rPr>
                <w:iCs/>
                <w:szCs w:val="22"/>
              </w:rPr>
              <w:t>ou</w:t>
            </w:r>
            <w:r w:rsidRPr="001800B7">
              <w:rPr>
                <w:iCs/>
                <w:szCs w:val="22"/>
              </w:rPr>
              <w:t>veau calendrier approuvé par</w:t>
            </w:r>
            <w:r w:rsidR="00456841" w:rsidRPr="001800B7">
              <w:rPr>
                <w:iCs/>
                <w:szCs w:val="22"/>
              </w:rPr>
              <w:t xml:space="preserve"> le CDI</w:t>
            </w:r>
            <w:r w:rsidRPr="001800B7">
              <w:rPr>
                <w:iCs/>
                <w:szCs w:val="22"/>
              </w:rPr>
              <w:t xml:space="preserve">P à sa </w:t>
            </w:r>
            <w:r w:rsidR="00CB4748" w:rsidRPr="001800B7">
              <w:rPr>
                <w:iCs/>
                <w:szCs w:val="22"/>
              </w:rPr>
              <w:t>douzième</w:t>
            </w:r>
            <w:r w:rsidR="008005FD" w:rsidRPr="001800B7">
              <w:rPr>
                <w:iCs/>
                <w:szCs w:val="22"/>
              </w:rPr>
              <w:t> </w:t>
            </w:r>
            <w:r w:rsidRPr="001800B7">
              <w:rPr>
                <w:iCs/>
                <w:szCs w:val="22"/>
              </w:rPr>
              <w:t>s</w:t>
            </w:r>
            <w:r w:rsidR="007908EA" w:rsidRPr="001800B7">
              <w:rPr>
                <w:iCs/>
                <w:szCs w:val="22"/>
              </w:rPr>
              <w:t xml:space="preserve">ession (document </w:t>
            </w:r>
            <w:hyperlink r:id="rId36" w:history="1">
              <w:r w:rsidR="007908EA" w:rsidRPr="001800B7">
                <w:rPr>
                  <w:rStyle w:val="Hyperlink"/>
                  <w:iCs/>
                  <w:color w:val="auto"/>
                  <w:szCs w:val="22"/>
                </w:rPr>
                <w:t xml:space="preserve">CDIP/12/2, </w:t>
              </w:r>
              <w:r w:rsidRPr="001800B7">
                <w:rPr>
                  <w:rStyle w:val="Hyperlink"/>
                  <w:iCs/>
                  <w:color w:val="auto"/>
                  <w:szCs w:val="22"/>
                </w:rPr>
                <w:t>annexe </w:t>
              </w:r>
              <w:r w:rsidR="007908EA" w:rsidRPr="001800B7">
                <w:rPr>
                  <w:rStyle w:val="Hyperlink"/>
                  <w:iCs/>
                  <w:color w:val="auto"/>
                  <w:szCs w:val="22"/>
                </w:rPr>
                <w:t>VII</w:t>
              </w:r>
            </w:hyperlink>
            <w:r w:rsidRPr="001800B7">
              <w:rPr>
                <w:iCs/>
                <w:szCs w:val="22"/>
              </w:rPr>
              <w:t xml:space="preserve">). </w:t>
            </w:r>
            <w:r w:rsidR="008005FD" w:rsidRPr="001800B7">
              <w:rPr>
                <w:iCs/>
                <w:szCs w:val="22"/>
              </w:rPr>
              <w:t xml:space="preserve"> </w:t>
            </w:r>
            <w:r w:rsidRPr="001800B7">
              <w:rPr>
                <w:iCs/>
                <w:szCs w:val="22"/>
              </w:rPr>
              <w:t>L</w:t>
            </w:r>
            <w:r w:rsidR="005311D6" w:rsidRPr="001800B7">
              <w:rPr>
                <w:iCs/>
                <w:szCs w:val="22"/>
              </w:rPr>
              <w:t>’</w:t>
            </w:r>
            <w:r w:rsidRPr="001800B7">
              <w:rPr>
                <w:iCs/>
                <w:szCs w:val="22"/>
              </w:rPr>
              <w:t>incorporation ultérieure des résultats du projet dans le portail interactif sera menée à bien par le chef de projet sans répercussions financières.</w:t>
            </w:r>
          </w:p>
        </w:tc>
      </w:tr>
      <w:tr w:rsidR="001800B7" w:rsidRPr="001800B7" w:rsidTr="001F4C06">
        <w:trPr>
          <w:cantSplit/>
        </w:trPr>
        <w:tc>
          <w:tcPr>
            <w:tcW w:w="2235" w:type="dxa"/>
            <w:shd w:val="clear" w:color="auto" w:fill="auto"/>
          </w:tcPr>
          <w:p w:rsidR="007908EA" w:rsidRPr="001800B7" w:rsidRDefault="00DC6B44" w:rsidP="001F4C06">
            <w:pPr>
              <w:pStyle w:val="Heading3"/>
              <w:keepNext w:val="0"/>
              <w:spacing w:before="120" w:after="120"/>
              <w:rPr>
                <w:szCs w:val="22"/>
              </w:rPr>
            </w:pPr>
            <w:r w:rsidRPr="001800B7">
              <w:rPr>
                <w:szCs w:val="22"/>
              </w:rPr>
              <w:t>Taux d</w:t>
            </w:r>
            <w:r w:rsidR="005311D6" w:rsidRPr="001800B7">
              <w:rPr>
                <w:szCs w:val="22"/>
              </w:rPr>
              <w:t>’</w:t>
            </w:r>
            <w:r w:rsidRPr="001800B7">
              <w:rPr>
                <w:szCs w:val="22"/>
              </w:rPr>
              <w:t>exécution du projet</w:t>
            </w:r>
          </w:p>
        </w:tc>
        <w:tc>
          <w:tcPr>
            <w:tcW w:w="7266" w:type="dxa"/>
          </w:tcPr>
          <w:p w:rsidR="007908EA" w:rsidRPr="001800B7" w:rsidRDefault="00DC6B44" w:rsidP="008475D2">
            <w:pPr>
              <w:spacing w:before="120" w:after="120"/>
              <w:rPr>
                <w:iCs/>
                <w:szCs w:val="22"/>
              </w:rPr>
            </w:pPr>
            <w:r w:rsidRPr="001800B7">
              <w:rPr>
                <w:iCs/>
                <w:szCs w:val="22"/>
              </w:rPr>
              <w:t>Le taux d</w:t>
            </w:r>
            <w:r w:rsidR="005311D6" w:rsidRPr="001800B7">
              <w:rPr>
                <w:iCs/>
                <w:szCs w:val="22"/>
              </w:rPr>
              <w:t>’</w:t>
            </w:r>
            <w:r w:rsidRPr="001800B7">
              <w:rPr>
                <w:iCs/>
                <w:szCs w:val="22"/>
              </w:rPr>
              <w:t>utilisation du budget à la fin du mois d</w:t>
            </w:r>
            <w:r w:rsidR="005311D6" w:rsidRPr="001800B7">
              <w:rPr>
                <w:iCs/>
                <w:szCs w:val="22"/>
              </w:rPr>
              <w:t>’</w:t>
            </w:r>
            <w:r w:rsidR="00456841" w:rsidRPr="001800B7">
              <w:rPr>
                <w:iCs/>
                <w:szCs w:val="22"/>
              </w:rPr>
              <w:t>août 20</w:t>
            </w:r>
            <w:r w:rsidRPr="001800B7">
              <w:rPr>
                <w:iCs/>
                <w:szCs w:val="22"/>
              </w:rPr>
              <w:t>14 s</w:t>
            </w:r>
            <w:r w:rsidR="005311D6" w:rsidRPr="001800B7">
              <w:rPr>
                <w:iCs/>
                <w:szCs w:val="22"/>
              </w:rPr>
              <w:t>’</w:t>
            </w:r>
            <w:r w:rsidRPr="001800B7">
              <w:rPr>
                <w:iCs/>
                <w:szCs w:val="22"/>
              </w:rPr>
              <w:t>élevait à 27%.</w:t>
            </w:r>
          </w:p>
        </w:tc>
      </w:tr>
      <w:tr w:rsidR="00F30D9D" w:rsidRPr="001800B7" w:rsidTr="001F4C06">
        <w:tc>
          <w:tcPr>
            <w:tcW w:w="2235" w:type="dxa"/>
            <w:shd w:val="clear" w:color="auto" w:fill="auto"/>
          </w:tcPr>
          <w:p w:rsidR="007908EA" w:rsidRPr="001800B7" w:rsidRDefault="00DC6B44" w:rsidP="008475D2">
            <w:pPr>
              <w:pStyle w:val="Heading3"/>
              <w:keepNext w:val="0"/>
              <w:spacing w:before="120" w:after="120"/>
              <w:rPr>
                <w:szCs w:val="22"/>
              </w:rPr>
            </w:pPr>
            <w:r w:rsidRPr="001800B7">
              <w:rPr>
                <w:szCs w:val="22"/>
              </w:rPr>
              <w:t>Rapports précédents</w:t>
            </w:r>
          </w:p>
        </w:tc>
        <w:tc>
          <w:tcPr>
            <w:tcW w:w="7266" w:type="dxa"/>
          </w:tcPr>
          <w:p w:rsidR="007908EA" w:rsidRPr="001800B7" w:rsidRDefault="00DB3665" w:rsidP="001F4C06">
            <w:pPr>
              <w:spacing w:before="120" w:after="120"/>
              <w:rPr>
                <w:iCs/>
                <w:szCs w:val="22"/>
              </w:rPr>
            </w:pPr>
            <w:r w:rsidRPr="001800B7">
              <w:rPr>
                <w:iCs/>
                <w:szCs w:val="22"/>
              </w:rPr>
              <w:t>Le premier rapport sur l</w:t>
            </w:r>
            <w:r w:rsidR="005311D6" w:rsidRPr="001800B7">
              <w:rPr>
                <w:iCs/>
                <w:szCs w:val="22"/>
              </w:rPr>
              <w:t>’</w:t>
            </w:r>
            <w:r w:rsidRPr="001800B7">
              <w:rPr>
                <w:iCs/>
                <w:szCs w:val="22"/>
              </w:rPr>
              <w:t>état d</w:t>
            </w:r>
            <w:r w:rsidR="005311D6" w:rsidRPr="001800B7">
              <w:rPr>
                <w:iCs/>
                <w:szCs w:val="22"/>
              </w:rPr>
              <w:t>’</w:t>
            </w:r>
            <w:r w:rsidRPr="001800B7">
              <w:rPr>
                <w:iCs/>
                <w:szCs w:val="22"/>
              </w:rPr>
              <w:t xml:space="preserve">avancement du projet, </w:t>
            </w:r>
            <w:r w:rsidR="00C937D4" w:rsidRPr="001800B7">
              <w:rPr>
                <w:iCs/>
                <w:szCs w:val="22"/>
              </w:rPr>
              <w:t xml:space="preserve">qui figure </w:t>
            </w:r>
            <w:r w:rsidRPr="001800B7">
              <w:rPr>
                <w:iCs/>
                <w:szCs w:val="22"/>
              </w:rPr>
              <w:t xml:space="preserve">dans le </w:t>
            </w:r>
            <w:r w:rsidR="007908EA" w:rsidRPr="001800B7">
              <w:rPr>
                <w:iCs/>
                <w:szCs w:val="22"/>
              </w:rPr>
              <w:t xml:space="preserve">document </w:t>
            </w:r>
            <w:hyperlink r:id="rId37" w:history="1">
              <w:r w:rsidR="007908EA" w:rsidRPr="001800B7">
                <w:rPr>
                  <w:rStyle w:val="Hyperlink"/>
                  <w:iCs/>
                  <w:color w:val="auto"/>
                  <w:szCs w:val="22"/>
                </w:rPr>
                <w:t>CDIP/8/2</w:t>
              </w:r>
            </w:hyperlink>
            <w:r w:rsidR="007908EA" w:rsidRPr="001800B7">
              <w:rPr>
                <w:iCs/>
                <w:szCs w:val="22"/>
              </w:rPr>
              <w:t xml:space="preserve">, </w:t>
            </w:r>
            <w:r w:rsidRPr="001800B7">
              <w:rPr>
                <w:iCs/>
                <w:szCs w:val="22"/>
              </w:rPr>
              <w:t>annexe </w:t>
            </w:r>
            <w:r w:rsidR="007908EA" w:rsidRPr="001800B7">
              <w:rPr>
                <w:iCs/>
                <w:szCs w:val="22"/>
              </w:rPr>
              <w:t xml:space="preserve">XVIII, </w:t>
            </w:r>
            <w:r w:rsidRPr="001800B7">
              <w:rPr>
                <w:iCs/>
                <w:szCs w:val="22"/>
              </w:rPr>
              <w:t>a été présenté</w:t>
            </w:r>
            <w:r w:rsidR="00456841" w:rsidRPr="001800B7">
              <w:rPr>
                <w:iCs/>
                <w:szCs w:val="22"/>
              </w:rPr>
              <w:t xml:space="preserve"> au CDI</w:t>
            </w:r>
            <w:r w:rsidR="007908EA" w:rsidRPr="001800B7">
              <w:rPr>
                <w:iCs/>
                <w:szCs w:val="22"/>
              </w:rPr>
              <w:t xml:space="preserve">P </w:t>
            </w:r>
            <w:r w:rsidRPr="001800B7">
              <w:rPr>
                <w:iCs/>
                <w:szCs w:val="22"/>
              </w:rPr>
              <w:t xml:space="preserve">à sa </w:t>
            </w:r>
            <w:r w:rsidR="00566844" w:rsidRPr="001800B7">
              <w:rPr>
                <w:iCs/>
                <w:szCs w:val="22"/>
              </w:rPr>
              <w:t>huitième</w:t>
            </w:r>
            <w:r w:rsidR="008005FD" w:rsidRPr="001800B7">
              <w:rPr>
                <w:iCs/>
                <w:szCs w:val="22"/>
              </w:rPr>
              <w:t> </w:t>
            </w:r>
            <w:r w:rsidRPr="001800B7">
              <w:rPr>
                <w:iCs/>
                <w:szCs w:val="22"/>
              </w:rPr>
              <w:t xml:space="preserve">session tenue en </w:t>
            </w:r>
            <w:r w:rsidR="00456841" w:rsidRPr="001800B7">
              <w:rPr>
                <w:iCs/>
                <w:szCs w:val="22"/>
              </w:rPr>
              <w:t>novembre 20</w:t>
            </w:r>
            <w:r w:rsidR="007908EA" w:rsidRPr="001800B7">
              <w:rPr>
                <w:iCs/>
                <w:szCs w:val="22"/>
              </w:rPr>
              <w:t>11.</w:t>
            </w:r>
            <w:r w:rsidR="008005FD" w:rsidRPr="001800B7">
              <w:rPr>
                <w:iCs/>
                <w:szCs w:val="22"/>
              </w:rPr>
              <w:t xml:space="preserve"> </w:t>
            </w:r>
            <w:r w:rsidR="007908EA" w:rsidRPr="001800B7">
              <w:rPr>
                <w:iCs/>
                <w:szCs w:val="22"/>
              </w:rPr>
              <w:t xml:space="preserve"> </w:t>
            </w:r>
            <w:r w:rsidRPr="001800B7">
              <w:rPr>
                <w:iCs/>
                <w:szCs w:val="22"/>
              </w:rPr>
              <w:t xml:space="preserve">Le deuxième rapport, </w:t>
            </w:r>
            <w:r w:rsidR="00C937D4" w:rsidRPr="001800B7">
              <w:rPr>
                <w:iCs/>
                <w:szCs w:val="22"/>
              </w:rPr>
              <w:t xml:space="preserve">qui figure </w:t>
            </w:r>
            <w:r w:rsidRPr="001800B7">
              <w:rPr>
                <w:iCs/>
                <w:szCs w:val="22"/>
              </w:rPr>
              <w:t xml:space="preserve">dans le </w:t>
            </w:r>
            <w:r w:rsidR="007908EA" w:rsidRPr="001800B7">
              <w:rPr>
                <w:iCs/>
                <w:szCs w:val="22"/>
              </w:rPr>
              <w:t xml:space="preserve">document </w:t>
            </w:r>
            <w:hyperlink r:id="rId38" w:history="1">
              <w:r w:rsidR="007908EA" w:rsidRPr="001800B7">
                <w:rPr>
                  <w:rStyle w:val="Hyperlink"/>
                  <w:iCs/>
                  <w:color w:val="auto"/>
                  <w:szCs w:val="22"/>
                </w:rPr>
                <w:t>CDIP/10/2</w:t>
              </w:r>
            </w:hyperlink>
            <w:r w:rsidRPr="001800B7">
              <w:rPr>
                <w:iCs/>
                <w:szCs w:val="22"/>
              </w:rPr>
              <w:t>, annexe </w:t>
            </w:r>
            <w:r w:rsidR="007908EA" w:rsidRPr="001800B7">
              <w:rPr>
                <w:iCs/>
                <w:szCs w:val="22"/>
              </w:rPr>
              <w:t>IX</w:t>
            </w:r>
            <w:r w:rsidRPr="001800B7">
              <w:rPr>
                <w:iCs/>
                <w:szCs w:val="22"/>
              </w:rPr>
              <w:t>, a été présenté</w:t>
            </w:r>
            <w:r w:rsidR="00456841" w:rsidRPr="001800B7">
              <w:rPr>
                <w:iCs/>
                <w:szCs w:val="22"/>
              </w:rPr>
              <w:t xml:space="preserve"> au CDI</w:t>
            </w:r>
            <w:r w:rsidRPr="001800B7">
              <w:rPr>
                <w:iCs/>
                <w:szCs w:val="22"/>
              </w:rPr>
              <w:t xml:space="preserve">P à sa </w:t>
            </w:r>
            <w:r w:rsidR="00566844" w:rsidRPr="001800B7">
              <w:rPr>
                <w:iCs/>
                <w:szCs w:val="22"/>
              </w:rPr>
              <w:t>dixième</w:t>
            </w:r>
            <w:r w:rsidR="008005FD" w:rsidRPr="001800B7">
              <w:rPr>
                <w:iCs/>
                <w:szCs w:val="22"/>
              </w:rPr>
              <w:t> </w:t>
            </w:r>
            <w:r w:rsidRPr="001800B7">
              <w:rPr>
                <w:iCs/>
                <w:szCs w:val="22"/>
              </w:rPr>
              <w:t xml:space="preserve">session en </w:t>
            </w:r>
            <w:r w:rsidR="00456841" w:rsidRPr="001800B7">
              <w:rPr>
                <w:iCs/>
                <w:szCs w:val="22"/>
              </w:rPr>
              <w:t>novembre 20</w:t>
            </w:r>
            <w:r w:rsidR="007908EA" w:rsidRPr="001800B7">
              <w:rPr>
                <w:iCs/>
                <w:szCs w:val="22"/>
              </w:rPr>
              <w:t>12.</w:t>
            </w:r>
            <w:r w:rsidR="008005FD" w:rsidRPr="001800B7">
              <w:rPr>
                <w:iCs/>
                <w:szCs w:val="22"/>
              </w:rPr>
              <w:t xml:space="preserve"> </w:t>
            </w:r>
            <w:r w:rsidR="007908EA" w:rsidRPr="001800B7">
              <w:rPr>
                <w:iCs/>
                <w:szCs w:val="22"/>
              </w:rPr>
              <w:t xml:space="preserve"> </w:t>
            </w:r>
            <w:r w:rsidRPr="001800B7">
              <w:rPr>
                <w:iCs/>
                <w:szCs w:val="22"/>
              </w:rPr>
              <w:t xml:space="preserve">Le troisième rapport, </w:t>
            </w:r>
            <w:r w:rsidR="00C937D4" w:rsidRPr="001800B7">
              <w:rPr>
                <w:iCs/>
                <w:szCs w:val="22"/>
              </w:rPr>
              <w:t xml:space="preserve">qui figure </w:t>
            </w:r>
            <w:r w:rsidRPr="001800B7">
              <w:rPr>
                <w:iCs/>
                <w:szCs w:val="22"/>
              </w:rPr>
              <w:t xml:space="preserve">dans le document </w:t>
            </w:r>
            <w:hyperlink r:id="rId39" w:history="1">
              <w:r w:rsidR="007908EA" w:rsidRPr="001800B7">
                <w:rPr>
                  <w:rStyle w:val="Hyperlink"/>
                  <w:iCs/>
                  <w:color w:val="auto"/>
                  <w:szCs w:val="22"/>
                </w:rPr>
                <w:t>CDIP/12/2</w:t>
              </w:r>
            </w:hyperlink>
            <w:r w:rsidR="007908EA" w:rsidRPr="001800B7">
              <w:rPr>
                <w:iCs/>
                <w:szCs w:val="22"/>
              </w:rPr>
              <w:t xml:space="preserve">, </w:t>
            </w:r>
            <w:r w:rsidRPr="001800B7">
              <w:rPr>
                <w:iCs/>
                <w:szCs w:val="22"/>
              </w:rPr>
              <w:t>a été présenté</w:t>
            </w:r>
            <w:r w:rsidR="00456841" w:rsidRPr="001800B7">
              <w:rPr>
                <w:iCs/>
                <w:szCs w:val="22"/>
              </w:rPr>
              <w:t xml:space="preserve"> au CDI</w:t>
            </w:r>
            <w:r w:rsidR="007908EA" w:rsidRPr="001800B7">
              <w:rPr>
                <w:iCs/>
                <w:szCs w:val="22"/>
              </w:rPr>
              <w:t xml:space="preserve">P </w:t>
            </w:r>
            <w:r w:rsidRPr="001800B7">
              <w:rPr>
                <w:iCs/>
                <w:szCs w:val="22"/>
              </w:rPr>
              <w:t xml:space="preserve">à sa </w:t>
            </w:r>
            <w:r w:rsidR="00CB4748" w:rsidRPr="001800B7">
              <w:rPr>
                <w:iCs/>
                <w:szCs w:val="22"/>
              </w:rPr>
              <w:t>douzième</w:t>
            </w:r>
            <w:r w:rsidR="008005FD" w:rsidRPr="001800B7">
              <w:rPr>
                <w:iCs/>
                <w:szCs w:val="22"/>
              </w:rPr>
              <w:t> </w:t>
            </w:r>
            <w:r w:rsidR="007908EA" w:rsidRPr="001800B7">
              <w:rPr>
                <w:iCs/>
                <w:szCs w:val="22"/>
              </w:rPr>
              <w:t xml:space="preserve">session </w:t>
            </w:r>
            <w:r w:rsidRPr="001800B7">
              <w:rPr>
                <w:iCs/>
                <w:szCs w:val="22"/>
              </w:rPr>
              <w:t xml:space="preserve">en </w:t>
            </w:r>
            <w:r w:rsidR="00456841" w:rsidRPr="001800B7">
              <w:rPr>
                <w:iCs/>
                <w:szCs w:val="22"/>
              </w:rPr>
              <w:t>novembre 20</w:t>
            </w:r>
            <w:r w:rsidR="007908EA" w:rsidRPr="001800B7">
              <w:rPr>
                <w:iCs/>
                <w:szCs w:val="22"/>
              </w:rPr>
              <w:t>12.</w:t>
            </w:r>
          </w:p>
        </w:tc>
      </w:tr>
    </w:tbl>
    <w:p w:rsidR="007908EA" w:rsidRPr="001800B7" w:rsidRDefault="007908EA" w:rsidP="001F4C06">
      <w:pPr>
        <w:rPr>
          <w:szCs w:val="22"/>
          <w:lang w:eastAsia="en-US"/>
        </w:rPr>
      </w:pPr>
    </w:p>
    <w:p w:rsidR="001F4C06" w:rsidRPr="001800B7" w:rsidRDefault="001F4C06" w:rsidP="001F4C06">
      <w:pPr>
        <w:rPr>
          <w:szCs w:val="22"/>
          <w:lang w:eastAsia="en-US"/>
        </w:rPr>
      </w:pPr>
    </w:p>
    <w:p w:rsidR="00114D33" w:rsidRPr="001800B7" w:rsidRDefault="00114D33" w:rsidP="00FC46A1">
      <w:pPr>
        <w:keepNext/>
        <w:rPr>
          <w:rFonts w:eastAsia="Times New Roman"/>
          <w:szCs w:val="22"/>
          <w:lang w:eastAsia="en-US"/>
        </w:rPr>
      </w:pPr>
      <w:r w:rsidRPr="001800B7">
        <w:rPr>
          <w:rFonts w:eastAsia="Times New Roman"/>
          <w:szCs w:val="22"/>
          <w:lang w:eastAsia="en-US"/>
        </w:rPr>
        <w:lastRenderedPageBreak/>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114D33" w:rsidRPr="001800B7" w:rsidRDefault="00114D33" w:rsidP="00FC46A1">
      <w:pPr>
        <w:keepNext/>
        <w:rPr>
          <w:szCs w:val="22"/>
        </w:rPr>
      </w:pPr>
    </w:p>
    <w:p w:rsidR="00114D33" w:rsidRPr="001800B7" w:rsidRDefault="00114D33" w:rsidP="00FC46A1">
      <w:pPr>
        <w:keepNext/>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p w:rsidR="00114D33" w:rsidRPr="001800B7" w:rsidRDefault="00114D33" w:rsidP="00FC46A1">
      <w:pPr>
        <w:keepNext/>
        <w:rPr>
          <w:rFonts w:eastAsia="Times New Roman"/>
          <w:szCs w:val="22"/>
          <w:lang w:eastAsia="en-US"/>
        </w:rPr>
      </w:pP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F30D9D">
        <w:trPr>
          <w:cantSplit/>
        </w:trPr>
        <w:tc>
          <w:tcPr>
            <w:tcW w:w="1900" w:type="dxa"/>
            <w:shd w:val="clear" w:color="auto" w:fill="auto"/>
            <w:vAlign w:val="center"/>
          </w:tcPr>
          <w:p w:rsidR="00114D33" w:rsidRPr="001800B7" w:rsidRDefault="00114D33" w:rsidP="00FC46A1">
            <w:pPr>
              <w:keepNext/>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114D33" w:rsidRPr="001800B7" w:rsidRDefault="00114D33" w:rsidP="00FC46A1">
            <w:pPr>
              <w:keepNext/>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114D33" w:rsidRPr="001800B7" w:rsidRDefault="00114D33" w:rsidP="00FC46A1">
            <w:pPr>
              <w:keepNext/>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114D33" w:rsidRPr="001800B7" w:rsidRDefault="00114D33" w:rsidP="00FC46A1">
            <w:pPr>
              <w:keepNext/>
              <w:spacing w:before="120" w:after="12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114D33" w:rsidRPr="001800B7" w:rsidRDefault="00114D33" w:rsidP="00FC46A1">
            <w:pPr>
              <w:keepNext/>
              <w:spacing w:before="120" w:after="120"/>
              <w:jc w:val="center"/>
              <w:rPr>
                <w:rFonts w:eastAsia="Times New Roman"/>
                <w:szCs w:val="22"/>
                <w:lang w:eastAsia="en-US"/>
              </w:rPr>
            </w:pPr>
            <w:r w:rsidRPr="001800B7">
              <w:rPr>
                <w:rFonts w:eastAsia="Times New Roman"/>
                <w:szCs w:val="22"/>
                <w:lang w:eastAsia="en-US"/>
              </w:rPr>
              <w:t>NE</w:t>
            </w:r>
          </w:p>
        </w:tc>
      </w:tr>
      <w:tr w:rsidR="00F30D9D" w:rsidRPr="001800B7" w:rsidTr="00F30D9D">
        <w:trPr>
          <w:cantSplit/>
        </w:trPr>
        <w:tc>
          <w:tcPr>
            <w:tcW w:w="1900" w:type="dxa"/>
            <w:shd w:val="clear" w:color="auto" w:fill="auto"/>
            <w:vAlign w:val="center"/>
          </w:tcPr>
          <w:p w:rsidR="00114D33" w:rsidRPr="001800B7" w:rsidRDefault="00114D33" w:rsidP="00FC46A1">
            <w:pPr>
              <w:keepNext/>
              <w:spacing w:before="120" w:after="12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114D33" w:rsidRPr="001800B7" w:rsidRDefault="00114D33" w:rsidP="00FC46A1">
            <w:pPr>
              <w:keepNext/>
              <w:spacing w:before="120" w:after="12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114D33" w:rsidRPr="001800B7" w:rsidRDefault="00114D33" w:rsidP="00FC46A1">
            <w:pPr>
              <w:keepNext/>
              <w:spacing w:before="120" w:after="12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114D33" w:rsidRPr="001800B7" w:rsidRDefault="00114D33" w:rsidP="00FC46A1">
            <w:pPr>
              <w:keepNext/>
              <w:spacing w:before="120" w:after="12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114D33" w:rsidRPr="001800B7" w:rsidRDefault="00114D33" w:rsidP="00FC46A1">
            <w:pPr>
              <w:keepNext/>
              <w:spacing w:before="120" w:after="12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114D33" w:rsidRPr="001800B7" w:rsidRDefault="00114D33" w:rsidP="00114D33">
      <w:pPr>
        <w:rPr>
          <w:szCs w:val="22"/>
          <w:lang w:eastAsia="en-US"/>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6"/>
        <w:gridCol w:w="2694"/>
        <w:gridCol w:w="2976"/>
        <w:gridCol w:w="1455"/>
      </w:tblGrid>
      <w:tr w:rsidR="001800B7" w:rsidRPr="001800B7" w:rsidTr="00114D33">
        <w:tc>
          <w:tcPr>
            <w:tcW w:w="2366" w:type="dxa"/>
            <w:shd w:val="clear" w:color="auto" w:fill="auto"/>
            <w:vAlign w:val="center"/>
          </w:tcPr>
          <w:p w:rsidR="00114D33" w:rsidRPr="001800B7" w:rsidRDefault="00114D33" w:rsidP="00114D33">
            <w:pPr>
              <w:spacing w:before="120" w:after="12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Fonts w:eastAsia="Times New Roman"/>
                <w:szCs w:val="22"/>
                <w:u w:val="single"/>
                <w:lang w:eastAsia="en-US"/>
              </w:rPr>
              <w:br/>
            </w:r>
            <w:r w:rsidRPr="001800B7">
              <w:rPr>
                <w:rFonts w:eastAsia="Times New Roman"/>
                <w:szCs w:val="22"/>
                <w:lang w:eastAsia="en-US"/>
              </w:rPr>
              <w:t>(résultat escompté)</w:t>
            </w:r>
          </w:p>
        </w:tc>
        <w:tc>
          <w:tcPr>
            <w:tcW w:w="2694" w:type="dxa"/>
            <w:shd w:val="clear" w:color="auto" w:fill="auto"/>
            <w:vAlign w:val="center"/>
          </w:tcPr>
          <w:p w:rsidR="00114D33" w:rsidRPr="001800B7" w:rsidRDefault="00114D33" w:rsidP="00114D33">
            <w:pPr>
              <w:spacing w:before="120" w:after="12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6" w:type="dxa"/>
            <w:shd w:val="clear" w:color="auto" w:fill="auto"/>
            <w:vAlign w:val="center"/>
          </w:tcPr>
          <w:p w:rsidR="00114D33" w:rsidRPr="001800B7" w:rsidRDefault="00114D33" w:rsidP="00114D33">
            <w:pPr>
              <w:keepNext/>
              <w:spacing w:before="120" w:after="120"/>
              <w:jc w:val="center"/>
              <w:outlineLvl w:val="2"/>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55" w:type="dxa"/>
            <w:shd w:val="clear" w:color="auto" w:fill="auto"/>
            <w:vAlign w:val="center"/>
          </w:tcPr>
          <w:p w:rsidR="00114D33" w:rsidRPr="001800B7" w:rsidRDefault="00114D33" w:rsidP="00114D33">
            <w:pPr>
              <w:keepNext/>
              <w:spacing w:before="120" w:after="120"/>
              <w:jc w:val="center"/>
              <w:outlineLvl w:val="2"/>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11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bCs/>
                <w:szCs w:val="22"/>
                <w:lang w:eastAsia="en-US"/>
              </w:rPr>
              <w:t>1.</w:t>
            </w:r>
            <w:r w:rsidR="00114D33" w:rsidRPr="001800B7">
              <w:rPr>
                <w:rFonts w:eastAsia="Times New Roman"/>
                <w:bCs/>
                <w:szCs w:val="22"/>
                <w:lang w:eastAsia="en-US"/>
              </w:rPr>
              <w:t xml:space="preserve">  </w:t>
            </w:r>
            <w:r w:rsidRPr="001800B7">
              <w:rPr>
                <w:rFonts w:eastAsia="Times New Roman"/>
                <w:bCs/>
                <w:szCs w:val="22"/>
                <w:lang w:eastAsia="en-US"/>
              </w:rPr>
              <w:t>Étude analytique</w:t>
            </w:r>
            <w:r w:rsidR="001800B7" w:rsidRPr="001800B7">
              <w:rPr>
                <w:rFonts w:eastAsia="Times New Roman"/>
                <w:bCs/>
                <w:szCs w:val="22"/>
                <w:lang w:eastAsia="en-US"/>
              </w:rPr>
              <w:noBreakHyphen/>
            </w:r>
            <w:r w:rsidRPr="001800B7">
              <w:rPr>
                <w:rFonts w:eastAsia="Times New Roman"/>
                <w:bCs/>
                <w:szCs w:val="22"/>
                <w:lang w:eastAsia="en-US"/>
              </w:rPr>
              <w:t>taxonomie</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t>Version préliminaire de l</w:t>
            </w:r>
            <w:r w:rsidR="005311D6" w:rsidRPr="001800B7">
              <w:rPr>
                <w:rFonts w:eastAsia="Times New Roman"/>
                <w:szCs w:val="22"/>
                <w:lang w:eastAsia="en-US"/>
              </w:rPr>
              <w:t>’</w:t>
            </w:r>
            <w:r w:rsidRPr="001800B7">
              <w:rPr>
                <w:rFonts w:eastAsia="Times New Roman"/>
                <w:szCs w:val="22"/>
                <w:lang w:eastAsia="en-US"/>
              </w:rPr>
              <w:t>étude analytique mise à disposition dans un délai de six</w:t>
            </w:r>
            <w:r w:rsidR="008005FD" w:rsidRPr="001800B7">
              <w:rPr>
                <w:rFonts w:eastAsia="Times New Roman"/>
                <w:szCs w:val="22"/>
                <w:lang w:eastAsia="en-US"/>
              </w:rPr>
              <w:t> </w:t>
            </w:r>
            <w:r w:rsidRPr="001800B7">
              <w:rPr>
                <w:rFonts w:eastAsia="Times New Roman"/>
                <w:szCs w:val="22"/>
                <w:lang w:eastAsia="en-US"/>
              </w:rPr>
              <w:t>mois à compter de l</w:t>
            </w:r>
            <w:r w:rsidR="005311D6" w:rsidRPr="001800B7">
              <w:rPr>
                <w:rFonts w:eastAsia="Times New Roman"/>
                <w:szCs w:val="22"/>
                <w:lang w:eastAsia="en-US"/>
              </w:rPr>
              <w:t>’</w:t>
            </w:r>
            <w:r w:rsidRPr="001800B7">
              <w:rPr>
                <w:rFonts w:eastAsia="Times New Roman"/>
                <w:szCs w:val="22"/>
                <w:lang w:eastAsia="en-US"/>
              </w:rPr>
              <w:t>approbation du projet.</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t>Projet d</w:t>
            </w:r>
            <w:r w:rsidR="005311D6" w:rsidRPr="001800B7">
              <w:rPr>
                <w:rFonts w:eastAsia="Times New Roman"/>
                <w:szCs w:val="22"/>
                <w:lang w:eastAsia="en-US"/>
              </w:rPr>
              <w:t>’</w:t>
            </w:r>
            <w:r w:rsidRPr="001800B7">
              <w:rPr>
                <w:rFonts w:eastAsia="Times New Roman"/>
                <w:szCs w:val="22"/>
                <w:lang w:eastAsia="en-US"/>
              </w:rPr>
              <w:t xml:space="preserve">étude achevé en </w:t>
            </w:r>
            <w:r w:rsidR="00456841" w:rsidRPr="001800B7">
              <w:rPr>
                <w:rFonts w:eastAsia="Times New Roman"/>
                <w:szCs w:val="22"/>
                <w:lang w:eastAsia="en-US"/>
              </w:rPr>
              <w:t>octobre 20</w:t>
            </w:r>
            <w:r w:rsidRPr="001800B7">
              <w:rPr>
                <w:rFonts w:eastAsia="Times New Roman"/>
                <w:szCs w:val="22"/>
                <w:lang w:eastAsia="en-US"/>
              </w:rPr>
              <w:t>11 et présenté à la huitième</w:t>
            </w:r>
            <w:r w:rsidR="008005FD" w:rsidRPr="001800B7">
              <w:rPr>
                <w:rFonts w:eastAsia="Times New Roman"/>
                <w:szCs w:val="22"/>
                <w:lang w:eastAsia="en-US"/>
              </w:rPr>
              <w:t> </w:t>
            </w:r>
            <w:r w:rsidRPr="001800B7">
              <w:rPr>
                <w:rFonts w:eastAsia="Times New Roman"/>
                <w:szCs w:val="22"/>
                <w:lang w:eastAsia="en-US"/>
              </w:rPr>
              <w:t>session</w:t>
            </w:r>
            <w:r w:rsidR="00456841" w:rsidRPr="001800B7">
              <w:rPr>
                <w:rFonts w:eastAsia="Times New Roman"/>
                <w:szCs w:val="22"/>
                <w:lang w:eastAsia="en-US"/>
              </w:rPr>
              <w:t xml:space="preserve"> du CDI</w:t>
            </w:r>
            <w:r w:rsidRPr="001800B7">
              <w:rPr>
                <w:rFonts w:eastAsia="Times New Roman"/>
                <w:szCs w:val="22"/>
                <w:lang w:eastAsia="en-US"/>
              </w:rPr>
              <w:t>P.  Commentaires des États membres et des observateurs incorporés dans l</w:t>
            </w:r>
            <w:r w:rsidR="005311D6" w:rsidRPr="001800B7">
              <w:rPr>
                <w:rFonts w:eastAsia="Times New Roman"/>
                <w:szCs w:val="22"/>
                <w:lang w:eastAsia="en-US"/>
              </w:rPr>
              <w:t>’</w:t>
            </w:r>
            <w:r w:rsidRPr="001800B7">
              <w:rPr>
                <w:rFonts w:eastAsia="Times New Roman"/>
                <w:szCs w:val="22"/>
                <w:lang w:eastAsia="en-US"/>
              </w:rPr>
              <w:t>étude finale</w:t>
            </w:r>
            <w:r w:rsidR="0008593D" w:rsidRPr="001800B7">
              <w:rPr>
                <w:rFonts w:eastAsia="Times New Roman"/>
                <w:szCs w:val="22"/>
                <w:lang w:eastAsia="en-US"/>
              </w:rPr>
              <w:t xml:space="preserve"> p</w:t>
            </w:r>
            <w:r w:rsidRPr="001800B7">
              <w:rPr>
                <w:rFonts w:eastAsia="Times New Roman"/>
                <w:szCs w:val="22"/>
                <w:lang w:eastAsia="en-US"/>
              </w:rPr>
              <w:t xml:space="preserve">our le mois de </w:t>
            </w:r>
            <w:r w:rsidR="00456841" w:rsidRPr="001800B7">
              <w:rPr>
                <w:rFonts w:eastAsia="Times New Roman"/>
                <w:szCs w:val="22"/>
                <w:lang w:eastAsia="en-US"/>
              </w:rPr>
              <w:t>mars 20</w:t>
            </w:r>
            <w:r w:rsidRPr="001800B7">
              <w:rPr>
                <w:rFonts w:eastAsia="Times New Roman"/>
                <w:szCs w:val="22"/>
                <w:lang w:eastAsia="en-US"/>
              </w:rPr>
              <w:t>12.</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7908EA" w:rsidP="00114D33">
            <w:pPr>
              <w:keepNext/>
              <w:spacing w:before="120" w:after="120"/>
              <w:outlineLvl w:val="2"/>
              <w:rPr>
                <w:bCs/>
                <w:szCs w:val="22"/>
                <w:lang w:eastAsia="en-US"/>
              </w:rPr>
            </w:pPr>
            <w:r w:rsidRPr="001800B7">
              <w:rPr>
                <w:bCs/>
                <w:szCs w:val="22"/>
                <w:lang w:eastAsia="en-US"/>
              </w:rPr>
              <w:t>****</w:t>
            </w:r>
          </w:p>
        </w:tc>
      </w:tr>
      <w:tr w:rsidR="001800B7" w:rsidRPr="001800B7" w:rsidTr="0011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t>2.  Organisation de la réunion à participation non limitée avec les États membres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B650B1" w:rsidRPr="001800B7" w:rsidRDefault="00DC6B44" w:rsidP="00114D33">
            <w:pPr>
              <w:spacing w:before="120" w:after="120"/>
              <w:rPr>
                <w:rFonts w:eastAsia="Times New Roman"/>
                <w:szCs w:val="22"/>
                <w:lang w:eastAsia="en-US"/>
              </w:rPr>
            </w:pPr>
            <w:r w:rsidRPr="001800B7">
              <w:rPr>
                <w:rFonts w:eastAsia="Times New Roman"/>
                <w:szCs w:val="22"/>
                <w:lang w:eastAsia="en-US"/>
              </w:rPr>
              <w:t>Organisation de la réunion dans un délai de trois</w:t>
            </w:r>
            <w:r w:rsidR="008005FD" w:rsidRPr="001800B7">
              <w:rPr>
                <w:rFonts w:eastAsia="Times New Roman"/>
                <w:szCs w:val="22"/>
                <w:lang w:eastAsia="en-US"/>
              </w:rPr>
              <w:t> </w:t>
            </w:r>
            <w:r w:rsidRPr="001800B7">
              <w:rPr>
                <w:rFonts w:eastAsia="Times New Roman"/>
                <w:szCs w:val="22"/>
                <w:lang w:eastAsia="en-US"/>
              </w:rPr>
              <w:t>mois à partir de l</w:t>
            </w:r>
            <w:r w:rsidR="005311D6" w:rsidRPr="001800B7">
              <w:rPr>
                <w:rFonts w:eastAsia="Times New Roman"/>
                <w:szCs w:val="22"/>
                <w:lang w:eastAsia="en-US"/>
              </w:rPr>
              <w:t>’</w:t>
            </w:r>
            <w:r w:rsidRPr="001800B7">
              <w:rPr>
                <w:rFonts w:eastAsia="Times New Roman"/>
                <w:szCs w:val="22"/>
                <w:lang w:eastAsia="en-US"/>
              </w:rPr>
              <w:t>achèvement de l</w:t>
            </w:r>
            <w:r w:rsidR="005311D6" w:rsidRPr="001800B7">
              <w:rPr>
                <w:rFonts w:eastAsia="Times New Roman"/>
                <w:szCs w:val="22"/>
                <w:lang w:eastAsia="en-US"/>
              </w:rPr>
              <w:t>’</w:t>
            </w:r>
            <w:r w:rsidRPr="001800B7">
              <w:rPr>
                <w:rFonts w:eastAsia="Times New Roman"/>
                <w:szCs w:val="22"/>
                <w:lang w:eastAsia="en-US"/>
              </w:rPr>
              <w:t>étude analytique;  les délibérations seront axées sur l</w:t>
            </w:r>
            <w:r w:rsidR="005311D6" w:rsidRPr="001800B7">
              <w:rPr>
                <w:rFonts w:eastAsia="Times New Roman"/>
                <w:szCs w:val="22"/>
                <w:lang w:eastAsia="en-US"/>
              </w:rPr>
              <w:t>’</w:t>
            </w:r>
            <w:r w:rsidRPr="001800B7">
              <w:rPr>
                <w:rFonts w:eastAsia="Times New Roman"/>
                <w:szCs w:val="22"/>
                <w:lang w:eastAsia="en-US"/>
              </w:rPr>
              <w:t>essence et les étapes logiques de la mise en œuvre des projets d</w:t>
            </w:r>
            <w:r w:rsidR="005311D6" w:rsidRPr="001800B7">
              <w:rPr>
                <w:rFonts w:eastAsia="Times New Roman"/>
                <w:szCs w:val="22"/>
                <w:lang w:eastAsia="en-US"/>
              </w:rPr>
              <w:t>’</w:t>
            </w:r>
            <w:r w:rsidRPr="001800B7">
              <w:rPr>
                <w:rFonts w:eastAsia="Times New Roman"/>
                <w:szCs w:val="22"/>
                <w:lang w:eastAsia="en-US"/>
              </w:rPr>
              <w:t>innovation en partenariat ouvert, ainsi que sur les résultats, les jalons du projet et les solutions;</w:t>
            </w:r>
          </w:p>
          <w:p w:rsidR="008475D2" w:rsidRPr="001800B7" w:rsidRDefault="00DC6B44" w:rsidP="00114D33">
            <w:pPr>
              <w:spacing w:before="120" w:after="120"/>
              <w:rPr>
                <w:rFonts w:eastAsia="Times New Roman"/>
                <w:szCs w:val="22"/>
                <w:lang w:eastAsia="en-US"/>
              </w:rPr>
            </w:pPr>
            <w:r w:rsidRPr="001800B7">
              <w:rPr>
                <w:rFonts w:eastAsia="Times New Roman"/>
                <w:szCs w:val="22"/>
                <w:lang w:eastAsia="en-US"/>
              </w:rPr>
              <w:t>a) consensus des États membres sur la voie à suivre;</w:t>
            </w:r>
            <w:r w:rsidRPr="001800B7">
              <w:rPr>
                <w:szCs w:val="22"/>
              </w:rPr>
              <w:t xml:space="preserve">  </w:t>
            </w:r>
            <w:r w:rsidRPr="001800B7">
              <w:rPr>
                <w:rFonts w:eastAsia="Times New Roman"/>
                <w:szCs w:val="22"/>
                <w:lang w:eastAsia="en-US"/>
              </w:rPr>
              <w:t>et</w:t>
            </w:r>
          </w:p>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t>b) 60% de retours d</w:t>
            </w:r>
            <w:r w:rsidR="005311D6" w:rsidRPr="001800B7">
              <w:rPr>
                <w:rFonts w:eastAsia="Times New Roman"/>
                <w:szCs w:val="22"/>
                <w:lang w:eastAsia="en-US"/>
              </w:rPr>
              <w:t>’</w:t>
            </w:r>
            <w:r w:rsidRPr="001800B7">
              <w:rPr>
                <w:rFonts w:eastAsia="Times New Roman"/>
                <w:szCs w:val="22"/>
                <w:lang w:eastAsia="en-US"/>
              </w:rPr>
              <w:t>information positifs émanant des participants sur la mise en œuvre du projet (selon les questionnaires d</w:t>
            </w:r>
            <w:r w:rsidR="005311D6" w:rsidRPr="001800B7">
              <w:rPr>
                <w:rFonts w:eastAsia="Times New Roman"/>
                <w:szCs w:val="22"/>
                <w:lang w:eastAsia="en-US"/>
              </w:rPr>
              <w:t>’</w:t>
            </w:r>
            <w:r w:rsidRPr="001800B7">
              <w:rPr>
                <w:rFonts w:eastAsia="Times New Roman"/>
                <w:szCs w:val="22"/>
                <w:lang w:eastAsia="en-US"/>
              </w:rPr>
              <w:t>évaluation).</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keepNext/>
              <w:spacing w:before="120" w:after="120"/>
              <w:outlineLvl w:val="2"/>
              <w:rPr>
                <w:bCs/>
                <w:szCs w:val="22"/>
                <w:lang w:eastAsia="en-US"/>
              </w:rPr>
            </w:pPr>
            <w:r w:rsidRPr="001800B7">
              <w:rPr>
                <w:bCs/>
                <w:szCs w:val="22"/>
                <w:lang w:eastAsia="en-US"/>
              </w:rPr>
              <w:t>Réunion à participation non limitée avec les États membres organisée trois</w:t>
            </w:r>
            <w:r w:rsidR="008005FD" w:rsidRPr="001800B7">
              <w:rPr>
                <w:bCs/>
                <w:szCs w:val="22"/>
                <w:lang w:eastAsia="en-US"/>
              </w:rPr>
              <w:t> </w:t>
            </w:r>
            <w:r w:rsidRPr="001800B7">
              <w:rPr>
                <w:bCs/>
                <w:szCs w:val="22"/>
                <w:lang w:eastAsia="en-US"/>
              </w:rPr>
              <w:t>mois après l</w:t>
            </w:r>
            <w:r w:rsidR="005311D6" w:rsidRPr="001800B7">
              <w:rPr>
                <w:bCs/>
                <w:szCs w:val="22"/>
                <w:lang w:eastAsia="en-US"/>
              </w:rPr>
              <w:t>’</w:t>
            </w:r>
            <w:r w:rsidRPr="001800B7">
              <w:rPr>
                <w:bCs/>
                <w:szCs w:val="22"/>
                <w:lang w:eastAsia="en-US"/>
              </w:rPr>
              <w:t>achèvement de l</w:t>
            </w:r>
            <w:r w:rsidR="005311D6" w:rsidRPr="001800B7">
              <w:rPr>
                <w:bCs/>
                <w:szCs w:val="22"/>
                <w:lang w:eastAsia="en-US"/>
              </w:rPr>
              <w:t>’</w:t>
            </w:r>
            <w:r w:rsidRPr="001800B7">
              <w:rPr>
                <w:bCs/>
                <w:szCs w:val="22"/>
                <w:lang w:eastAsia="en-US"/>
              </w:rPr>
              <w:t>étude, qui prévoyait une manifestation informelle en marge de la neuvième</w:t>
            </w:r>
            <w:r w:rsidR="008005FD" w:rsidRPr="001800B7">
              <w:rPr>
                <w:bCs/>
                <w:szCs w:val="22"/>
                <w:lang w:eastAsia="en-US"/>
              </w:rPr>
              <w:t> </w:t>
            </w:r>
            <w:r w:rsidRPr="001800B7">
              <w:rPr>
                <w:bCs/>
                <w:szCs w:val="22"/>
                <w:lang w:eastAsia="en-US"/>
              </w:rPr>
              <w:t>session</w:t>
            </w:r>
            <w:r w:rsidR="00456841" w:rsidRPr="001800B7">
              <w:rPr>
                <w:bCs/>
                <w:szCs w:val="22"/>
                <w:lang w:eastAsia="en-US"/>
              </w:rPr>
              <w:t xml:space="preserve"> du CDI</w:t>
            </w:r>
            <w:r w:rsidRPr="001800B7">
              <w:rPr>
                <w:bCs/>
                <w:szCs w:val="22"/>
                <w:lang w:eastAsia="en-US"/>
              </w:rPr>
              <w:t>P le 1</w:t>
            </w:r>
            <w:r w:rsidR="00456841" w:rsidRPr="001800B7">
              <w:rPr>
                <w:bCs/>
                <w:szCs w:val="22"/>
                <w:lang w:eastAsia="en-US"/>
              </w:rPr>
              <w:t>1 mai 20</w:t>
            </w:r>
            <w:r w:rsidRPr="001800B7">
              <w:rPr>
                <w:bCs/>
                <w:szCs w:val="22"/>
                <w:lang w:eastAsia="en-US"/>
              </w:rPr>
              <w:t>12 ainsi qu</w:t>
            </w:r>
            <w:r w:rsidR="005311D6" w:rsidRPr="001800B7">
              <w:rPr>
                <w:bCs/>
                <w:szCs w:val="22"/>
                <w:lang w:eastAsia="en-US"/>
              </w:rPr>
              <w:t>’</w:t>
            </w:r>
            <w:r w:rsidRPr="001800B7">
              <w:rPr>
                <w:bCs/>
                <w:szCs w:val="22"/>
                <w:lang w:eastAsia="en-US"/>
              </w:rPr>
              <w:t>une réunion officielle de l</w:t>
            </w:r>
            <w:r w:rsidR="005311D6" w:rsidRPr="001800B7">
              <w:rPr>
                <w:bCs/>
                <w:szCs w:val="22"/>
                <w:lang w:eastAsia="en-US"/>
              </w:rPr>
              <w:t>’</w:t>
            </w:r>
            <w:r w:rsidRPr="001800B7">
              <w:rPr>
                <w:bCs/>
                <w:szCs w:val="22"/>
                <w:lang w:eastAsia="en-US"/>
              </w:rPr>
              <w:t>OMPI le 1</w:t>
            </w:r>
            <w:r w:rsidR="00456841" w:rsidRPr="001800B7">
              <w:rPr>
                <w:bCs/>
                <w:szCs w:val="22"/>
                <w:lang w:eastAsia="en-US"/>
              </w:rPr>
              <w:t>8 juin 20</w:t>
            </w:r>
            <w:r w:rsidRPr="001800B7">
              <w:rPr>
                <w:bCs/>
                <w:szCs w:val="22"/>
                <w:lang w:eastAsia="en-US"/>
              </w:rPr>
              <w:t>12</w:t>
            </w:r>
            <w:r w:rsidR="0008593D" w:rsidRPr="001800B7">
              <w:rPr>
                <w:bCs/>
                <w:szCs w:val="22"/>
                <w:lang w:eastAsia="en-US"/>
              </w:rPr>
              <w:t xml:space="preserve">.  </w:t>
            </w:r>
            <w:r w:rsidRPr="001800B7">
              <w:rPr>
                <w:bCs/>
                <w:szCs w:val="22"/>
                <w:lang w:eastAsia="en-US"/>
              </w:rPr>
              <w:t>Cette dernière réunion a été suivie par une vingtaine de participants, avec des délégués des missions permanentes de sept</w:t>
            </w:r>
            <w:r w:rsidR="008005FD" w:rsidRPr="001800B7">
              <w:rPr>
                <w:bCs/>
                <w:szCs w:val="22"/>
                <w:lang w:eastAsia="en-US"/>
              </w:rPr>
              <w:t> </w:t>
            </w:r>
            <w:r w:rsidRPr="001800B7">
              <w:rPr>
                <w:bCs/>
                <w:szCs w:val="22"/>
                <w:lang w:eastAsia="en-US"/>
              </w:rPr>
              <w:t>pays auprès de l</w:t>
            </w:r>
            <w:r w:rsidR="005311D6" w:rsidRPr="001800B7">
              <w:rPr>
                <w:bCs/>
                <w:szCs w:val="22"/>
                <w:lang w:eastAsia="en-US"/>
              </w:rPr>
              <w:t>’</w:t>
            </w:r>
            <w:r w:rsidRPr="001800B7">
              <w:rPr>
                <w:bCs/>
                <w:szCs w:val="22"/>
                <w:lang w:eastAsia="en-US"/>
              </w:rPr>
              <w:t xml:space="preserve">Office des </w:t>
            </w:r>
            <w:r w:rsidR="005311D6" w:rsidRPr="001800B7">
              <w:rPr>
                <w:bCs/>
                <w:szCs w:val="22"/>
                <w:lang w:eastAsia="en-US"/>
              </w:rPr>
              <w:t>Nations Unies</w:t>
            </w:r>
            <w:r w:rsidRPr="001800B7">
              <w:rPr>
                <w:bCs/>
                <w:szCs w:val="22"/>
                <w:lang w:eastAsia="en-US"/>
              </w:rPr>
              <w:t xml:space="preserve"> à Genève ainsi que de trois</w:t>
            </w:r>
            <w:r w:rsidR="008005FD" w:rsidRPr="001800B7">
              <w:rPr>
                <w:bCs/>
                <w:szCs w:val="22"/>
                <w:lang w:eastAsia="en-US"/>
              </w:rPr>
              <w:t> </w:t>
            </w:r>
            <w:r w:rsidRPr="001800B7">
              <w:rPr>
                <w:bCs/>
                <w:szCs w:val="22"/>
                <w:lang w:eastAsia="en-US"/>
              </w:rPr>
              <w:t>ONG.  Les délégués ont évalué le projet de manière positive et sont convenus de la suite à donner.</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7908EA" w:rsidP="00114D33">
            <w:pPr>
              <w:keepNext/>
              <w:spacing w:before="120" w:after="120"/>
              <w:outlineLvl w:val="2"/>
              <w:rPr>
                <w:bCs/>
                <w:szCs w:val="22"/>
                <w:lang w:eastAsia="en-US"/>
              </w:rPr>
            </w:pPr>
            <w:r w:rsidRPr="001800B7">
              <w:rPr>
                <w:bCs/>
                <w:szCs w:val="22"/>
                <w:lang w:eastAsia="en-US"/>
              </w:rPr>
              <w:t>****</w:t>
            </w:r>
          </w:p>
        </w:tc>
      </w:tr>
      <w:tr w:rsidR="001800B7" w:rsidRPr="001800B7" w:rsidTr="0011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bCs/>
                <w:szCs w:val="22"/>
                <w:lang w:eastAsia="en-US"/>
              </w:rPr>
              <w:t>3.  Étude d</w:t>
            </w:r>
            <w:r w:rsidR="005311D6" w:rsidRPr="001800B7">
              <w:rPr>
                <w:rFonts w:eastAsia="Times New Roman"/>
                <w:bCs/>
                <w:szCs w:val="22"/>
                <w:lang w:eastAsia="en-US"/>
              </w:rPr>
              <w:t>’</w:t>
            </w:r>
            <w:r w:rsidRPr="001800B7">
              <w:rPr>
                <w:rFonts w:eastAsia="Times New Roman"/>
                <w:bCs/>
                <w:szCs w:val="22"/>
                <w:lang w:eastAsia="en-US"/>
              </w:rPr>
              <w:t>évaluation</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t>Étude d</w:t>
            </w:r>
            <w:r w:rsidR="005311D6" w:rsidRPr="001800B7">
              <w:rPr>
                <w:rFonts w:eastAsia="Times New Roman"/>
                <w:szCs w:val="22"/>
                <w:lang w:eastAsia="en-US"/>
              </w:rPr>
              <w:t>’</w:t>
            </w:r>
            <w:r w:rsidRPr="001800B7">
              <w:rPr>
                <w:rFonts w:eastAsia="Times New Roman"/>
                <w:szCs w:val="22"/>
                <w:lang w:eastAsia="en-US"/>
              </w:rPr>
              <w:t>évaluation approfondie achevée dans un délai de six</w:t>
            </w:r>
            <w:r w:rsidR="008005FD" w:rsidRPr="001800B7">
              <w:rPr>
                <w:rFonts w:eastAsia="Times New Roman"/>
                <w:szCs w:val="22"/>
                <w:lang w:eastAsia="en-US"/>
              </w:rPr>
              <w:t> </w:t>
            </w:r>
            <w:r w:rsidRPr="001800B7">
              <w:rPr>
                <w:rFonts w:eastAsia="Times New Roman"/>
                <w:szCs w:val="22"/>
                <w:lang w:eastAsia="en-US"/>
              </w:rPr>
              <w:t>mois à compter de la tenue de la réunion d</w:t>
            </w:r>
            <w:r w:rsidR="005311D6" w:rsidRPr="001800B7">
              <w:rPr>
                <w:rFonts w:eastAsia="Times New Roman"/>
                <w:szCs w:val="22"/>
                <w:lang w:eastAsia="en-US"/>
              </w:rPr>
              <w:t>’</w:t>
            </w:r>
            <w:r w:rsidRPr="001800B7">
              <w:rPr>
                <w:rFonts w:eastAsia="Times New Roman"/>
                <w:szCs w:val="22"/>
                <w:lang w:eastAsia="en-US"/>
              </w:rPr>
              <w:t>experts</w:t>
            </w:r>
            <w:r w:rsidR="0008593D" w:rsidRPr="001800B7">
              <w:rPr>
                <w:rFonts w:eastAsia="Times New Roman"/>
                <w:szCs w:val="22"/>
                <w:lang w:eastAsia="en-US"/>
              </w:rPr>
              <w:t xml:space="preserve">.  </w:t>
            </w:r>
            <w:r w:rsidRPr="001800B7">
              <w:rPr>
                <w:rFonts w:eastAsia="Times New Roman"/>
                <w:szCs w:val="22"/>
                <w:lang w:eastAsia="en-US"/>
              </w:rPr>
              <w:t>L</w:t>
            </w:r>
            <w:r w:rsidR="005311D6" w:rsidRPr="001800B7">
              <w:rPr>
                <w:rFonts w:eastAsia="Times New Roman"/>
                <w:szCs w:val="22"/>
                <w:lang w:eastAsia="en-US"/>
              </w:rPr>
              <w:t>’</w:t>
            </w:r>
            <w:r w:rsidRPr="001800B7">
              <w:rPr>
                <w:rFonts w:eastAsia="Times New Roman"/>
                <w:szCs w:val="22"/>
                <w:lang w:eastAsia="en-US"/>
              </w:rPr>
              <w:t xml:space="preserve">objectif de cette activité </w:t>
            </w:r>
            <w:r w:rsidRPr="001800B7">
              <w:rPr>
                <w:rFonts w:eastAsia="Times New Roman"/>
                <w:szCs w:val="22"/>
                <w:lang w:eastAsia="en-US"/>
              </w:rPr>
              <w:lastRenderedPageBreak/>
              <w:t>est de déterminer les avantages et les</w:t>
            </w:r>
            <w:r w:rsidR="0008593D" w:rsidRPr="001800B7">
              <w:rPr>
                <w:rFonts w:eastAsia="Times New Roman"/>
                <w:szCs w:val="22"/>
                <w:lang w:eastAsia="en-US"/>
              </w:rPr>
              <w:t xml:space="preserve"> i</w:t>
            </w:r>
            <w:r w:rsidRPr="001800B7">
              <w:rPr>
                <w:rFonts w:eastAsia="Times New Roman"/>
                <w:szCs w:val="22"/>
                <w:lang w:eastAsia="en-US"/>
              </w:rPr>
              <w:t>nconvénients des projets existants et de recenser les enseignements tirés de chaque initiative de partenariat ouvert.</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5016FD" w:rsidP="00114D33">
            <w:pPr>
              <w:keepNext/>
              <w:spacing w:before="120" w:after="120"/>
              <w:outlineLvl w:val="2"/>
              <w:rPr>
                <w:bCs/>
                <w:szCs w:val="22"/>
                <w:lang w:eastAsia="en-US"/>
              </w:rPr>
            </w:pPr>
            <w:r w:rsidRPr="001800B7">
              <w:rPr>
                <w:iCs/>
                <w:szCs w:val="22"/>
              </w:rPr>
              <w:lastRenderedPageBreak/>
              <w:t>L</w:t>
            </w:r>
            <w:r w:rsidR="005311D6" w:rsidRPr="001800B7">
              <w:rPr>
                <w:iCs/>
                <w:szCs w:val="22"/>
              </w:rPr>
              <w:t>’</w:t>
            </w:r>
            <w:r w:rsidRPr="001800B7">
              <w:rPr>
                <w:iCs/>
                <w:szCs w:val="22"/>
              </w:rPr>
              <w:t>étude d</w:t>
            </w:r>
            <w:r w:rsidR="005311D6" w:rsidRPr="001800B7">
              <w:rPr>
                <w:iCs/>
                <w:szCs w:val="22"/>
              </w:rPr>
              <w:t>’</w:t>
            </w:r>
            <w:r w:rsidRPr="001800B7">
              <w:rPr>
                <w:iCs/>
                <w:szCs w:val="22"/>
              </w:rPr>
              <w:t>évaluation approfondie a été commandée par une équipe d</w:t>
            </w:r>
            <w:r w:rsidR="005311D6" w:rsidRPr="001800B7">
              <w:rPr>
                <w:iCs/>
                <w:szCs w:val="22"/>
              </w:rPr>
              <w:t>’</w:t>
            </w:r>
            <w:r w:rsidRPr="001800B7">
              <w:rPr>
                <w:iCs/>
                <w:szCs w:val="22"/>
              </w:rPr>
              <w:t xml:space="preserve">experts sous la direction </w:t>
            </w:r>
            <w:r w:rsidR="0008593D" w:rsidRPr="001800B7">
              <w:rPr>
                <w:iCs/>
                <w:szCs w:val="22"/>
              </w:rPr>
              <w:t>de Mme</w:t>
            </w:r>
            <w:r w:rsidR="0008593D" w:rsidRPr="001800B7">
              <w:rPr>
                <w:szCs w:val="22"/>
              </w:rPr>
              <w:t> Ellen </w:t>
            </w:r>
            <w:proofErr w:type="spellStart"/>
            <w:r w:rsidRPr="001800B7">
              <w:rPr>
                <w:szCs w:val="22"/>
              </w:rPr>
              <w:t>Enkel</w:t>
            </w:r>
            <w:proofErr w:type="spellEnd"/>
            <w:r w:rsidRPr="001800B7">
              <w:rPr>
                <w:szCs w:val="22"/>
              </w:rPr>
              <w:t>, directrice de l</w:t>
            </w:r>
            <w:r w:rsidR="005311D6" w:rsidRPr="001800B7">
              <w:rPr>
                <w:szCs w:val="22"/>
              </w:rPr>
              <w:t>’</w:t>
            </w:r>
            <w:r w:rsidRPr="001800B7">
              <w:rPr>
                <w:szCs w:val="22"/>
              </w:rPr>
              <w:t xml:space="preserve">Institut </w:t>
            </w:r>
            <w:r w:rsidRPr="001800B7">
              <w:rPr>
                <w:szCs w:val="22"/>
              </w:rPr>
              <w:lastRenderedPageBreak/>
              <w:t>D</w:t>
            </w:r>
            <w:r w:rsidRPr="001800B7">
              <w:rPr>
                <w:szCs w:val="22"/>
                <w:vertAlign w:val="superscript"/>
              </w:rPr>
              <w:t>r</w:t>
            </w:r>
            <w:r w:rsidRPr="001800B7">
              <w:rPr>
                <w:szCs w:val="22"/>
              </w:rPr>
              <w:t> </w:t>
            </w:r>
            <w:r w:rsidR="0008593D" w:rsidRPr="001800B7">
              <w:rPr>
                <w:szCs w:val="22"/>
              </w:rPr>
              <w:t>Manfred </w:t>
            </w:r>
            <w:r w:rsidRPr="001800B7">
              <w:rPr>
                <w:szCs w:val="22"/>
              </w:rPr>
              <w:t>Bischoff de gestion de l</w:t>
            </w:r>
            <w:r w:rsidR="005311D6" w:rsidRPr="001800B7">
              <w:rPr>
                <w:szCs w:val="22"/>
              </w:rPr>
              <w:t>’</w:t>
            </w:r>
            <w:r w:rsidRPr="001800B7">
              <w:rPr>
                <w:szCs w:val="22"/>
              </w:rPr>
              <w:t>innovation du groupe Airbus, présidente de la Gestion de l</w:t>
            </w:r>
            <w:r w:rsidR="005311D6" w:rsidRPr="001800B7">
              <w:rPr>
                <w:szCs w:val="22"/>
              </w:rPr>
              <w:t>’</w:t>
            </w:r>
            <w:r w:rsidRPr="001800B7">
              <w:rPr>
                <w:szCs w:val="22"/>
              </w:rPr>
              <w:t>innovation à l</w:t>
            </w:r>
            <w:r w:rsidR="005311D6" w:rsidRPr="001800B7">
              <w:rPr>
                <w:szCs w:val="22"/>
              </w:rPr>
              <w:t>’</w:t>
            </w:r>
            <w:r w:rsidRPr="001800B7">
              <w:rPr>
                <w:szCs w:val="22"/>
              </w:rPr>
              <w:t>Université Zeppelin, à Friedrichshafen</w:t>
            </w:r>
            <w:r w:rsidR="0008593D" w:rsidRPr="001800B7">
              <w:rPr>
                <w:szCs w:val="22"/>
              </w:rPr>
              <w:t xml:space="preserve"> (</w:t>
            </w:r>
            <w:r w:rsidRPr="001800B7">
              <w:rPr>
                <w:szCs w:val="22"/>
              </w:rPr>
              <w:t>Allemagne</w:t>
            </w:r>
            <w:r w:rsidR="0008593D" w:rsidRPr="001800B7">
              <w:rPr>
                <w:szCs w:val="22"/>
              </w:rPr>
              <w:t>).</w:t>
            </w:r>
            <w:r w:rsidRPr="001800B7">
              <w:rPr>
                <w:szCs w:val="22"/>
              </w:rPr>
              <w:t xml:space="preserve"> </w:t>
            </w:r>
            <w:r w:rsidR="008005FD" w:rsidRPr="001800B7">
              <w:rPr>
                <w:szCs w:val="22"/>
              </w:rPr>
              <w:t xml:space="preserve"> </w:t>
            </w:r>
            <w:r w:rsidRPr="001800B7">
              <w:rPr>
                <w:szCs w:val="22"/>
              </w:rPr>
              <w:t>La version définitive de l</w:t>
            </w:r>
            <w:r w:rsidR="005311D6" w:rsidRPr="001800B7">
              <w:rPr>
                <w:szCs w:val="22"/>
              </w:rPr>
              <w:t>’</w:t>
            </w:r>
            <w:r w:rsidRPr="001800B7">
              <w:rPr>
                <w:szCs w:val="22"/>
              </w:rPr>
              <w:t xml:space="preserve">étude a été reçue en </w:t>
            </w:r>
            <w:r w:rsidR="00456841" w:rsidRPr="001800B7">
              <w:rPr>
                <w:szCs w:val="22"/>
              </w:rPr>
              <w:t>juillet 20</w:t>
            </w:r>
            <w:r w:rsidRPr="001800B7">
              <w:rPr>
                <w:szCs w:val="22"/>
              </w:rPr>
              <w:t>14 et sera mise à la disposition</w:t>
            </w:r>
            <w:r w:rsidR="00456841" w:rsidRPr="001800B7">
              <w:rPr>
                <w:szCs w:val="22"/>
              </w:rPr>
              <w:t xml:space="preserve"> du CDI</w:t>
            </w:r>
            <w:r w:rsidRPr="001800B7">
              <w:rPr>
                <w:szCs w:val="22"/>
              </w:rPr>
              <w:t>P/14.</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7908EA" w:rsidP="00114D33">
            <w:pPr>
              <w:keepNext/>
              <w:spacing w:before="120" w:after="120"/>
              <w:outlineLvl w:val="2"/>
              <w:rPr>
                <w:bCs/>
                <w:szCs w:val="22"/>
                <w:lang w:eastAsia="en-US"/>
              </w:rPr>
            </w:pPr>
            <w:r w:rsidRPr="001800B7">
              <w:rPr>
                <w:bCs/>
                <w:szCs w:val="22"/>
                <w:lang w:eastAsia="en-US"/>
              </w:rPr>
              <w:lastRenderedPageBreak/>
              <w:t>****</w:t>
            </w:r>
          </w:p>
        </w:tc>
      </w:tr>
      <w:tr w:rsidR="001800B7" w:rsidRPr="001800B7" w:rsidTr="0011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lastRenderedPageBreak/>
              <w:t>4.  Organisation de la réunion d</w:t>
            </w:r>
            <w:r w:rsidR="005311D6" w:rsidRPr="001800B7">
              <w:rPr>
                <w:rFonts w:eastAsia="Times New Roman"/>
                <w:szCs w:val="22"/>
                <w:lang w:eastAsia="en-US"/>
              </w:rPr>
              <w:t>’</w:t>
            </w:r>
            <w:r w:rsidRPr="001800B7">
              <w:rPr>
                <w:rFonts w:eastAsia="Times New Roman"/>
                <w:szCs w:val="22"/>
                <w:lang w:eastAsia="en-US"/>
              </w:rPr>
              <w:t>experts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B650B1" w:rsidRPr="001800B7" w:rsidRDefault="00DC6B44" w:rsidP="00114D33">
            <w:pPr>
              <w:spacing w:before="120" w:after="120"/>
              <w:rPr>
                <w:rFonts w:eastAsia="Times New Roman"/>
                <w:szCs w:val="22"/>
                <w:lang w:eastAsia="en-US"/>
              </w:rPr>
            </w:pPr>
            <w:r w:rsidRPr="001800B7">
              <w:rPr>
                <w:rFonts w:eastAsia="Times New Roman"/>
                <w:szCs w:val="22"/>
                <w:lang w:eastAsia="en-US"/>
              </w:rPr>
              <w:t>Tenue de la réunion dans un délai de six</w:t>
            </w:r>
            <w:r w:rsidR="008005FD" w:rsidRPr="001800B7">
              <w:rPr>
                <w:rFonts w:eastAsia="Times New Roman"/>
                <w:szCs w:val="22"/>
                <w:lang w:eastAsia="en-US"/>
              </w:rPr>
              <w:t> </w:t>
            </w:r>
            <w:r w:rsidRPr="001800B7">
              <w:rPr>
                <w:rFonts w:eastAsia="Times New Roman"/>
                <w:szCs w:val="22"/>
                <w:lang w:eastAsia="en-US"/>
              </w:rPr>
              <w:t>mois à partir de l</w:t>
            </w:r>
            <w:r w:rsidR="005311D6" w:rsidRPr="001800B7">
              <w:rPr>
                <w:rFonts w:eastAsia="Times New Roman"/>
                <w:szCs w:val="22"/>
                <w:lang w:eastAsia="en-US"/>
              </w:rPr>
              <w:t>’</w:t>
            </w:r>
            <w:r w:rsidRPr="001800B7">
              <w:rPr>
                <w:rFonts w:eastAsia="Times New Roman"/>
                <w:szCs w:val="22"/>
                <w:lang w:eastAsia="en-US"/>
              </w:rPr>
              <w:t>organisation de la réunion avec les États membres;  pendant les délibérations, l</w:t>
            </w:r>
            <w:r w:rsidR="005311D6" w:rsidRPr="001800B7">
              <w:rPr>
                <w:rFonts w:eastAsia="Times New Roman"/>
                <w:szCs w:val="22"/>
                <w:lang w:eastAsia="en-US"/>
              </w:rPr>
              <w:t>’</w:t>
            </w:r>
            <w:r w:rsidRPr="001800B7">
              <w:rPr>
                <w:rFonts w:eastAsia="Times New Roman"/>
                <w:szCs w:val="22"/>
                <w:lang w:eastAsia="en-US"/>
              </w:rPr>
              <w:t>accent sera mis sur les pratiques recommandées des organismes tant publics que privés en ce qui concerne les projets de partenariat ouvert;</w:t>
            </w:r>
          </w:p>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t>70% de retours d</w:t>
            </w:r>
            <w:r w:rsidR="005311D6" w:rsidRPr="001800B7">
              <w:rPr>
                <w:rFonts w:eastAsia="Times New Roman"/>
                <w:szCs w:val="22"/>
                <w:lang w:eastAsia="en-US"/>
              </w:rPr>
              <w:t>’</w:t>
            </w:r>
            <w:r w:rsidRPr="001800B7">
              <w:rPr>
                <w:rFonts w:eastAsia="Times New Roman"/>
                <w:szCs w:val="22"/>
                <w:lang w:eastAsia="en-US"/>
              </w:rPr>
              <w:t>information positifs émanant des participants sur l</w:t>
            </w:r>
            <w:r w:rsidR="005311D6" w:rsidRPr="001800B7">
              <w:rPr>
                <w:rFonts w:eastAsia="Times New Roman"/>
                <w:szCs w:val="22"/>
                <w:lang w:eastAsia="en-US"/>
              </w:rPr>
              <w:t>’</w:t>
            </w:r>
            <w:r w:rsidRPr="001800B7">
              <w:rPr>
                <w:rFonts w:eastAsia="Times New Roman"/>
                <w:szCs w:val="22"/>
                <w:lang w:eastAsia="en-US"/>
              </w:rPr>
              <w:t>utilité de la réunion eu égard à l</w:t>
            </w:r>
            <w:r w:rsidR="005311D6" w:rsidRPr="001800B7">
              <w:rPr>
                <w:rFonts w:eastAsia="Times New Roman"/>
                <w:szCs w:val="22"/>
                <w:lang w:eastAsia="en-US"/>
              </w:rPr>
              <w:t>’</w:t>
            </w:r>
            <w:r w:rsidRPr="001800B7">
              <w:rPr>
                <w:rFonts w:eastAsia="Times New Roman"/>
                <w:szCs w:val="22"/>
                <w:lang w:eastAsia="en-US"/>
              </w:rPr>
              <w:t>échange de données d</w:t>
            </w:r>
            <w:r w:rsidR="005311D6" w:rsidRPr="001800B7">
              <w:rPr>
                <w:rFonts w:eastAsia="Times New Roman"/>
                <w:szCs w:val="22"/>
                <w:lang w:eastAsia="en-US"/>
              </w:rPr>
              <w:t>’</w:t>
            </w:r>
            <w:r w:rsidRPr="001800B7">
              <w:rPr>
                <w:rFonts w:eastAsia="Times New Roman"/>
                <w:szCs w:val="22"/>
                <w:lang w:eastAsia="en-US"/>
              </w:rPr>
              <w:t>expérience.</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B650B1" w:rsidRPr="001800B7" w:rsidRDefault="005016FD" w:rsidP="00114D33">
            <w:pPr>
              <w:spacing w:before="120" w:after="120"/>
              <w:rPr>
                <w:rFonts w:eastAsia="Times New Roman"/>
                <w:szCs w:val="22"/>
                <w:lang w:eastAsia="en-US"/>
              </w:rPr>
            </w:pPr>
            <w:r w:rsidRPr="001800B7">
              <w:rPr>
                <w:szCs w:val="22"/>
              </w:rPr>
              <w:t>La réunion d</w:t>
            </w:r>
            <w:r w:rsidR="005311D6" w:rsidRPr="001800B7">
              <w:rPr>
                <w:szCs w:val="22"/>
              </w:rPr>
              <w:t>’</w:t>
            </w:r>
            <w:r w:rsidRPr="001800B7">
              <w:rPr>
                <w:szCs w:val="22"/>
              </w:rPr>
              <w:t>experts sous forme d</w:t>
            </w:r>
            <w:r w:rsidR="005311D6" w:rsidRPr="001800B7">
              <w:rPr>
                <w:szCs w:val="22"/>
              </w:rPr>
              <w:t>’</w:t>
            </w:r>
            <w:r w:rsidRPr="001800B7">
              <w:rPr>
                <w:szCs w:val="22"/>
              </w:rPr>
              <w:t xml:space="preserve">une </w:t>
            </w:r>
            <w:r w:rsidRPr="001800B7">
              <w:rPr>
                <w:i/>
                <w:szCs w:val="22"/>
              </w:rPr>
              <w:t>conférence de l</w:t>
            </w:r>
            <w:r w:rsidR="005311D6" w:rsidRPr="001800B7">
              <w:rPr>
                <w:i/>
                <w:szCs w:val="22"/>
              </w:rPr>
              <w:t>’</w:t>
            </w:r>
            <w:r w:rsidRPr="001800B7">
              <w:rPr>
                <w:i/>
                <w:szCs w:val="22"/>
              </w:rPr>
              <w:t>OMPI sur l</w:t>
            </w:r>
            <w:r w:rsidR="005311D6" w:rsidRPr="001800B7">
              <w:rPr>
                <w:i/>
                <w:szCs w:val="22"/>
              </w:rPr>
              <w:t>’</w:t>
            </w:r>
            <w:r w:rsidRPr="001800B7">
              <w:rPr>
                <w:i/>
                <w:szCs w:val="22"/>
              </w:rPr>
              <w:t>innovation ouverte : projets de collaboration et avenir du savoir</w:t>
            </w:r>
            <w:r w:rsidRPr="001800B7">
              <w:rPr>
                <w:szCs w:val="22"/>
              </w:rPr>
              <w:t xml:space="preserve"> a été organisée avec succès les 22 et 23 </w:t>
            </w:r>
            <w:r w:rsidR="00456841" w:rsidRPr="001800B7">
              <w:rPr>
                <w:szCs w:val="22"/>
              </w:rPr>
              <w:t>janvier 20</w:t>
            </w:r>
            <w:r w:rsidRPr="001800B7">
              <w:rPr>
                <w:szCs w:val="22"/>
              </w:rPr>
              <w:t xml:space="preserve">14. </w:t>
            </w:r>
            <w:r w:rsidR="008005FD" w:rsidRPr="001800B7">
              <w:rPr>
                <w:szCs w:val="22"/>
              </w:rPr>
              <w:t xml:space="preserve"> </w:t>
            </w:r>
            <w:r w:rsidRPr="001800B7">
              <w:rPr>
                <w:szCs w:val="22"/>
              </w:rPr>
              <w:t>Pour d</w:t>
            </w:r>
            <w:r w:rsidR="005311D6" w:rsidRPr="001800B7">
              <w:rPr>
                <w:szCs w:val="22"/>
              </w:rPr>
              <w:t>’</w:t>
            </w:r>
            <w:r w:rsidRPr="001800B7">
              <w:rPr>
                <w:szCs w:val="22"/>
              </w:rPr>
              <w:t>autres précisions, consulter l</w:t>
            </w:r>
            <w:r w:rsidR="005311D6" w:rsidRPr="001800B7">
              <w:rPr>
                <w:szCs w:val="22"/>
              </w:rPr>
              <w:t>’</w:t>
            </w:r>
            <w:r w:rsidRPr="001800B7">
              <w:rPr>
                <w:szCs w:val="22"/>
              </w:rPr>
              <w:t>adresse :</w:t>
            </w:r>
          </w:p>
          <w:p w:rsidR="008475D2" w:rsidRPr="001800B7" w:rsidRDefault="007C1A09" w:rsidP="00114D33">
            <w:pPr>
              <w:spacing w:before="120" w:after="120"/>
              <w:rPr>
                <w:rFonts w:eastAsia="Times New Roman"/>
                <w:szCs w:val="22"/>
                <w:lang w:eastAsia="en-US"/>
              </w:rPr>
            </w:pPr>
            <w:hyperlink r:id="rId40" w:history="1">
              <w:r w:rsidR="007908EA" w:rsidRPr="001800B7">
                <w:rPr>
                  <w:rStyle w:val="Hyperlink"/>
                  <w:rFonts w:eastAsia="Times New Roman"/>
                  <w:color w:val="auto"/>
                  <w:szCs w:val="22"/>
                  <w:lang w:eastAsia="en-US"/>
                </w:rPr>
                <w:t>http://www.wipo.int/meetings/en/details.jsp?meeting_id=31762</w:t>
              </w:r>
            </w:hyperlink>
          </w:p>
          <w:p w:rsidR="008475D2" w:rsidRPr="001800B7" w:rsidRDefault="005016FD" w:rsidP="00114D33">
            <w:pPr>
              <w:spacing w:before="120" w:after="120"/>
              <w:rPr>
                <w:rFonts w:eastAsia="Times New Roman"/>
                <w:iCs/>
                <w:szCs w:val="22"/>
                <w:lang w:eastAsia="en-US"/>
              </w:rPr>
            </w:pPr>
            <w:r w:rsidRPr="001800B7">
              <w:rPr>
                <w:szCs w:val="22"/>
              </w:rPr>
              <w:t>Cette conférence mondiale a présenté 17 intervenants de haut niveau originaires de pays développés et en développement et comporté des discussions en table ronde sur l</w:t>
            </w:r>
            <w:r w:rsidR="005311D6" w:rsidRPr="001800B7">
              <w:rPr>
                <w:szCs w:val="22"/>
              </w:rPr>
              <w:t>’</w:t>
            </w:r>
            <w:r w:rsidRPr="001800B7">
              <w:rPr>
                <w:szCs w:val="22"/>
              </w:rPr>
              <w:t>innovation ouverte</w:t>
            </w:r>
            <w:r w:rsidR="007908EA" w:rsidRPr="001800B7">
              <w:rPr>
                <w:rFonts w:eastAsia="Times New Roman"/>
                <w:szCs w:val="22"/>
                <w:lang w:eastAsia="en-US"/>
              </w:rPr>
              <w:t xml:space="preserve">. </w:t>
            </w:r>
            <w:r w:rsidR="008005FD" w:rsidRPr="001800B7">
              <w:rPr>
                <w:rFonts w:eastAsia="Times New Roman"/>
                <w:szCs w:val="22"/>
                <w:lang w:eastAsia="en-US"/>
              </w:rPr>
              <w:t xml:space="preserve"> </w:t>
            </w:r>
            <w:r w:rsidRPr="001800B7">
              <w:rPr>
                <w:rFonts w:eastAsia="Times New Roman"/>
                <w:szCs w:val="22"/>
                <w:lang w:eastAsia="en-US"/>
              </w:rPr>
              <w:t>Y ont participé environ 200 intervenants locaux et internationaux qui n</w:t>
            </w:r>
            <w:r w:rsidR="005311D6" w:rsidRPr="001800B7">
              <w:rPr>
                <w:rFonts w:eastAsia="Times New Roman"/>
                <w:szCs w:val="22"/>
                <w:lang w:eastAsia="en-US"/>
              </w:rPr>
              <w:t>’</w:t>
            </w:r>
            <w:r w:rsidRPr="001800B7">
              <w:rPr>
                <w:rFonts w:eastAsia="Times New Roman"/>
                <w:szCs w:val="22"/>
                <w:lang w:eastAsia="en-US"/>
              </w:rPr>
              <w:t>ont pas tari d</w:t>
            </w:r>
            <w:r w:rsidR="005311D6" w:rsidRPr="001800B7">
              <w:rPr>
                <w:rFonts w:eastAsia="Times New Roman"/>
                <w:szCs w:val="22"/>
                <w:lang w:eastAsia="en-US"/>
              </w:rPr>
              <w:t>’</w:t>
            </w:r>
            <w:r w:rsidRPr="001800B7">
              <w:rPr>
                <w:rFonts w:eastAsia="Times New Roman"/>
                <w:szCs w:val="22"/>
                <w:lang w:eastAsia="en-US"/>
              </w:rPr>
              <w:t>éloges, sans compter la presse et les médias locaux.</w:t>
            </w:r>
          </w:p>
          <w:p w:rsidR="00B650B1" w:rsidRPr="001800B7" w:rsidRDefault="005016FD" w:rsidP="00114D33">
            <w:pPr>
              <w:spacing w:before="120" w:after="120"/>
              <w:rPr>
                <w:rFonts w:eastAsia="Times New Roman"/>
                <w:iCs/>
                <w:szCs w:val="22"/>
                <w:lang w:eastAsia="en-US"/>
              </w:rPr>
            </w:pPr>
            <w:r w:rsidRPr="001800B7">
              <w:rPr>
                <w:rFonts w:eastAsia="Times New Roman"/>
                <w:iCs/>
                <w:szCs w:val="22"/>
                <w:lang w:eastAsia="en-US"/>
              </w:rPr>
              <w:t>Voir le reportage à l</w:t>
            </w:r>
            <w:r w:rsidR="005311D6" w:rsidRPr="001800B7">
              <w:rPr>
                <w:rFonts w:eastAsia="Times New Roman"/>
                <w:iCs/>
                <w:szCs w:val="22"/>
                <w:lang w:eastAsia="en-US"/>
              </w:rPr>
              <w:t>’</w:t>
            </w:r>
            <w:r w:rsidRPr="001800B7">
              <w:rPr>
                <w:rFonts w:eastAsia="Times New Roman"/>
                <w:iCs/>
                <w:szCs w:val="22"/>
                <w:lang w:eastAsia="en-US"/>
              </w:rPr>
              <w:t>adresse </w:t>
            </w:r>
            <w:r w:rsidR="007908EA" w:rsidRPr="001800B7">
              <w:rPr>
                <w:rFonts w:eastAsia="Times New Roman"/>
                <w:iCs/>
                <w:szCs w:val="22"/>
                <w:lang w:eastAsia="en-US"/>
              </w:rPr>
              <w:t>:</w:t>
            </w:r>
          </w:p>
          <w:p w:rsidR="007908EA" w:rsidRPr="001800B7" w:rsidRDefault="007C1A09" w:rsidP="00114D33">
            <w:pPr>
              <w:spacing w:before="120" w:after="120"/>
              <w:rPr>
                <w:rFonts w:eastAsia="Times New Roman"/>
                <w:szCs w:val="22"/>
                <w:lang w:eastAsia="en-US"/>
              </w:rPr>
            </w:pPr>
            <w:hyperlink r:id="rId41" w:history="1">
              <w:r w:rsidR="007908EA" w:rsidRPr="001800B7">
                <w:rPr>
                  <w:rStyle w:val="Hyperlink"/>
                  <w:rFonts w:eastAsia="Times New Roman"/>
                  <w:iCs/>
                  <w:color w:val="auto"/>
                  <w:szCs w:val="22"/>
                  <w:lang w:eastAsia="en-US"/>
                </w:rPr>
                <w:t>http://www.wipo.int/pressroom/en/stories/collaborative_innovation.html</w:t>
              </w:r>
            </w:hyperlink>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7908EA" w:rsidP="00114D33">
            <w:pPr>
              <w:keepNext/>
              <w:spacing w:before="120" w:after="120"/>
              <w:outlineLvl w:val="2"/>
              <w:rPr>
                <w:bCs/>
                <w:szCs w:val="22"/>
                <w:lang w:eastAsia="en-US"/>
              </w:rPr>
            </w:pPr>
            <w:r w:rsidRPr="001800B7">
              <w:rPr>
                <w:bCs/>
                <w:szCs w:val="22"/>
                <w:lang w:eastAsia="en-US"/>
              </w:rPr>
              <w:t>****</w:t>
            </w:r>
          </w:p>
        </w:tc>
      </w:tr>
      <w:tr w:rsidR="001800B7" w:rsidRPr="001800B7" w:rsidTr="0011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t xml:space="preserve">5. </w:t>
            </w:r>
            <w:r w:rsidR="008005FD" w:rsidRPr="001800B7">
              <w:rPr>
                <w:rFonts w:eastAsia="Times New Roman"/>
                <w:szCs w:val="22"/>
                <w:lang w:eastAsia="en-US"/>
              </w:rPr>
              <w:t xml:space="preserve"> </w:t>
            </w:r>
            <w:r w:rsidRPr="001800B7">
              <w:rPr>
                <w:rFonts w:eastAsia="Times New Roman"/>
                <w:szCs w:val="22"/>
                <w:lang w:eastAsia="en-US"/>
              </w:rPr>
              <w:t>Plate</w:t>
            </w:r>
            <w:r w:rsidR="001800B7" w:rsidRPr="001800B7">
              <w:rPr>
                <w:rFonts w:eastAsia="Times New Roman"/>
                <w:szCs w:val="22"/>
                <w:lang w:eastAsia="en-US"/>
              </w:rPr>
              <w:noBreakHyphen/>
            </w:r>
            <w:r w:rsidRPr="001800B7">
              <w:rPr>
                <w:rFonts w:eastAsia="Times New Roman"/>
                <w:szCs w:val="22"/>
                <w:lang w:eastAsia="en-US"/>
              </w:rPr>
              <w:t>forme interactive</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8475D2" w:rsidRPr="001800B7" w:rsidRDefault="00DC6B44" w:rsidP="00114D33">
            <w:pPr>
              <w:spacing w:before="120" w:after="120"/>
              <w:rPr>
                <w:rFonts w:eastAsia="Times New Roman"/>
                <w:szCs w:val="22"/>
                <w:lang w:eastAsia="en-US"/>
              </w:rPr>
            </w:pPr>
            <w:r w:rsidRPr="001800B7">
              <w:rPr>
                <w:rFonts w:eastAsia="Times New Roman"/>
                <w:szCs w:val="22"/>
                <w:lang w:eastAsia="en-US"/>
              </w:rPr>
              <w:t>Portail numérique fonctionnel dans un délai de six</w:t>
            </w:r>
            <w:r w:rsidR="008005FD" w:rsidRPr="001800B7">
              <w:rPr>
                <w:rFonts w:eastAsia="Times New Roman"/>
                <w:szCs w:val="22"/>
                <w:lang w:eastAsia="en-US"/>
              </w:rPr>
              <w:t> </w:t>
            </w:r>
            <w:r w:rsidRPr="001800B7">
              <w:rPr>
                <w:rFonts w:eastAsia="Times New Roman"/>
                <w:szCs w:val="22"/>
                <w:lang w:eastAsia="en-US"/>
              </w:rPr>
              <w:t>mois après l</w:t>
            </w:r>
            <w:r w:rsidR="005311D6" w:rsidRPr="001800B7">
              <w:rPr>
                <w:rFonts w:eastAsia="Times New Roman"/>
                <w:szCs w:val="22"/>
                <w:lang w:eastAsia="en-US"/>
              </w:rPr>
              <w:t>’</w:t>
            </w:r>
            <w:r w:rsidRPr="001800B7">
              <w:rPr>
                <w:rFonts w:eastAsia="Times New Roman"/>
                <w:szCs w:val="22"/>
                <w:lang w:eastAsia="en-US"/>
              </w:rPr>
              <w:t>achèvement de l</w:t>
            </w:r>
            <w:r w:rsidR="005311D6" w:rsidRPr="001800B7">
              <w:rPr>
                <w:rFonts w:eastAsia="Times New Roman"/>
                <w:szCs w:val="22"/>
                <w:lang w:eastAsia="en-US"/>
              </w:rPr>
              <w:t>’</w:t>
            </w:r>
            <w:r w:rsidRPr="001800B7">
              <w:rPr>
                <w:rFonts w:eastAsia="Times New Roman"/>
                <w:szCs w:val="22"/>
                <w:lang w:eastAsia="en-US"/>
              </w:rPr>
              <w:t>étude d</w:t>
            </w:r>
            <w:r w:rsidR="005311D6" w:rsidRPr="001800B7">
              <w:rPr>
                <w:rFonts w:eastAsia="Times New Roman"/>
                <w:szCs w:val="22"/>
                <w:lang w:eastAsia="en-US"/>
              </w:rPr>
              <w:t>’</w:t>
            </w:r>
            <w:r w:rsidRPr="001800B7">
              <w:rPr>
                <w:rFonts w:eastAsia="Times New Roman"/>
                <w:szCs w:val="22"/>
                <w:lang w:eastAsia="en-US"/>
              </w:rPr>
              <w:t>évaluation approfondie;</w:t>
            </w:r>
          </w:p>
          <w:p w:rsidR="008475D2" w:rsidRPr="001800B7" w:rsidRDefault="00DC6B44" w:rsidP="00114D33">
            <w:pPr>
              <w:spacing w:before="120" w:after="120"/>
              <w:rPr>
                <w:rFonts w:eastAsia="Times New Roman"/>
                <w:szCs w:val="22"/>
                <w:lang w:eastAsia="en-US"/>
              </w:rPr>
            </w:pPr>
            <w:r w:rsidRPr="001800B7">
              <w:rPr>
                <w:rFonts w:eastAsia="Times New Roman"/>
                <w:szCs w:val="22"/>
                <w:lang w:eastAsia="en-US"/>
              </w:rPr>
              <w:t>a) utilisation sur une grande échelle et de façon régulière du site</w:t>
            </w:r>
            <w:r w:rsidR="008005FD" w:rsidRPr="001800B7">
              <w:rPr>
                <w:rFonts w:eastAsia="Times New Roman"/>
                <w:szCs w:val="22"/>
                <w:lang w:eastAsia="en-US"/>
              </w:rPr>
              <w:t> </w:t>
            </w:r>
            <w:r w:rsidRPr="001800B7">
              <w:rPr>
                <w:rFonts w:eastAsia="Times New Roman"/>
                <w:szCs w:val="22"/>
                <w:lang w:eastAsia="en-US"/>
              </w:rPr>
              <w:t xml:space="preserve">Web et du forum sur </w:t>
            </w:r>
            <w:r w:rsidRPr="001800B7">
              <w:rPr>
                <w:rFonts w:eastAsia="Times New Roman"/>
                <w:szCs w:val="22"/>
                <w:lang w:eastAsia="en-US"/>
              </w:rPr>
              <w:lastRenderedPageBreak/>
              <w:t>le Web par les utilisateurs, en particulier dans les pays en développement;</w:t>
            </w:r>
            <w:r w:rsidRPr="001800B7">
              <w:rPr>
                <w:szCs w:val="22"/>
              </w:rPr>
              <w:t xml:space="preserve">  </w:t>
            </w:r>
            <w:r w:rsidRPr="001800B7">
              <w:rPr>
                <w:rFonts w:eastAsia="Times New Roman"/>
                <w:szCs w:val="22"/>
                <w:lang w:eastAsia="en-US"/>
              </w:rPr>
              <w:t>et</w:t>
            </w:r>
          </w:p>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t>b) 55% de retours d</w:t>
            </w:r>
            <w:r w:rsidR="005311D6" w:rsidRPr="001800B7">
              <w:rPr>
                <w:rFonts w:eastAsia="Times New Roman"/>
                <w:szCs w:val="22"/>
                <w:lang w:eastAsia="en-US"/>
              </w:rPr>
              <w:t>’</w:t>
            </w:r>
            <w:r w:rsidRPr="001800B7">
              <w:rPr>
                <w:rFonts w:eastAsia="Times New Roman"/>
                <w:szCs w:val="22"/>
                <w:lang w:eastAsia="en-US"/>
              </w:rPr>
              <w:t>information positifs émanant des utilisateurs sur l</w:t>
            </w:r>
            <w:r w:rsidR="005311D6" w:rsidRPr="001800B7">
              <w:rPr>
                <w:rFonts w:eastAsia="Times New Roman"/>
                <w:szCs w:val="22"/>
                <w:lang w:eastAsia="en-US"/>
              </w:rPr>
              <w:t>’</w:t>
            </w:r>
            <w:r w:rsidRPr="001800B7">
              <w:rPr>
                <w:rFonts w:eastAsia="Times New Roman"/>
                <w:szCs w:val="22"/>
                <w:lang w:eastAsia="en-US"/>
              </w:rPr>
              <w:t>utilité de la plate</w:t>
            </w:r>
            <w:r w:rsidR="001800B7" w:rsidRPr="001800B7">
              <w:rPr>
                <w:rFonts w:eastAsia="Times New Roman"/>
                <w:szCs w:val="22"/>
                <w:lang w:eastAsia="en-US"/>
              </w:rPr>
              <w:noBreakHyphen/>
            </w:r>
            <w:r w:rsidRPr="001800B7">
              <w:rPr>
                <w:rFonts w:eastAsia="Times New Roman"/>
                <w:szCs w:val="22"/>
                <w:lang w:eastAsia="en-US"/>
              </w:rPr>
              <w:t>forme (selon les questionnaires en ligne).</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8475D2" w:rsidRPr="001800B7" w:rsidRDefault="00114D33" w:rsidP="00114D33">
            <w:pPr>
              <w:spacing w:before="120" w:after="120"/>
              <w:rPr>
                <w:rFonts w:eastAsia="Times New Roman"/>
                <w:szCs w:val="22"/>
                <w:lang w:eastAsia="en-US"/>
              </w:rPr>
            </w:pPr>
            <w:r w:rsidRPr="001800B7">
              <w:rPr>
                <w:rFonts w:eastAsia="Times New Roman"/>
                <w:szCs w:val="22"/>
                <w:lang w:eastAsia="en-US"/>
              </w:rPr>
              <w:lastRenderedPageBreak/>
              <w:br/>
            </w:r>
            <w:r w:rsidRPr="001800B7">
              <w:rPr>
                <w:rFonts w:eastAsia="Times New Roman"/>
                <w:szCs w:val="22"/>
                <w:lang w:eastAsia="en-US"/>
              </w:rPr>
              <w:br/>
            </w:r>
            <w:r w:rsidRPr="001800B7">
              <w:rPr>
                <w:rFonts w:eastAsia="Times New Roman"/>
                <w:szCs w:val="22"/>
                <w:lang w:eastAsia="en-US"/>
              </w:rPr>
              <w:br/>
            </w:r>
            <w:r w:rsidRPr="001800B7">
              <w:rPr>
                <w:rFonts w:eastAsia="Times New Roman"/>
                <w:szCs w:val="22"/>
                <w:lang w:eastAsia="en-US"/>
              </w:rPr>
              <w:br/>
            </w:r>
          </w:p>
          <w:p w:rsidR="007908EA" w:rsidRPr="001800B7" w:rsidRDefault="005016FD" w:rsidP="00114D33">
            <w:pPr>
              <w:spacing w:before="120" w:after="120"/>
              <w:rPr>
                <w:rFonts w:eastAsia="Times New Roman"/>
                <w:szCs w:val="22"/>
                <w:lang w:eastAsia="en-US"/>
              </w:rPr>
            </w:pPr>
            <w:r w:rsidRPr="001800B7">
              <w:rPr>
                <w:szCs w:val="22"/>
              </w:rPr>
              <w:t>Une étude consacrée au</w:t>
            </w:r>
            <w:r w:rsidR="00D75F0D" w:rsidRPr="001800B7">
              <w:rPr>
                <w:szCs w:val="22"/>
              </w:rPr>
              <w:t>x</w:t>
            </w:r>
            <w:r w:rsidRPr="001800B7">
              <w:rPr>
                <w:szCs w:val="22"/>
              </w:rPr>
              <w:t xml:space="preserve"> </w:t>
            </w:r>
            <w:r w:rsidR="008005FD" w:rsidRPr="001800B7">
              <w:rPr>
                <w:szCs w:val="22"/>
              </w:rPr>
              <w:t>“</w:t>
            </w:r>
            <w:r w:rsidRPr="001800B7">
              <w:rPr>
                <w:szCs w:val="22"/>
              </w:rPr>
              <w:t>flux de savoirs mondiaux</w:t>
            </w:r>
            <w:r w:rsidR="008005FD" w:rsidRPr="001800B7">
              <w:rPr>
                <w:szCs w:val="22"/>
              </w:rPr>
              <w:t>”</w:t>
            </w:r>
            <w:r w:rsidRPr="001800B7">
              <w:rPr>
                <w:szCs w:val="22"/>
              </w:rPr>
              <w:t>, qui doit être intégrée dans la plate</w:t>
            </w:r>
            <w:r w:rsidR="001800B7" w:rsidRPr="001800B7">
              <w:rPr>
                <w:szCs w:val="22"/>
              </w:rPr>
              <w:noBreakHyphen/>
            </w:r>
            <w:r w:rsidRPr="001800B7">
              <w:rPr>
                <w:szCs w:val="22"/>
              </w:rPr>
              <w:t xml:space="preserve">forme interactive, a </w:t>
            </w:r>
            <w:r w:rsidRPr="001800B7">
              <w:rPr>
                <w:szCs w:val="22"/>
              </w:rPr>
              <w:lastRenderedPageBreak/>
              <w:t xml:space="preserve">été commandée par une équipe de la </w:t>
            </w:r>
            <w:proofErr w:type="spellStart"/>
            <w:r w:rsidRPr="001800B7">
              <w:rPr>
                <w:szCs w:val="22"/>
              </w:rPr>
              <w:t>Community</w:t>
            </w:r>
            <w:proofErr w:type="spellEnd"/>
            <w:r w:rsidRPr="001800B7">
              <w:rPr>
                <w:szCs w:val="22"/>
              </w:rPr>
              <w:t xml:space="preserve"> </w:t>
            </w:r>
            <w:proofErr w:type="spellStart"/>
            <w:r w:rsidRPr="001800B7">
              <w:rPr>
                <w:szCs w:val="22"/>
              </w:rPr>
              <w:t>Systems</w:t>
            </w:r>
            <w:proofErr w:type="spellEnd"/>
            <w:r w:rsidRPr="001800B7">
              <w:rPr>
                <w:szCs w:val="22"/>
              </w:rPr>
              <w:t xml:space="preserve"> </w:t>
            </w:r>
            <w:proofErr w:type="spellStart"/>
            <w:r w:rsidRPr="001800B7">
              <w:rPr>
                <w:szCs w:val="22"/>
              </w:rPr>
              <w:t>Foundation</w:t>
            </w:r>
            <w:proofErr w:type="spellEnd"/>
            <w:r w:rsidRPr="001800B7">
              <w:rPr>
                <w:szCs w:val="22"/>
              </w:rPr>
              <w:t xml:space="preserve"> (CSF), à New York</w:t>
            </w:r>
            <w:r w:rsidR="0008593D" w:rsidRPr="001800B7">
              <w:rPr>
                <w:szCs w:val="22"/>
              </w:rPr>
              <w:t xml:space="preserve"> (</w:t>
            </w:r>
            <w:r w:rsidRPr="001800B7">
              <w:rPr>
                <w:szCs w:val="22"/>
              </w:rPr>
              <w:t>États</w:t>
            </w:r>
            <w:r w:rsidR="001800B7" w:rsidRPr="001800B7">
              <w:rPr>
                <w:szCs w:val="22"/>
              </w:rPr>
              <w:noBreakHyphen/>
            </w:r>
            <w:r w:rsidRPr="001800B7">
              <w:rPr>
                <w:szCs w:val="22"/>
              </w:rPr>
              <w:t>Unis</w:t>
            </w:r>
            <w:r w:rsidR="008005FD" w:rsidRPr="001800B7">
              <w:rPr>
                <w:szCs w:val="22"/>
              </w:rPr>
              <w:t xml:space="preserve"> d</w:t>
            </w:r>
            <w:r w:rsidR="005311D6" w:rsidRPr="001800B7">
              <w:rPr>
                <w:szCs w:val="22"/>
              </w:rPr>
              <w:t>’</w:t>
            </w:r>
            <w:r w:rsidR="008005FD" w:rsidRPr="001800B7">
              <w:rPr>
                <w:szCs w:val="22"/>
              </w:rPr>
              <w:t>Amérique</w:t>
            </w:r>
            <w:r w:rsidR="0008593D" w:rsidRPr="001800B7">
              <w:rPr>
                <w:szCs w:val="22"/>
              </w:rPr>
              <w:t>).</w:t>
            </w:r>
            <w:r w:rsidR="008005FD" w:rsidRPr="001800B7">
              <w:rPr>
                <w:szCs w:val="22"/>
              </w:rPr>
              <w:t xml:space="preserve"> </w:t>
            </w:r>
            <w:r w:rsidRPr="001800B7">
              <w:rPr>
                <w:szCs w:val="22"/>
              </w:rPr>
              <w:t xml:space="preserve"> La version définitive de l</w:t>
            </w:r>
            <w:r w:rsidR="005311D6" w:rsidRPr="001800B7">
              <w:rPr>
                <w:szCs w:val="22"/>
              </w:rPr>
              <w:t>’</w:t>
            </w:r>
            <w:r w:rsidRPr="001800B7">
              <w:rPr>
                <w:szCs w:val="22"/>
              </w:rPr>
              <w:t xml:space="preserve">étude a été reçue dans la première moitié de </w:t>
            </w:r>
            <w:r w:rsidR="00456841" w:rsidRPr="001800B7">
              <w:rPr>
                <w:szCs w:val="22"/>
              </w:rPr>
              <w:t>septembre 20</w:t>
            </w:r>
            <w:r w:rsidRPr="001800B7">
              <w:rPr>
                <w:szCs w:val="22"/>
              </w:rPr>
              <w:t>14 et sera mise à la disposition</w:t>
            </w:r>
            <w:r w:rsidR="00456841" w:rsidRPr="001800B7">
              <w:rPr>
                <w:szCs w:val="22"/>
              </w:rPr>
              <w:t xml:space="preserve"> du CDI</w:t>
            </w:r>
            <w:r w:rsidRPr="001800B7">
              <w:rPr>
                <w:szCs w:val="22"/>
              </w:rPr>
              <w:t>P/14</w:t>
            </w:r>
            <w:r w:rsidR="007908EA" w:rsidRPr="001800B7">
              <w:rPr>
                <w:szCs w:val="22"/>
              </w:rPr>
              <w:t>.</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7908EA" w:rsidP="00114D33">
            <w:pPr>
              <w:keepNext/>
              <w:spacing w:before="120" w:after="120"/>
              <w:outlineLvl w:val="2"/>
              <w:rPr>
                <w:bCs/>
                <w:szCs w:val="22"/>
                <w:lang w:eastAsia="en-US"/>
              </w:rPr>
            </w:pPr>
            <w:r w:rsidRPr="001800B7">
              <w:rPr>
                <w:bCs/>
                <w:szCs w:val="22"/>
                <w:lang w:eastAsia="en-US"/>
              </w:rPr>
              <w:lastRenderedPageBreak/>
              <w:t>****</w:t>
            </w:r>
          </w:p>
        </w:tc>
      </w:tr>
      <w:tr w:rsidR="001800B7" w:rsidRPr="001800B7" w:rsidTr="0011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lastRenderedPageBreak/>
              <w:t>6.  Appui aux activités de l</w:t>
            </w:r>
            <w:r w:rsidR="005311D6" w:rsidRPr="001800B7">
              <w:rPr>
                <w:rFonts w:eastAsia="Times New Roman"/>
                <w:szCs w:val="22"/>
                <w:lang w:eastAsia="en-US"/>
              </w:rPr>
              <w:t>’</w:t>
            </w:r>
            <w:r w:rsidRPr="001800B7">
              <w:rPr>
                <w:rFonts w:eastAsia="Times New Roman"/>
                <w:szCs w:val="22"/>
                <w:lang w:eastAsia="en-US"/>
              </w:rPr>
              <w:t>OMPI visant à stimuler l</w:t>
            </w:r>
            <w:r w:rsidR="005311D6" w:rsidRPr="001800B7">
              <w:rPr>
                <w:rFonts w:eastAsia="Times New Roman"/>
                <w:szCs w:val="22"/>
                <w:lang w:eastAsia="en-US"/>
              </w:rPr>
              <w:t>’</w:t>
            </w:r>
            <w:r w:rsidRPr="001800B7">
              <w:rPr>
                <w:rFonts w:eastAsia="Times New Roman"/>
                <w:szCs w:val="22"/>
                <w:lang w:eastAsia="en-US"/>
              </w:rPr>
              <w:t>échange de données d</w:t>
            </w:r>
            <w:r w:rsidR="005311D6" w:rsidRPr="001800B7">
              <w:rPr>
                <w:rFonts w:eastAsia="Times New Roman"/>
                <w:szCs w:val="22"/>
                <w:lang w:eastAsia="en-US"/>
              </w:rPr>
              <w:t>’</w:t>
            </w:r>
            <w:r w:rsidRPr="001800B7">
              <w:rPr>
                <w:rFonts w:eastAsia="Times New Roman"/>
                <w:szCs w:val="22"/>
                <w:lang w:eastAsia="en-US"/>
              </w:rPr>
              <w:t>expérience sur les projets de partenariat ouvert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t>Examen des recommandations découlant du projet aux fins de leur incorporation dans les programmes connexes de l</w:t>
            </w:r>
            <w:r w:rsidR="005311D6" w:rsidRPr="001800B7">
              <w:rPr>
                <w:rFonts w:eastAsia="Times New Roman"/>
                <w:szCs w:val="22"/>
                <w:lang w:eastAsia="en-US"/>
              </w:rPr>
              <w:t>’</w:t>
            </w:r>
            <w:r w:rsidRPr="001800B7">
              <w:rPr>
                <w:rFonts w:eastAsia="Times New Roman"/>
                <w:szCs w:val="22"/>
                <w:lang w:eastAsia="en-US"/>
              </w:rPr>
              <w:t>OMPI après approbation des États membres dans un délai de trois</w:t>
            </w:r>
            <w:r w:rsidR="008005FD" w:rsidRPr="001800B7">
              <w:rPr>
                <w:rFonts w:eastAsia="Times New Roman"/>
                <w:szCs w:val="22"/>
                <w:lang w:eastAsia="en-US"/>
              </w:rPr>
              <w:t> </w:t>
            </w:r>
            <w:r w:rsidRPr="001800B7">
              <w:rPr>
                <w:rFonts w:eastAsia="Times New Roman"/>
                <w:szCs w:val="22"/>
                <w:lang w:eastAsia="en-US"/>
              </w:rPr>
              <w:t>mois à compter de l</w:t>
            </w:r>
            <w:r w:rsidR="005311D6" w:rsidRPr="001800B7">
              <w:rPr>
                <w:rFonts w:eastAsia="Times New Roman"/>
                <w:szCs w:val="22"/>
                <w:lang w:eastAsia="en-US"/>
              </w:rPr>
              <w:t>’</w:t>
            </w:r>
            <w:r w:rsidRPr="001800B7">
              <w:rPr>
                <w:rFonts w:eastAsia="Times New Roman"/>
                <w:szCs w:val="22"/>
                <w:lang w:eastAsia="en-US"/>
              </w:rPr>
              <w:t>entrée en vigueur de la plate</w:t>
            </w:r>
            <w:r w:rsidR="001800B7" w:rsidRPr="001800B7">
              <w:rPr>
                <w:rFonts w:eastAsia="Times New Roman"/>
                <w:szCs w:val="22"/>
                <w:lang w:eastAsia="en-US"/>
              </w:rPr>
              <w:noBreakHyphen/>
            </w:r>
            <w:r w:rsidRPr="001800B7">
              <w:rPr>
                <w:rFonts w:eastAsia="Times New Roman"/>
                <w:szCs w:val="22"/>
                <w:lang w:eastAsia="en-US"/>
              </w:rPr>
              <w:t>forme interactive.</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t>Prématuré à ce stade.</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keepNext/>
              <w:spacing w:before="120" w:after="120"/>
              <w:outlineLvl w:val="2"/>
              <w:rPr>
                <w:bCs/>
                <w:szCs w:val="22"/>
                <w:lang w:eastAsia="en-US"/>
              </w:rPr>
            </w:pPr>
            <w:r w:rsidRPr="001800B7">
              <w:rPr>
                <w:bCs/>
                <w:szCs w:val="22"/>
                <w:lang w:eastAsia="en-US"/>
              </w:rPr>
              <w:t>N.D.</w:t>
            </w:r>
          </w:p>
        </w:tc>
      </w:tr>
    </w:tbl>
    <w:p w:rsidR="00B650B1" w:rsidRPr="001800B7" w:rsidRDefault="00B650B1" w:rsidP="00114D33">
      <w:pPr>
        <w:rPr>
          <w:szCs w:val="22"/>
          <w:lang w:eastAsia="en-US"/>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5"/>
        <w:gridCol w:w="2694"/>
        <w:gridCol w:w="2976"/>
        <w:gridCol w:w="1456"/>
      </w:tblGrid>
      <w:tr w:rsidR="001800B7" w:rsidRPr="001800B7" w:rsidTr="00114D33">
        <w:trPr>
          <w:trHeight w:val="616"/>
        </w:trPr>
        <w:tc>
          <w:tcPr>
            <w:tcW w:w="2366" w:type="dxa"/>
            <w:shd w:val="clear" w:color="auto" w:fill="auto"/>
            <w:vAlign w:val="center"/>
          </w:tcPr>
          <w:p w:rsidR="00114D33" w:rsidRPr="001800B7" w:rsidRDefault="00114D33" w:rsidP="00F30D9D">
            <w:pPr>
              <w:spacing w:before="120" w:after="120"/>
              <w:jc w:val="center"/>
              <w:rPr>
                <w:szCs w:val="22"/>
                <w:u w:val="single"/>
              </w:rPr>
            </w:pPr>
            <w:r w:rsidRPr="001800B7">
              <w:rPr>
                <w:szCs w:val="22"/>
                <w:u w:val="single"/>
              </w:rPr>
              <w:t>Objectifs généraux</w:t>
            </w:r>
            <w:r w:rsidRPr="001800B7">
              <w:rPr>
                <w:szCs w:val="22"/>
                <w:u w:val="single"/>
              </w:rPr>
              <w:br/>
              <w:t>du projet</w:t>
            </w:r>
          </w:p>
        </w:tc>
        <w:tc>
          <w:tcPr>
            <w:tcW w:w="2694" w:type="dxa"/>
            <w:shd w:val="clear" w:color="auto" w:fill="auto"/>
            <w:vAlign w:val="center"/>
          </w:tcPr>
          <w:p w:rsidR="00114D33" w:rsidRPr="001800B7" w:rsidRDefault="00114D33" w:rsidP="00F30D9D">
            <w:pPr>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shd w:val="clear" w:color="auto" w:fill="auto"/>
            <w:vAlign w:val="center"/>
          </w:tcPr>
          <w:p w:rsidR="00114D33" w:rsidRPr="001800B7" w:rsidRDefault="00114D33" w:rsidP="00F30D9D">
            <w:pPr>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shd w:val="clear" w:color="auto" w:fill="auto"/>
            <w:vAlign w:val="center"/>
          </w:tcPr>
          <w:p w:rsidR="00114D33" w:rsidRPr="001800B7" w:rsidRDefault="00114D33" w:rsidP="00F30D9D">
            <w:pPr>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11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7908EA" w:rsidP="00114D33">
            <w:pPr>
              <w:spacing w:before="120" w:after="120"/>
              <w:rPr>
                <w:rFonts w:eastAsia="Times New Roman"/>
                <w:szCs w:val="22"/>
                <w:lang w:eastAsia="en-US"/>
              </w:rPr>
            </w:pPr>
            <w:r w:rsidRPr="001800B7">
              <w:rPr>
                <w:rFonts w:eastAsia="Times New Roman"/>
                <w:szCs w:val="22"/>
                <w:lang w:eastAsia="en-US"/>
              </w:rPr>
              <w:br w:type="page"/>
            </w:r>
            <w:r w:rsidR="00DC6B44" w:rsidRPr="001800B7">
              <w:rPr>
                <w:rFonts w:eastAsia="Times New Roman"/>
                <w:szCs w:val="22"/>
                <w:lang w:eastAsia="en-US"/>
              </w:rPr>
              <w:t>Créer une plate</w:t>
            </w:r>
            <w:r w:rsidR="001800B7" w:rsidRPr="001800B7">
              <w:rPr>
                <w:rFonts w:eastAsia="Times New Roman"/>
                <w:szCs w:val="22"/>
                <w:lang w:eastAsia="en-US"/>
              </w:rPr>
              <w:noBreakHyphen/>
            </w:r>
            <w:r w:rsidR="00DC6B44" w:rsidRPr="001800B7">
              <w:rPr>
                <w:rFonts w:eastAsia="Times New Roman"/>
                <w:szCs w:val="22"/>
                <w:lang w:eastAsia="en-US"/>
              </w:rPr>
              <w:t>forme interactive d</w:t>
            </w:r>
            <w:r w:rsidR="005311D6" w:rsidRPr="001800B7">
              <w:rPr>
                <w:rFonts w:eastAsia="Times New Roman"/>
                <w:szCs w:val="22"/>
                <w:lang w:eastAsia="en-US"/>
              </w:rPr>
              <w:t>’</w:t>
            </w:r>
            <w:r w:rsidR="00DC6B44" w:rsidRPr="001800B7">
              <w:rPr>
                <w:rFonts w:eastAsia="Times New Roman"/>
                <w:szCs w:val="22"/>
                <w:lang w:eastAsia="en-US"/>
              </w:rPr>
              <w:t>échange de données d</w:t>
            </w:r>
            <w:r w:rsidR="005311D6" w:rsidRPr="001800B7">
              <w:rPr>
                <w:rFonts w:eastAsia="Times New Roman"/>
                <w:szCs w:val="22"/>
                <w:lang w:eastAsia="en-US"/>
              </w:rPr>
              <w:t>’</w:t>
            </w:r>
            <w:r w:rsidR="00DC6B44" w:rsidRPr="001800B7">
              <w:rPr>
                <w:rFonts w:eastAsia="Times New Roman"/>
                <w:szCs w:val="22"/>
                <w:lang w:eastAsia="en-US"/>
              </w:rPr>
              <w:t>expérience le plus large possible sur les projets de partenariat ouvert et les modèles fondés sur la propriété intellectuelle.</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8475D2" w:rsidRPr="001800B7" w:rsidRDefault="00DC6B44" w:rsidP="008475D2">
            <w:pPr>
              <w:spacing w:before="120" w:after="120"/>
              <w:rPr>
                <w:rFonts w:eastAsia="Times New Roman"/>
                <w:szCs w:val="22"/>
                <w:lang w:eastAsia="en-US"/>
              </w:rPr>
            </w:pPr>
            <w:r w:rsidRPr="001800B7">
              <w:rPr>
                <w:rFonts w:eastAsia="Times New Roman"/>
                <w:szCs w:val="22"/>
                <w:lang w:eastAsia="en-US"/>
              </w:rPr>
              <w:t>Plus grande sensibilisation, meilleure prise en considération des données d</w:t>
            </w:r>
            <w:r w:rsidR="005311D6" w:rsidRPr="001800B7">
              <w:rPr>
                <w:rFonts w:eastAsia="Times New Roman"/>
                <w:szCs w:val="22"/>
                <w:lang w:eastAsia="en-US"/>
              </w:rPr>
              <w:t>’</w:t>
            </w:r>
            <w:r w:rsidRPr="001800B7">
              <w:rPr>
                <w:rFonts w:eastAsia="Times New Roman"/>
                <w:szCs w:val="22"/>
                <w:lang w:eastAsia="en-US"/>
              </w:rPr>
              <w:t>expérience et pratiques recommandées et de l</w:t>
            </w:r>
            <w:r w:rsidR="005311D6" w:rsidRPr="001800B7">
              <w:rPr>
                <w:rFonts w:eastAsia="Times New Roman"/>
                <w:szCs w:val="22"/>
                <w:lang w:eastAsia="en-US"/>
              </w:rPr>
              <w:t>’</w:t>
            </w:r>
            <w:r w:rsidRPr="001800B7">
              <w:rPr>
                <w:rFonts w:eastAsia="Times New Roman"/>
                <w:szCs w:val="22"/>
                <w:lang w:eastAsia="en-US"/>
              </w:rPr>
              <w:t>application pratique des instruments de propriété intellectuelle et du matériel de formation dans la plate</w:t>
            </w:r>
            <w:r w:rsidR="001800B7" w:rsidRPr="001800B7">
              <w:rPr>
                <w:rFonts w:eastAsia="Times New Roman"/>
                <w:szCs w:val="22"/>
                <w:lang w:eastAsia="en-US"/>
              </w:rPr>
              <w:noBreakHyphen/>
            </w:r>
            <w:r w:rsidRPr="001800B7">
              <w:rPr>
                <w:rFonts w:eastAsia="Times New Roman"/>
                <w:szCs w:val="22"/>
                <w:lang w:eastAsia="en-US"/>
              </w:rPr>
              <w:t>forme interactive aux fins de la création et de la mise en œuvre des projets de partenariat ouvert, et retours d</w:t>
            </w:r>
            <w:r w:rsidR="005311D6" w:rsidRPr="001800B7">
              <w:rPr>
                <w:rFonts w:eastAsia="Times New Roman"/>
                <w:szCs w:val="22"/>
                <w:lang w:eastAsia="en-US"/>
              </w:rPr>
              <w:t>’</w:t>
            </w:r>
            <w:r w:rsidRPr="001800B7">
              <w:rPr>
                <w:rFonts w:eastAsia="Times New Roman"/>
                <w:szCs w:val="22"/>
                <w:lang w:eastAsia="en-US"/>
              </w:rPr>
              <w:t>information émanant du comité indiquant dans quelle mesure la compréhension de ces questions a été renforcée et l</w:t>
            </w:r>
            <w:r w:rsidR="005311D6" w:rsidRPr="001800B7">
              <w:rPr>
                <w:rFonts w:eastAsia="Times New Roman"/>
                <w:szCs w:val="22"/>
                <w:lang w:eastAsia="en-US"/>
              </w:rPr>
              <w:t>’</w:t>
            </w:r>
            <w:r w:rsidRPr="001800B7">
              <w:rPr>
                <w:rFonts w:eastAsia="Times New Roman"/>
                <w:szCs w:val="22"/>
                <w:lang w:eastAsia="en-US"/>
              </w:rPr>
              <w:t>objectif du projet a été atteint</w:t>
            </w:r>
            <w:r w:rsidR="008005FD" w:rsidRPr="001800B7">
              <w:rPr>
                <w:rFonts w:eastAsia="Times New Roman"/>
                <w:szCs w:val="22"/>
                <w:lang w:eastAsia="en-US"/>
              </w:rPr>
              <w:t> </w:t>
            </w:r>
            <w:r w:rsidRPr="001800B7">
              <w:rPr>
                <w:rFonts w:eastAsia="Times New Roman"/>
                <w:szCs w:val="22"/>
                <w:lang w:eastAsia="en-US"/>
              </w:rPr>
              <w:t>:</w:t>
            </w:r>
          </w:p>
          <w:p w:rsidR="008475D2" w:rsidRPr="001800B7" w:rsidRDefault="00DC6B44" w:rsidP="008475D2">
            <w:pPr>
              <w:spacing w:before="120" w:after="120"/>
              <w:rPr>
                <w:rFonts w:eastAsia="Times New Roman"/>
                <w:szCs w:val="22"/>
                <w:lang w:eastAsia="en-US"/>
              </w:rPr>
            </w:pPr>
            <w:r w:rsidRPr="001800B7">
              <w:rPr>
                <w:rFonts w:eastAsia="Times New Roman"/>
                <w:szCs w:val="22"/>
                <w:lang w:eastAsia="en-US"/>
              </w:rPr>
              <w:t>a) nombre d</w:t>
            </w:r>
            <w:r w:rsidR="005311D6" w:rsidRPr="001800B7">
              <w:rPr>
                <w:rFonts w:eastAsia="Times New Roman"/>
                <w:szCs w:val="22"/>
                <w:lang w:eastAsia="en-US"/>
              </w:rPr>
              <w:t>’</w:t>
            </w:r>
            <w:r w:rsidRPr="001800B7">
              <w:rPr>
                <w:rFonts w:eastAsia="Times New Roman"/>
                <w:szCs w:val="22"/>
                <w:lang w:eastAsia="en-US"/>
              </w:rPr>
              <w:t>utilisateurs du site</w:t>
            </w:r>
            <w:r w:rsidR="008005FD" w:rsidRPr="001800B7">
              <w:rPr>
                <w:rFonts w:eastAsia="Times New Roman"/>
                <w:szCs w:val="22"/>
                <w:lang w:eastAsia="en-US"/>
              </w:rPr>
              <w:t> </w:t>
            </w:r>
            <w:r w:rsidRPr="001800B7">
              <w:rPr>
                <w:rFonts w:eastAsia="Times New Roman"/>
                <w:szCs w:val="22"/>
                <w:lang w:eastAsia="en-US"/>
              </w:rPr>
              <w:t xml:space="preserve">Web et de visites </w:t>
            </w:r>
            <w:r w:rsidRPr="001800B7">
              <w:rPr>
                <w:rFonts w:eastAsia="Times New Roman"/>
                <w:szCs w:val="22"/>
                <w:lang w:eastAsia="en-US"/>
              </w:rPr>
              <w:lastRenderedPageBreak/>
              <w:t>par pays/région;</w:t>
            </w:r>
          </w:p>
          <w:p w:rsidR="008475D2" w:rsidRPr="001800B7" w:rsidRDefault="00DC6B44" w:rsidP="008475D2">
            <w:pPr>
              <w:spacing w:before="120" w:after="120"/>
              <w:rPr>
                <w:rFonts w:eastAsia="Times New Roman"/>
                <w:szCs w:val="22"/>
                <w:lang w:eastAsia="en-US"/>
              </w:rPr>
            </w:pPr>
            <w:r w:rsidRPr="001800B7">
              <w:rPr>
                <w:rFonts w:eastAsia="Times New Roman"/>
                <w:szCs w:val="22"/>
                <w:lang w:eastAsia="en-US"/>
              </w:rPr>
              <w:t>b) nombre d</w:t>
            </w:r>
            <w:r w:rsidR="005311D6" w:rsidRPr="001800B7">
              <w:rPr>
                <w:rFonts w:eastAsia="Times New Roman"/>
                <w:szCs w:val="22"/>
                <w:lang w:eastAsia="en-US"/>
              </w:rPr>
              <w:t>’</w:t>
            </w:r>
            <w:r w:rsidRPr="001800B7">
              <w:rPr>
                <w:rFonts w:eastAsia="Times New Roman"/>
                <w:szCs w:val="22"/>
                <w:lang w:eastAsia="en-US"/>
              </w:rPr>
              <w:t>utilisateurs du forum sur le Web échangeant des données d</w:t>
            </w:r>
            <w:r w:rsidR="005311D6" w:rsidRPr="001800B7">
              <w:rPr>
                <w:rFonts w:eastAsia="Times New Roman"/>
                <w:szCs w:val="22"/>
                <w:lang w:eastAsia="en-US"/>
              </w:rPr>
              <w:t>’</w:t>
            </w:r>
            <w:r w:rsidRPr="001800B7">
              <w:rPr>
                <w:rFonts w:eastAsia="Times New Roman"/>
                <w:szCs w:val="22"/>
                <w:lang w:eastAsia="en-US"/>
              </w:rPr>
              <w:t>expérience sur les environnements de partenariat ouvert et les modèles fondés sur la propriété intellectuelle;</w:t>
            </w:r>
          </w:p>
          <w:p w:rsidR="008475D2" w:rsidRPr="001800B7" w:rsidRDefault="00DC6B44" w:rsidP="008475D2">
            <w:pPr>
              <w:spacing w:before="120" w:after="120"/>
              <w:rPr>
                <w:rFonts w:eastAsia="Times New Roman"/>
                <w:szCs w:val="22"/>
                <w:lang w:eastAsia="en-US"/>
              </w:rPr>
            </w:pPr>
            <w:r w:rsidRPr="001800B7">
              <w:rPr>
                <w:rFonts w:eastAsia="Times New Roman"/>
                <w:szCs w:val="22"/>
                <w:lang w:eastAsia="en-US"/>
              </w:rPr>
              <w:t>c) demande accrue de formation dispensée par l</w:t>
            </w:r>
            <w:r w:rsidR="005311D6" w:rsidRPr="001800B7">
              <w:rPr>
                <w:rFonts w:eastAsia="Times New Roman"/>
                <w:szCs w:val="22"/>
                <w:lang w:eastAsia="en-US"/>
              </w:rPr>
              <w:t>’</w:t>
            </w:r>
            <w:r w:rsidRPr="001800B7">
              <w:rPr>
                <w:rFonts w:eastAsia="Times New Roman"/>
                <w:szCs w:val="22"/>
                <w:lang w:eastAsia="en-US"/>
              </w:rPr>
              <w:t>OMPI sur l</w:t>
            </w:r>
            <w:r w:rsidR="005311D6" w:rsidRPr="001800B7">
              <w:rPr>
                <w:rFonts w:eastAsia="Times New Roman"/>
                <w:szCs w:val="22"/>
                <w:lang w:eastAsia="en-US"/>
              </w:rPr>
              <w:t>’</w:t>
            </w:r>
            <w:r w:rsidRPr="001800B7">
              <w:rPr>
                <w:rFonts w:eastAsia="Times New Roman"/>
                <w:szCs w:val="22"/>
                <w:lang w:eastAsia="en-US"/>
              </w:rPr>
              <w:t>innovation en partenariat ouvert sur la base du contenu du portail;  et</w:t>
            </w:r>
          </w:p>
          <w:p w:rsidR="007908EA" w:rsidRPr="001800B7" w:rsidRDefault="00DC6B44" w:rsidP="008475D2">
            <w:pPr>
              <w:spacing w:before="120" w:after="120"/>
              <w:rPr>
                <w:rFonts w:eastAsia="Times New Roman"/>
                <w:szCs w:val="22"/>
                <w:lang w:eastAsia="en-US"/>
              </w:rPr>
            </w:pPr>
            <w:r w:rsidRPr="001800B7">
              <w:rPr>
                <w:rFonts w:eastAsia="Times New Roman"/>
                <w:szCs w:val="22"/>
                <w:lang w:eastAsia="en-US"/>
              </w:rPr>
              <w:t>d) nombre accru de projets communs initiés dans le cadre de l</w:t>
            </w:r>
            <w:r w:rsidR="005311D6" w:rsidRPr="001800B7">
              <w:rPr>
                <w:rFonts w:eastAsia="Times New Roman"/>
                <w:szCs w:val="22"/>
                <w:lang w:eastAsia="en-US"/>
              </w:rPr>
              <w:t>’</w:t>
            </w:r>
            <w:r w:rsidRPr="001800B7">
              <w:rPr>
                <w:rFonts w:eastAsia="Times New Roman"/>
                <w:szCs w:val="22"/>
                <w:lang w:eastAsia="en-US"/>
              </w:rPr>
              <w:t>innovation ouverte.</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114D33">
            <w:pPr>
              <w:spacing w:before="120" w:after="120"/>
              <w:rPr>
                <w:rFonts w:eastAsia="Times New Roman"/>
                <w:szCs w:val="22"/>
                <w:lang w:eastAsia="en-US"/>
              </w:rPr>
            </w:pPr>
            <w:r w:rsidRPr="001800B7">
              <w:rPr>
                <w:rFonts w:eastAsia="Times New Roman"/>
                <w:szCs w:val="22"/>
                <w:lang w:eastAsia="en-US"/>
              </w:rPr>
              <w:lastRenderedPageBreak/>
              <w:t>Prématuré à ce stade.</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7908EA" w:rsidRPr="001800B7" w:rsidRDefault="00DC6B44" w:rsidP="008475D2">
            <w:pPr>
              <w:keepNext/>
              <w:spacing w:before="120" w:after="120"/>
              <w:outlineLvl w:val="2"/>
              <w:rPr>
                <w:bCs/>
                <w:szCs w:val="22"/>
                <w:lang w:eastAsia="en-US"/>
              </w:rPr>
            </w:pPr>
            <w:r w:rsidRPr="001800B7">
              <w:rPr>
                <w:bCs/>
                <w:szCs w:val="22"/>
                <w:lang w:eastAsia="en-US"/>
              </w:rPr>
              <w:t>NE</w:t>
            </w:r>
          </w:p>
        </w:tc>
      </w:tr>
    </w:tbl>
    <w:p w:rsidR="00B650B1" w:rsidRPr="001800B7" w:rsidRDefault="00B650B1" w:rsidP="00114D33">
      <w:pPr>
        <w:rPr>
          <w:szCs w:val="22"/>
        </w:rPr>
      </w:pPr>
    </w:p>
    <w:p w:rsidR="00114D33" w:rsidRPr="001800B7" w:rsidRDefault="00114D33" w:rsidP="00114D33">
      <w:pPr>
        <w:rPr>
          <w:szCs w:val="22"/>
        </w:rPr>
      </w:pPr>
    </w:p>
    <w:p w:rsidR="00114D33" w:rsidRPr="001800B7" w:rsidRDefault="00114D33" w:rsidP="00114D33">
      <w:pPr>
        <w:rPr>
          <w:szCs w:val="22"/>
        </w:rPr>
      </w:pPr>
    </w:p>
    <w:p w:rsidR="00114031" w:rsidRPr="001800B7" w:rsidRDefault="00CD731A" w:rsidP="00114D33">
      <w:pPr>
        <w:pStyle w:val="Endofdocument-Annex"/>
        <w:rPr>
          <w:szCs w:val="22"/>
        </w:rPr>
        <w:sectPr w:rsidR="00114031" w:rsidRPr="001800B7" w:rsidSect="00BF4C15">
          <w:headerReference w:type="default" r:id="rId42"/>
          <w:headerReference w:type="first" r:id="rId43"/>
          <w:endnotePr>
            <w:numFmt w:val="decimal"/>
          </w:endnotePr>
          <w:pgSz w:w="11907" w:h="16840" w:code="9"/>
          <w:pgMar w:top="567" w:right="1134" w:bottom="1418" w:left="1418" w:header="510" w:footer="1021" w:gutter="0"/>
          <w:pgNumType w:start="1"/>
          <w:cols w:space="720"/>
          <w:titlePg/>
          <w:docGrid w:linePitch="299"/>
        </w:sectPr>
      </w:pPr>
      <w:r w:rsidRPr="001800B7">
        <w:rPr>
          <w:szCs w:val="22"/>
        </w:rPr>
        <w:t>[L</w:t>
      </w:r>
      <w:r w:rsidR="005311D6" w:rsidRPr="001800B7">
        <w:rPr>
          <w:szCs w:val="22"/>
        </w:rPr>
        <w:t>’</w:t>
      </w:r>
      <w:r w:rsidRPr="001800B7">
        <w:rPr>
          <w:szCs w:val="22"/>
        </w:rPr>
        <w:t>annexe</w:t>
      </w:r>
      <w:r w:rsidR="008005FD" w:rsidRPr="001800B7">
        <w:rPr>
          <w:szCs w:val="22"/>
        </w:rPr>
        <w:t> </w:t>
      </w:r>
      <w:r w:rsidRPr="001800B7">
        <w:rPr>
          <w:szCs w:val="22"/>
        </w:rPr>
        <w:t>IV suit]</w:t>
      </w:r>
    </w:p>
    <w:p w:rsidR="00F35238" w:rsidRPr="001800B7" w:rsidRDefault="00DC6B44" w:rsidP="0060133E">
      <w:pPr>
        <w:pStyle w:val="Heading2"/>
        <w:rPr>
          <w:szCs w:val="22"/>
        </w:rPr>
      </w:pPr>
      <w:r w:rsidRPr="001800B7">
        <w:rPr>
          <w:szCs w:val="22"/>
        </w:rPr>
        <w:lastRenderedPageBreak/>
        <w:t>Rapport sur l</w:t>
      </w:r>
      <w:r w:rsidR="005311D6" w:rsidRPr="001800B7">
        <w:rPr>
          <w:szCs w:val="22"/>
        </w:rPr>
        <w:t>’</w:t>
      </w:r>
      <w:r w:rsidRPr="001800B7">
        <w:rPr>
          <w:szCs w:val="22"/>
        </w:rPr>
        <w:t>état d</w:t>
      </w:r>
      <w:r w:rsidR="005311D6" w:rsidRPr="001800B7">
        <w:rPr>
          <w:szCs w:val="22"/>
        </w:rPr>
        <w:t>’</w:t>
      </w:r>
      <w:r w:rsidRPr="001800B7">
        <w:rPr>
          <w:szCs w:val="22"/>
        </w:rPr>
        <w:t>avancement des travaux</w:t>
      </w:r>
    </w:p>
    <w:p w:rsidR="0060133E" w:rsidRPr="001800B7" w:rsidRDefault="0060133E" w:rsidP="0060133E">
      <w:pPr>
        <w:rPr>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60133E">
        <w:tc>
          <w:tcPr>
            <w:tcW w:w="9501" w:type="dxa"/>
            <w:gridSpan w:val="2"/>
            <w:shd w:val="clear" w:color="auto" w:fill="auto"/>
            <w:vAlign w:val="center"/>
          </w:tcPr>
          <w:p w:rsidR="00F35238" w:rsidRPr="001800B7" w:rsidRDefault="00DC6B44" w:rsidP="0060133E">
            <w:pPr>
              <w:pStyle w:val="Heading2"/>
              <w:keepNext w:val="0"/>
              <w:spacing w:before="120" w:after="120"/>
              <w:rPr>
                <w:szCs w:val="22"/>
              </w:rPr>
            </w:pPr>
            <w:r w:rsidRPr="001800B7">
              <w:rPr>
                <w:szCs w:val="22"/>
              </w:rPr>
              <w:t>RÉSUMÉ DU PROJET</w:t>
            </w:r>
          </w:p>
        </w:tc>
      </w:tr>
      <w:tr w:rsidR="001800B7" w:rsidRPr="001800B7" w:rsidTr="0060133E">
        <w:tc>
          <w:tcPr>
            <w:tcW w:w="2235" w:type="dxa"/>
            <w:shd w:val="clear" w:color="auto" w:fill="auto"/>
          </w:tcPr>
          <w:p w:rsidR="00F35238" w:rsidRPr="001800B7" w:rsidRDefault="00DC6B44" w:rsidP="0060133E">
            <w:pPr>
              <w:pStyle w:val="Heading3"/>
              <w:keepNext w:val="0"/>
              <w:spacing w:before="120" w:after="120"/>
              <w:rPr>
                <w:szCs w:val="22"/>
              </w:rPr>
            </w:pPr>
            <w:r w:rsidRPr="001800B7">
              <w:rPr>
                <w:szCs w:val="22"/>
              </w:rPr>
              <w:t>Code du projet</w:t>
            </w:r>
          </w:p>
        </w:tc>
        <w:tc>
          <w:tcPr>
            <w:tcW w:w="7266" w:type="dxa"/>
            <w:shd w:val="clear" w:color="auto" w:fill="auto"/>
            <w:vAlign w:val="center"/>
          </w:tcPr>
          <w:p w:rsidR="00F35238" w:rsidRPr="001800B7" w:rsidRDefault="002434FE" w:rsidP="0060133E">
            <w:pPr>
              <w:spacing w:before="120" w:after="120"/>
              <w:rPr>
                <w:iCs/>
                <w:szCs w:val="22"/>
              </w:rPr>
            </w:pPr>
            <w:r w:rsidRPr="001800B7">
              <w:rPr>
                <w:iCs/>
                <w:szCs w:val="22"/>
              </w:rPr>
              <w:t>DA_1_2_4_10_11_1</w:t>
            </w:r>
          </w:p>
        </w:tc>
      </w:tr>
      <w:tr w:rsidR="001800B7" w:rsidRPr="001800B7" w:rsidTr="0060133E">
        <w:tc>
          <w:tcPr>
            <w:tcW w:w="2235" w:type="dxa"/>
            <w:shd w:val="clear" w:color="auto" w:fill="auto"/>
          </w:tcPr>
          <w:p w:rsidR="00F35238" w:rsidRPr="001800B7" w:rsidRDefault="002434FE" w:rsidP="0060133E">
            <w:pPr>
              <w:pStyle w:val="Heading3"/>
              <w:keepNext w:val="0"/>
              <w:spacing w:before="120" w:after="120"/>
              <w:rPr>
                <w:szCs w:val="22"/>
              </w:rPr>
            </w:pPr>
            <w:r w:rsidRPr="001800B7">
              <w:rPr>
                <w:szCs w:val="22"/>
              </w:rPr>
              <w:t>Titre</w:t>
            </w:r>
          </w:p>
        </w:tc>
        <w:tc>
          <w:tcPr>
            <w:tcW w:w="7266" w:type="dxa"/>
            <w:shd w:val="clear" w:color="auto" w:fill="auto"/>
            <w:vAlign w:val="center"/>
          </w:tcPr>
          <w:p w:rsidR="00F35238" w:rsidRPr="001800B7" w:rsidRDefault="002434FE" w:rsidP="0060133E">
            <w:pPr>
              <w:spacing w:before="120" w:after="120"/>
              <w:rPr>
                <w:i/>
                <w:szCs w:val="22"/>
              </w:rPr>
            </w:pPr>
            <w:r w:rsidRPr="001800B7">
              <w:rPr>
                <w:szCs w:val="22"/>
              </w:rPr>
              <w:t>Renforcement et développement du secteur de l</w:t>
            </w:r>
            <w:r w:rsidR="005311D6" w:rsidRPr="001800B7">
              <w:rPr>
                <w:szCs w:val="22"/>
              </w:rPr>
              <w:t>’</w:t>
            </w:r>
            <w:r w:rsidRPr="001800B7">
              <w:rPr>
                <w:szCs w:val="22"/>
              </w:rPr>
              <w:t>audiovisuel au Burkina Faso et dans certains pays africains.</w:t>
            </w:r>
          </w:p>
        </w:tc>
      </w:tr>
      <w:tr w:rsidR="001800B7" w:rsidRPr="001800B7" w:rsidTr="0060133E">
        <w:tc>
          <w:tcPr>
            <w:tcW w:w="2235" w:type="dxa"/>
            <w:shd w:val="clear" w:color="auto" w:fill="auto"/>
          </w:tcPr>
          <w:p w:rsidR="00F35238" w:rsidRPr="001800B7" w:rsidRDefault="002434FE" w:rsidP="0060133E">
            <w:pPr>
              <w:pStyle w:val="Heading3"/>
              <w:keepNext w:val="0"/>
              <w:spacing w:before="120" w:after="120"/>
              <w:rPr>
                <w:szCs w:val="22"/>
              </w:rPr>
            </w:pPr>
            <w:r w:rsidRPr="001800B7">
              <w:rPr>
                <w:szCs w:val="22"/>
              </w:rPr>
              <w:t>Recommandations du Plan d</w:t>
            </w:r>
            <w:r w:rsidR="005311D6" w:rsidRPr="001800B7">
              <w:rPr>
                <w:szCs w:val="22"/>
              </w:rPr>
              <w:t>’</w:t>
            </w:r>
            <w:r w:rsidRPr="001800B7">
              <w:rPr>
                <w:szCs w:val="22"/>
              </w:rPr>
              <w:t>action pour le développement</w:t>
            </w:r>
          </w:p>
        </w:tc>
        <w:tc>
          <w:tcPr>
            <w:tcW w:w="7266" w:type="dxa"/>
            <w:shd w:val="clear" w:color="auto" w:fill="auto"/>
          </w:tcPr>
          <w:p w:rsidR="008475D2" w:rsidRPr="001800B7" w:rsidRDefault="002434FE" w:rsidP="0060133E">
            <w:pPr>
              <w:spacing w:before="120" w:after="120"/>
              <w:rPr>
                <w:szCs w:val="22"/>
              </w:rPr>
            </w:pPr>
            <w:r w:rsidRPr="001800B7">
              <w:rPr>
                <w:i/>
                <w:szCs w:val="22"/>
              </w:rPr>
              <w:t>Recommandation n°</w:t>
            </w:r>
            <w:r w:rsidR="008005FD" w:rsidRPr="001800B7">
              <w:rPr>
                <w:i/>
                <w:szCs w:val="22"/>
              </w:rPr>
              <w:t> </w:t>
            </w:r>
            <w:r w:rsidRPr="001800B7">
              <w:rPr>
                <w:i/>
                <w:szCs w:val="22"/>
              </w:rPr>
              <w:t>1</w:t>
            </w:r>
            <w:r w:rsidR="0060133E" w:rsidRPr="001800B7">
              <w:rPr>
                <w:i/>
                <w:szCs w:val="22"/>
              </w:rPr>
              <w:t xml:space="preserve"> : </w:t>
            </w:r>
            <w:r w:rsidRPr="001800B7">
              <w:rPr>
                <w:szCs w:val="22"/>
              </w:rPr>
              <w:t>L</w:t>
            </w:r>
            <w:r w:rsidR="005311D6" w:rsidRPr="001800B7">
              <w:rPr>
                <w:szCs w:val="22"/>
              </w:rPr>
              <w:t>’</w:t>
            </w:r>
            <w:r w:rsidRPr="001800B7">
              <w:rPr>
                <w:szCs w:val="22"/>
              </w:rPr>
              <w:t>assistance technique de l</w:t>
            </w:r>
            <w:r w:rsidR="005311D6" w:rsidRPr="001800B7">
              <w:rPr>
                <w:szCs w:val="22"/>
              </w:rPr>
              <w:t>’</w:t>
            </w:r>
            <w:r w:rsidRPr="001800B7">
              <w:rPr>
                <w:szCs w:val="22"/>
              </w:rPr>
              <w:t>OMPI doit notamment être axée sur le développement et la demande et elle doit être transparente;  elle doit tenir compte des priorités et des besoins particuliers des pays en développement, en particulier</w:t>
            </w:r>
            <w:r w:rsidR="00456841" w:rsidRPr="001800B7">
              <w:rPr>
                <w:szCs w:val="22"/>
              </w:rPr>
              <w:t xml:space="preserve"> des PMA</w:t>
            </w:r>
            <w:r w:rsidRPr="001800B7">
              <w:rPr>
                <w:szCs w:val="22"/>
              </w:rPr>
              <w:t>, ainsi que des différents niveaux de développement des États membres</w:t>
            </w:r>
            <w:r w:rsidR="0008593D" w:rsidRPr="001800B7">
              <w:rPr>
                <w:szCs w:val="22"/>
              </w:rPr>
              <w:t xml:space="preserve">.  </w:t>
            </w:r>
            <w:r w:rsidRPr="001800B7">
              <w:rPr>
                <w:szCs w:val="22"/>
              </w:rPr>
              <w:t>Les activités doivent être menées à bien dans les délais</w:t>
            </w:r>
            <w:r w:rsidR="0008593D" w:rsidRPr="001800B7">
              <w:rPr>
                <w:szCs w:val="22"/>
              </w:rPr>
              <w:t xml:space="preserve">.  </w:t>
            </w:r>
            <w:r w:rsidRPr="001800B7">
              <w:rPr>
                <w:szCs w:val="22"/>
              </w:rPr>
              <w:t>À cet égard, les mécanismes d</w:t>
            </w:r>
            <w:r w:rsidR="005311D6" w:rsidRPr="001800B7">
              <w:rPr>
                <w:szCs w:val="22"/>
              </w:rPr>
              <w:t>’</w:t>
            </w:r>
            <w:r w:rsidRPr="001800B7">
              <w:rPr>
                <w:szCs w:val="22"/>
              </w:rPr>
              <w:t>établissement et d</w:t>
            </w:r>
            <w:r w:rsidR="005311D6" w:rsidRPr="001800B7">
              <w:rPr>
                <w:szCs w:val="22"/>
              </w:rPr>
              <w:t>’</w:t>
            </w:r>
            <w:r w:rsidRPr="001800B7">
              <w:rPr>
                <w:szCs w:val="22"/>
              </w:rPr>
              <w:t>exécution et les procédures d</w:t>
            </w:r>
            <w:r w:rsidR="005311D6" w:rsidRPr="001800B7">
              <w:rPr>
                <w:szCs w:val="22"/>
              </w:rPr>
              <w:t>’</w:t>
            </w:r>
            <w:r w:rsidRPr="001800B7">
              <w:rPr>
                <w:szCs w:val="22"/>
              </w:rPr>
              <w:t>évaluation des programmes d</w:t>
            </w:r>
            <w:r w:rsidR="005311D6" w:rsidRPr="001800B7">
              <w:rPr>
                <w:szCs w:val="22"/>
              </w:rPr>
              <w:t>’</w:t>
            </w:r>
            <w:r w:rsidRPr="001800B7">
              <w:rPr>
                <w:szCs w:val="22"/>
              </w:rPr>
              <w:t>assistance technique doivent être ciblés par pays.</w:t>
            </w:r>
          </w:p>
          <w:p w:rsidR="008475D2" w:rsidRPr="001800B7" w:rsidRDefault="002434FE" w:rsidP="0060133E">
            <w:pPr>
              <w:spacing w:before="120" w:after="120"/>
              <w:rPr>
                <w:bCs/>
                <w:szCs w:val="22"/>
              </w:rPr>
            </w:pPr>
            <w:r w:rsidRPr="001800B7">
              <w:rPr>
                <w:i/>
                <w:szCs w:val="22"/>
              </w:rPr>
              <w:t>Recommandation n°</w:t>
            </w:r>
            <w:r w:rsidR="008005FD" w:rsidRPr="001800B7">
              <w:rPr>
                <w:i/>
                <w:szCs w:val="22"/>
              </w:rPr>
              <w:t> </w:t>
            </w:r>
            <w:r w:rsidRPr="001800B7">
              <w:rPr>
                <w:i/>
                <w:szCs w:val="22"/>
              </w:rPr>
              <w:t>2</w:t>
            </w:r>
            <w:r w:rsidR="0060133E" w:rsidRPr="001800B7">
              <w:rPr>
                <w:i/>
                <w:szCs w:val="22"/>
              </w:rPr>
              <w:t xml:space="preserve"> : </w:t>
            </w:r>
            <w:r w:rsidR="00CA7EB8" w:rsidRPr="001800B7">
              <w:rPr>
                <w:bCs/>
                <w:szCs w:val="22"/>
              </w:rPr>
              <w:t>Fournir une assistance complémentaire à l</w:t>
            </w:r>
            <w:r w:rsidR="005311D6" w:rsidRPr="001800B7">
              <w:rPr>
                <w:bCs/>
                <w:szCs w:val="22"/>
              </w:rPr>
              <w:t>’</w:t>
            </w:r>
            <w:r w:rsidR="00CA7EB8" w:rsidRPr="001800B7">
              <w:rPr>
                <w:bCs/>
                <w:szCs w:val="22"/>
              </w:rPr>
              <w:t>OMPI sous forme de contributions de donateurs et constituer des fonds fiduciaires ou d</w:t>
            </w:r>
            <w:r w:rsidR="005311D6" w:rsidRPr="001800B7">
              <w:rPr>
                <w:bCs/>
                <w:szCs w:val="22"/>
              </w:rPr>
              <w:t>’</w:t>
            </w:r>
            <w:r w:rsidR="00CA7EB8" w:rsidRPr="001800B7">
              <w:rPr>
                <w:bCs/>
                <w:szCs w:val="22"/>
              </w:rPr>
              <w:t>autres fonds de contributions volontaires au sein de l</w:t>
            </w:r>
            <w:r w:rsidR="005311D6" w:rsidRPr="001800B7">
              <w:rPr>
                <w:bCs/>
                <w:szCs w:val="22"/>
              </w:rPr>
              <w:t>’</w:t>
            </w:r>
            <w:r w:rsidR="00CA7EB8" w:rsidRPr="001800B7">
              <w:rPr>
                <w:bCs/>
                <w:szCs w:val="22"/>
              </w:rPr>
              <w:t>OMPI, destinés plus particulièrement</w:t>
            </w:r>
            <w:r w:rsidR="00456841" w:rsidRPr="001800B7">
              <w:rPr>
                <w:bCs/>
                <w:szCs w:val="22"/>
              </w:rPr>
              <w:t xml:space="preserve"> aux PMA</w:t>
            </w:r>
            <w:r w:rsidR="00CA7EB8" w:rsidRPr="001800B7">
              <w:rPr>
                <w:bCs/>
                <w:szCs w:val="22"/>
              </w:rPr>
              <w:t>, tout en continuant à accorder une priorité élevée au financement des activités en Afrique par des ressources budgétaires et extrabudgétaires pour promouvoir notamment l</w:t>
            </w:r>
            <w:r w:rsidR="005311D6" w:rsidRPr="001800B7">
              <w:rPr>
                <w:bCs/>
                <w:szCs w:val="22"/>
              </w:rPr>
              <w:t>’</w:t>
            </w:r>
            <w:r w:rsidR="00CA7EB8" w:rsidRPr="001800B7">
              <w:rPr>
                <w:bCs/>
                <w:szCs w:val="22"/>
              </w:rPr>
              <w:t>exploitation juridique, commerciale, culturelle et économique de la propriété intellectuelle dans ces pays.</w:t>
            </w:r>
          </w:p>
          <w:p w:rsidR="008475D2" w:rsidRPr="001800B7" w:rsidRDefault="00CA7EB8" w:rsidP="0060133E">
            <w:pPr>
              <w:spacing w:before="120" w:after="120"/>
              <w:rPr>
                <w:szCs w:val="22"/>
              </w:rPr>
            </w:pPr>
            <w:r w:rsidRPr="001800B7">
              <w:rPr>
                <w:rStyle w:val="Heading4Char"/>
                <w:szCs w:val="22"/>
              </w:rPr>
              <w:t>Recommandation n°</w:t>
            </w:r>
            <w:r w:rsidR="008005FD" w:rsidRPr="001800B7">
              <w:rPr>
                <w:rStyle w:val="Heading4Char"/>
                <w:szCs w:val="22"/>
              </w:rPr>
              <w:t> </w:t>
            </w:r>
            <w:r w:rsidRPr="001800B7">
              <w:rPr>
                <w:rStyle w:val="Heading4Char"/>
                <w:szCs w:val="22"/>
              </w:rPr>
              <w:t>4</w:t>
            </w:r>
            <w:r w:rsidR="0060133E" w:rsidRPr="001800B7">
              <w:rPr>
                <w:rStyle w:val="Heading4Char"/>
                <w:szCs w:val="22"/>
              </w:rPr>
              <w:t xml:space="preserve"> : </w:t>
            </w:r>
            <w:r w:rsidRPr="001800B7">
              <w:rPr>
                <w:szCs w:val="22"/>
              </w:rPr>
              <w:t>Accorder une attention particulière aux besoins des petites et moyennes entreprises (PME), des institutions chargées de la recherche scientifique et des industries culturelles et aider les États membres, à leur demande, à élaborer des stratégies nationales appropriées dans le domaine de la propriété intellectuelle.</w:t>
            </w:r>
          </w:p>
          <w:p w:rsidR="008475D2" w:rsidRPr="001800B7" w:rsidRDefault="00CA7EB8" w:rsidP="0060133E">
            <w:pPr>
              <w:spacing w:before="120" w:after="120"/>
              <w:rPr>
                <w:szCs w:val="22"/>
              </w:rPr>
            </w:pPr>
            <w:r w:rsidRPr="001800B7">
              <w:rPr>
                <w:rStyle w:val="Heading4Char"/>
                <w:szCs w:val="22"/>
              </w:rPr>
              <w:t>Recommandation n°</w:t>
            </w:r>
            <w:r w:rsidR="008005FD" w:rsidRPr="001800B7">
              <w:rPr>
                <w:rStyle w:val="Heading4Char"/>
                <w:szCs w:val="22"/>
              </w:rPr>
              <w:t> </w:t>
            </w:r>
            <w:r w:rsidRPr="001800B7">
              <w:rPr>
                <w:rStyle w:val="Heading4Char"/>
                <w:szCs w:val="22"/>
              </w:rPr>
              <w:t>10</w:t>
            </w:r>
            <w:r w:rsidR="0060133E" w:rsidRPr="001800B7">
              <w:rPr>
                <w:rStyle w:val="Heading4Char"/>
                <w:szCs w:val="22"/>
              </w:rPr>
              <w:t xml:space="preserve"> : </w:t>
            </w:r>
            <w:r w:rsidRPr="001800B7">
              <w:rPr>
                <w:szCs w:val="22"/>
              </w:rPr>
              <w:t>Aider les États membres à développer et à améliorer les capacités institutionnelles nationales en propriété intellectuelle par le développement des infrastructures et autres moyens en vue de renforcer l</w:t>
            </w:r>
            <w:r w:rsidR="005311D6" w:rsidRPr="001800B7">
              <w:rPr>
                <w:szCs w:val="22"/>
              </w:rPr>
              <w:t>’</w:t>
            </w:r>
            <w:r w:rsidRPr="001800B7">
              <w:rPr>
                <w:szCs w:val="22"/>
              </w:rPr>
              <w:t>efficacité des institutions nationales de propriété intellectuelle et de concilier protection de la propriété intellectuelle et préservation de l</w:t>
            </w:r>
            <w:r w:rsidR="005311D6" w:rsidRPr="001800B7">
              <w:rPr>
                <w:szCs w:val="22"/>
              </w:rPr>
              <w:t>’</w:t>
            </w:r>
            <w:r w:rsidRPr="001800B7">
              <w:rPr>
                <w:szCs w:val="22"/>
              </w:rPr>
              <w:t>intérêt général</w:t>
            </w:r>
            <w:r w:rsidR="0008593D" w:rsidRPr="001800B7">
              <w:rPr>
                <w:szCs w:val="22"/>
              </w:rPr>
              <w:t xml:space="preserve">.  </w:t>
            </w:r>
            <w:r w:rsidRPr="001800B7">
              <w:rPr>
                <w:szCs w:val="22"/>
              </w:rPr>
              <w:t>Cette assistance technique devrait également être étendue aux organisations sous</w:t>
            </w:r>
            <w:r w:rsidR="001800B7" w:rsidRPr="001800B7">
              <w:rPr>
                <w:szCs w:val="22"/>
              </w:rPr>
              <w:noBreakHyphen/>
            </w:r>
            <w:r w:rsidRPr="001800B7">
              <w:rPr>
                <w:szCs w:val="22"/>
              </w:rPr>
              <w:t>régionales et régionales œuvrant dans le domaine de la propriété intellectuelle.</w:t>
            </w:r>
          </w:p>
          <w:p w:rsidR="00F35238" w:rsidRPr="001800B7" w:rsidRDefault="00CA7EB8" w:rsidP="0060133E">
            <w:pPr>
              <w:spacing w:before="120" w:after="120"/>
              <w:rPr>
                <w:i/>
                <w:szCs w:val="22"/>
              </w:rPr>
            </w:pPr>
            <w:r w:rsidRPr="001800B7">
              <w:rPr>
                <w:i/>
                <w:szCs w:val="22"/>
              </w:rPr>
              <w:t>Recommandation n°</w:t>
            </w:r>
            <w:r w:rsidR="008005FD" w:rsidRPr="001800B7">
              <w:rPr>
                <w:i/>
                <w:szCs w:val="22"/>
              </w:rPr>
              <w:t> </w:t>
            </w:r>
            <w:r w:rsidRPr="001800B7">
              <w:rPr>
                <w:i/>
                <w:szCs w:val="22"/>
              </w:rPr>
              <w:t>11</w:t>
            </w:r>
            <w:r w:rsidR="0060133E" w:rsidRPr="001800B7">
              <w:rPr>
                <w:i/>
                <w:szCs w:val="22"/>
              </w:rPr>
              <w:t xml:space="preserve"> : </w:t>
            </w:r>
            <w:r w:rsidRPr="001800B7">
              <w:rPr>
                <w:szCs w:val="22"/>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5311D6" w:rsidRPr="001800B7">
              <w:rPr>
                <w:szCs w:val="22"/>
              </w:rPr>
              <w:t>’</w:t>
            </w:r>
            <w:r w:rsidRPr="001800B7">
              <w:rPr>
                <w:szCs w:val="22"/>
              </w:rPr>
              <w:t>OMPI.</w:t>
            </w:r>
          </w:p>
        </w:tc>
      </w:tr>
      <w:tr w:rsidR="001800B7" w:rsidRPr="001800B7" w:rsidTr="0060133E">
        <w:tc>
          <w:tcPr>
            <w:tcW w:w="2235" w:type="dxa"/>
            <w:shd w:val="clear" w:color="auto" w:fill="auto"/>
          </w:tcPr>
          <w:p w:rsidR="00F35238" w:rsidRPr="001800B7" w:rsidRDefault="00CA7EB8" w:rsidP="0060133E">
            <w:pPr>
              <w:pStyle w:val="Heading3"/>
              <w:keepNext w:val="0"/>
              <w:spacing w:before="120" w:after="120"/>
              <w:rPr>
                <w:szCs w:val="22"/>
              </w:rPr>
            </w:pPr>
            <w:r w:rsidRPr="001800B7">
              <w:rPr>
                <w:szCs w:val="22"/>
              </w:rPr>
              <w:t>Budget du projet</w:t>
            </w:r>
          </w:p>
        </w:tc>
        <w:tc>
          <w:tcPr>
            <w:tcW w:w="7266" w:type="dxa"/>
            <w:shd w:val="clear" w:color="auto" w:fill="auto"/>
          </w:tcPr>
          <w:p w:rsidR="00B650B1" w:rsidRPr="001800B7" w:rsidRDefault="00CA7EB8" w:rsidP="0060133E">
            <w:pPr>
              <w:spacing w:before="120" w:after="120"/>
              <w:rPr>
                <w:szCs w:val="22"/>
              </w:rPr>
            </w:pPr>
            <w:r w:rsidRPr="001800B7">
              <w:rPr>
                <w:szCs w:val="22"/>
              </w:rPr>
              <w:t>Dépenses autres que les dépenses de personnel</w:t>
            </w:r>
            <w:r w:rsidR="008005FD" w:rsidRPr="001800B7">
              <w:rPr>
                <w:szCs w:val="22"/>
              </w:rPr>
              <w:t> </w:t>
            </w:r>
            <w:r w:rsidRPr="001800B7">
              <w:rPr>
                <w:szCs w:val="22"/>
              </w:rPr>
              <w:t>: 436</w:t>
            </w:r>
            <w:r w:rsidR="008005FD" w:rsidRPr="001800B7">
              <w:rPr>
                <w:szCs w:val="22"/>
              </w:rPr>
              <w:t> </w:t>
            </w:r>
            <w:r w:rsidRPr="001800B7">
              <w:rPr>
                <w:szCs w:val="22"/>
              </w:rPr>
              <w:t>000</w:t>
            </w:r>
            <w:r w:rsidR="008005FD" w:rsidRPr="001800B7">
              <w:rPr>
                <w:szCs w:val="22"/>
              </w:rPr>
              <w:t> </w:t>
            </w:r>
            <w:r w:rsidRPr="001800B7">
              <w:rPr>
                <w:szCs w:val="22"/>
              </w:rPr>
              <w:t>francs suisses</w:t>
            </w:r>
          </w:p>
          <w:p w:rsidR="00EB40B2" w:rsidRPr="001800B7" w:rsidRDefault="00CA7EB8" w:rsidP="0060133E">
            <w:pPr>
              <w:spacing w:before="120" w:after="120"/>
              <w:rPr>
                <w:szCs w:val="22"/>
              </w:rPr>
            </w:pPr>
            <w:r w:rsidRPr="001800B7">
              <w:rPr>
                <w:szCs w:val="22"/>
              </w:rPr>
              <w:t>Dépenses de personnel</w:t>
            </w:r>
            <w:r w:rsidR="008005FD" w:rsidRPr="001800B7">
              <w:rPr>
                <w:szCs w:val="22"/>
              </w:rPr>
              <w:t> </w:t>
            </w:r>
            <w:r w:rsidRPr="001800B7">
              <w:rPr>
                <w:szCs w:val="22"/>
              </w:rPr>
              <w:t>: 106</w:t>
            </w:r>
            <w:r w:rsidR="008005FD" w:rsidRPr="001800B7">
              <w:rPr>
                <w:szCs w:val="22"/>
              </w:rPr>
              <w:t> </w:t>
            </w:r>
            <w:r w:rsidRPr="001800B7">
              <w:rPr>
                <w:szCs w:val="22"/>
              </w:rPr>
              <w:t>700</w:t>
            </w:r>
            <w:r w:rsidR="008005FD" w:rsidRPr="001800B7">
              <w:rPr>
                <w:szCs w:val="22"/>
              </w:rPr>
              <w:t> </w:t>
            </w:r>
            <w:r w:rsidRPr="001800B7">
              <w:rPr>
                <w:szCs w:val="22"/>
              </w:rPr>
              <w:t>francs suisses</w:t>
            </w:r>
          </w:p>
        </w:tc>
      </w:tr>
      <w:tr w:rsidR="001800B7" w:rsidRPr="001800B7" w:rsidTr="0060133E">
        <w:tc>
          <w:tcPr>
            <w:tcW w:w="2235" w:type="dxa"/>
            <w:shd w:val="clear" w:color="auto" w:fill="auto"/>
          </w:tcPr>
          <w:p w:rsidR="00F35238" w:rsidRPr="001800B7" w:rsidRDefault="00CA7EB8" w:rsidP="0060133E">
            <w:pPr>
              <w:pStyle w:val="Heading3"/>
              <w:keepNext w:val="0"/>
              <w:spacing w:before="120" w:after="120"/>
              <w:rPr>
                <w:szCs w:val="22"/>
              </w:rPr>
            </w:pPr>
            <w:r w:rsidRPr="001800B7">
              <w:rPr>
                <w:szCs w:val="22"/>
              </w:rPr>
              <w:t>Date de début du projet</w:t>
            </w:r>
          </w:p>
        </w:tc>
        <w:tc>
          <w:tcPr>
            <w:tcW w:w="7266" w:type="dxa"/>
            <w:shd w:val="clear" w:color="auto" w:fill="auto"/>
          </w:tcPr>
          <w:p w:rsidR="00F35238" w:rsidRPr="001800B7" w:rsidRDefault="0008593D" w:rsidP="0060133E">
            <w:pPr>
              <w:spacing w:before="120" w:after="120"/>
              <w:rPr>
                <w:szCs w:val="22"/>
              </w:rPr>
            </w:pPr>
            <w:r w:rsidRPr="001800B7">
              <w:rPr>
                <w:szCs w:val="22"/>
              </w:rPr>
              <w:t>Février </w:t>
            </w:r>
            <w:r w:rsidR="00CA7EB8" w:rsidRPr="001800B7">
              <w:rPr>
                <w:szCs w:val="22"/>
              </w:rPr>
              <w:t>2013</w:t>
            </w:r>
          </w:p>
        </w:tc>
      </w:tr>
      <w:tr w:rsidR="001800B7" w:rsidRPr="001800B7" w:rsidTr="0060133E">
        <w:tc>
          <w:tcPr>
            <w:tcW w:w="2235" w:type="dxa"/>
            <w:shd w:val="clear" w:color="auto" w:fill="auto"/>
          </w:tcPr>
          <w:p w:rsidR="00F35238" w:rsidRPr="001800B7" w:rsidRDefault="00CA7EB8" w:rsidP="0060133E">
            <w:pPr>
              <w:pStyle w:val="Heading3"/>
              <w:keepNext w:val="0"/>
              <w:spacing w:before="120" w:after="120"/>
              <w:rPr>
                <w:szCs w:val="22"/>
              </w:rPr>
            </w:pPr>
            <w:r w:rsidRPr="001800B7">
              <w:rPr>
                <w:szCs w:val="22"/>
              </w:rPr>
              <w:lastRenderedPageBreak/>
              <w:t>Durée du projet</w:t>
            </w:r>
          </w:p>
        </w:tc>
        <w:tc>
          <w:tcPr>
            <w:tcW w:w="7266" w:type="dxa"/>
            <w:shd w:val="clear" w:color="auto" w:fill="auto"/>
          </w:tcPr>
          <w:p w:rsidR="00F35238" w:rsidRPr="001800B7" w:rsidRDefault="00CA7EB8" w:rsidP="0060133E">
            <w:pPr>
              <w:spacing w:before="120" w:after="120"/>
              <w:rPr>
                <w:szCs w:val="22"/>
              </w:rPr>
            </w:pPr>
            <w:r w:rsidRPr="001800B7">
              <w:rPr>
                <w:szCs w:val="22"/>
              </w:rPr>
              <w:t>24 mois.</w:t>
            </w:r>
            <w:r w:rsidR="00F35238" w:rsidRPr="001800B7">
              <w:rPr>
                <w:szCs w:val="22"/>
              </w:rPr>
              <w:t xml:space="preserve"> </w:t>
            </w:r>
            <w:r w:rsidR="008005FD" w:rsidRPr="001800B7">
              <w:rPr>
                <w:szCs w:val="22"/>
              </w:rPr>
              <w:t xml:space="preserve"> </w:t>
            </w:r>
            <w:r w:rsidR="00D75F0D" w:rsidRPr="001800B7">
              <w:rPr>
                <w:szCs w:val="22"/>
              </w:rPr>
              <w:t>Une prorogation</w:t>
            </w:r>
            <w:r w:rsidR="00F35238" w:rsidRPr="001800B7">
              <w:rPr>
                <w:szCs w:val="22"/>
              </w:rPr>
              <w:t xml:space="preserve"> </w:t>
            </w:r>
            <w:r w:rsidR="005016FD" w:rsidRPr="001800B7">
              <w:rPr>
                <w:szCs w:val="22"/>
              </w:rPr>
              <w:t>de six</w:t>
            </w:r>
            <w:r w:rsidR="008005FD" w:rsidRPr="001800B7">
              <w:rPr>
                <w:szCs w:val="22"/>
              </w:rPr>
              <w:t> </w:t>
            </w:r>
            <w:r w:rsidR="005016FD" w:rsidRPr="001800B7">
              <w:rPr>
                <w:szCs w:val="22"/>
              </w:rPr>
              <w:t>mois a été approuvée par</w:t>
            </w:r>
            <w:r w:rsidR="00456841" w:rsidRPr="001800B7">
              <w:rPr>
                <w:szCs w:val="22"/>
              </w:rPr>
              <w:t xml:space="preserve"> le CDI</w:t>
            </w:r>
            <w:r w:rsidR="005016FD" w:rsidRPr="001800B7">
              <w:rPr>
                <w:szCs w:val="22"/>
              </w:rPr>
              <w:t xml:space="preserve">P à sa </w:t>
            </w:r>
            <w:r w:rsidR="00CB4748" w:rsidRPr="001800B7">
              <w:rPr>
                <w:szCs w:val="22"/>
              </w:rPr>
              <w:t>douzième</w:t>
            </w:r>
            <w:r w:rsidR="008005FD" w:rsidRPr="001800B7">
              <w:rPr>
                <w:szCs w:val="22"/>
              </w:rPr>
              <w:t> </w:t>
            </w:r>
            <w:r w:rsidR="00F35238" w:rsidRPr="001800B7">
              <w:rPr>
                <w:szCs w:val="22"/>
              </w:rPr>
              <w:t xml:space="preserve">session </w:t>
            </w:r>
            <w:r w:rsidR="005016FD" w:rsidRPr="001800B7">
              <w:rPr>
                <w:szCs w:val="22"/>
              </w:rPr>
              <w:t xml:space="preserve">en </w:t>
            </w:r>
            <w:r w:rsidR="00456841" w:rsidRPr="001800B7">
              <w:rPr>
                <w:szCs w:val="22"/>
              </w:rPr>
              <w:t>novembre 20</w:t>
            </w:r>
            <w:r w:rsidR="00F35238" w:rsidRPr="001800B7">
              <w:rPr>
                <w:szCs w:val="22"/>
              </w:rPr>
              <w:t>13.</w:t>
            </w:r>
          </w:p>
        </w:tc>
      </w:tr>
      <w:tr w:rsidR="001800B7" w:rsidRPr="001800B7" w:rsidTr="0060133E">
        <w:tc>
          <w:tcPr>
            <w:tcW w:w="2235" w:type="dxa"/>
            <w:shd w:val="clear" w:color="auto" w:fill="auto"/>
          </w:tcPr>
          <w:p w:rsidR="00F35238" w:rsidRPr="001800B7" w:rsidRDefault="00CA7EB8" w:rsidP="0060133E">
            <w:pPr>
              <w:pStyle w:val="Heading3"/>
              <w:keepNext w:val="0"/>
              <w:spacing w:before="120" w:after="120"/>
              <w:rPr>
                <w:szCs w:val="22"/>
              </w:rPr>
            </w:pPr>
            <w:r w:rsidRPr="001800B7">
              <w:rPr>
                <w:szCs w:val="22"/>
              </w:rPr>
              <w:t>Principaux secteurs de l</w:t>
            </w:r>
            <w:r w:rsidR="005311D6" w:rsidRPr="001800B7">
              <w:rPr>
                <w:szCs w:val="22"/>
              </w:rPr>
              <w:t>’</w:t>
            </w:r>
            <w:r w:rsidRPr="001800B7">
              <w:rPr>
                <w:szCs w:val="22"/>
              </w:rPr>
              <w:t>OMPI concernés et liens avec les programmes de l</w:t>
            </w:r>
            <w:r w:rsidR="005311D6" w:rsidRPr="001800B7">
              <w:rPr>
                <w:szCs w:val="22"/>
              </w:rPr>
              <w:t>’</w:t>
            </w:r>
            <w:r w:rsidRPr="001800B7">
              <w:rPr>
                <w:szCs w:val="22"/>
              </w:rPr>
              <w:t>OMPI</w:t>
            </w:r>
          </w:p>
        </w:tc>
        <w:tc>
          <w:tcPr>
            <w:tcW w:w="7266" w:type="dxa"/>
            <w:shd w:val="clear" w:color="auto" w:fill="auto"/>
          </w:tcPr>
          <w:p w:rsidR="00F35238" w:rsidRPr="001800B7" w:rsidRDefault="00CA7EB8" w:rsidP="0060133E">
            <w:pPr>
              <w:spacing w:before="120" w:after="120"/>
              <w:rPr>
                <w:szCs w:val="22"/>
              </w:rPr>
            </w:pPr>
            <w:r w:rsidRPr="001800B7">
              <w:rPr>
                <w:szCs w:val="22"/>
              </w:rPr>
              <w:t>Secteur de la culture et des industries de la création</w:t>
            </w:r>
          </w:p>
        </w:tc>
      </w:tr>
      <w:tr w:rsidR="00F30D9D" w:rsidRPr="001800B7" w:rsidTr="0060133E">
        <w:tc>
          <w:tcPr>
            <w:tcW w:w="2235" w:type="dxa"/>
            <w:shd w:val="clear" w:color="auto" w:fill="auto"/>
          </w:tcPr>
          <w:p w:rsidR="00F35238" w:rsidRPr="001800B7" w:rsidRDefault="00CA7EB8" w:rsidP="0060133E">
            <w:pPr>
              <w:pStyle w:val="Heading3"/>
              <w:keepNext w:val="0"/>
              <w:spacing w:before="120" w:after="120"/>
              <w:rPr>
                <w:szCs w:val="22"/>
              </w:rPr>
            </w:pPr>
            <w:r w:rsidRPr="001800B7">
              <w:rPr>
                <w:szCs w:val="22"/>
              </w:rPr>
              <w:t>Brève description du projet</w:t>
            </w:r>
          </w:p>
        </w:tc>
        <w:tc>
          <w:tcPr>
            <w:tcW w:w="7266" w:type="dxa"/>
            <w:shd w:val="clear" w:color="auto" w:fill="auto"/>
          </w:tcPr>
          <w:p w:rsidR="008475D2" w:rsidRPr="001800B7" w:rsidRDefault="00CA7EB8" w:rsidP="0060133E">
            <w:pPr>
              <w:spacing w:before="120" w:after="120"/>
              <w:rPr>
                <w:szCs w:val="22"/>
              </w:rPr>
            </w:pPr>
            <w:r w:rsidRPr="001800B7">
              <w:rPr>
                <w:szCs w:val="22"/>
              </w:rPr>
              <w:t>Ce projet vise à faciliter la mise en place d</w:t>
            </w:r>
            <w:r w:rsidR="005311D6" w:rsidRPr="001800B7">
              <w:rPr>
                <w:szCs w:val="22"/>
              </w:rPr>
              <w:t>’</w:t>
            </w:r>
            <w:r w:rsidRPr="001800B7">
              <w:rPr>
                <w:szCs w:val="22"/>
              </w:rPr>
              <w:t>un cadre durable pour le secteur audiovisuel dans trois pays pilotes, le Burkina Faso, le Kenya et le Sénégal, sur la base de structures professionnelles, de marchés et d</w:t>
            </w:r>
            <w:r w:rsidR="005311D6" w:rsidRPr="001800B7">
              <w:rPr>
                <w:szCs w:val="22"/>
              </w:rPr>
              <w:t>’</w:t>
            </w:r>
            <w:r w:rsidRPr="001800B7">
              <w:rPr>
                <w:szCs w:val="22"/>
              </w:rPr>
              <w:t>un environnement réglementaire</w:t>
            </w:r>
            <w:r w:rsidR="0008593D" w:rsidRPr="001800B7">
              <w:rPr>
                <w:szCs w:val="22"/>
              </w:rPr>
              <w:t xml:space="preserve">.  </w:t>
            </w:r>
            <w:r w:rsidRPr="001800B7">
              <w:rPr>
                <w:szCs w:val="22"/>
              </w:rPr>
              <w:t>Il vise à améliorer la compréhension et l</w:t>
            </w:r>
            <w:r w:rsidR="005311D6" w:rsidRPr="001800B7">
              <w:rPr>
                <w:szCs w:val="22"/>
              </w:rPr>
              <w:t>’</w:t>
            </w:r>
            <w:r w:rsidRPr="001800B7">
              <w:rPr>
                <w:szCs w:val="22"/>
              </w:rPr>
              <w:t>utilisation stratégique de la propriété intellectuelle en tant que moteur de la production, de la commercialisation et de la distribution dans le secteur africain de l</w:t>
            </w:r>
            <w:r w:rsidR="005311D6" w:rsidRPr="001800B7">
              <w:rPr>
                <w:szCs w:val="22"/>
              </w:rPr>
              <w:t>’</w:t>
            </w:r>
            <w:r w:rsidRPr="001800B7">
              <w:rPr>
                <w:szCs w:val="22"/>
              </w:rPr>
              <w:t>audiovisuel</w:t>
            </w:r>
            <w:r w:rsidR="0008593D" w:rsidRPr="001800B7">
              <w:rPr>
                <w:szCs w:val="22"/>
              </w:rPr>
              <w:t xml:space="preserve">.  </w:t>
            </w:r>
            <w:r w:rsidRPr="001800B7">
              <w:rPr>
                <w:szCs w:val="22"/>
              </w:rPr>
              <w:t>La finalité de ce projet est de promouvoir la créativité et les industries de la création dans certains pays africains.</w:t>
            </w:r>
          </w:p>
          <w:p w:rsidR="008475D2" w:rsidRPr="001800B7" w:rsidRDefault="00CA7EB8" w:rsidP="0060133E">
            <w:pPr>
              <w:spacing w:before="120" w:after="120"/>
              <w:rPr>
                <w:szCs w:val="22"/>
              </w:rPr>
            </w:pPr>
            <w:r w:rsidRPr="001800B7">
              <w:rPr>
                <w:szCs w:val="22"/>
              </w:rPr>
              <w:t>Le projet comprend deux</w:t>
            </w:r>
            <w:r w:rsidR="008005FD" w:rsidRPr="001800B7">
              <w:rPr>
                <w:szCs w:val="22"/>
              </w:rPr>
              <w:t> </w:t>
            </w:r>
            <w:r w:rsidRPr="001800B7">
              <w:rPr>
                <w:szCs w:val="22"/>
              </w:rPr>
              <w:t>grands volets</w:t>
            </w:r>
            <w:r w:rsidR="0008593D" w:rsidRPr="001800B7">
              <w:rPr>
                <w:szCs w:val="22"/>
              </w:rPr>
              <w:t xml:space="preserve">.  </w:t>
            </w:r>
            <w:r w:rsidRPr="001800B7">
              <w:rPr>
                <w:szCs w:val="22"/>
              </w:rPr>
              <w:t>Le premier volet a trait au perfectionnement et à la formation des cadres</w:t>
            </w:r>
            <w:r w:rsidR="0008593D" w:rsidRPr="001800B7">
              <w:rPr>
                <w:szCs w:val="22"/>
              </w:rPr>
              <w:t xml:space="preserve">.  </w:t>
            </w:r>
            <w:r w:rsidR="005016FD" w:rsidRPr="001800B7">
              <w:rPr>
                <w:szCs w:val="22"/>
              </w:rPr>
              <w:t>L</w:t>
            </w:r>
            <w:r w:rsidR="00F35238" w:rsidRPr="001800B7">
              <w:rPr>
                <w:szCs w:val="22"/>
              </w:rPr>
              <w:t xml:space="preserve">e </w:t>
            </w:r>
            <w:r w:rsidR="005016FD" w:rsidRPr="001800B7">
              <w:rPr>
                <w:szCs w:val="22"/>
              </w:rPr>
              <w:t>deuxième volet a trait au cadre de réglementation, et son but est d</w:t>
            </w:r>
            <w:r w:rsidR="005311D6" w:rsidRPr="001800B7">
              <w:rPr>
                <w:szCs w:val="22"/>
              </w:rPr>
              <w:t>’</w:t>
            </w:r>
            <w:r w:rsidR="005016FD" w:rsidRPr="001800B7">
              <w:rPr>
                <w:szCs w:val="22"/>
              </w:rPr>
              <w:t xml:space="preserve">accroître la rentabilité des transactions fondées sur la propriété intellectuelle dans le secteur </w:t>
            </w:r>
            <w:r w:rsidR="00D75F0D" w:rsidRPr="001800B7">
              <w:rPr>
                <w:szCs w:val="22"/>
              </w:rPr>
              <w:t>de l</w:t>
            </w:r>
            <w:r w:rsidR="005311D6" w:rsidRPr="001800B7">
              <w:rPr>
                <w:szCs w:val="22"/>
              </w:rPr>
              <w:t>’</w:t>
            </w:r>
            <w:r w:rsidR="005016FD" w:rsidRPr="001800B7">
              <w:rPr>
                <w:szCs w:val="22"/>
              </w:rPr>
              <w:t>audiovisuel grâce à des pratiques pertinentes, à la capacité institutionnelle et aux infrastructures</w:t>
            </w:r>
            <w:r w:rsidR="00F35238" w:rsidRPr="001800B7">
              <w:rPr>
                <w:szCs w:val="22"/>
              </w:rPr>
              <w:t>.</w:t>
            </w:r>
          </w:p>
          <w:p w:rsidR="00F35238" w:rsidRPr="001800B7" w:rsidRDefault="00CA7EB8" w:rsidP="0060133E">
            <w:pPr>
              <w:spacing w:before="120" w:after="120"/>
              <w:rPr>
                <w:szCs w:val="22"/>
              </w:rPr>
            </w:pPr>
            <w:r w:rsidRPr="001800B7">
              <w:rPr>
                <w:szCs w:val="22"/>
              </w:rPr>
              <w:t>Ce projet est un projet pilote axé sur un nombre limité de pays bénéficiaires visant à mettre en place une synergie fructueuse et un échange de données d</w:t>
            </w:r>
            <w:r w:rsidR="005311D6" w:rsidRPr="001800B7">
              <w:rPr>
                <w:szCs w:val="22"/>
              </w:rPr>
              <w:t>’</w:t>
            </w:r>
            <w:r w:rsidRPr="001800B7">
              <w:rPr>
                <w:szCs w:val="22"/>
              </w:rPr>
              <w:t>expérience entre quelques industries africaines de l</w:t>
            </w:r>
            <w:r w:rsidR="005311D6" w:rsidRPr="001800B7">
              <w:rPr>
                <w:szCs w:val="22"/>
              </w:rPr>
              <w:t>’</w:t>
            </w:r>
            <w:r w:rsidRPr="001800B7">
              <w:rPr>
                <w:szCs w:val="22"/>
              </w:rPr>
              <w:t>audiovisuel qui connaissent une rapide expansion.</w:t>
            </w:r>
          </w:p>
        </w:tc>
      </w:tr>
    </w:tbl>
    <w:p w:rsidR="00F35238" w:rsidRDefault="00F35238" w:rsidP="0060133E">
      <w:pPr>
        <w:rPr>
          <w:szCs w:val="22"/>
        </w:rPr>
      </w:pPr>
    </w:p>
    <w:p w:rsidR="00FC46A1" w:rsidRDefault="00FC46A1" w:rsidP="0060133E">
      <w:pPr>
        <w:rPr>
          <w:szCs w:val="22"/>
        </w:rPr>
      </w:pPr>
    </w:p>
    <w:p w:rsidR="00FC46A1" w:rsidRPr="001800B7" w:rsidRDefault="00FC46A1" w:rsidP="0060133E">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800B7" w:rsidRPr="001800B7" w:rsidTr="00343AB5">
        <w:tc>
          <w:tcPr>
            <w:tcW w:w="2376" w:type="dxa"/>
            <w:shd w:val="clear" w:color="auto" w:fill="auto"/>
          </w:tcPr>
          <w:p w:rsidR="00F35238" w:rsidRPr="001800B7" w:rsidRDefault="00F35238" w:rsidP="00343AB5">
            <w:pPr>
              <w:pStyle w:val="Heading3"/>
              <w:keepNext w:val="0"/>
              <w:spacing w:before="120" w:after="120"/>
              <w:rPr>
                <w:szCs w:val="22"/>
              </w:rPr>
            </w:pPr>
            <w:r w:rsidRPr="001800B7">
              <w:rPr>
                <w:szCs w:val="22"/>
              </w:rPr>
              <w:br w:type="page"/>
            </w:r>
            <w:r w:rsidR="00CA7EB8" w:rsidRPr="001800B7">
              <w:rPr>
                <w:szCs w:val="22"/>
              </w:rPr>
              <w:t>Chef de projet</w:t>
            </w:r>
          </w:p>
        </w:tc>
        <w:tc>
          <w:tcPr>
            <w:tcW w:w="6912" w:type="dxa"/>
            <w:vAlign w:val="center"/>
          </w:tcPr>
          <w:p w:rsidR="00052CA7" w:rsidRPr="001800B7" w:rsidRDefault="00CA7EB8" w:rsidP="00343AB5">
            <w:pPr>
              <w:spacing w:before="120" w:after="120"/>
              <w:rPr>
                <w:iCs/>
                <w:szCs w:val="22"/>
              </w:rPr>
            </w:pPr>
            <w:r w:rsidRPr="001800B7">
              <w:rPr>
                <w:iCs/>
                <w:szCs w:val="22"/>
              </w:rPr>
              <w:t>Mme</w:t>
            </w:r>
            <w:r w:rsidR="008005FD" w:rsidRPr="001800B7">
              <w:rPr>
                <w:iCs/>
                <w:szCs w:val="22"/>
              </w:rPr>
              <w:t> </w:t>
            </w:r>
            <w:r w:rsidR="0008593D" w:rsidRPr="001800B7">
              <w:rPr>
                <w:iCs/>
                <w:szCs w:val="22"/>
              </w:rPr>
              <w:t>Carole </w:t>
            </w:r>
            <w:r w:rsidRPr="001800B7">
              <w:rPr>
                <w:iCs/>
                <w:szCs w:val="22"/>
              </w:rPr>
              <w:t>Croella</w:t>
            </w:r>
          </w:p>
        </w:tc>
      </w:tr>
      <w:tr w:rsidR="001800B7" w:rsidRPr="001800B7" w:rsidTr="00343AB5">
        <w:tc>
          <w:tcPr>
            <w:tcW w:w="2376" w:type="dxa"/>
            <w:shd w:val="clear" w:color="auto" w:fill="auto"/>
          </w:tcPr>
          <w:p w:rsidR="00052CA7" w:rsidRPr="001800B7" w:rsidDel="00196374" w:rsidRDefault="00CA7EB8" w:rsidP="00343AB5">
            <w:pPr>
              <w:pStyle w:val="Heading3"/>
              <w:keepNext w:val="0"/>
              <w:spacing w:before="120" w:after="120"/>
              <w:rPr>
                <w:szCs w:val="22"/>
              </w:rPr>
            </w:pPr>
            <w:r w:rsidRPr="001800B7">
              <w:rPr>
                <w:szCs w:val="22"/>
              </w:rPr>
              <w:t>Liens avec les résultats escomptés dans le programme et budget pour</w:t>
            </w:r>
            <w:r w:rsidR="008005FD" w:rsidRPr="001800B7">
              <w:rPr>
                <w:szCs w:val="22"/>
              </w:rPr>
              <w:t> </w:t>
            </w:r>
            <w:r w:rsidRPr="001800B7">
              <w:rPr>
                <w:szCs w:val="22"/>
              </w:rPr>
              <w:t>2012</w:t>
            </w:r>
            <w:r w:rsidR="001800B7" w:rsidRPr="001800B7">
              <w:rPr>
                <w:szCs w:val="22"/>
              </w:rPr>
              <w:noBreakHyphen/>
            </w:r>
            <w:r w:rsidRPr="001800B7">
              <w:rPr>
                <w:szCs w:val="22"/>
              </w:rPr>
              <w:t>2013</w:t>
            </w:r>
          </w:p>
        </w:tc>
        <w:tc>
          <w:tcPr>
            <w:tcW w:w="6912" w:type="dxa"/>
          </w:tcPr>
          <w:p w:rsidR="00F35238" w:rsidRPr="001800B7" w:rsidDel="00196374" w:rsidRDefault="0008593D" w:rsidP="00343AB5">
            <w:pPr>
              <w:spacing w:before="120" w:after="120"/>
              <w:rPr>
                <w:iCs/>
                <w:szCs w:val="22"/>
              </w:rPr>
            </w:pPr>
            <w:r w:rsidRPr="001800B7">
              <w:rPr>
                <w:iCs/>
                <w:szCs w:val="22"/>
              </w:rPr>
              <w:t>Programme </w:t>
            </w:r>
            <w:r w:rsidR="00CA7EB8" w:rsidRPr="001800B7">
              <w:rPr>
                <w:iCs/>
                <w:szCs w:val="22"/>
              </w:rPr>
              <w:t>3</w:t>
            </w:r>
          </w:p>
        </w:tc>
      </w:tr>
      <w:tr w:rsidR="001800B7" w:rsidRPr="001800B7" w:rsidTr="00343AB5">
        <w:tc>
          <w:tcPr>
            <w:tcW w:w="2376" w:type="dxa"/>
            <w:shd w:val="clear" w:color="auto" w:fill="auto"/>
          </w:tcPr>
          <w:p w:rsidR="00F35238" w:rsidRPr="001800B7" w:rsidRDefault="00CA7EB8" w:rsidP="00343AB5">
            <w:pPr>
              <w:pStyle w:val="Heading3"/>
              <w:keepNext w:val="0"/>
              <w:spacing w:before="120" w:after="120"/>
              <w:rPr>
                <w:szCs w:val="22"/>
              </w:rPr>
            </w:pPr>
            <w:r w:rsidRPr="001800B7">
              <w:rPr>
                <w:szCs w:val="22"/>
              </w:rPr>
              <w:t>État d</w:t>
            </w:r>
            <w:r w:rsidR="005311D6" w:rsidRPr="001800B7">
              <w:rPr>
                <w:szCs w:val="22"/>
              </w:rPr>
              <w:t>’</w:t>
            </w:r>
            <w:r w:rsidRPr="001800B7">
              <w:rPr>
                <w:szCs w:val="22"/>
              </w:rPr>
              <w:t>avancement du projet</w:t>
            </w:r>
          </w:p>
        </w:tc>
        <w:tc>
          <w:tcPr>
            <w:tcW w:w="6912" w:type="dxa"/>
          </w:tcPr>
          <w:p w:rsidR="008475D2" w:rsidRPr="001800B7" w:rsidRDefault="005016FD" w:rsidP="00343AB5">
            <w:pPr>
              <w:spacing w:before="120" w:after="120"/>
              <w:rPr>
                <w:szCs w:val="22"/>
                <w:u w:val="single"/>
              </w:rPr>
            </w:pPr>
            <w:r w:rsidRPr="001800B7">
              <w:rPr>
                <w:szCs w:val="22"/>
                <w:u w:val="single"/>
              </w:rPr>
              <w:t xml:space="preserve">Activité du projet </w:t>
            </w:r>
            <w:r w:rsidR="008005FD" w:rsidRPr="001800B7">
              <w:rPr>
                <w:szCs w:val="22"/>
                <w:u w:val="single"/>
              </w:rPr>
              <w:t>n°</w:t>
            </w:r>
            <w:r w:rsidRPr="001800B7">
              <w:rPr>
                <w:szCs w:val="22"/>
                <w:u w:val="single"/>
              </w:rPr>
              <w:t> </w:t>
            </w:r>
            <w:r w:rsidR="00F35238" w:rsidRPr="001800B7">
              <w:rPr>
                <w:szCs w:val="22"/>
                <w:u w:val="single"/>
              </w:rPr>
              <w:t>1</w:t>
            </w:r>
            <w:r w:rsidRPr="001800B7">
              <w:rPr>
                <w:szCs w:val="22"/>
                <w:u w:val="single"/>
              </w:rPr>
              <w:t> </w:t>
            </w:r>
            <w:r w:rsidR="00F35238" w:rsidRPr="001800B7">
              <w:rPr>
                <w:szCs w:val="22"/>
                <w:u w:val="single"/>
              </w:rPr>
              <w:t xml:space="preserve">: </w:t>
            </w:r>
            <w:r w:rsidRPr="001800B7">
              <w:rPr>
                <w:szCs w:val="22"/>
                <w:u w:val="single"/>
              </w:rPr>
              <w:t>Document d</w:t>
            </w:r>
            <w:r w:rsidR="005311D6" w:rsidRPr="001800B7">
              <w:rPr>
                <w:szCs w:val="22"/>
                <w:u w:val="single"/>
              </w:rPr>
              <w:t>’</w:t>
            </w:r>
            <w:r w:rsidRPr="001800B7">
              <w:rPr>
                <w:szCs w:val="22"/>
                <w:u w:val="single"/>
              </w:rPr>
              <w:t>orientation et études</w:t>
            </w:r>
          </w:p>
          <w:p w:rsidR="008475D2" w:rsidRPr="001800B7" w:rsidRDefault="005016FD" w:rsidP="00343AB5">
            <w:pPr>
              <w:spacing w:before="120" w:after="120"/>
              <w:rPr>
                <w:szCs w:val="22"/>
              </w:rPr>
            </w:pPr>
            <w:r w:rsidRPr="001800B7">
              <w:rPr>
                <w:szCs w:val="22"/>
              </w:rPr>
              <w:t xml:space="preserve">Ce volet du projet a pris fin par une étude sur la </w:t>
            </w:r>
            <w:r w:rsidR="008005FD" w:rsidRPr="001800B7">
              <w:rPr>
                <w:szCs w:val="22"/>
              </w:rPr>
              <w:t>“</w:t>
            </w:r>
            <w:r w:rsidRPr="001800B7">
              <w:rPr>
                <w:i/>
                <w:szCs w:val="22"/>
              </w:rPr>
              <w:t>Négociation collective des droits et la gestion collective des droits dans le secteur de l</w:t>
            </w:r>
            <w:r w:rsidR="005311D6" w:rsidRPr="001800B7">
              <w:rPr>
                <w:i/>
                <w:szCs w:val="22"/>
              </w:rPr>
              <w:t>’</w:t>
            </w:r>
            <w:r w:rsidRPr="001800B7">
              <w:rPr>
                <w:i/>
                <w:szCs w:val="22"/>
              </w:rPr>
              <w:t>audiovisuel</w:t>
            </w:r>
            <w:r w:rsidR="008005FD" w:rsidRPr="001800B7">
              <w:rPr>
                <w:szCs w:val="22"/>
              </w:rPr>
              <w:t>”</w:t>
            </w:r>
            <w:r w:rsidRPr="001800B7">
              <w:rPr>
                <w:szCs w:val="22"/>
              </w:rPr>
              <w:t xml:space="preserve"> préparée par Mme </w:t>
            </w:r>
            <w:proofErr w:type="spellStart"/>
            <w:r w:rsidR="00F35238" w:rsidRPr="001800B7">
              <w:rPr>
                <w:szCs w:val="22"/>
              </w:rPr>
              <w:t>Koskinen</w:t>
            </w:r>
            <w:r w:rsidR="001800B7" w:rsidRPr="001800B7">
              <w:rPr>
                <w:szCs w:val="22"/>
              </w:rPr>
              <w:noBreakHyphen/>
            </w:r>
            <w:r w:rsidR="00F35238" w:rsidRPr="001800B7">
              <w:rPr>
                <w:szCs w:val="22"/>
              </w:rPr>
              <w:t>Olsson</w:t>
            </w:r>
            <w:proofErr w:type="spellEnd"/>
            <w:r w:rsidR="00F35238" w:rsidRPr="001800B7">
              <w:rPr>
                <w:szCs w:val="22"/>
              </w:rPr>
              <w:t>.</w:t>
            </w:r>
            <w:r w:rsidR="008005FD" w:rsidRPr="001800B7">
              <w:rPr>
                <w:szCs w:val="22"/>
              </w:rPr>
              <w:t xml:space="preserve"> </w:t>
            </w:r>
            <w:r w:rsidR="00F35238" w:rsidRPr="001800B7">
              <w:rPr>
                <w:szCs w:val="22"/>
              </w:rPr>
              <w:t xml:space="preserve"> </w:t>
            </w:r>
            <w:r w:rsidRPr="001800B7">
              <w:rPr>
                <w:szCs w:val="22"/>
              </w:rPr>
              <w:t>L</w:t>
            </w:r>
            <w:r w:rsidR="005311D6" w:rsidRPr="001800B7">
              <w:rPr>
                <w:szCs w:val="22"/>
              </w:rPr>
              <w:t>’</w:t>
            </w:r>
            <w:r w:rsidRPr="001800B7">
              <w:rPr>
                <w:szCs w:val="22"/>
              </w:rPr>
              <w:t xml:space="preserve">étude décrit la façon dont la gestion des droits audiovisuels fonctionne et </w:t>
            </w:r>
            <w:r w:rsidR="00D75F0D" w:rsidRPr="001800B7">
              <w:rPr>
                <w:szCs w:val="22"/>
              </w:rPr>
              <w:t>expose</w:t>
            </w:r>
            <w:r w:rsidRPr="001800B7">
              <w:rPr>
                <w:szCs w:val="22"/>
              </w:rPr>
              <w:t xml:space="preserve"> ensuite les principaux résultats dans les pays ciblés en fonction des données reçues de la part des pays bénéficiaires. </w:t>
            </w:r>
            <w:r w:rsidR="008005FD" w:rsidRPr="001800B7">
              <w:rPr>
                <w:szCs w:val="22"/>
              </w:rPr>
              <w:t xml:space="preserve"> </w:t>
            </w:r>
            <w:r w:rsidRPr="001800B7">
              <w:rPr>
                <w:szCs w:val="22"/>
              </w:rPr>
              <w:t>On trouvera cette étude et son résumé à l</w:t>
            </w:r>
            <w:r w:rsidR="005311D6" w:rsidRPr="001800B7">
              <w:rPr>
                <w:szCs w:val="22"/>
              </w:rPr>
              <w:t>’</w:t>
            </w:r>
            <w:r w:rsidRPr="001800B7">
              <w:rPr>
                <w:szCs w:val="22"/>
              </w:rPr>
              <w:t>adresse </w:t>
            </w:r>
            <w:r w:rsidR="00F35238" w:rsidRPr="001800B7">
              <w:rPr>
                <w:szCs w:val="22"/>
              </w:rPr>
              <w:t xml:space="preserve">: </w:t>
            </w:r>
            <w:hyperlink r:id="rId44" w:history="1">
              <w:r w:rsidR="00F35238" w:rsidRPr="001800B7">
                <w:rPr>
                  <w:rStyle w:val="Hyperlink"/>
                  <w:color w:val="auto"/>
                  <w:szCs w:val="22"/>
                </w:rPr>
                <w:t>http://www.wipo.int/meetings/en/doc_details.jsp?doc_id=283200</w:t>
              </w:r>
            </w:hyperlink>
            <w:r w:rsidRPr="001800B7">
              <w:rPr>
                <w:szCs w:val="22"/>
              </w:rPr>
              <w:t xml:space="preserve">. </w:t>
            </w:r>
            <w:r w:rsidR="008005FD" w:rsidRPr="001800B7">
              <w:rPr>
                <w:szCs w:val="22"/>
              </w:rPr>
              <w:t xml:space="preserve"> </w:t>
            </w:r>
            <w:r w:rsidRPr="001800B7">
              <w:rPr>
                <w:szCs w:val="22"/>
              </w:rPr>
              <w:t>L</w:t>
            </w:r>
            <w:r w:rsidR="005311D6" w:rsidRPr="001800B7">
              <w:rPr>
                <w:szCs w:val="22"/>
              </w:rPr>
              <w:t>’</w:t>
            </w:r>
            <w:r w:rsidRPr="001800B7">
              <w:rPr>
                <w:szCs w:val="22"/>
              </w:rPr>
              <w:t>étude sera présentée à la session courante</w:t>
            </w:r>
            <w:r w:rsidR="00456841" w:rsidRPr="001800B7">
              <w:rPr>
                <w:szCs w:val="22"/>
              </w:rPr>
              <w:t xml:space="preserve"> du CDI</w:t>
            </w:r>
            <w:r w:rsidR="00F35238" w:rsidRPr="001800B7">
              <w:rPr>
                <w:szCs w:val="22"/>
              </w:rPr>
              <w:t>P.</w:t>
            </w:r>
          </w:p>
          <w:p w:rsidR="008475D2" w:rsidRPr="001800B7" w:rsidRDefault="005016FD" w:rsidP="00343AB5">
            <w:pPr>
              <w:spacing w:before="120" w:after="120"/>
              <w:rPr>
                <w:szCs w:val="22"/>
                <w:u w:val="single"/>
              </w:rPr>
            </w:pPr>
            <w:r w:rsidRPr="001800B7">
              <w:rPr>
                <w:szCs w:val="22"/>
                <w:u w:val="single"/>
              </w:rPr>
              <w:t xml:space="preserve">Activité du projet </w:t>
            </w:r>
            <w:r w:rsidR="008005FD" w:rsidRPr="001800B7">
              <w:rPr>
                <w:szCs w:val="22"/>
                <w:u w:val="single"/>
              </w:rPr>
              <w:t>n°</w:t>
            </w:r>
            <w:r w:rsidRPr="001800B7">
              <w:rPr>
                <w:szCs w:val="22"/>
                <w:u w:val="single"/>
              </w:rPr>
              <w:t> 2 </w:t>
            </w:r>
            <w:r w:rsidR="00F35238" w:rsidRPr="001800B7">
              <w:rPr>
                <w:szCs w:val="22"/>
                <w:u w:val="single"/>
              </w:rPr>
              <w:t xml:space="preserve">: </w:t>
            </w:r>
            <w:r w:rsidRPr="001800B7">
              <w:rPr>
                <w:szCs w:val="22"/>
                <w:u w:val="single"/>
              </w:rPr>
              <w:t>Ateliers de formation et perfectionnement professionnel</w:t>
            </w:r>
          </w:p>
          <w:p w:rsidR="008475D2" w:rsidRPr="001800B7" w:rsidRDefault="005016FD" w:rsidP="00343AB5">
            <w:pPr>
              <w:spacing w:before="120" w:after="120"/>
              <w:rPr>
                <w:szCs w:val="22"/>
              </w:rPr>
            </w:pPr>
            <w:r w:rsidRPr="001800B7">
              <w:rPr>
                <w:szCs w:val="22"/>
              </w:rPr>
              <w:lastRenderedPageBreak/>
              <w:t xml:space="preserve">Un employé à temps partiel a été nommé en </w:t>
            </w:r>
            <w:r w:rsidR="00456841" w:rsidRPr="001800B7">
              <w:rPr>
                <w:szCs w:val="22"/>
              </w:rPr>
              <w:t>novembre 20</w:t>
            </w:r>
            <w:r w:rsidRPr="001800B7">
              <w:rPr>
                <w:szCs w:val="22"/>
              </w:rPr>
              <w:t>13 pour</w:t>
            </w:r>
            <w:r w:rsidR="00A77F87" w:rsidRPr="001800B7">
              <w:rPr>
                <w:szCs w:val="22"/>
              </w:rPr>
              <w:t xml:space="preserve"> assurer la gestion administrative du projet et l</w:t>
            </w:r>
            <w:r w:rsidR="005311D6" w:rsidRPr="001800B7">
              <w:rPr>
                <w:szCs w:val="22"/>
              </w:rPr>
              <w:t>’</w:t>
            </w:r>
            <w:r w:rsidR="00A77F87" w:rsidRPr="001800B7">
              <w:rPr>
                <w:szCs w:val="22"/>
              </w:rPr>
              <w:t xml:space="preserve">organisation des ateliers de formation. </w:t>
            </w:r>
            <w:r w:rsidR="008005FD" w:rsidRPr="001800B7">
              <w:rPr>
                <w:szCs w:val="22"/>
              </w:rPr>
              <w:t xml:space="preserve"> </w:t>
            </w:r>
            <w:r w:rsidR="00A77F87" w:rsidRPr="001800B7">
              <w:rPr>
                <w:szCs w:val="22"/>
              </w:rPr>
              <w:t>Cela a permis de lancer le volet de formation et de perfectionnement professionnel</w:t>
            </w:r>
            <w:r w:rsidR="00F35238" w:rsidRPr="001800B7">
              <w:rPr>
                <w:szCs w:val="22"/>
              </w:rPr>
              <w:t>.</w:t>
            </w:r>
          </w:p>
          <w:p w:rsidR="008475D2" w:rsidRPr="001800B7" w:rsidRDefault="00A77F87" w:rsidP="00343AB5">
            <w:pPr>
              <w:spacing w:before="120" w:after="120"/>
              <w:rPr>
                <w:szCs w:val="22"/>
              </w:rPr>
            </w:pPr>
            <w:r w:rsidRPr="001800B7">
              <w:rPr>
                <w:szCs w:val="22"/>
              </w:rPr>
              <w:t xml:space="preserve">Trois ateliers de formation ont eu lieu à </w:t>
            </w:r>
            <w:r w:rsidR="00F35238" w:rsidRPr="001800B7">
              <w:rPr>
                <w:szCs w:val="22"/>
              </w:rPr>
              <w:t>Nairobi</w:t>
            </w:r>
            <w:r w:rsidR="00824712" w:rsidRPr="001800B7">
              <w:rPr>
                <w:szCs w:val="22"/>
              </w:rPr>
              <w:t xml:space="preserve"> (</w:t>
            </w:r>
            <w:r w:rsidR="00F35238" w:rsidRPr="001800B7">
              <w:rPr>
                <w:szCs w:val="22"/>
              </w:rPr>
              <w:t>Kenya</w:t>
            </w:r>
            <w:r w:rsidR="00824712" w:rsidRPr="001800B7">
              <w:rPr>
                <w:szCs w:val="22"/>
              </w:rPr>
              <w:t>)</w:t>
            </w:r>
            <w:r w:rsidRPr="001800B7">
              <w:rPr>
                <w:szCs w:val="22"/>
              </w:rPr>
              <w:t xml:space="preserve"> les </w:t>
            </w:r>
            <w:r w:rsidR="00456841" w:rsidRPr="001800B7">
              <w:rPr>
                <w:szCs w:val="22"/>
              </w:rPr>
              <w:t>1</w:t>
            </w:r>
            <w:r w:rsidR="00456841" w:rsidRPr="001800B7">
              <w:rPr>
                <w:szCs w:val="22"/>
                <w:vertAlign w:val="superscript"/>
              </w:rPr>
              <w:t>er</w:t>
            </w:r>
            <w:r w:rsidR="00456841" w:rsidRPr="001800B7">
              <w:rPr>
                <w:szCs w:val="22"/>
              </w:rPr>
              <w:t> </w:t>
            </w:r>
            <w:r w:rsidRPr="001800B7">
              <w:rPr>
                <w:szCs w:val="22"/>
              </w:rPr>
              <w:t>et 2 </w:t>
            </w:r>
            <w:r w:rsidR="00456841" w:rsidRPr="001800B7">
              <w:rPr>
                <w:szCs w:val="22"/>
              </w:rPr>
              <w:t>avril 20</w:t>
            </w:r>
            <w:r w:rsidR="00F35238" w:rsidRPr="001800B7">
              <w:rPr>
                <w:szCs w:val="22"/>
              </w:rPr>
              <w:t xml:space="preserve">14, </w:t>
            </w:r>
            <w:r w:rsidRPr="001800B7">
              <w:rPr>
                <w:szCs w:val="22"/>
              </w:rPr>
              <w:t>à</w:t>
            </w:r>
            <w:r w:rsidR="00F35238" w:rsidRPr="001800B7">
              <w:rPr>
                <w:szCs w:val="22"/>
              </w:rPr>
              <w:t xml:space="preserve"> Ouagadougou</w:t>
            </w:r>
            <w:r w:rsidR="00824712" w:rsidRPr="001800B7">
              <w:rPr>
                <w:szCs w:val="22"/>
              </w:rPr>
              <w:t xml:space="preserve"> (</w:t>
            </w:r>
            <w:r w:rsidR="00F35238" w:rsidRPr="001800B7">
              <w:rPr>
                <w:szCs w:val="22"/>
              </w:rPr>
              <w:t>Burkina Faso</w:t>
            </w:r>
            <w:r w:rsidR="00824712" w:rsidRPr="001800B7">
              <w:rPr>
                <w:szCs w:val="22"/>
              </w:rPr>
              <w:t>)</w:t>
            </w:r>
            <w:r w:rsidRPr="001800B7">
              <w:rPr>
                <w:szCs w:val="22"/>
              </w:rPr>
              <w:t xml:space="preserve"> les 7 et 8 </w:t>
            </w:r>
            <w:r w:rsidR="00456841" w:rsidRPr="001800B7">
              <w:rPr>
                <w:szCs w:val="22"/>
              </w:rPr>
              <w:t>juillet 20</w:t>
            </w:r>
            <w:r w:rsidRPr="001800B7">
              <w:rPr>
                <w:szCs w:val="22"/>
              </w:rPr>
              <w:t xml:space="preserve">14, et à </w:t>
            </w:r>
            <w:r w:rsidR="00F35238" w:rsidRPr="001800B7">
              <w:rPr>
                <w:szCs w:val="22"/>
              </w:rPr>
              <w:t>Dakar</w:t>
            </w:r>
            <w:r w:rsidR="00824712" w:rsidRPr="001800B7">
              <w:rPr>
                <w:szCs w:val="22"/>
              </w:rPr>
              <w:t xml:space="preserve"> (</w:t>
            </w:r>
            <w:r w:rsidRPr="001800B7">
              <w:rPr>
                <w:szCs w:val="22"/>
              </w:rPr>
              <w:t>Sénégal</w:t>
            </w:r>
            <w:r w:rsidR="00824712" w:rsidRPr="001800B7">
              <w:rPr>
                <w:szCs w:val="22"/>
              </w:rPr>
              <w:t>)</w:t>
            </w:r>
            <w:r w:rsidRPr="001800B7">
              <w:rPr>
                <w:szCs w:val="22"/>
              </w:rPr>
              <w:t xml:space="preserve"> les </w:t>
            </w:r>
            <w:r w:rsidR="00456841" w:rsidRPr="001800B7">
              <w:rPr>
                <w:szCs w:val="22"/>
              </w:rPr>
              <w:t>1</w:t>
            </w:r>
            <w:r w:rsidR="00456841" w:rsidRPr="001800B7">
              <w:rPr>
                <w:szCs w:val="22"/>
                <w:vertAlign w:val="superscript"/>
              </w:rPr>
              <w:t>er</w:t>
            </w:r>
            <w:r w:rsidR="00456841" w:rsidRPr="001800B7">
              <w:rPr>
                <w:szCs w:val="22"/>
              </w:rPr>
              <w:t> </w:t>
            </w:r>
            <w:r w:rsidRPr="001800B7">
              <w:rPr>
                <w:szCs w:val="22"/>
              </w:rPr>
              <w:t>et 2 </w:t>
            </w:r>
            <w:r w:rsidR="00456841" w:rsidRPr="001800B7">
              <w:rPr>
                <w:szCs w:val="22"/>
              </w:rPr>
              <w:t>septembre 20</w:t>
            </w:r>
            <w:r w:rsidR="00F35238" w:rsidRPr="001800B7">
              <w:rPr>
                <w:szCs w:val="22"/>
              </w:rPr>
              <w:t xml:space="preserve">14. </w:t>
            </w:r>
            <w:r w:rsidR="008005FD" w:rsidRPr="001800B7">
              <w:rPr>
                <w:szCs w:val="22"/>
              </w:rPr>
              <w:t xml:space="preserve"> </w:t>
            </w:r>
            <w:r w:rsidRPr="001800B7">
              <w:rPr>
                <w:szCs w:val="22"/>
              </w:rPr>
              <w:t>Chaque séminaire a réuni environ 50 </w:t>
            </w:r>
            <w:r w:rsidR="00F35238" w:rsidRPr="001800B7">
              <w:rPr>
                <w:szCs w:val="22"/>
              </w:rPr>
              <w:t>participants.</w:t>
            </w:r>
            <w:r w:rsidR="008005FD" w:rsidRPr="001800B7">
              <w:rPr>
                <w:szCs w:val="22"/>
              </w:rPr>
              <w:t xml:space="preserve"> </w:t>
            </w:r>
            <w:r w:rsidR="00F35238" w:rsidRPr="001800B7">
              <w:rPr>
                <w:szCs w:val="22"/>
              </w:rPr>
              <w:t xml:space="preserve"> </w:t>
            </w:r>
            <w:r w:rsidRPr="001800B7">
              <w:rPr>
                <w:szCs w:val="22"/>
              </w:rPr>
              <w:t>Le choix des participants aux ateliers s</w:t>
            </w:r>
            <w:r w:rsidR="005311D6" w:rsidRPr="001800B7">
              <w:rPr>
                <w:szCs w:val="22"/>
              </w:rPr>
              <w:t>’</w:t>
            </w:r>
            <w:r w:rsidRPr="001800B7">
              <w:rPr>
                <w:szCs w:val="22"/>
              </w:rPr>
              <w:t>est fait en collaboration étroite avec les coordonnateurs nationaux désignés par chaque pays bénéficiaire</w:t>
            </w:r>
            <w:r w:rsidR="00F35238" w:rsidRPr="001800B7">
              <w:rPr>
                <w:szCs w:val="22"/>
              </w:rPr>
              <w:t>.</w:t>
            </w:r>
          </w:p>
          <w:p w:rsidR="008475D2" w:rsidRPr="001800B7" w:rsidRDefault="00A77F87" w:rsidP="00343AB5">
            <w:pPr>
              <w:spacing w:before="120" w:after="120"/>
              <w:rPr>
                <w:i/>
                <w:szCs w:val="22"/>
              </w:rPr>
            </w:pPr>
            <w:r w:rsidRPr="001800B7">
              <w:rPr>
                <w:szCs w:val="22"/>
              </w:rPr>
              <w:t>La conception des programmes scientifiques des ateliers s</w:t>
            </w:r>
            <w:r w:rsidR="005311D6" w:rsidRPr="001800B7">
              <w:rPr>
                <w:szCs w:val="22"/>
              </w:rPr>
              <w:t>’</w:t>
            </w:r>
            <w:r w:rsidRPr="001800B7">
              <w:rPr>
                <w:szCs w:val="22"/>
              </w:rPr>
              <w:t>est faite en vue d</w:t>
            </w:r>
            <w:r w:rsidR="005311D6" w:rsidRPr="001800B7">
              <w:rPr>
                <w:szCs w:val="22"/>
              </w:rPr>
              <w:t>’</w:t>
            </w:r>
            <w:r w:rsidRPr="001800B7">
              <w:rPr>
                <w:szCs w:val="22"/>
              </w:rPr>
              <w:t>atteindre l</w:t>
            </w:r>
            <w:r w:rsidR="005311D6" w:rsidRPr="001800B7">
              <w:rPr>
                <w:szCs w:val="22"/>
              </w:rPr>
              <w:t>’</w:t>
            </w:r>
            <w:r w:rsidRPr="001800B7">
              <w:rPr>
                <w:szCs w:val="22"/>
              </w:rPr>
              <w:t xml:space="preserve">objectif du projet (1) tel que défini dans le document du projet </w:t>
            </w:r>
            <w:r w:rsidR="00F35238" w:rsidRPr="001800B7">
              <w:rPr>
                <w:szCs w:val="22"/>
              </w:rPr>
              <w:t xml:space="preserve">CDIP/9/13, </w:t>
            </w:r>
            <w:r w:rsidR="005311D6" w:rsidRPr="001800B7">
              <w:rPr>
                <w:szCs w:val="22"/>
              </w:rPr>
              <w:t>à savoir</w:t>
            </w:r>
            <w:r w:rsidR="00D75F0D" w:rsidRPr="001800B7">
              <w:rPr>
                <w:szCs w:val="22"/>
              </w:rPr>
              <w:t xml:space="preserve"> de </w:t>
            </w:r>
            <w:r w:rsidR="008005FD" w:rsidRPr="001800B7">
              <w:rPr>
                <w:szCs w:val="22"/>
              </w:rPr>
              <w:t>“</w:t>
            </w:r>
            <w:r w:rsidR="00D75F0D" w:rsidRPr="001800B7">
              <w:rPr>
                <w:i/>
                <w:szCs w:val="22"/>
              </w:rPr>
              <w:t>Co</w:t>
            </w:r>
            <w:r w:rsidR="00F35238" w:rsidRPr="001800B7">
              <w:rPr>
                <w:i/>
                <w:szCs w:val="22"/>
              </w:rPr>
              <w:t>ntribu</w:t>
            </w:r>
            <w:r w:rsidRPr="001800B7">
              <w:rPr>
                <w:i/>
                <w:szCs w:val="22"/>
              </w:rPr>
              <w:t xml:space="preserve">er à </w:t>
            </w:r>
            <w:r w:rsidR="00D75F0D" w:rsidRPr="001800B7">
              <w:rPr>
                <w:i/>
                <w:szCs w:val="22"/>
              </w:rPr>
              <w:t xml:space="preserve">améliorer </w:t>
            </w:r>
            <w:r w:rsidRPr="001800B7">
              <w:rPr>
                <w:i/>
                <w:szCs w:val="22"/>
              </w:rPr>
              <w:t>l</w:t>
            </w:r>
            <w:r w:rsidR="005311D6" w:rsidRPr="001800B7">
              <w:rPr>
                <w:i/>
                <w:szCs w:val="22"/>
              </w:rPr>
              <w:t>’</w:t>
            </w:r>
            <w:r w:rsidRPr="001800B7">
              <w:rPr>
                <w:i/>
                <w:szCs w:val="22"/>
              </w:rPr>
              <w:t xml:space="preserve">utilisation du système de propriété intellectuelle </w:t>
            </w:r>
            <w:r w:rsidR="00D75F0D" w:rsidRPr="001800B7">
              <w:rPr>
                <w:i/>
                <w:szCs w:val="22"/>
              </w:rPr>
              <w:t xml:space="preserve">aux fins du </w:t>
            </w:r>
            <w:r w:rsidRPr="001800B7">
              <w:rPr>
                <w:i/>
                <w:szCs w:val="22"/>
              </w:rPr>
              <w:t xml:space="preserve">financement, </w:t>
            </w:r>
            <w:r w:rsidR="00D75F0D" w:rsidRPr="001800B7">
              <w:rPr>
                <w:i/>
                <w:szCs w:val="22"/>
              </w:rPr>
              <w:t xml:space="preserve">de </w:t>
            </w:r>
            <w:r w:rsidRPr="001800B7">
              <w:rPr>
                <w:i/>
                <w:szCs w:val="22"/>
              </w:rPr>
              <w:t xml:space="preserve">la production et </w:t>
            </w:r>
            <w:r w:rsidR="00D75F0D" w:rsidRPr="001800B7">
              <w:rPr>
                <w:i/>
                <w:szCs w:val="22"/>
              </w:rPr>
              <w:t xml:space="preserve">de </w:t>
            </w:r>
            <w:r w:rsidRPr="001800B7">
              <w:rPr>
                <w:i/>
                <w:szCs w:val="22"/>
              </w:rPr>
              <w:t>la diffusion des œuvres audiovisuelles</w:t>
            </w:r>
            <w:r w:rsidR="008005FD" w:rsidRPr="001800B7">
              <w:rPr>
                <w:szCs w:val="22"/>
              </w:rPr>
              <w:t>”</w:t>
            </w:r>
            <w:r w:rsidR="00F35238" w:rsidRPr="001800B7">
              <w:rPr>
                <w:szCs w:val="22"/>
              </w:rPr>
              <w:t>.</w:t>
            </w:r>
          </w:p>
          <w:p w:rsidR="008475D2" w:rsidRPr="001800B7" w:rsidRDefault="00A77F87" w:rsidP="00343AB5">
            <w:pPr>
              <w:spacing w:before="120" w:after="120"/>
              <w:rPr>
                <w:szCs w:val="22"/>
              </w:rPr>
            </w:pPr>
            <w:r w:rsidRPr="001800B7">
              <w:rPr>
                <w:szCs w:val="22"/>
              </w:rPr>
              <w:t>Toutes les étapes de l</w:t>
            </w:r>
            <w:r w:rsidR="005311D6" w:rsidRPr="001800B7">
              <w:rPr>
                <w:szCs w:val="22"/>
              </w:rPr>
              <w:t>’</w:t>
            </w:r>
            <w:r w:rsidRPr="001800B7">
              <w:rPr>
                <w:szCs w:val="22"/>
              </w:rPr>
              <w:t>organisation et du déroulement des programmes de formation ont exigé la participation étroite des autorités nationales des pays bénéficiaires, notamment du coordonnateur national désigné par chaque pays, des bureaux de droit d</w:t>
            </w:r>
            <w:r w:rsidR="005311D6" w:rsidRPr="001800B7">
              <w:rPr>
                <w:szCs w:val="22"/>
              </w:rPr>
              <w:t>’</w:t>
            </w:r>
            <w:r w:rsidRPr="001800B7">
              <w:rPr>
                <w:szCs w:val="22"/>
              </w:rPr>
              <w:t xml:space="preserve">auteur et des organes nationaux responsables du secteur </w:t>
            </w:r>
            <w:r w:rsidR="00D75F0D" w:rsidRPr="001800B7">
              <w:rPr>
                <w:szCs w:val="22"/>
              </w:rPr>
              <w:t>de l</w:t>
            </w:r>
            <w:r w:rsidR="005311D6" w:rsidRPr="001800B7">
              <w:rPr>
                <w:szCs w:val="22"/>
              </w:rPr>
              <w:t>’</w:t>
            </w:r>
            <w:r w:rsidRPr="001800B7">
              <w:rPr>
                <w:szCs w:val="22"/>
              </w:rPr>
              <w:t>audiovisuel, comme la Commission cinématographique du Kenya (KFC) ou les centres/directions cinématographiques des autres pays bénéficiaires</w:t>
            </w:r>
            <w:r w:rsidR="00F35238" w:rsidRPr="001800B7">
              <w:rPr>
                <w:szCs w:val="22"/>
              </w:rPr>
              <w:t>.</w:t>
            </w:r>
          </w:p>
          <w:p w:rsidR="005311D6" w:rsidRPr="001800B7" w:rsidRDefault="00A77F87" w:rsidP="00343AB5">
            <w:pPr>
              <w:spacing w:before="120" w:after="120"/>
              <w:rPr>
                <w:szCs w:val="22"/>
              </w:rPr>
            </w:pPr>
            <w:r w:rsidRPr="001800B7">
              <w:rPr>
                <w:szCs w:val="22"/>
              </w:rPr>
              <w:t>Pour chaque atelier de formation, des experts internationaux et africains ont été nommés en fonction de leur expérience professionnelle et de leur connaissance des caractéristiques particulières du paysage africain</w:t>
            </w:r>
            <w:r w:rsidR="00D75F0D" w:rsidRPr="001800B7">
              <w:rPr>
                <w:szCs w:val="22"/>
              </w:rPr>
              <w:t xml:space="preserve"> de l</w:t>
            </w:r>
            <w:r w:rsidR="005311D6" w:rsidRPr="001800B7">
              <w:rPr>
                <w:szCs w:val="22"/>
              </w:rPr>
              <w:t>’</w:t>
            </w:r>
            <w:r w:rsidR="00D75F0D" w:rsidRPr="001800B7">
              <w:rPr>
                <w:szCs w:val="22"/>
              </w:rPr>
              <w:t>audiovisuel</w:t>
            </w:r>
            <w:r w:rsidRPr="001800B7">
              <w:rPr>
                <w:szCs w:val="22"/>
              </w:rPr>
              <w:t xml:space="preserve">. </w:t>
            </w:r>
            <w:r w:rsidR="008005FD" w:rsidRPr="001800B7">
              <w:rPr>
                <w:szCs w:val="22"/>
              </w:rPr>
              <w:t xml:space="preserve"> </w:t>
            </w:r>
            <w:r w:rsidRPr="001800B7">
              <w:rPr>
                <w:szCs w:val="22"/>
              </w:rPr>
              <w:t>Certains de ces experts qui sont aussi les auteurs de publications de l</w:t>
            </w:r>
            <w:r w:rsidR="005311D6" w:rsidRPr="001800B7">
              <w:rPr>
                <w:szCs w:val="22"/>
              </w:rPr>
              <w:t>’</w:t>
            </w:r>
            <w:r w:rsidRPr="001800B7">
              <w:rPr>
                <w:szCs w:val="22"/>
              </w:rPr>
              <w:t>OMPI sur le sujet ont réussi à utiliser</w:t>
            </w:r>
            <w:r w:rsidR="00252500" w:rsidRPr="001800B7">
              <w:rPr>
                <w:szCs w:val="22"/>
              </w:rPr>
              <w:t xml:space="preserve"> et à mettre en œuvre de façon pratique les outils et les méthodes existants de l</w:t>
            </w:r>
            <w:r w:rsidR="005311D6" w:rsidRPr="001800B7">
              <w:rPr>
                <w:szCs w:val="22"/>
              </w:rPr>
              <w:t>’</w:t>
            </w:r>
            <w:r w:rsidR="00252500" w:rsidRPr="001800B7">
              <w:rPr>
                <w:szCs w:val="22"/>
              </w:rPr>
              <w:t>OMPI pour assurer une approche cohérente et soutenue dans ce secteur</w:t>
            </w:r>
            <w:r w:rsidR="00F35238" w:rsidRPr="001800B7">
              <w:rPr>
                <w:szCs w:val="22"/>
              </w:rPr>
              <w:t>.</w:t>
            </w:r>
          </w:p>
          <w:p w:rsidR="008475D2" w:rsidRPr="001800B7" w:rsidRDefault="00252500" w:rsidP="00343AB5">
            <w:pPr>
              <w:spacing w:before="120" w:after="120"/>
              <w:rPr>
                <w:szCs w:val="22"/>
              </w:rPr>
            </w:pPr>
            <w:r w:rsidRPr="001800B7">
              <w:rPr>
                <w:szCs w:val="22"/>
              </w:rPr>
              <w:t>Au cours des ateliers, les experts ont échangé avec les participants un éventail de documents de programme, de modèles de contrat qui peuvent être adaptés et utilisés par les participants dans l</w:t>
            </w:r>
            <w:r w:rsidR="005311D6" w:rsidRPr="001800B7">
              <w:rPr>
                <w:szCs w:val="22"/>
              </w:rPr>
              <w:t>’</w:t>
            </w:r>
            <w:r w:rsidRPr="001800B7">
              <w:rPr>
                <w:szCs w:val="22"/>
              </w:rPr>
              <w:t xml:space="preserve">exercice de leur profession. </w:t>
            </w:r>
            <w:r w:rsidR="008005FD" w:rsidRPr="001800B7">
              <w:rPr>
                <w:szCs w:val="22"/>
              </w:rPr>
              <w:t xml:space="preserve"> </w:t>
            </w:r>
            <w:r w:rsidRPr="001800B7">
              <w:rPr>
                <w:szCs w:val="22"/>
              </w:rPr>
              <w:t>Ces documents sont réunis pour constituer la base du kit pédagogique/programme d</w:t>
            </w:r>
            <w:r w:rsidR="005311D6" w:rsidRPr="001800B7">
              <w:rPr>
                <w:szCs w:val="22"/>
              </w:rPr>
              <w:t>’</w:t>
            </w:r>
            <w:r w:rsidRPr="001800B7">
              <w:rPr>
                <w:szCs w:val="22"/>
              </w:rPr>
              <w:t>apprentissage à distance qui doivent être conçus par l</w:t>
            </w:r>
            <w:r w:rsidR="005311D6" w:rsidRPr="001800B7">
              <w:rPr>
                <w:szCs w:val="22"/>
              </w:rPr>
              <w:t>’</w:t>
            </w:r>
            <w:r w:rsidR="0008593D" w:rsidRPr="001800B7">
              <w:rPr>
                <w:szCs w:val="22"/>
              </w:rPr>
              <w:t>A</w:t>
            </w:r>
            <w:r w:rsidRPr="001800B7">
              <w:rPr>
                <w:szCs w:val="22"/>
              </w:rPr>
              <w:t>cadémie de l</w:t>
            </w:r>
            <w:r w:rsidR="005311D6" w:rsidRPr="001800B7">
              <w:rPr>
                <w:szCs w:val="22"/>
              </w:rPr>
              <w:t>’</w:t>
            </w:r>
            <w:r w:rsidRPr="001800B7">
              <w:rPr>
                <w:szCs w:val="22"/>
              </w:rPr>
              <w:t>OMPI</w:t>
            </w:r>
            <w:r w:rsidR="00F35238" w:rsidRPr="001800B7">
              <w:rPr>
                <w:szCs w:val="22"/>
              </w:rPr>
              <w:t>.</w:t>
            </w:r>
          </w:p>
          <w:p w:rsidR="008475D2" w:rsidRPr="001800B7" w:rsidRDefault="00252500" w:rsidP="00343AB5">
            <w:pPr>
              <w:spacing w:before="120" w:after="120"/>
              <w:rPr>
                <w:szCs w:val="22"/>
              </w:rPr>
            </w:pPr>
            <w:r w:rsidRPr="001800B7">
              <w:rPr>
                <w:szCs w:val="22"/>
              </w:rPr>
              <w:t>On a également établi un partenariat avec un partenaire international de l</w:t>
            </w:r>
            <w:r w:rsidR="005311D6" w:rsidRPr="001800B7">
              <w:rPr>
                <w:szCs w:val="22"/>
              </w:rPr>
              <w:t>’</w:t>
            </w:r>
            <w:r w:rsidRPr="001800B7">
              <w:rPr>
                <w:szCs w:val="22"/>
              </w:rPr>
              <w:t>extérieur pour l</w:t>
            </w:r>
            <w:r w:rsidR="005311D6" w:rsidRPr="001800B7">
              <w:rPr>
                <w:szCs w:val="22"/>
              </w:rPr>
              <w:t>’</w:t>
            </w:r>
            <w:r w:rsidRPr="001800B7">
              <w:rPr>
                <w:szCs w:val="22"/>
              </w:rPr>
              <w:t xml:space="preserve">exécution du projet, afin de faire participer à ce projet des partenaires internationaux de haut niveau qui possèdent une expérience pratique du sujet. </w:t>
            </w:r>
            <w:r w:rsidR="008005FD" w:rsidRPr="001800B7">
              <w:rPr>
                <w:szCs w:val="22"/>
              </w:rPr>
              <w:t xml:space="preserve"> </w:t>
            </w:r>
            <w:r w:rsidRPr="001800B7">
              <w:rPr>
                <w:szCs w:val="22"/>
              </w:rPr>
              <w:t>L</w:t>
            </w:r>
            <w:r w:rsidR="005311D6" w:rsidRPr="001800B7">
              <w:rPr>
                <w:szCs w:val="22"/>
              </w:rPr>
              <w:t>’</w:t>
            </w:r>
            <w:r w:rsidR="00F35238" w:rsidRPr="001800B7">
              <w:rPr>
                <w:szCs w:val="22"/>
              </w:rPr>
              <w:t xml:space="preserve">Organisation </w:t>
            </w:r>
            <w:r w:rsidR="0008593D" w:rsidRPr="001800B7">
              <w:rPr>
                <w:szCs w:val="22"/>
              </w:rPr>
              <w:t>internationale</w:t>
            </w:r>
            <w:r w:rsidR="00F35238" w:rsidRPr="001800B7">
              <w:rPr>
                <w:szCs w:val="22"/>
              </w:rPr>
              <w:t xml:space="preserve"> de la Francophonie</w:t>
            </w:r>
            <w:r w:rsidR="00824712" w:rsidRPr="001800B7">
              <w:rPr>
                <w:szCs w:val="22"/>
              </w:rPr>
              <w:t xml:space="preserve"> </w:t>
            </w:r>
            <w:r w:rsidR="00F35238" w:rsidRPr="001800B7">
              <w:rPr>
                <w:szCs w:val="22"/>
              </w:rPr>
              <w:t xml:space="preserve">(OIF) </w:t>
            </w:r>
            <w:r w:rsidRPr="001800B7">
              <w:rPr>
                <w:szCs w:val="22"/>
              </w:rPr>
              <w:t>a pris part à l</w:t>
            </w:r>
            <w:r w:rsidR="005311D6" w:rsidRPr="001800B7">
              <w:rPr>
                <w:szCs w:val="22"/>
              </w:rPr>
              <w:t>’</w:t>
            </w:r>
            <w:r w:rsidRPr="001800B7">
              <w:rPr>
                <w:szCs w:val="22"/>
              </w:rPr>
              <w:t xml:space="preserve">organisation et </w:t>
            </w:r>
            <w:r w:rsidR="00D75F0D" w:rsidRPr="001800B7">
              <w:rPr>
                <w:szCs w:val="22"/>
              </w:rPr>
              <w:t xml:space="preserve">aux programmes des séminaires </w:t>
            </w:r>
            <w:proofErr w:type="gramStart"/>
            <w:r w:rsidR="00D75F0D" w:rsidRPr="001800B7">
              <w:rPr>
                <w:szCs w:val="22"/>
              </w:rPr>
              <w:t xml:space="preserve">de </w:t>
            </w:r>
            <w:r w:rsidR="00F35238" w:rsidRPr="001800B7">
              <w:rPr>
                <w:szCs w:val="22"/>
              </w:rPr>
              <w:t>Ouagadougou</w:t>
            </w:r>
            <w:proofErr w:type="gramEnd"/>
            <w:r w:rsidR="00F35238" w:rsidRPr="001800B7">
              <w:rPr>
                <w:szCs w:val="22"/>
              </w:rPr>
              <w:t xml:space="preserve"> </w:t>
            </w:r>
            <w:r w:rsidRPr="001800B7">
              <w:rPr>
                <w:szCs w:val="22"/>
              </w:rPr>
              <w:t xml:space="preserve">et de </w:t>
            </w:r>
            <w:r w:rsidR="00F35238" w:rsidRPr="001800B7">
              <w:rPr>
                <w:szCs w:val="22"/>
              </w:rPr>
              <w:t>Dakar.</w:t>
            </w:r>
            <w:r w:rsidR="008005FD" w:rsidRPr="001800B7">
              <w:rPr>
                <w:szCs w:val="22"/>
              </w:rPr>
              <w:t xml:space="preserve"> </w:t>
            </w:r>
            <w:r w:rsidR="00F35238" w:rsidRPr="001800B7">
              <w:rPr>
                <w:szCs w:val="22"/>
              </w:rPr>
              <w:t xml:space="preserve"> </w:t>
            </w:r>
            <w:r w:rsidRPr="001800B7">
              <w:rPr>
                <w:szCs w:val="22"/>
              </w:rPr>
              <w:t>Cette collaboration s</w:t>
            </w:r>
            <w:r w:rsidR="005311D6" w:rsidRPr="001800B7">
              <w:rPr>
                <w:szCs w:val="22"/>
              </w:rPr>
              <w:t>’</w:t>
            </w:r>
            <w:r w:rsidRPr="001800B7">
              <w:rPr>
                <w:szCs w:val="22"/>
              </w:rPr>
              <w:t xml:space="preserve">est révélée bénéfique et </w:t>
            </w:r>
            <w:r w:rsidR="003F0D8F" w:rsidRPr="001800B7">
              <w:rPr>
                <w:szCs w:val="22"/>
              </w:rPr>
              <w:t>a enrichi plusieurs éléments de fond de la formation</w:t>
            </w:r>
            <w:r w:rsidR="00F35238" w:rsidRPr="001800B7">
              <w:rPr>
                <w:szCs w:val="22"/>
              </w:rPr>
              <w:t>.</w:t>
            </w:r>
          </w:p>
          <w:p w:rsidR="008475D2" w:rsidRPr="001800B7" w:rsidRDefault="00CA7EB8" w:rsidP="00343AB5">
            <w:pPr>
              <w:spacing w:before="120" w:after="120"/>
              <w:rPr>
                <w:szCs w:val="22"/>
                <w:u w:val="single"/>
              </w:rPr>
            </w:pPr>
            <w:r w:rsidRPr="001800B7">
              <w:rPr>
                <w:szCs w:val="22"/>
                <w:u w:val="single"/>
              </w:rPr>
              <w:t>Activité du projet n° 3 : aménagement d</w:t>
            </w:r>
            <w:r w:rsidR="005311D6" w:rsidRPr="001800B7">
              <w:rPr>
                <w:szCs w:val="22"/>
                <w:u w:val="single"/>
              </w:rPr>
              <w:t>’</w:t>
            </w:r>
            <w:r w:rsidRPr="001800B7">
              <w:rPr>
                <w:szCs w:val="22"/>
                <w:u w:val="single"/>
              </w:rPr>
              <w:t>institutions et renforcement des compétences</w:t>
            </w:r>
            <w:r w:rsidR="0008593D" w:rsidRPr="001800B7">
              <w:rPr>
                <w:szCs w:val="22"/>
                <w:u w:val="single"/>
              </w:rPr>
              <w:t xml:space="preserve">.  </w:t>
            </w:r>
            <w:r w:rsidR="003F0D8F" w:rsidRPr="001800B7">
              <w:rPr>
                <w:szCs w:val="22"/>
                <w:u w:val="single"/>
              </w:rPr>
              <w:t>Formation sur place sur la concession de licences</w:t>
            </w:r>
          </w:p>
          <w:p w:rsidR="00F35238" w:rsidRPr="001800B7" w:rsidRDefault="003F0D8F" w:rsidP="00343AB5">
            <w:pPr>
              <w:spacing w:before="120" w:after="120"/>
              <w:rPr>
                <w:szCs w:val="22"/>
              </w:rPr>
            </w:pPr>
            <w:r w:rsidRPr="001800B7">
              <w:rPr>
                <w:szCs w:val="22"/>
              </w:rPr>
              <w:t>La mise en œuvre de ce volet débutera au premier trimestre de</w:t>
            </w:r>
            <w:r w:rsidR="008005FD" w:rsidRPr="001800B7">
              <w:rPr>
                <w:szCs w:val="22"/>
              </w:rPr>
              <w:t> </w:t>
            </w:r>
            <w:r w:rsidR="00F35238" w:rsidRPr="001800B7">
              <w:rPr>
                <w:szCs w:val="22"/>
              </w:rPr>
              <w:t>2015.</w:t>
            </w:r>
          </w:p>
        </w:tc>
      </w:tr>
      <w:tr w:rsidR="001800B7" w:rsidRPr="001800B7" w:rsidTr="00343AB5">
        <w:tc>
          <w:tcPr>
            <w:tcW w:w="2376" w:type="dxa"/>
            <w:shd w:val="clear" w:color="auto" w:fill="auto"/>
          </w:tcPr>
          <w:p w:rsidR="00F35238" w:rsidRPr="001800B7" w:rsidRDefault="00CA7EB8" w:rsidP="00343AB5">
            <w:pPr>
              <w:pStyle w:val="Heading3"/>
              <w:keepNext w:val="0"/>
              <w:spacing w:before="120" w:after="120"/>
              <w:rPr>
                <w:szCs w:val="22"/>
              </w:rPr>
            </w:pPr>
            <w:r w:rsidRPr="001800B7">
              <w:rPr>
                <w:szCs w:val="22"/>
              </w:rPr>
              <w:lastRenderedPageBreak/>
              <w:t>Exemples de succès ou d</w:t>
            </w:r>
            <w:r w:rsidR="005311D6" w:rsidRPr="001800B7">
              <w:rPr>
                <w:szCs w:val="22"/>
              </w:rPr>
              <w:t>’</w:t>
            </w:r>
            <w:r w:rsidRPr="001800B7">
              <w:rPr>
                <w:szCs w:val="22"/>
              </w:rPr>
              <w:t>effets positifs et principaux enseignements</w:t>
            </w:r>
          </w:p>
        </w:tc>
        <w:tc>
          <w:tcPr>
            <w:tcW w:w="6912" w:type="dxa"/>
            <w:vAlign w:val="center"/>
          </w:tcPr>
          <w:p w:rsidR="008475D2" w:rsidRPr="001800B7" w:rsidRDefault="003F0D8F" w:rsidP="00343AB5">
            <w:pPr>
              <w:spacing w:before="120" w:after="120"/>
              <w:rPr>
                <w:szCs w:val="22"/>
              </w:rPr>
            </w:pPr>
            <w:r w:rsidRPr="001800B7">
              <w:rPr>
                <w:iCs/>
                <w:szCs w:val="22"/>
              </w:rPr>
              <w:t>Même s</w:t>
            </w:r>
            <w:r w:rsidR="005311D6" w:rsidRPr="001800B7">
              <w:rPr>
                <w:iCs/>
                <w:szCs w:val="22"/>
              </w:rPr>
              <w:t>’</w:t>
            </w:r>
            <w:r w:rsidRPr="001800B7">
              <w:rPr>
                <w:iCs/>
                <w:szCs w:val="22"/>
              </w:rPr>
              <w:t>il est encore tôt pour évaluer l</w:t>
            </w:r>
            <w:r w:rsidR="005311D6" w:rsidRPr="001800B7">
              <w:rPr>
                <w:iCs/>
                <w:szCs w:val="22"/>
              </w:rPr>
              <w:t>’</w:t>
            </w:r>
            <w:r w:rsidRPr="001800B7">
              <w:rPr>
                <w:iCs/>
                <w:szCs w:val="22"/>
              </w:rPr>
              <w:t>impact du projet, les premières informations transmises par les participants (qui reposent sur un questionnaire confidentiel distribué à la fin de chaque atelier) démontrent que le projet arrive à point nommé et qu</w:t>
            </w:r>
            <w:r w:rsidR="005311D6" w:rsidRPr="001800B7">
              <w:rPr>
                <w:iCs/>
                <w:szCs w:val="22"/>
              </w:rPr>
              <w:t>’</w:t>
            </w:r>
            <w:r w:rsidRPr="001800B7">
              <w:rPr>
                <w:iCs/>
                <w:szCs w:val="22"/>
              </w:rPr>
              <w:t>il présente une grande utilité pour le secteur de l</w:t>
            </w:r>
            <w:r w:rsidR="005311D6" w:rsidRPr="001800B7">
              <w:rPr>
                <w:iCs/>
                <w:szCs w:val="22"/>
              </w:rPr>
              <w:t>’</w:t>
            </w:r>
            <w:r w:rsidRPr="001800B7">
              <w:rPr>
                <w:iCs/>
                <w:szCs w:val="22"/>
              </w:rPr>
              <w:t>audiovisuel et qu</w:t>
            </w:r>
            <w:r w:rsidR="005311D6" w:rsidRPr="001800B7">
              <w:rPr>
                <w:iCs/>
                <w:szCs w:val="22"/>
              </w:rPr>
              <w:t>’</w:t>
            </w:r>
            <w:r w:rsidRPr="001800B7">
              <w:rPr>
                <w:iCs/>
                <w:szCs w:val="22"/>
              </w:rPr>
              <w:t>il contribuera à aider l</w:t>
            </w:r>
            <w:r w:rsidR="005311D6" w:rsidRPr="001800B7">
              <w:rPr>
                <w:iCs/>
                <w:szCs w:val="22"/>
              </w:rPr>
              <w:t>’</w:t>
            </w:r>
            <w:r w:rsidRPr="001800B7">
              <w:rPr>
                <w:iCs/>
                <w:szCs w:val="22"/>
              </w:rPr>
              <w:t>industrie cinématographique à adopter des normes de perfectionnement professionnel plus rigoureuses dans son utilisation stratégique des cadres de droit d</w:t>
            </w:r>
            <w:r w:rsidR="005311D6" w:rsidRPr="001800B7">
              <w:rPr>
                <w:iCs/>
                <w:szCs w:val="22"/>
              </w:rPr>
              <w:t>’</w:t>
            </w:r>
            <w:r w:rsidRPr="001800B7">
              <w:rPr>
                <w:iCs/>
                <w:szCs w:val="22"/>
              </w:rPr>
              <w:t>auteur nationaux et internationaux</w:t>
            </w:r>
            <w:r w:rsidR="00F35238" w:rsidRPr="001800B7">
              <w:rPr>
                <w:szCs w:val="22"/>
              </w:rPr>
              <w:t>.</w:t>
            </w:r>
          </w:p>
          <w:p w:rsidR="008475D2" w:rsidRPr="001800B7" w:rsidRDefault="003F0D8F" w:rsidP="00343AB5">
            <w:pPr>
              <w:spacing w:before="120" w:after="120"/>
              <w:rPr>
                <w:szCs w:val="22"/>
              </w:rPr>
            </w:pPr>
            <w:r w:rsidRPr="001800B7">
              <w:rPr>
                <w:iCs/>
                <w:szCs w:val="22"/>
              </w:rPr>
              <w:t>Chaque atelier de formation a été le point de départ pour promouvoir un dialogue structuré entre tous les représentants de la chaîne de valeur audiovisuelle (depuis les metteurs en scène jusqu</w:t>
            </w:r>
            <w:r w:rsidR="005311D6" w:rsidRPr="001800B7">
              <w:rPr>
                <w:iCs/>
                <w:szCs w:val="22"/>
              </w:rPr>
              <w:t>’</w:t>
            </w:r>
            <w:r w:rsidRPr="001800B7">
              <w:rPr>
                <w:iCs/>
                <w:szCs w:val="22"/>
              </w:rPr>
              <w:t>aux acteurs, distributeurs</w:t>
            </w:r>
            <w:r w:rsidR="00D75F0D" w:rsidRPr="001800B7">
              <w:rPr>
                <w:iCs/>
                <w:szCs w:val="22"/>
              </w:rPr>
              <w:t xml:space="preserve">, </w:t>
            </w:r>
            <w:r w:rsidRPr="001800B7">
              <w:rPr>
                <w:iCs/>
                <w:szCs w:val="22"/>
              </w:rPr>
              <w:t>producteurs, détaillants, plates</w:t>
            </w:r>
            <w:r w:rsidR="001800B7" w:rsidRPr="001800B7">
              <w:rPr>
                <w:iCs/>
                <w:szCs w:val="22"/>
              </w:rPr>
              <w:noBreakHyphen/>
            </w:r>
            <w:r w:rsidRPr="001800B7">
              <w:rPr>
                <w:iCs/>
                <w:szCs w:val="22"/>
              </w:rPr>
              <w:t xml:space="preserve">formes en ligne, diffuseurs et représentants du secteur bancaire et financier). </w:t>
            </w:r>
            <w:r w:rsidR="008005FD" w:rsidRPr="001800B7">
              <w:rPr>
                <w:iCs/>
                <w:szCs w:val="22"/>
              </w:rPr>
              <w:t xml:space="preserve"> </w:t>
            </w:r>
            <w:r w:rsidRPr="001800B7">
              <w:rPr>
                <w:iCs/>
                <w:szCs w:val="22"/>
              </w:rPr>
              <w:t xml:space="preserve">Tous ont estimé que les ateliers </w:t>
            </w:r>
            <w:r w:rsidR="00D75F0D" w:rsidRPr="001800B7">
              <w:rPr>
                <w:iCs/>
                <w:szCs w:val="22"/>
              </w:rPr>
              <w:t xml:space="preserve">offraient </w:t>
            </w:r>
            <w:r w:rsidRPr="001800B7">
              <w:rPr>
                <w:iCs/>
                <w:szCs w:val="22"/>
              </w:rPr>
              <w:t>l</w:t>
            </w:r>
            <w:r w:rsidR="005311D6" w:rsidRPr="001800B7">
              <w:rPr>
                <w:iCs/>
                <w:szCs w:val="22"/>
              </w:rPr>
              <w:t>’</w:t>
            </w:r>
            <w:r w:rsidRPr="001800B7">
              <w:rPr>
                <w:iCs/>
                <w:szCs w:val="22"/>
              </w:rPr>
              <w:t>occasion unique de rencontrer les représentants du gouvernement pour traiter de questions comme l</w:t>
            </w:r>
            <w:r w:rsidR="005311D6" w:rsidRPr="001800B7">
              <w:rPr>
                <w:iCs/>
                <w:szCs w:val="22"/>
              </w:rPr>
              <w:t>’</w:t>
            </w:r>
            <w:r w:rsidRPr="001800B7">
              <w:rPr>
                <w:iCs/>
                <w:szCs w:val="22"/>
              </w:rPr>
              <w:t>appui gouvernemental, l</w:t>
            </w:r>
            <w:r w:rsidR="005311D6" w:rsidRPr="001800B7">
              <w:rPr>
                <w:iCs/>
                <w:szCs w:val="22"/>
              </w:rPr>
              <w:t>’</w:t>
            </w:r>
            <w:r w:rsidRPr="001800B7">
              <w:rPr>
                <w:iCs/>
                <w:szCs w:val="22"/>
              </w:rPr>
              <w:t>utilisation des règles sur le droit d</w:t>
            </w:r>
            <w:r w:rsidR="005311D6" w:rsidRPr="001800B7">
              <w:rPr>
                <w:iCs/>
                <w:szCs w:val="22"/>
              </w:rPr>
              <w:t>’</w:t>
            </w:r>
            <w:r w:rsidRPr="001800B7">
              <w:rPr>
                <w:iCs/>
                <w:szCs w:val="22"/>
              </w:rPr>
              <w:t>auteur ou les infrastructures de distribution qui s</w:t>
            </w:r>
            <w:r w:rsidR="005311D6" w:rsidRPr="001800B7">
              <w:rPr>
                <w:iCs/>
                <w:szCs w:val="22"/>
              </w:rPr>
              <w:t>’</w:t>
            </w:r>
            <w:r w:rsidRPr="001800B7">
              <w:rPr>
                <w:iCs/>
                <w:szCs w:val="22"/>
              </w:rPr>
              <w:t>appuient sur le respect des droit</w:t>
            </w:r>
            <w:r w:rsidRPr="001800B7">
              <w:rPr>
                <w:szCs w:val="22"/>
              </w:rPr>
              <w:t>s.</w:t>
            </w:r>
          </w:p>
          <w:p w:rsidR="00F35238" w:rsidRPr="001800B7" w:rsidRDefault="003F0D8F" w:rsidP="00343AB5">
            <w:pPr>
              <w:spacing w:before="120" w:after="120"/>
              <w:rPr>
                <w:iCs/>
                <w:szCs w:val="22"/>
              </w:rPr>
            </w:pPr>
            <w:r w:rsidRPr="001800B7">
              <w:rPr>
                <w:szCs w:val="22"/>
              </w:rPr>
              <w:t xml:space="preserve">Le projet a </w:t>
            </w:r>
            <w:r w:rsidR="00D75F0D" w:rsidRPr="001800B7">
              <w:rPr>
                <w:szCs w:val="22"/>
              </w:rPr>
              <w:t>également contribué à élaborer d</w:t>
            </w:r>
            <w:r w:rsidRPr="001800B7">
              <w:rPr>
                <w:szCs w:val="22"/>
              </w:rPr>
              <w:t>es politiques à l</w:t>
            </w:r>
            <w:r w:rsidR="005311D6" w:rsidRPr="001800B7">
              <w:rPr>
                <w:szCs w:val="22"/>
              </w:rPr>
              <w:t>’</w:t>
            </w:r>
            <w:r w:rsidRPr="001800B7">
              <w:rPr>
                <w:szCs w:val="22"/>
              </w:rPr>
              <w:t xml:space="preserve">échelle nationale. </w:t>
            </w:r>
            <w:r w:rsidR="008005FD" w:rsidRPr="001800B7">
              <w:rPr>
                <w:szCs w:val="22"/>
              </w:rPr>
              <w:t xml:space="preserve"> </w:t>
            </w:r>
            <w:r w:rsidRPr="001800B7">
              <w:rPr>
                <w:szCs w:val="22"/>
              </w:rPr>
              <w:t>Au Kenya, le chef de projet a été officiellement invité par la</w:t>
            </w:r>
            <w:r w:rsidR="00D75F0D" w:rsidRPr="001800B7">
              <w:rPr>
                <w:szCs w:val="22"/>
              </w:rPr>
              <w:t xml:space="preserve"> Commission cinématographique du</w:t>
            </w:r>
            <w:r w:rsidRPr="001800B7">
              <w:rPr>
                <w:szCs w:val="22"/>
              </w:rPr>
              <w:t xml:space="preserve"> Kenya à formuler des commentaires et des conseils sur l</w:t>
            </w:r>
            <w:r w:rsidR="005311D6" w:rsidRPr="001800B7">
              <w:rPr>
                <w:szCs w:val="22"/>
              </w:rPr>
              <w:t>’</w:t>
            </w:r>
            <w:r w:rsidRPr="001800B7">
              <w:rPr>
                <w:szCs w:val="22"/>
              </w:rPr>
              <w:t>élaboration d</w:t>
            </w:r>
            <w:r w:rsidR="005311D6" w:rsidRPr="001800B7">
              <w:rPr>
                <w:szCs w:val="22"/>
              </w:rPr>
              <w:t>’</w:t>
            </w:r>
            <w:r w:rsidRPr="001800B7">
              <w:rPr>
                <w:szCs w:val="22"/>
              </w:rPr>
              <w:t xml:space="preserve">une politique cinématographique nationale. </w:t>
            </w:r>
            <w:r w:rsidR="008005FD" w:rsidRPr="001800B7">
              <w:rPr>
                <w:szCs w:val="22"/>
              </w:rPr>
              <w:t xml:space="preserve"> </w:t>
            </w:r>
            <w:r w:rsidRPr="001800B7">
              <w:rPr>
                <w:szCs w:val="22"/>
              </w:rPr>
              <w:t>Cette politique, qui en est au stade final, marque un pas important en avant en ce sens que ce sera la première fois que l</w:t>
            </w:r>
            <w:r w:rsidR="005311D6" w:rsidRPr="001800B7">
              <w:rPr>
                <w:szCs w:val="22"/>
              </w:rPr>
              <w:t>’</w:t>
            </w:r>
            <w:r w:rsidR="0008593D" w:rsidRPr="001800B7">
              <w:rPr>
                <w:szCs w:val="22"/>
              </w:rPr>
              <w:t>Assemblée</w:t>
            </w:r>
            <w:r w:rsidRPr="001800B7">
              <w:rPr>
                <w:szCs w:val="22"/>
              </w:rPr>
              <w:t xml:space="preserve"> législative du Kenya consacre officiellement le cinéma comme industrie nationale, ce qui présente un potentiel considérable </w:t>
            </w:r>
            <w:r w:rsidR="00D75F0D" w:rsidRPr="001800B7">
              <w:rPr>
                <w:szCs w:val="22"/>
              </w:rPr>
              <w:t xml:space="preserve">pour </w:t>
            </w:r>
            <w:r w:rsidRPr="001800B7">
              <w:rPr>
                <w:szCs w:val="22"/>
              </w:rPr>
              <w:t>la croissance économique du pays</w:t>
            </w:r>
            <w:r w:rsidR="00F35238" w:rsidRPr="001800B7">
              <w:rPr>
                <w:szCs w:val="22"/>
              </w:rPr>
              <w:t>.</w:t>
            </w:r>
          </w:p>
        </w:tc>
      </w:tr>
      <w:tr w:rsidR="001800B7" w:rsidRPr="001800B7" w:rsidTr="00343AB5">
        <w:tc>
          <w:tcPr>
            <w:tcW w:w="2376" w:type="dxa"/>
            <w:shd w:val="clear" w:color="auto" w:fill="auto"/>
          </w:tcPr>
          <w:p w:rsidR="00F35238" w:rsidRPr="001800B7" w:rsidRDefault="00CA7EB8" w:rsidP="00343AB5">
            <w:pPr>
              <w:pStyle w:val="Heading3"/>
              <w:keepNext w:val="0"/>
              <w:spacing w:before="120" w:after="120"/>
              <w:rPr>
                <w:szCs w:val="22"/>
              </w:rPr>
            </w:pPr>
            <w:r w:rsidRPr="001800B7">
              <w:rPr>
                <w:szCs w:val="22"/>
              </w:rPr>
              <w:t>Risques et atténuation des risques</w:t>
            </w:r>
          </w:p>
        </w:tc>
        <w:tc>
          <w:tcPr>
            <w:tcW w:w="6912" w:type="dxa"/>
          </w:tcPr>
          <w:p w:rsidR="008475D2" w:rsidRPr="001800B7" w:rsidRDefault="003F0D8F" w:rsidP="00343AB5">
            <w:pPr>
              <w:spacing w:before="120" w:after="120"/>
              <w:rPr>
                <w:iCs/>
                <w:szCs w:val="22"/>
              </w:rPr>
            </w:pPr>
            <w:r w:rsidRPr="001800B7">
              <w:rPr>
                <w:iCs/>
                <w:szCs w:val="22"/>
              </w:rPr>
              <w:t>Il y a eu un grand nombre de demandes de participation au programme dans chaque pays pilote.</w:t>
            </w:r>
            <w:r w:rsidR="008005FD" w:rsidRPr="001800B7">
              <w:rPr>
                <w:iCs/>
                <w:szCs w:val="22"/>
              </w:rPr>
              <w:t xml:space="preserve"> </w:t>
            </w:r>
            <w:r w:rsidRPr="001800B7">
              <w:rPr>
                <w:iCs/>
                <w:szCs w:val="22"/>
              </w:rPr>
              <w:t xml:space="preserve"> L</w:t>
            </w:r>
            <w:r w:rsidR="005311D6" w:rsidRPr="001800B7">
              <w:rPr>
                <w:iCs/>
                <w:szCs w:val="22"/>
              </w:rPr>
              <w:t>’</w:t>
            </w:r>
            <w:r w:rsidRPr="001800B7">
              <w:rPr>
                <w:iCs/>
                <w:szCs w:val="22"/>
              </w:rPr>
              <w:t>une des difficultés que ce projet pose réside dans l</w:t>
            </w:r>
            <w:r w:rsidR="005311D6" w:rsidRPr="001800B7">
              <w:rPr>
                <w:iCs/>
                <w:szCs w:val="22"/>
              </w:rPr>
              <w:t>’</w:t>
            </w:r>
            <w:r w:rsidRPr="001800B7">
              <w:rPr>
                <w:iCs/>
                <w:szCs w:val="22"/>
              </w:rPr>
              <w:t>identification appropriée des producteurs et des distributeurs de matériels audiovisuels/films qui ont une extraordinaire capacité d</w:t>
            </w:r>
            <w:r w:rsidR="005311D6" w:rsidRPr="001800B7">
              <w:rPr>
                <w:iCs/>
                <w:szCs w:val="22"/>
              </w:rPr>
              <w:t>’</w:t>
            </w:r>
            <w:r w:rsidRPr="001800B7">
              <w:rPr>
                <w:iCs/>
                <w:szCs w:val="22"/>
              </w:rPr>
              <w:t>initiative de concevoir des projets audiovisuels complexes selon une approche axée sur le marché</w:t>
            </w:r>
            <w:r w:rsidR="00F35238" w:rsidRPr="001800B7">
              <w:rPr>
                <w:iCs/>
                <w:szCs w:val="22"/>
              </w:rPr>
              <w:t>.</w:t>
            </w:r>
          </w:p>
          <w:p w:rsidR="008475D2" w:rsidRPr="001800B7" w:rsidRDefault="003F0D8F" w:rsidP="00343AB5">
            <w:pPr>
              <w:spacing w:before="120" w:after="120"/>
              <w:rPr>
                <w:iCs/>
                <w:szCs w:val="22"/>
              </w:rPr>
            </w:pPr>
            <w:r w:rsidRPr="001800B7">
              <w:rPr>
                <w:iCs/>
                <w:szCs w:val="22"/>
              </w:rPr>
              <w:t>Il n</w:t>
            </w:r>
            <w:r w:rsidR="005311D6" w:rsidRPr="001800B7">
              <w:rPr>
                <w:iCs/>
                <w:szCs w:val="22"/>
              </w:rPr>
              <w:t>’</w:t>
            </w:r>
            <w:r w:rsidRPr="001800B7">
              <w:rPr>
                <w:iCs/>
                <w:szCs w:val="22"/>
              </w:rPr>
              <w:t>a pas été facile de faire appel au milieu financier et bancaire car ce</w:t>
            </w:r>
            <w:r w:rsidR="00D75F0D" w:rsidRPr="001800B7">
              <w:rPr>
                <w:iCs/>
                <w:szCs w:val="22"/>
              </w:rPr>
              <w:t xml:space="preserve"> secteur connaî</w:t>
            </w:r>
            <w:r w:rsidRPr="001800B7">
              <w:rPr>
                <w:iCs/>
                <w:szCs w:val="22"/>
              </w:rPr>
              <w:t>t mal le secteur cinématographique et qu</w:t>
            </w:r>
            <w:r w:rsidR="005311D6" w:rsidRPr="001800B7">
              <w:rPr>
                <w:iCs/>
                <w:szCs w:val="22"/>
              </w:rPr>
              <w:t>’</w:t>
            </w:r>
            <w:r w:rsidRPr="001800B7">
              <w:rPr>
                <w:iCs/>
                <w:szCs w:val="22"/>
              </w:rPr>
              <w:t>il n</w:t>
            </w:r>
            <w:r w:rsidR="005311D6" w:rsidRPr="001800B7">
              <w:rPr>
                <w:iCs/>
                <w:szCs w:val="22"/>
              </w:rPr>
              <w:t>’</w:t>
            </w:r>
            <w:r w:rsidRPr="001800B7">
              <w:rPr>
                <w:iCs/>
                <w:szCs w:val="22"/>
              </w:rPr>
              <w:t xml:space="preserve">a aucune expérience de la coopération avec les entreprises. </w:t>
            </w:r>
            <w:r w:rsidR="008005FD" w:rsidRPr="001800B7">
              <w:rPr>
                <w:iCs/>
                <w:szCs w:val="22"/>
              </w:rPr>
              <w:t xml:space="preserve"> </w:t>
            </w:r>
            <w:r w:rsidRPr="001800B7">
              <w:rPr>
                <w:iCs/>
                <w:szCs w:val="22"/>
              </w:rPr>
              <w:t>Une coordination et des pourparlers suivis se déroulent avec les autorités locales pour solliciter la participation de ces importants partenaires aux activités du projet</w:t>
            </w:r>
            <w:r w:rsidR="00F35238" w:rsidRPr="001800B7">
              <w:rPr>
                <w:iCs/>
                <w:szCs w:val="22"/>
              </w:rPr>
              <w:t>.</w:t>
            </w:r>
          </w:p>
          <w:p w:rsidR="00052CA7" w:rsidRPr="001800B7" w:rsidRDefault="003F0D8F" w:rsidP="00343AB5">
            <w:pPr>
              <w:suppressAutoHyphens/>
              <w:autoSpaceDN w:val="0"/>
              <w:spacing w:before="120" w:after="120"/>
              <w:textAlignment w:val="baseline"/>
              <w:rPr>
                <w:szCs w:val="22"/>
              </w:rPr>
            </w:pPr>
            <w:r w:rsidRPr="001800B7">
              <w:rPr>
                <w:iCs/>
                <w:szCs w:val="22"/>
              </w:rPr>
              <w:t>L</w:t>
            </w:r>
            <w:r w:rsidR="005311D6" w:rsidRPr="001800B7">
              <w:rPr>
                <w:iCs/>
                <w:szCs w:val="22"/>
              </w:rPr>
              <w:t>’</w:t>
            </w:r>
            <w:r w:rsidRPr="001800B7">
              <w:rPr>
                <w:iCs/>
                <w:szCs w:val="22"/>
              </w:rPr>
              <w:t>aboutissement du projet exige également que, dans chaque pays, on établisse des cadres juridiques qui assurent la protection des droits d</w:t>
            </w:r>
            <w:r w:rsidR="005311D6" w:rsidRPr="001800B7">
              <w:rPr>
                <w:iCs/>
                <w:szCs w:val="22"/>
              </w:rPr>
              <w:t>’</w:t>
            </w:r>
            <w:r w:rsidRPr="001800B7">
              <w:rPr>
                <w:iCs/>
                <w:szCs w:val="22"/>
              </w:rPr>
              <w:t>auteur dans le milieu numérique et qu</w:t>
            </w:r>
            <w:r w:rsidR="005311D6" w:rsidRPr="001800B7">
              <w:rPr>
                <w:iCs/>
                <w:szCs w:val="22"/>
              </w:rPr>
              <w:t>’</w:t>
            </w:r>
            <w:r w:rsidRPr="001800B7">
              <w:rPr>
                <w:iCs/>
                <w:szCs w:val="22"/>
              </w:rPr>
              <w:t xml:space="preserve">ils soient adoptés comme mesures efficaces </w:t>
            </w:r>
            <w:r w:rsidR="00D75F0D" w:rsidRPr="001800B7">
              <w:rPr>
                <w:iCs/>
                <w:szCs w:val="22"/>
              </w:rPr>
              <w:t>pour</w:t>
            </w:r>
            <w:r w:rsidRPr="001800B7">
              <w:rPr>
                <w:iCs/>
                <w:szCs w:val="22"/>
              </w:rPr>
              <w:t xml:space="preserve"> renforcer le respect pour la propriété intellectuelle à l</w:t>
            </w:r>
            <w:r w:rsidR="005311D6" w:rsidRPr="001800B7">
              <w:rPr>
                <w:iCs/>
                <w:szCs w:val="22"/>
              </w:rPr>
              <w:t>’</w:t>
            </w:r>
            <w:r w:rsidRPr="001800B7">
              <w:rPr>
                <w:iCs/>
                <w:szCs w:val="22"/>
              </w:rPr>
              <w:t>appui de la constitution de chaînes de distribution légales et d</w:t>
            </w:r>
            <w:r w:rsidR="005311D6" w:rsidRPr="001800B7">
              <w:rPr>
                <w:iCs/>
                <w:szCs w:val="22"/>
              </w:rPr>
              <w:t>’</w:t>
            </w:r>
            <w:r w:rsidRPr="001800B7">
              <w:rPr>
                <w:iCs/>
                <w:szCs w:val="22"/>
              </w:rPr>
              <w:t xml:space="preserve">un marché </w:t>
            </w:r>
            <w:r w:rsidR="00D75F0D" w:rsidRPr="001800B7">
              <w:rPr>
                <w:iCs/>
                <w:szCs w:val="22"/>
              </w:rPr>
              <w:t>légal de l</w:t>
            </w:r>
            <w:r w:rsidR="005311D6" w:rsidRPr="001800B7">
              <w:rPr>
                <w:iCs/>
                <w:szCs w:val="22"/>
              </w:rPr>
              <w:t>’</w:t>
            </w:r>
            <w:r w:rsidRPr="001800B7">
              <w:rPr>
                <w:iCs/>
                <w:szCs w:val="22"/>
              </w:rPr>
              <w:t>audiovisuel</w:t>
            </w:r>
            <w:r w:rsidR="00F35238" w:rsidRPr="001800B7">
              <w:rPr>
                <w:iCs/>
                <w:szCs w:val="22"/>
              </w:rPr>
              <w:t>.</w:t>
            </w:r>
          </w:p>
        </w:tc>
      </w:tr>
      <w:tr w:rsidR="001800B7" w:rsidRPr="001800B7" w:rsidTr="00343AB5">
        <w:tc>
          <w:tcPr>
            <w:tcW w:w="2376" w:type="dxa"/>
            <w:shd w:val="clear" w:color="auto" w:fill="auto"/>
          </w:tcPr>
          <w:p w:rsidR="00F35238" w:rsidRPr="001800B7" w:rsidRDefault="00CA7EB8" w:rsidP="00343AB5">
            <w:pPr>
              <w:pStyle w:val="Heading3"/>
              <w:keepNext w:val="0"/>
              <w:spacing w:before="120" w:after="120"/>
              <w:rPr>
                <w:szCs w:val="22"/>
              </w:rPr>
            </w:pPr>
            <w:r w:rsidRPr="001800B7">
              <w:rPr>
                <w:szCs w:val="22"/>
              </w:rPr>
              <w:t>Questions appelant des mesures ou une attention immédiates</w:t>
            </w:r>
          </w:p>
        </w:tc>
        <w:tc>
          <w:tcPr>
            <w:tcW w:w="6912" w:type="dxa"/>
          </w:tcPr>
          <w:p w:rsidR="008475D2" w:rsidRPr="001800B7" w:rsidRDefault="009C06E6" w:rsidP="00343AB5">
            <w:pPr>
              <w:suppressAutoHyphens/>
              <w:autoSpaceDN w:val="0"/>
              <w:spacing w:before="120" w:after="120"/>
              <w:textAlignment w:val="baseline"/>
              <w:rPr>
                <w:iCs/>
                <w:szCs w:val="22"/>
              </w:rPr>
            </w:pPr>
            <w:r w:rsidRPr="001800B7">
              <w:rPr>
                <w:iCs/>
                <w:szCs w:val="22"/>
              </w:rPr>
              <w:t>Compte tenu du faible niveau de sensibilisation et d</w:t>
            </w:r>
            <w:r w:rsidR="005311D6" w:rsidRPr="001800B7">
              <w:rPr>
                <w:iCs/>
                <w:szCs w:val="22"/>
              </w:rPr>
              <w:t>’</w:t>
            </w:r>
            <w:r w:rsidRPr="001800B7">
              <w:rPr>
                <w:iCs/>
                <w:szCs w:val="22"/>
              </w:rPr>
              <w:t>utilisation du droit d</w:t>
            </w:r>
            <w:r w:rsidR="005311D6" w:rsidRPr="001800B7">
              <w:rPr>
                <w:iCs/>
                <w:szCs w:val="22"/>
              </w:rPr>
              <w:t>’</w:t>
            </w:r>
            <w:r w:rsidRPr="001800B7">
              <w:rPr>
                <w:iCs/>
                <w:szCs w:val="22"/>
              </w:rPr>
              <w:t>auteur dans le secteur de l</w:t>
            </w:r>
            <w:r w:rsidR="005311D6" w:rsidRPr="001800B7">
              <w:rPr>
                <w:iCs/>
                <w:szCs w:val="22"/>
              </w:rPr>
              <w:t>’</w:t>
            </w:r>
            <w:r w:rsidRPr="001800B7">
              <w:rPr>
                <w:iCs/>
                <w:szCs w:val="22"/>
              </w:rPr>
              <w:t xml:space="preserve">audiovisuel, les pays bénéficiaires ont également demandé </w:t>
            </w:r>
            <w:r w:rsidR="00D75F0D" w:rsidRPr="001800B7">
              <w:rPr>
                <w:iCs/>
                <w:szCs w:val="22"/>
              </w:rPr>
              <w:t>à</w:t>
            </w:r>
            <w:r w:rsidRPr="001800B7">
              <w:rPr>
                <w:iCs/>
                <w:szCs w:val="22"/>
              </w:rPr>
              <w:t xml:space="preserve"> multiplier le nombre d</w:t>
            </w:r>
            <w:r w:rsidR="005311D6" w:rsidRPr="001800B7">
              <w:rPr>
                <w:iCs/>
                <w:szCs w:val="22"/>
              </w:rPr>
              <w:t>’</w:t>
            </w:r>
            <w:r w:rsidRPr="001800B7">
              <w:rPr>
                <w:iCs/>
                <w:szCs w:val="22"/>
              </w:rPr>
              <w:t xml:space="preserve">activités pour répondre de façon </w:t>
            </w:r>
            <w:r w:rsidR="00D75F0D" w:rsidRPr="001800B7">
              <w:rPr>
                <w:iCs/>
                <w:szCs w:val="22"/>
              </w:rPr>
              <w:t xml:space="preserve">globale </w:t>
            </w:r>
            <w:r w:rsidRPr="001800B7">
              <w:rPr>
                <w:iCs/>
                <w:szCs w:val="22"/>
              </w:rPr>
              <w:t>aux besoins pratiques des secteurs de l</w:t>
            </w:r>
            <w:r w:rsidR="005311D6" w:rsidRPr="001800B7">
              <w:rPr>
                <w:iCs/>
                <w:szCs w:val="22"/>
              </w:rPr>
              <w:t>’</w:t>
            </w:r>
            <w:r w:rsidRPr="001800B7">
              <w:rPr>
                <w:iCs/>
                <w:szCs w:val="22"/>
              </w:rPr>
              <w:t>audiovisuel, des finances et des juristes pour raffermir l</w:t>
            </w:r>
            <w:r w:rsidR="005311D6" w:rsidRPr="001800B7">
              <w:rPr>
                <w:iCs/>
                <w:szCs w:val="22"/>
              </w:rPr>
              <w:t>’</w:t>
            </w:r>
            <w:r w:rsidRPr="001800B7">
              <w:rPr>
                <w:iCs/>
                <w:szCs w:val="22"/>
              </w:rPr>
              <w:t xml:space="preserve">apprentissage des normes internationales tout en laissant une </w:t>
            </w:r>
            <w:r w:rsidRPr="001800B7">
              <w:rPr>
                <w:iCs/>
                <w:szCs w:val="22"/>
              </w:rPr>
              <w:lastRenderedPageBreak/>
              <w:t>marge suffisante pour la mise au point de pratiques exemplaires pertinentes pour les activités commerciales cinématographiques dans le contexte de l</w:t>
            </w:r>
            <w:r w:rsidR="005311D6" w:rsidRPr="001800B7">
              <w:rPr>
                <w:iCs/>
                <w:szCs w:val="22"/>
              </w:rPr>
              <w:t>’</w:t>
            </w:r>
            <w:r w:rsidRPr="001800B7">
              <w:rPr>
                <w:iCs/>
                <w:szCs w:val="22"/>
              </w:rPr>
              <w:t>Afrique.</w:t>
            </w:r>
          </w:p>
          <w:p w:rsidR="008475D2" w:rsidRPr="001800B7" w:rsidRDefault="009C06E6" w:rsidP="00343AB5">
            <w:pPr>
              <w:suppressAutoHyphens/>
              <w:autoSpaceDN w:val="0"/>
              <w:spacing w:before="120" w:after="120"/>
              <w:textAlignment w:val="baseline"/>
              <w:rPr>
                <w:iCs/>
                <w:szCs w:val="22"/>
              </w:rPr>
            </w:pPr>
            <w:r w:rsidRPr="001800B7">
              <w:rPr>
                <w:iCs/>
                <w:szCs w:val="22"/>
              </w:rPr>
              <w:t>Pour ce qui est de l</w:t>
            </w:r>
            <w:r w:rsidR="005311D6" w:rsidRPr="001800B7">
              <w:rPr>
                <w:iCs/>
                <w:szCs w:val="22"/>
              </w:rPr>
              <w:t>’</w:t>
            </w:r>
            <w:r w:rsidRPr="001800B7">
              <w:rPr>
                <w:iCs/>
                <w:szCs w:val="22"/>
              </w:rPr>
              <w:t xml:space="preserve">activité </w:t>
            </w:r>
            <w:r w:rsidR="008005FD" w:rsidRPr="001800B7">
              <w:rPr>
                <w:iCs/>
                <w:szCs w:val="22"/>
              </w:rPr>
              <w:t>n°</w:t>
            </w:r>
            <w:r w:rsidRPr="001800B7">
              <w:rPr>
                <w:iCs/>
                <w:szCs w:val="22"/>
              </w:rPr>
              <w:t xml:space="preserve"> 2 du projet, le </w:t>
            </w:r>
            <w:r w:rsidR="00F35238" w:rsidRPr="001800B7">
              <w:rPr>
                <w:iCs/>
                <w:szCs w:val="22"/>
              </w:rPr>
              <w:t xml:space="preserve">Kenya, </w:t>
            </w:r>
            <w:r w:rsidRPr="001800B7">
              <w:rPr>
                <w:iCs/>
                <w:szCs w:val="22"/>
              </w:rPr>
              <w:t xml:space="preserve">le </w:t>
            </w:r>
            <w:r w:rsidR="00F35238" w:rsidRPr="001800B7">
              <w:rPr>
                <w:iCs/>
                <w:szCs w:val="22"/>
              </w:rPr>
              <w:t xml:space="preserve">Burkina Faso </w:t>
            </w:r>
            <w:r w:rsidR="00D75F0D" w:rsidRPr="001800B7">
              <w:rPr>
                <w:iCs/>
                <w:szCs w:val="22"/>
              </w:rPr>
              <w:t xml:space="preserve">et le Sénégal ont demandé à </w:t>
            </w:r>
            <w:r w:rsidRPr="001800B7">
              <w:rPr>
                <w:iCs/>
                <w:szCs w:val="22"/>
              </w:rPr>
              <w:t>organiser des ateliers de suivi en</w:t>
            </w:r>
            <w:r w:rsidR="008005FD" w:rsidRPr="001800B7">
              <w:rPr>
                <w:iCs/>
                <w:szCs w:val="22"/>
              </w:rPr>
              <w:t> </w:t>
            </w:r>
            <w:r w:rsidR="00F35238" w:rsidRPr="001800B7">
              <w:rPr>
                <w:iCs/>
                <w:szCs w:val="22"/>
              </w:rPr>
              <w:t>2015.</w:t>
            </w:r>
            <w:r w:rsidR="008005FD" w:rsidRPr="001800B7">
              <w:rPr>
                <w:iCs/>
                <w:szCs w:val="22"/>
              </w:rPr>
              <w:t xml:space="preserve"> </w:t>
            </w:r>
            <w:r w:rsidRPr="001800B7">
              <w:rPr>
                <w:iCs/>
                <w:szCs w:val="22"/>
              </w:rPr>
              <w:t xml:space="preserve"> Cette demande sera prise en considération au moment d</w:t>
            </w:r>
            <w:r w:rsidR="005311D6" w:rsidRPr="001800B7">
              <w:rPr>
                <w:iCs/>
                <w:szCs w:val="22"/>
              </w:rPr>
              <w:t>’</w:t>
            </w:r>
            <w:r w:rsidRPr="001800B7">
              <w:rPr>
                <w:iCs/>
                <w:szCs w:val="22"/>
              </w:rPr>
              <w:t>établir le calendrier des ateliers de formation sur l</w:t>
            </w:r>
            <w:r w:rsidR="005311D6" w:rsidRPr="001800B7">
              <w:rPr>
                <w:iCs/>
                <w:szCs w:val="22"/>
              </w:rPr>
              <w:t>’</w:t>
            </w:r>
            <w:r w:rsidRPr="001800B7">
              <w:rPr>
                <w:iCs/>
                <w:szCs w:val="22"/>
              </w:rPr>
              <w:t xml:space="preserve">activité </w:t>
            </w:r>
            <w:r w:rsidR="008005FD" w:rsidRPr="001800B7">
              <w:rPr>
                <w:iCs/>
                <w:szCs w:val="22"/>
              </w:rPr>
              <w:t>n°</w:t>
            </w:r>
            <w:r w:rsidRPr="001800B7">
              <w:rPr>
                <w:iCs/>
                <w:szCs w:val="22"/>
              </w:rPr>
              <w:t> 3 du projet, où il est possible de combiner les deux</w:t>
            </w:r>
            <w:r w:rsidR="008005FD" w:rsidRPr="001800B7">
              <w:rPr>
                <w:iCs/>
                <w:szCs w:val="22"/>
              </w:rPr>
              <w:t> </w:t>
            </w:r>
            <w:r w:rsidRPr="001800B7">
              <w:rPr>
                <w:iCs/>
                <w:szCs w:val="22"/>
              </w:rPr>
              <w:t>objectifs.</w:t>
            </w:r>
          </w:p>
          <w:p w:rsidR="00F35238" w:rsidRPr="001800B7" w:rsidRDefault="009C06E6" w:rsidP="00343AB5">
            <w:pPr>
              <w:spacing w:before="120" w:after="120"/>
              <w:rPr>
                <w:iCs/>
                <w:szCs w:val="22"/>
              </w:rPr>
            </w:pPr>
            <w:r w:rsidRPr="001800B7">
              <w:rPr>
                <w:iCs/>
                <w:szCs w:val="22"/>
              </w:rPr>
              <w:t>Le chef de projet a également été invité à faciliter la participation des producteurs/distributeurs sur les marchés internationaux de la vente/l</w:t>
            </w:r>
            <w:r w:rsidR="005311D6" w:rsidRPr="001800B7">
              <w:rPr>
                <w:iCs/>
                <w:szCs w:val="22"/>
              </w:rPr>
              <w:t>’</w:t>
            </w:r>
            <w:r w:rsidRPr="001800B7">
              <w:rPr>
                <w:iCs/>
                <w:szCs w:val="22"/>
              </w:rPr>
              <w:t xml:space="preserve">achat </w:t>
            </w:r>
            <w:r w:rsidR="00D75F0D" w:rsidRPr="001800B7">
              <w:rPr>
                <w:iCs/>
                <w:szCs w:val="22"/>
              </w:rPr>
              <w:t xml:space="preserve">de produits audiovisuels </w:t>
            </w:r>
            <w:r w:rsidRPr="001800B7">
              <w:rPr>
                <w:iCs/>
                <w:szCs w:val="22"/>
              </w:rPr>
              <w:t>comme</w:t>
            </w:r>
            <w:r w:rsidR="00F35238" w:rsidRPr="001800B7">
              <w:rPr>
                <w:iCs/>
                <w:szCs w:val="22"/>
              </w:rPr>
              <w:t xml:space="preserve"> DISCOP </w:t>
            </w:r>
            <w:proofErr w:type="spellStart"/>
            <w:r w:rsidR="00F35238" w:rsidRPr="001800B7">
              <w:rPr>
                <w:iCs/>
                <w:szCs w:val="22"/>
              </w:rPr>
              <w:t>Africa</w:t>
            </w:r>
            <w:proofErr w:type="spellEnd"/>
            <w:r w:rsidR="00F35238" w:rsidRPr="001800B7">
              <w:rPr>
                <w:iCs/>
                <w:szCs w:val="22"/>
              </w:rPr>
              <w:t xml:space="preserve"> </w:t>
            </w:r>
            <w:r w:rsidRPr="001800B7">
              <w:rPr>
                <w:iCs/>
                <w:szCs w:val="22"/>
              </w:rPr>
              <w:t>afin de tirer parti des outils fondés sur le droit d</w:t>
            </w:r>
            <w:r w:rsidR="005311D6" w:rsidRPr="001800B7">
              <w:rPr>
                <w:iCs/>
                <w:szCs w:val="22"/>
              </w:rPr>
              <w:t>’</w:t>
            </w:r>
            <w:r w:rsidRPr="001800B7">
              <w:rPr>
                <w:iCs/>
                <w:szCs w:val="22"/>
              </w:rPr>
              <w:t>auteur pour vendre et exporter des contenus audiovisuels locaux</w:t>
            </w:r>
            <w:r w:rsidR="00F35238" w:rsidRPr="001800B7">
              <w:rPr>
                <w:iCs/>
                <w:szCs w:val="22"/>
              </w:rPr>
              <w:t>.</w:t>
            </w:r>
          </w:p>
        </w:tc>
      </w:tr>
      <w:tr w:rsidR="001800B7" w:rsidRPr="001800B7" w:rsidTr="00343AB5">
        <w:tc>
          <w:tcPr>
            <w:tcW w:w="2376" w:type="dxa"/>
            <w:shd w:val="clear" w:color="auto" w:fill="auto"/>
          </w:tcPr>
          <w:p w:rsidR="00F35238" w:rsidRPr="001800B7" w:rsidRDefault="00CA7EB8" w:rsidP="00343AB5">
            <w:pPr>
              <w:pStyle w:val="Heading3"/>
              <w:keepNext w:val="0"/>
              <w:spacing w:before="120" w:after="120"/>
              <w:rPr>
                <w:szCs w:val="22"/>
              </w:rPr>
            </w:pPr>
            <w:r w:rsidRPr="001800B7">
              <w:rPr>
                <w:szCs w:val="22"/>
              </w:rPr>
              <w:lastRenderedPageBreak/>
              <w:t>Mesures à prendre</w:t>
            </w:r>
          </w:p>
        </w:tc>
        <w:tc>
          <w:tcPr>
            <w:tcW w:w="6912" w:type="dxa"/>
          </w:tcPr>
          <w:p w:rsidR="008475D2" w:rsidRPr="001800B7" w:rsidRDefault="009C06E6" w:rsidP="00343AB5">
            <w:pPr>
              <w:spacing w:before="120" w:after="120"/>
              <w:rPr>
                <w:iCs/>
                <w:szCs w:val="22"/>
              </w:rPr>
            </w:pPr>
            <w:r w:rsidRPr="001800B7">
              <w:rPr>
                <w:iCs/>
                <w:szCs w:val="22"/>
              </w:rPr>
              <w:t xml:space="preserve">Entre </w:t>
            </w:r>
            <w:r w:rsidR="00456841" w:rsidRPr="001800B7">
              <w:rPr>
                <w:iCs/>
                <w:szCs w:val="22"/>
              </w:rPr>
              <w:t>octobre 20</w:t>
            </w:r>
            <w:r w:rsidR="00F35238" w:rsidRPr="001800B7">
              <w:rPr>
                <w:iCs/>
                <w:szCs w:val="22"/>
              </w:rPr>
              <w:t xml:space="preserve">14 </w:t>
            </w:r>
            <w:r w:rsidRPr="001800B7">
              <w:rPr>
                <w:iCs/>
                <w:szCs w:val="22"/>
              </w:rPr>
              <w:t xml:space="preserve">et </w:t>
            </w:r>
            <w:r w:rsidR="00456841" w:rsidRPr="001800B7">
              <w:rPr>
                <w:iCs/>
                <w:szCs w:val="22"/>
              </w:rPr>
              <w:t>septembre 20</w:t>
            </w:r>
            <w:r w:rsidR="00F35238" w:rsidRPr="001800B7">
              <w:rPr>
                <w:iCs/>
                <w:szCs w:val="22"/>
              </w:rPr>
              <w:t xml:space="preserve">15, </w:t>
            </w:r>
            <w:r w:rsidRPr="001800B7">
              <w:rPr>
                <w:iCs/>
                <w:szCs w:val="22"/>
              </w:rPr>
              <w:t>le projet se concentrera sur les activités suivantes </w:t>
            </w:r>
            <w:r w:rsidR="00F35238" w:rsidRPr="001800B7">
              <w:rPr>
                <w:iCs/>
                <w:szCs w:val="22"/>
              </w:rPr>
              <w:t>:</w:t>
            </w:r>
          </w:p>
          <w:p w:rsidR="008475D2" w:rsidRPr="001800B7" w:rsidRDefault="009C06E6" w:rsidP="0010628F">
            <w:pPr>
              <w:numPr>
                <w:ilvl w:val="0"/>
                <w:numId w:val="30"/>
              </w:numPr>
              <w:tabs>
                <w:tab w:val="left" w:pos="567"/>
              </w:tabs>
              <w:spacing w:before="120" w:after="120"/>
              <w:ind w:left="568" w:hanging="284"/>
              <w:rPr>
                <w:iCs/>
                <w:szCs w:val="22"/>
              </w:rPr>
            </w:pPr>
            <w:r w:rsidRPr="001800B7">
              <w:rPr>
                <w:iCs/>
                <w:szCs w:val="22"/>
              </w:rPr>
              <w:t xml:space="preserve">Organiser un atelier de formation de suivi dans chaque pays pilote. </w:t>
            </w:r>
            <w:r w:rsidR="008005FD" w:rsidRPr="001800B7">
              <w:rPr>
                <w:iCs/>
                <w:szCs w:val="22"/>
              </w:rPr>
              <w:t xml:space="preserve"> </w:t>
            </w:r>
            <w:r w:rsidRPr="001800B7">
              <w:rPr>
                <w:iCs/>
                <w:szCs w:val="22"/>
              </w:rPr>
              <w:t>Cela permettra de passer du niveau théorique de formation à des outils commerciaux plus spécifiques et à des études de cas où l</w:t>
            </w:r>
            <w:r w:rsidR="005311D6" w:rsidRPr="001800B7">
              <w:rPr>
                <w:iCs/>
                <w:szCs w:val="22"/>
              </w:rPr>
              <w:t>’</w:t>
            </w:r>
            <w:r w:rsidRPr="001800B7">
              <w:rPr>
                <w:iCs/>
                <w:szCs w:val="22"/>
              </w:rPr>
              <w:t>on peut tenir compte des besoins complexes de chaque industrie cinématographique locale et concevoir sur mesure des pratiques pour les pays d</w:t>
            </w:r>
            <w:r w:rsidR="005311D6" w:rsidRPr="001800B7">
              <w:rPr>
                <w:iCs/>
                <w:szCs w:val="22"/>
              </w:rPr>
              <w:t>’</w:t>
            </w:r>
            <w:r w:rsidRPr="001800B7">
              <w:rPr>
                <w:iCs/>
                <w:szCs w:val="22"/>
              </w:rPr>
              <w:t>Afrique</w:t>
            </w:r>
            <w:r w:rsidR="00F35238" w:rsidRPr="001800B7">
              <w:rPr>
                <w:iCs/>
                <w:szCs w:val="22"/>
              </w:rPr>
              <w:t>;</w:t>
            </w:r>
          </w:p>
          <w:p w:rsidR="008475D2" w:rsidRPr="001800B7" w:rsidRDefault="009C06E6" w:rsidP="0010628F">
            <w:pPr>
              <w:pStyle w:val="ListParagraph"/>
              <w:numPr>
                <w:ilvl w:val="0"/>
                <w:numId w:val="30"/>
              </w:numPr>
              <w:tabs>
                <w:tab w:val="left" w:pos="567"/>
              </w:tabs>
              <w:spacing w:before="120" w:after="120"/>
              <w:ind w:left="568" w:hanging="284"/>
              <w:contextualSpacing w:val="0"/>
              <w:rPr>
                <w:szCs w:val="22"/>
              </w:rPr>
            </w:pPr>
            <w:r w:rsidRPr="001800B7">
              <w:rPr>
                <w:iCs/>
                <w:szCs w:val="22"/>
              </w:rPr>
              <w:t>Passer à la phase de mise en œuvre de l</w:t>
            </w:r>
            <w:r w:rsidR="005311D6" w:rsidRPr="001800B7">
              <w:rPr>
                <w:iCs/>
                <w:szCs w:val="22"/>
              </w:rPr>
              <w:t>’</w:t>
            </w:r>
            <w:r w:rsidRPr="001800B7">
              <w:rPr>
                <w:iCs/>
                <w:szCs w:val="22"/>
              </w:rPr>
              <w:t xml:space="preserve">activité </w:t>
            </w:r>
            <w:r w:rsidR="008005FD" w:rsidRPr="001800B7">
              <w:rPr>
                <w:iCs/>
                <w:szCs w:val="22"/>
              </w:rPr>
              <w:t>n°</w:t>
            </w:r>
            <w:r w:rsidRPr="001800B7">
              <w:rPr>
                <w:iCs/>
                <w:szCs w:val="22"/>
              </w:rPr>
              <w:t> 3 du projet en tenant compte des recommandations formulées dans l</w:t>
            </w:r>
            <w:r w:rsidR="005311D6" w:rsidRPr="001800B7">
              <w:rPr>
                <w:iCs/>
                <w:szCs w:val="22"/>
              </w:rPr>
              <w:t>’</w:t>
            </w:r>
            <w:r w:rsidRPr="001800B7">
              <w:rPr>
                <w:iCs/>
                <w:szCs w:val="22"/>
              </w:rPr>
              <w:t xml:space="preserve">étude sur </w:t>
            </w:r>
            <w:r w:rsidR="008005FD" w:rsidRPr="001800B7">
              <w:rPr>
                <w:iCs/>
                <w:szCs w:val="22"/>
              </w:rPr>
              <w:t>“</w:t>
            </w:r>
            <w:r w:rsidRPr="001800B7">
              <w:rPr>
                <w:i/>
                <w:iCs/>
                <w:szCs w:val="22"/>
              </w:rPr>
              <w:t>la négociation collective des droits et la gestion collective des droits dans le secteur de l</w:t>
            </w:r>
            <w:r w:rsidR="005311D6" w:rsidRPr="001800B7">
              <w:rPr>
                <w:i/>
                <w:iCs/>
                <w:szCs w:val="22"/>
              </w:rPr>
              <w:t>’</w:t>
            </w:r>
            <w:r w:rsidRPr="001800B7">
              <w:rPr>
                <w:i/>
                <w:iCs/>
                <w:szCs w:val="22"/>
              </w:rPr>
              <w:t>audiovisuel</w:t>
            </w:r>
            <w:r w:rsidR="008005FD" w:rsidRPr="001800B7">
              <w:rPr>
                <w:iCs/>
                <w:szCs w:val="22"/>
              </w:rPr>
              <w:t xml:space="preserve">”. </w:t>
            </w:r>
            <w:r w:rsidRPr="001800B7">
              <w:rPr>
                <w:iCs/>
                <w:szCs w:val="22"/>
              </w:rPr>
              <w:t xml:space="preserve"> Cela présuppose des séances de formation et une formation sur place pour aiguiser les compétences du secteur dans le domaine des droits d</w:t>
            </w:r>
            <w:r w:rsidR="005311D6" w:rsidRPr="001800B7">
              <w:rPr>
                <w:iCs/>
                <w:szCs w:val="22"/>
              </w:rPr>
              <w:t>’</w:t>
            </w:r>
            <w:r w:rsidRPr="001800B7">
              <w:rPr>
                <w:iCs/>
                <w:szCs w:val="22"/>
              </w:rPr>
              <w:t>auteur et des négociations fondées sur la concession de licences afin de régler certains problèmes comme les outils appropriés et les règles commerciales pour les relations contractuelles entre des collaborateurs inventifs et des partenaires financiers, et des pratiques de concession de licences pour le milieu informatique</w:t>
            </w:r>
            <w:r w:rsidR="00DC45C9" w:rsidRPr="001800B7">
              <w:rPr>
                <w:szCs w:val="22"/>
              </w:rPr>
              <w:t>;</w:t>
            </w:r>
          </w:p>
          <w:p w:rsidR="00F35238" w:rsidRPr="001800B7" w:rsidRDefault="009C06E6" w:rsidP="0010628F">
            <w:pPr>
              <w:pStyle w:val="ListParagraph"/>
              <w:numPr>
                <w:ilvl w:val="0"/>
                <w:numId w:val="30"/>
              </w:numPr>
              <w:tabs>
                <w:tab w:val="left" w:pos="567"/>
              </w:tabs>
              <w:spacing w:before="120" w:after="120"/>
              <w:ind w:left="568" w:hanging="284"/>
              <w:contextualSpacing w:val="0"/>
              <w:rPr>
                <w:szCs w:val="22"/>
              </w:rPr>
            </w:pPr>
            <w:r w:rsidRPr="001800B7">
              <w:rPr>
                <w:szCs w:val="22"/>
              </w:rPr>
              <w:t xml:space="preserve">Le programme de formation à </w:t>
            </w:r>
            <w:r w:rsidR="00F35238" w:rsidRPr="001800B7">
              <w:rPr>
                <w:szCs w:val="22"/>
              </w:rPr>
              <w:t>d</w:t>
            </w:r>
            <w:r w:rsidR="00F35238" w:rsidRPr="001800B7">
              <w:rPr>
                <w:iCs/>
                <w:szCs w:val="22"/>
              </w:rPr>
              <w:t xml:space="preserve">istance </w:t>
            </w:r>
            <w:r w:rsidRPr="001800B7">
              <w:rPr>
                <w:iCs/>
                <w:szCs w:val="22"/>
              </w:rPr>
              <w:t>sera conçu en fonction du contenu des programmes de formation</w:t>
            </w:r>
            <w:r w:rsidR="00F35238" w:rsidRPr="001800B7">
              <w:rPr>
                <w:iCs/>
                <w:szCs w:val="22"/>
              </w:rPr>
              <w:t>.</w:t>
            </w:r>
          </w:p>
        </w:tc>
      </w:tr>
      <w:tr w:rsidR="001800B7" w:rsidRPr="001800B7" w:rsidTr="00343AB5">
        <w:tc>
          <w:tcPr>
            <w:tcW w:w="2376" w:type="dxa"/>
            <w:shd w:val="clear" w:color="auto" w:fill="auto"/>
          </w:tcPr>
          <w:p w:rsidR="00F35238" w:rsidRPr="001800B7" w:rsidRDefault="00CA7EB8" w:rsidP="00343AB5">
            <w:pPr>
              <w:pStyle w:val="Heading3"/>
              <w:keepNext w:val="0"/>
              <w:spacing w:before="120" w:after="120"/>
              <w:rPr>
                <w:szCs w:val="22"/>
              </w:rPr>
            </w:pPr>
            <w:r w:rsidRPr="001800B7">
              <w:rPr>
                <w:szCs w:val="22"/>
              </w:rPr>
              <w:t>Calendrier d</w:t>
            </w:r>
            <w:r w:rsidR="005311D6" w:rsidRPr="001800B7">
              <w:rPr>
                <w:szCs w:val="22"/>
              </w:rPr>
              <w:t>’</w:t>
            </w:r>
            <w:r w:rsidRPr="001800B7">
              <w:rPr>
                <w:szCs w:val="22"/>
              </w:rPr>
              <w:t>exécution</w:t>
            </w:r>
          </w:p>
        </w:tc>
        <w:tc>
          <w:tcPr>
            <w:tcW w:w="6912" w:type="dxa"/>
          </w:tcPr>
          <w:p w:rsidR="00F35238" w:rsidRPr="001800B7" w:rsidRDefault="009C06E6" w:rsidP="00343AB5">
            <w:pPr>
              <w:spacing w:before="120" w:after="120"/>
              <w:rPr>
                <w:iCs/>
                <w:szCs w:val="22"/>
              </w:rPr>
            </w:pPr>
            <w:r w:rsidRPr="001800B7">
              <w:rPr>
                <w:iCs/>
                <w:szCs w:val="22"/>
              </w:rPr>
              <w:t>La mise en œuvre progresse conformément au nouveau calendrier du projet approuvé par</w:t>
            </w:r>
            <w:r w:rsidR="00456841" w:rsidRPr="001800B7">
              <w:rPr>
                <w:iCs/>
                <w:szCs w:val="22"/>
              </w:rPr>
              <w:t xml:space="preserve"> le CDI</w:t>
            </w:r>
            <w:r w:rsidRPr="001800B7">
              <w:rPr>
                <w:iCs/>
                <w:szCs w:val="22"/>
              </w:rPr>
              <w:t xml:space="preserve">P à sa </w:t>
            </w:r>
            <w:r w:rsidR="00CB4748" w:rsidRPr="001800B7">
              <w:rPr>
                <w:iCs/>
                <w:szCs w:val="22"/>
              </w:rPr>
              <w:t>douzième</w:t>
            </w:r>
            <w:r w:rsidR="008005FD" w:rsidRPr="001800B7">
              <w:rPr>
                <w:iCs/>
                <w:szCs w:val="22"/>
              </w:rPr>
              <w:t> </w:t>
            </w:r>
            <w:r w:rsidR="00F35238" w:rsidRPr="001800B7">
              <w:rPr>
                <w:iCs/>
                <w:szCs w:val="22"/>
              </w:rPr>
              <w:t>session.</w:t>
            </w:r>
          </w:p>
        </w:tc>
      </w:tr>
      <w:tr w:rsidR="001800B7" w:rsidRPr="001800B7" w:rsidTr="00343AB5">
        <w:trPr>
          <w:cantSplit/>
        </w:trPr>
        <w:tc>
          <w:tcPr>
            <w:tcW w:w="2376" w:type="dxa"/>
            <w:shd w:val="clear" w:color="auto" w:fill="auto"/>
          </w:tcPr>
          <w:p w:rsidR="00F35238" w:rsidRPr="001800B7" w:rsidRDefault="00CA7EB8" w:rsidP="00343AB5">
            <w:pPr>
              <w:pStyle w:val="Heading3"/>
              <w:keepNext w:val="0"/>
              <w:spacing w:before="120" w:after="120"/>
              <w:rPr>
                <w:szCs w:val="22"/>
              </w:rPr>
            </w:pPr>
            <w:r w:rsidRPr="001800B7">
              <w:rPr>
                <w:szCs w:val="22"/>
              </w:rPr>
              <w:t>Taux d</w:t>
            </w:r>
            <w:r w:rsidR="005311D6" w:rsidRPr="001800B7">
              <w:rPr>
                <w:szCs w:val="22"/>
              </w:rPr>
              <w:t>’</w:t>
            </w:r>
            <w:r w:rsidRPr="001800B7">
              <w:rPr>
                <w:szCs w:val="22"/>
              </w:rPr>
              <w:t>exécution du projet</w:t>
            </w:r>
          </w:p>
        </w:tc>
        <w:tc>
          <w:tcPr>
            <w:tcW w:w="6912" w:type="dxa"/>
          </w:tcPr>
          <w:p w:rsidR="00EB40B2" w:rsidRPr="001800B7" w:rsidRDefault="00CA7EB8" w:rsidP="00343AB5">
            <w:pPr>
              <w:spacing w:before="120" w:after="120"/>
              <w:rPr>
                <w:iCs/>
                <w:szCs w:val="22"/>
              </w:rPr>
            </w:pPr>
            <w:r w:rsidRPr="001800B7">
              <w:rPr>
                <w:iCs/>
                <w:szCs w:val="22"/>
              </w:rPr>
              <w:t>Le taux d</w:t>
            </w:r>
            <w:r w:rsidR="005311D6" w:rsidRPr="001800B7">
              <w:rPr>
                <w:iCs/>
                <w:szCs w:val="22"/>
              </w:rPr>
              <w:t>’</w:t>
            </w:r>
            <w:r w:rsidRPr="001800B7">
              <w:rPr>
                <w:iCs/>
                <w:szCs w:val="22"/>
              </w:rPr>
              <w:t>utilisation du budget à la fin du mois d</w:t>
            </w:r>
            <w:r w:rsidR="005311D6" w:rsidRPr="001800B7">
              <w:rPr>
                <w:iCs/>
                <w:szCs w:val="22"/>
              </w:rPr>
              <w:t>’</w:t>
            </w:r>
            <w:r w:rsidR="00456841" w:rsidRPr="001800B7">
              <w:rPr>
                <w:iCs/>
                <w:szCs w:val="22"/>
              </w:rPr>
              <w:t>août 20</w:t>
            </w:r>
            <w:r w:rsidRPr="001800B7">
              <w:rPr>
                <w:iCs/>
                <w:szCs w:val="22"/>
              </w:rPr>
              <w:t>14 s</w:t>
            </w:r>
            <w:r w:rsidR="005311D6" w:rsidRPr="001800B7">
              <w:rPr>
                <w:iCs/>
                <w:szCs w:val="22"/>
              </w:rPr>
              <w:t>’</w:t>
            </w:r>
            <w:r w:rsidRPr="001800B7">
              <w:rPr>
                <w:iCs/>
                <w:szCs w:val="22"/>
              </w:rPr>
              <w:t>élevait à 29%.</w:t>
            </w:r>
          </w:p>
        </w:tc>
      </w:tr>
      <w:tr w:rsidR="00F30D9D" w:rsidRPr="001800B7" w:rsidTr="00343AB5">
        <w:tc>
          <w:tcPr>
            <w:tcW w:w="2376" w:type="dxa"/>
            <w:shd w:val="clear" w:color="auto" w:fill="auto"/>
          </w:tcPr>
          <w:p w:rsidR="00F35238" w:rsidRPr="001800B7" w:rsidRDefault="00CA7EB8" w:rsidP="00343AB5">
            <w:pPr>
              <w:pStyle w:val="Heading3"/>
              <w:keepNext w:val="0"/>
              <w:spacing w:before="120" w:after="120"/>
              <w:rPr>
                <w:szCs w:val="22"/>
              </w:rPr>
            </w:pPr>
            <w:r w:rsidRPr="001800B7">
              <w:rPr>
                <w:szCs w:val="22"/>
              </w:rPr>
              <w:t>Rapports précédents</w:t>
            </w:r>
          </w:p>
        </w:tc>
        <w:tc>
          <w:tcPr>
            <w:tcW w:w="6912" w:type="dxa"/>
          </w:tcPr>
          <w:p w:rsidR="00F35238" w:rsidRPr="001800B7" w:rsidRDefault="00CA7EB8" w:rsidP="00343AB5">
            <w:pPr>
              <w:spacing w:before="120" w:after="120"/>
              <w:rPr>
                <w:iCs/>
                <w:szCs w:val="22"/>
              </w:rPr>
            </w:pPr>
            <w:r w:rsidRPr="001800B7">
              <w:rPr>
                <w:iCs/>
                <w:szCs w:val="22"/>
              </w:rPr>
              <w:t>Le premier rapport sur l</w:t>
            </w:r>
            <w:r w:rsidR="005311D6" w:rsidRPr="001800B7">
              <w:rPr>
                <w:iCs/>
                <w:szCs w:val="22"/>
              </w:rPr>
              <w:t>’</w:t>
            </w:r>
            <w:r w:rsidRPr="001800B7">
              <w:rPr>
                <w:iCs/>
                <w:szCs w:val="22"/>
              </w:rPr>
              <w:t>état d</w:t>
            </w:r>
            <w:r w:rsidR="005311D6" w:rsidRPr="001800B7">
              <w:rPr>
                <w:iCs/>
                <w:szCs w:val="22"/>
              </w:rPr>
              <w:t>’</w:t>
            </w:r>
            <w:r w:rsidRPr="001800B7">
              <w:rPr>
                <w:iCs/>
                <w:szCs w:val="22"/>
              </w:rPr>
              <w:t>avancement du projet, qui figure dans l</w:t>
            </w:r>
            <w:r w:rsidR="005311D6" w:rsidRPr="001800B7">
              <w:rPr>
                <w:iCs/>
                <w:szCs w:val="22"/>
              </w:rPr>
              <w:t>’</w:t>
            </w:r>
            <w:r w:rsidRPr="001800B7">
              <w:rPr>
                <w:iCs/>
                <w:szCs w:val="22"/>
              </w:rPr>
              <w:t>annexe</w:t>
            </w:r>
            <w:r w:rsidR="008005FD" w:rsidRPr="001800B7">
              <w:rPr>
                <w:iCs/>
                <w:szCs w:val="22"/>
              </w:rPr>
              <w:t> </w:t>
            </w:r>
            <w:r w:rsidRPr="001800B7">
              <w:rPr>
                <w:iCs/>
                <w:szCs w:val="22"/>
              </w:rPr>
              <w:t>XII du document CDIP/12/2, a été soumis au comité à sa douzième</w:t>
            </w:r>
            <w:r w:rsidR="008005FD" w:rsidRPr="001800B7">
              <w:rPr>
                <w:iCs/>
                <w:szCs w:val="22"/>
              </w:rPr>
              <w:t> </w:t>
            </w:r>
            <w:r w:rsidRPr="001800B7">
              <w:rPr>
                <w:iCs/>
                <w:szCs w:val="22"/>
              </w:rPr>
              <w:t>session.</w:t>
            </w:r>
          </w:p>
        </w:tc>
      </w:tr>
    </w:tbl>
    <w:p w:rsidR="008475D2" w:rsidRPr="001800B7" w:rsidRDefault="008475D2" w:rsidP="00343AB5">
      <w:pPr>
        <w:rPr>
          <w:szCs w:val="22"/>
        </w:rPr>
      </w:pPr>
    </w:p>
    <w:p w:rsidR="00343AB5" w:rsidRPr="001800B7" w:rsidRDefault="00343AB5" w:rsidP="00343AB5">
      <w:pPr>
        <w:rPr>
          <w:szCs w:val="22"/>
        </w:rPr>
      </w:pPr>
    </w:p>
    <w:p w:rsidR="00343AB5" w:rsidRPr="001800B7" w:rsidRDefault="00343AB5" w:rsidP="00FC46A1">
      <w:pPr>
        <w:keepNext/>
        <w:rPr>
          <w:rFonts w:eastAsia="Times New Roman"/>
          <w:szCs w:val="22"/>
          <w:lang w:eastAsia="en-US"/>
        </w:rPr>
      </w:pPr>
      <w:r w:rsidRPr="001800B7">
        <w:rPr>
          <w:rFonts w:eastAsia="Times New Roman"/>
          <w:szCs w:val="22"/>
          <w:lang w:eastAsia="en-US"/>
        </w:rPr>
        <w:lastRenderedPageBreak/>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343AB5" w:rsidRPr="001800B7" w:rsidRDefault="00343AB5" w:rsidP="00FC46A1">
      <w:pPr>
        <w:keepNext/>
        <w:rPr>
          <w:szCs w:val="22"/>
        </w:rPr>
      </w:pPr>
    </w:p>
    <w:p w:rsidR="00343AB5" w:rsidRPr="001800B7" w:rsidRDefault="00343AB5" w:rsidP="00FC46A1">
      <w:pPr>
        <w:keepNext/>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p w:rsidR="00343AB5" w:rsidRPr="001800B7" w:rsidRDefault="00343AB5" w:rsidP="00FC46A1">
      <w:pPr>
        <w:keepNext/>
        <w:rPr>
          <w:rFonts w:eastAsia="Times New Roman"/>
          <w:szCs w:val="22"/>
          <w:lang w:eastAsia="en-US"/>
        </w:rPr>
      </w:pP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F30D9D">
        <w:trPr>
          <w:cantSplit/>
        </w:trPr>
        <w:tc>
          <w:tcPr>
            <w:tcW w:w="1900" w:type="dxa"/>
            <w:shd w:val="clear" w:color="auto" w:fill="auto"/>
            <w:vAlign w:val="center"/>
          </w:tcPr>
          <w:p w:rsidR="00343AB5" w:rsidRPr="001800B7" w:rsidRDefault="00343AB5" w:rsidP="00FC46A1">
            <w:pPr>
              <w:keepNext/>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343AB5" w:rsidRPr="001800B7" w:rsidRDefault="00343AB5" w:rsidP="00FC46A1">
            <w:pPr>
              <w:keepNext/>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343AB5" w:rsidRPr="001800B7" w:rsidRDefault="00343AB5" w:rsidP="00FC46A1">
            <w:pPr>
              <w:keepNext/>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343AB5" w:rsidRPr="001800B7" w:rsidRDefault="00343AB5" w:rsidP="00FC46A1">
            <w:pPr>
              <w:keepNext/>
              <w:spacing w:before="120" w:after="12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343AB5" w:rsidRPr="001800B7" w:rsidRDefault="00343AB5" w:rsidP="00FC46A1">
            <w:pPr>
              <w:keepNext/>
              <w:spacing w:before="120" w:after="120"/>
              <w:jc w:val="center"/>
              <w:rPr>
                <w:rFonts w:eastAsia="Times New Roman"/>
                <w:szCs w:val="22"/>
                <w:lang w:eastAsia="en-US"/>
              </w:rPr>
            </w:pPr>
            <w:r w:rsidRPr="001800B7">
              <w:rPr>
                <w:rFonts w:eastAsia="Times New Roman"/>
                <w:szCs w:val="22"/>
                <w:lang w:eastAsia="en-US"/>
              </w:rPr>
              <w:t>NE</w:t>
            </w:r>
          </w:p>
        </w:tc>
      </w:tr>
      <w:tr w:rsidR="00F30D9D" w:rsidRPr="001800B7" w:rsidTr="00F30D9D">
        <w:trPr>
          <w:cantSplit/>
        </w:trPr>
        <w:tc>
          <w:tcPr>
            <w:tcW w:w="1900" w:type="dxa"/>
            <w:shd w:val="clear" w:color="auto" w:fill="auto"/>
            <w:vAlign w:val="center"/>
          </w:tcPr>
          <w:p w:rsidR="00343AB5" w:rsidRPr="001800B7" w:rsidRDefault="00343AB5" w:rsidP="00FC46A1">
            <w:pPr>
              <w:keepNext/>
              <w:spacing w:before="120" w:after="12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343AB5" w:rsidRPr="001800B7" w:rsidRDefault="00343AB5" w:rsidP="00FC46A1">
            <w:pPr>
              <w:keepNext/>
              <w:spacing w:before="120" w:after="12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343AB5" w:rsidRPr="001800B7" w:rsidRDefault="00343AB5" w:rsidP="00FC46A1">
            <w:pPr>
              <w:keepNext/>
              <w:spacing w:before="120" w:after="12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343AB5" w:rsidRPr="001800B7" w:rsidRDefault="00343AB5" w:rsidP="00FC46A1">
            <w:pPr>
              <w:keepNext/>
              <w:spacing w:before="120" w:after="12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343AB5" w:rsidRPr="001800B7" w:rsidRDefault="00343AB5" w:rsidP="00FC46A1">
            <w:pPr>
              <w:keepNext/>
              <w:spacing w:before="120" w:after="12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343AB5" w:rsidRPr="001800B7" w:rsidRDefault="00343AB5" w:rsidP="00FC46A1">
      <w:pPr>
        <w:keepNext/>
        <w:rPr>
          <w:szCs w:val="22"/>
          <w:lang w:eastAsia="en-US"/>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6"/>
        <w:gridCol w:w="2694"/>
        <w:gridCol w:w="2976"/>
        <w:gridCol w:w="1455"/>
      </w:tblGrid>
      <w:tr w:rsidR="001800B7" w:rsidRPr="001800B7" w:rsidTr="00343AB5">
        <w:tc>
          <w:tcPr>
            <w:tcW w:w="2366" w:type="dxa"/>
            <w:shd w:val="clear" w:color="auto" w:fill="auto"/>
            <w:vAlign w:val="center"/>
          </w:tcPr>
          <w:p w:rsidR="00343AB5" w:rsidRPr="001800B7" w:rsidRDefault="00343AB5" w:rsidP="00343AB5">
            <w:pPr>
              <w:spacing w:before="120" w:after="12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Style w:val="FootnoteReference"/>
                <w:rFonts w:eastAsia="Times New Roman"/>
                <w:szCs w:val="22"/>
                <w:lang w:eastAsia="en-US"/>
              </w:rPr>
              <w:footnoteReference w:id="3"/>
            </w:r>
            <w:r w:rsidRPr="001800B7">
              <w:rPr>
                <w:rFonts w:eastAsia="Times New Roman"/>
                <w:szCs w:val="22"/>
                <w:u w:val="single"/>
                <w:lang w:eastAsia="en-US"/>
              </w:rPr>
              <w:br/>
            </w:r>
            <w:r w:rsidRPr="001800B7">
              <w:rPr>
                <w:rFonts w:eastAsia="Times New Roman"/>
                <w:szCs w:val="22"/>
                <w:lang w:eastAsia="en-US"/>
              </w:rPr>
              <w:t>(résultat escompté)</w:t>
            </w:r>
          </w:p>
        </w:tc>
        <w:tc>
          <w:tcPr>
            <w:tcW w:w="2694" w:type="dxa"/>
            <w:shd w:val="clear" w:color="auto" w:fill="auto"/>
            <w:vAlign w:val="center"/>
          </w:tcPr>
          <w:p w:rsidR="00343AB5" w:rsidRPr="001800B7" w:rsidRDefault="00343AB5" w:rsidP="00343AB5">
            <w:pPr>
              <w:spacing w:before="120" w:after="12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6" w:type="dxa"/>
            <w:shd w:val="clear" w:color="auto" w:fill="auto"/>
            <w:vAlign w:val="center"/>
          </w:tcPr>
          <w:p w:rsidR="00343AB5" w:rsidRPr="001800B7" w:rsidRDefault="00343AB5" w:rsidP="00343AB5">
            <w:pPr>
              <w:keepNext/>
              <w:spacing w:before="120" w:after="120"/>
              <w:jc w:val="center"/>
              <w:outlineLvl w:val="2"/>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55" w:type="dxa"/>
            <w:shd w:val="clear" w:color="auto" w:fill="auto"/>
            <w:vAlign w:val="center"/>
          </w:tcPr>
          <w:p w:rsidR="00343AB5" w:rsidRPr="001800B7" w:rsidRDefault="00343AB5" w:rsidP="00343AB5">
            <w:pPr>
              <w:keepNext/>
              <w:spacing w:before="120" w:after="120"/>
              <w:jc w:val="center"/>
              <w:outlineLvl w:val="2"/>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343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right w:val="single" w:sz="6" w:space="0" w:color="000000"/>
            </w:tcBorders>
            <w:shd w:val="clear" w:color="auto" w:fill="auto"/>
          </w:tcPr>
          <w:p w:rsidR="00F35238" w:rsidRPr="001800B7" w:rsidRDefault="002816E7" w:rsidP="00343AB5">
            <w:pPr>
              <w:spacing w:before="120" w:after="120"/>
              <w:rPr>
                <w:bCs/>
                <w:szCs w:val="22"/>
              </w:rPr>
            </w:pPr>
            <w:r w:rsidRPr="001800B7">
              <w:rPr>
                <w:bCs/>
                <w:szCs w:val="22"/>
              </w:rPr>
              <w:t>Étude exploratoire</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F35238" w:rsidRPr="001800B7" w:rsidRDefault="002816E7" w:rsidP="00343AB5">
            <w:pPr>
              <w:spacing w:before="120" w:after="120"/>
              <w:rPr>
                <w:szCs w:val="22"/>
              </w:rPr>
            </w:pPr>
            <w:r w:rsidRPr="001800B7">
              <w:rPr>
                <w:szCs w:val="22"/>
              </w:rPr>
              <w:t>Achèvement et publications dans les délais de l</w:t>
            </w:r>
            <w:r w:rsidR="005311D6" w:rsidRPr="001800B7">
              <w:rPr>
                <w:szCs w:val="22"/>
              </w:rPr>
              <w:t>’</w:t>
            </w:r>
            <w:r w:rsidRPr="001800B7">
              <w:rPr>
                <w:szCs w:val="22"/>
              </w:rPr>
              <w:t>étude</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2816E7" w:rsidP="00343AB5">
            <w:pPr>
              <w:spacing w:before="120" w:after="120"/>
              <w:rPr>
                <w:szCs w:val="22"/>
              </w:rPr>
            </w:pPr>
            <w:r w:rsidRPr="001800B7">
              <w:rPr>
                <w:szCs w:val="22"/>
              </w:rPr>
              <w:t>Étude exploratoire sur le projet de l</w:t>
            </w:r>
            <w:r w:rsidR="005311D6" w:rsidRPr="001800B7">
              <w:rPr>
                <w:szCs w:val="22"/>
              </w:rPr>
              <w:t>’</w:t>
            </w:r>
            <w:r w:rsidRPr="001800B7">
              <w:rPr>
                <w:szCs w:val="22"/>
              </w:rPr>
              <w:t>OMPI</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F35238" w:rsidP="00343AB5">
            <w:pPr>
              <w:spacing w:before="120" w:after="120"/>
              <w:rPr>
                <w:szCs w:val="22"/>
              </w:rPr>
            </w:pPr>
            <w:r w:rsidRPr="001800B7">
              <w:rPr>
                <w:szCs w:val="22"/>
              </w:rPr>
              <w:t>****</w:t>
            </w:r>
          </w:p>
        </w:tc>
      </w:tr>
      <w:tr w:rsidR="001800B7" w:rsidRPr="001800B7" w:rsidTr="00343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right w:val="single" w:sz="6" w:space="0" w:color="000000"/>
            </w:tcBorders>
            <w:shd w:val="clear" w:color="auto" w:fill="auto"/>
          </w:tcPr>
          <w:p w:rsidR="00F35238" w:rsidRPr="001800B7" w:rsidRDefault="002816E7" w:rsidP="00343AB5">
            <w:pPr>
              <w:spacing w:before="120" w:after="120"/>
              <w:rPr>
                <w:bCs/>
                <w:szCs w:val="22"/>
              </w:rPr>
            </w:pPr>
            <w:r w:rsidRPr="001800B7">
              <w:rPr>
                <w:bCs/>
                <w:szCs w:val="22"/>
              </w:rPr>
              <w:t>Création d</w:t>
            </w:r>
            <w:r w:rsidR="005311D6" w:rsidRPr="001800B7">
              <w:rPr>
                <w:bCs/>
                <w:szCs w:val="22"/>
              </w:rPr>
              <w:t>’</w:t>
            </w:r>
            <w:r w:rsidRPr="001800B7">
              <w:rPr>
                <w:bCs/>
                <w:szCs w:val="22"/>
              </w:rPr>
              <w:t>un groupe d</w:t>
            </w:r>
            <w:r w:rsidR="005311D6" w:rsidRPr="001800B7">
              <w:rPr>
                <w:bCs/>
                <w:szCs w:val="22"/>
              </w:rPr>
              <w:t>’</w:t>
            </w:r>
            <w:r w:rsidRPr="001800B7">
              <w:rPr>
                <w:bCs/>
                <w:szCs w:val="22"/>
              </w:rPr>
              <w:t>experts et désignation de coordonnateurs</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F35238" w:rsidRPr="001800B7" w:rsidRDefault="002816E7" w:rsidP="00343AB5">
            <w:pPr>
              <w:spacing w:before="120" w:after="120"/>
              <w:rPr>
                <w:szCs w:val="22"/>
              </w:rPr>
            </w:pPr>
            <w:r w:rsidRPr="001800B7">
              <w:rPr>
                <w:szCs w:val="22"/>
              </w:rPr>
              <w:t>Désignation de coordonnateurs et création d</w:t>
            </w:r>
            <w:r w:rsidR="005311D6" w:rsidRPr="001800B7">
              <w:rPr>
                <w:szCs w:val="22"/>
              </w:rPr>
              <w:t>’</w:t>
            </w:r>
            <w:r w:rsidRPr="001800B7">
              <w:rPr>
                <w:szCs w:val="22"/>
              </w:rPr>
              <w:t>un groupe d</w:t>
            </w:r>
            <w:r w:rsidR="005311D6" w:rsidRPr="001800B7">
              <w:rPr>
                <w:szCs w:val="22"/>
              </w:rPr>
              <w:t>’</w:t>
            </w:r>
            <w:r w:rsidRPr="001800B7">
              <w:rPr>
                <w:szCs w:val="22"/>
              </w:rPr>
              <w:t>experts</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2816E7" w:rsidP="00343AB5">
            <w:pPr>
              <w:spacing w:before="120" w:after="120"/>
              <w:rPr>
                <w:szCs w:val="22"/>
              </w:rPr>
            </w:pPr>
            <w:r w:rsidRPr="001800B7">
              <w:rPr>
                <w:szCs w:val="22"/>
              </w:rPr>
              <w:t>Les consultations portant sur la désignation du groupe d</w:t>
            </w:r>
            <w:r w:rsidR="005311D6" w:rsidRPr="001800B7">
              <w:rPr>
                <w:szCs w:val="22"/>
              </w:rPr>
              <w:t>’</w:t>
            </w:r>
            <w:r w:rsidRPr="001800B7">
              <w:rPr>
                <w:szCs w:val="22"/>
              </w:rPr>
              <w:t>experts sont en cours d</w:t>
            </w:r>
            <w:r w:rsidR="005311D6" w:rsidRPr="001800B7">
              <w:rPr>
                <w:szCs w:val="22"/>
              </w:rPr>
              <w:t>’</w:t>
            </w:r>
            <w:r w:rsidRPr="001800B7">
              <w:rPr>
                <w:szCs w:val="22"/>
              </w:rPr>
              <w:t>achèvement.</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F35238" w:rsidP="00343AB5">
            <w:pPr>
              <w:spacing w:before="120" w:after="120"/>
              <w:rPr>
                <w:szCs w:val="22"/>
              </w:rPr>
            </w:pPr>
            <w:r w:rsidRPr="001800B7">
              <w:rPr>
                <w:szCs w:val="22"/>
              </w:rPr>
              <w:t>***</w:t>
            </w:r>
          </w:p>
        </w:tc>
      </w:tr>
      <w:tr w:rsidR="001800B7" w:rsidRPr="001800B7" w:rsidTr="00343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right w:val="single" w:sz="6" w:space="0" w:color="000000"/>
            </w:tcBorders>
            <w:shd w:val="clear" w:color="auto" w:fill="auto"/>
          </w:tcPr>
          <w:p w:rsidR="00F35238" w:rsidRPr="001800B7" w:rsidRDefault="002816E7" w:rsidP="00343AB5">
            <w:pPr>
              <w:spacing w:before="120" w:after="120"/>
              <w:rPr>
                <w:bCs/>
                <w:szCs w:val="22"/>
              </w:rPr>
            </w:pPr>
            <w:r w:rsidRPr="001800B7">
              <w:rPr>
                <w:bCs/>
                <w:szCs w:val="22"/>
              </w:rPr>
              <w:t>Étude sur la négociation collective des droits</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F35238" w:rsidRPr="001800B7" w:rsidRDefault="00EF43D7" w:rsidP="00343AB5">
            <w:pPr>
              <w:spacing w:before="120" w:after="120"/>
              <w:rPr>
                <w:szCs w:val="22"/>
              </w:rPr>
            </w:pPr>
            <w:r w:rsidRPr="001800B7">
              <w:rPr>
                <w:szCs w:val="22"/>
              </w:rPr>
              <w:t>Étude terminée</w:t>
            </w:r>
            <w:r w:rsidR="00DC45C9" w:rsidRPr="001800B7">
              <w:rPr>
                <w:szCs w:val="22"/>
              </w:rPr>
              <w:t>.</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EF43D7" w:rsidP="00343AB5">
            <w:pPr>
              <w:spacing w:before="120" w:after="120"/>
              <w:rPr>
                <w:szCs w:val="22"/>
              </w:rPr>
            </w:pPr>
            <w:r w:rsidRPr="001800B7">
              <w:rPr>
                <w:szCs w:val="22"/>
              </w:rPr>
              <w:t>Étude sur la négociation collective et la gestion collective des droits</w:t>
            </w:r>
            <w:r w:rsidR="00DC45C9" w:rsidRPr="001800B7">
              <w:rPr>
                <w:szCs w:val="22"/>
              </w:rPr>
              <w:t>.</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F35238" w:rsidP="00343AB5">
            <w:pPr>
              <w:spacing w:before="120" w:after="120"/>
              <w:rPr>
                <w:szCs w:val="22"/>
              </w:rPr>
            </w:pPr>
            <w:r w:rsidRPr="001800B7">
              <w:rPr>
                <w:szCs w:val="22"/>
              </w:rPr>
              <w:t>***</w:t>
            </w:r>
          </w:p>
        </w:tc>
      </w:tr>
      <w:tr w:rsidR="001800B7" w:rsidRPr="001800B7" w:rsidTr="00343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right w:val="single" w:sz="6" w:space="0" w:color="000000"/>
            </w:tcBorders>
            <w:shd w:val="clear" w:color="auto" w:fill="auto"/>
          </w:tcPr>
          <w:p w:rsidR="00F35238" w:rsidRPr="001800B7" w:rsidRDefault="00EF43D7" w:rsidP="00343AB5">
            <w:pPr>
              <w:spacing w:before="120" w:after="120"/>
              <w:rPr>
                <w:bCs/>
                <w:szCs w:val="22"/>
              </w:rPr>
            </w:pPr>
            <w:r w:rsidRPr="001800B7">
              <w:rPr>
                <w:bCs/>
                <w:szCs w:val="22"/>
              </w:rPr>
              <w:t>Trois ateliers de formation</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F35238" w:rsidRPr="001800B7" w:rsidRDefault="00EF43D7" w:rsidP="00343AB5">
            <w:pPr>
              <w:spacing w:before="120" w:after="120"/>
              <w:rPr>
                <w:szCs w:val="22"/>
              </w:rPr>
            </w:pPr>
            <w:r w:rsidRPr="001800B7">
              <w:rPr>
                <w:szCs w:val="22"/>
              </w:rPr>
              <w:t>Terminés</w:t>
            </w:r>
            <w:r w:rsidR="00DC45C9" w:rsidRPr="001800B7">
              <w:rPr>
                <w:szCs w:val="22"/>
              </w:rPr>
              <w:t>.</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B650B1" w:rsidRPr="001800B7" w:rsidRDefault="00EF43D7" w:rsidP="00343AB5">
            <w:pPr>
              <w:spacing w:before="120" w:after="120"/>
              <w:rPr>
                <w:spacing w:val="-2"/>
                <w:szCs w:val="22"/>
              </w:rPr>
            </w:pPr>
            <w:r w:rsidRPr="001800B7">
              <w:rPr>
                <w:spacing w:val="-2"/>
                <w:szCs w:val="22"/>
              </w:rPr>
              <w:t xml:space="preserve">Des ateliers de formation ont été organisés au </w:t>
            </w:r>
            <w:r w:rsidR="00F35238" w:rsidRPr="001800B7">
              <w:rPr>
                <w:spacing w:val="-2"/>
                <w:szCs w:val="22"/>
              </w:rPr>
              <w:t xml:space="preserve">Kenya, </w:t>
            </w:r>
            <w:r w:rsidRPr="001800B7">
              <w:rPr>
                <w:spacing w:val="-2"/>
                <w:szCs w:val="22"/>
              </w:rPr>
              <w:t xml:space="preserve">au </w:t>
            </w:r>
            <w:r w:rsidR="00F35238" w:rsidRPr="001800B7">
              <w:rPr>
                <w:spacing w:val="-2"/>
                <w:szCs w:val="22"/>
              </w:rPr>
              <w:t xml:space="preserve">Burkina Faso </w:t>
            </w:r>
            <w:r w:rsidRPr="001800B7">
              <w:rPr>
                <w:spacing w:val="-2"/>
                <w:szCs w:val="22"/>
              </w:rPr>
              <w:t>et au Sénégal</w:t>
            </w:r>
            <w:r w:rsidR="00DC45C9" w:rsidRPr="001800B7">
              <w:rPr>
                <w:spacing w:val="-2"/>
                <w:szCs w:val="22"/>
              </w:rPr>
              <w:t>.</w:t>
            </w:r>
          </w:p>
          <w:p w:rsidR="00052CA7" w:rsidRPr="001800B7" w:rsidRDefault="00EF43D7" w:rsidP="00343AB5">
            <w:pPr>
              <w:spacing w:before="120" w:after="120"/>
              <w:rPr>
                <w:szCs w:val="22"/>
              </w:rPr>
            </w:pPr>
            <w:r w:rsidRPr="001800B7">
              <w:rPr>
                <w:szCs w:val="22"/>
              </w:rPr>
              <w:t>Des ateliers de suivi ont été réclamés</w:t>
            </w:r>
            <w:r w:rsidR="00DC45C9" w:rsidRPr="001800B7">
              <w:rPr>
                <w:szCs w:val="22"/>
              </w:rPr>
              <w:t>.</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F35238" w:rsidP="00343AB5">
            <w:pPr>
              <w:spacing w:before="120" w:after="120"/>
              <w:rPr>
                <w:szCs w:val="22"/>
              </w:rPr>
            </w:pPr>
            <w:r w:rsidRPr="001800B7">
              <w:rPr>
                <w:szCs w:val="22"/>
              </w:rPr>
              <w:t>***</w:t>
            </w:r>
          </w:p>
        </w:tc>
      </w:tr>
      <w:tr w:rsidR="001800B7" w:rsidRPr="001800B7" w:rsidTr="00343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right w:val="single" w:sz="6" w:space="0" w:color="000000"/>
            </w:tcBorders>
            <w:shd w:val="clear" w:color="auto" w:fill="auto"/>
          </w:tcPr>
          <w:p w:rsidR="00F35238" w:rsidRPr="001800B7" w:rsidRDefault="002816E7" w:rsidP="00343AB5">
            <w:pPr>
              <w:spacing w:before="120" w:after="120"/>
              <w:rPr>
                <w:bCs/>
                <w:szCs w:val="22"/>
              </w:rPr>
            </w:pPr>
            <w:r w:rsidRPr="001800B7">
              <w:rPr>
                <w:bCs/>
                <w:szCs w:val="22"/>
              </w:rPr>
              <w:t>Formation sur place à la négociation collective des droits</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F35238" w:rsidRPr="001800B7" w:rsidRDefault="00EF43D7" w:rsidP="00343AB5">
            <w:pPr>
              <w:spacing w:before="120" w:after="120"/>
              <w:rPr>
                <w:szCs w:val="22"/>
              </w:rPr>
            </w:pPr>
            <w:r w:rsidRPr="001800B7">
              <w:rPr>
                <w:szCs w:val="22"/>
              </w:rPr>
              <w:t>À venir</w:t>
            </w:r>
            <w:r w:rsidR="00DC45C9" w:rsidRPr="001800B7">
              <w:rPr>
                <w:szCs w:val="22"/>
              </w:rPr>
              <w:t>.</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2816E7" w:rsidP="00343AB5">
            <w:pPr>
              <w:spacing w:before="120" w:after="120"/>
              <w:rPr>
                <w:szCs w:val="22"/>
              </w:rPr>
            </w:pPr>
            <w:r w:rsidRPr="001800B7">
              <w:rPr>
                <w:szCs w:val="22"/>
              </w:rPr>
              <w:t>NE</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2816E7" w:rsidP="00343AB5">
            <w:pPr>
              <w:spacing w:before="120" w:after="120"/>
              <w:rPr>
                <w:szCs w:val="22"/>
              </w:rPr>
            </w:pPr>
            <w:r w:rsidRPr="001800B7">
              <w:rPr>
                <w:szCs w:val="22"/>
              </w:rPr>
              <w:t>NE</w:t>
            </w:r>
          </w:p>
        </w:tc>
      </w:tr>
      <w:tr w:rsidR="001800B7" w:rsidRPr="001800B7" w:rsidTr="00343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bottom w:val="single" w:sz="2" w:space="0" w:color="000000"/>
              <w:right w:val="single" w:sz="6" w:space="0" w:color="000000"/>
            </w:tcBorders>
            <w:shd w:val="clear" w:color="auto" w:fill="auto"/>
          </w:tcPr>
          <w:p w:rsidR="00F35238" w:rsidRPr="001800B7" w:rsidRDefault="002816E7" w:rsidP="00343AB5">
            <w:pPr>
              <w:spacing w:before="120" w:after="120"/>
              <w:rPr>
                <w:bCs/>
                <w:szCs w:val="22"/>
              </w:rPr>
            </w:pPr>
            <w:r w:rsidRPr="001800B7">
              <w:rPr>
                <w:bCs/>
                <w:szCs w:val="22"/>
              </w:rPr>
              <w:t>Élaboration d</w:t>
            </w:r>
            <w:r w:rsidR="005311D6" w:rsidRPr="001800B7">
              <w:rPr>
                <w:bCs/>
                <w:szCs w:val="22"/>
              </w:rPr>
              <w:t>’</w:t>
            </w:r>
            <w:r w:rsidRPr="001800B7">
              <w:rPr>
                <w:bCs/>
                <w:szCs w:val="22"/>
              </w:rPr>
              <w:t>un programme d</w:t>
            </w:r>
            <w:r w:rsidR="005311D6" w:rsidRPr="001800B7">
              <w:rPr>
                <w:bCs/>
                <w:szCs w:val="22"/>
              </w:rPr>
              <w:t>’</w:t>
            </w:r>
            <w:r w:rsidRPr="001800B7">
              <w:rPr>
                <w:bCs/>
                <w:szCs w:val="22"/>
              </w:rPr>
              <w:t>enseignement à distance</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F35238" w:rsidRPr="001800B7" w:rsidRDefault="002816E7" w:rsidP="00343AB5">
            <w:pPr>
              <w:spacing w:before="120" w:after="120"/>
              <w:rPr>
                <w:szCs w:val="22"/>
              </w:rPr>
            </w:pPr>
            <w:r w:rsidRPr="001800B7">
              <w:rPr>
                <w:szCs w:val="22"/>
              </w:rPr>
              <w:t>À élaborer.</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2816E7" w:rsidP="00343AB5">
            <w:pPr>
              <w:spacing w:before="120" w:after="120"/>
              <w:rPr>
                <w:szCs w:val="22"/>
              </w:rPr>
            </w:pPr>
            <w:r w:rsidRPr="001800B7">
              <w:rPr>
                <w:szCs w:val="22"/>
              </w:rPr>
              <w:t>NE</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F35238" w:rsidRPr="001800B7" w:rsidRDefault="002816E7" w:rsidP="00343AB5">
            <w:pPr>
              <w:spacing w:before="120" w:after="120"/>
              <w:rPr>
                <w:szCs w:val="22"/>
              </w:rPr>
            </w:pPr>
            <w:r w:rsidRPr="001800B7">
              <w:rPr>
                <w:szCs w:val="22"/>
              </w:rPr>
              <w:t>NE</w:t>
            </w:r>
          </w:p>
        </w:tc>
      </w:tr>
    </w:tbl>
    <w:p w:rsidR="00F35238" w:rsidRDefault="00F35238" w:rsidP="00343AB5">
      <w:pPr>
        <w:rPr>
          <w:szCs w:val="22"/>
        </w:rPr>
      </w:pPr>
    </w:p>
    <w:p w:rsidR="00FC46A1" w:rsidRDefault="00FC46A1" w:rsidP="00343AB5">
      <w:pPr>
        <w:rPr>
          <w:szCs w:val="22"/>
        </w:rPr>
      </w:pPr>
    </w:p>
    <w:p w:rsidR="00FC46A1" w:rsidRDefault="00FC46A1" w:rsidP="00343AB5">
      <w:pPr>
        <w:rPr>
          <w:szCs w:val="22"/>
        </w:rPr>
      </w:pPr>
    </w:p>
    <w:p w:rsidR="00FC46A1" w:rsidRDefault="00FC46A1">
      <w:pPr>
        <w:rPr>
          <w:szCs w:val="22"/>
        </w:rPr>
      </w:pPr>
      <w:r>
        <w:rPr>
          <w:szCs w:val="22"/>
        </w:rPr>
        <w:br w:type="page"/>
      </w:r>
    </w:p>
    <w:p w:rsidR="00FC46A1" w:rsidRPr="001800B7" w:rsidRDefault="00FC46A1" w:rsidP="00343AB5">
      <w:pPr>
        <w:rPr>
          <w:szCs w:val="22"/>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5"/>
        <w:gridCol w:w="2694"/>
        <w:gridCol w:w="2976"/>
        <w:gridCol w:w="1456"/>
      </w:tblGrid>
      <w:tr w:rsidR="001800B7" w:rsidRPr="001800B7" w:rsidTr="00606348">
        <w:tc>
          <w:tcPr>
            <w:tcW w:w="2366" w:type="dxa"/>
            <w:shd w:val="clear" w:color="auto" w:fill="auto"/>
            <w:vAlign w:val="center"/>
          </w:tcPr>
          <w:p w:rsidR="00606348" w:rsidRPr="001800B7" w:rsidRDefault="00606348" w:rsidP="00F30D9D">
            <w:pPr>
              <w:spacing w:before="120" w:after="120"/>
              <w:jc w:val="center"/>
              <w:rPr>
                <w:szCs w:val="22"/>
                <w:u w:val="single"/>
              </w:rPr>
            </w:pPr>
            <w:r w:rsidRPr="001800B7">
              <w:rPr>
                <w:szCs w:val="22"/>
                <w:u w:val="single"/>
              </w:rPr>
              <w:t xml:space="preserve">Objectifs </w:t>
            </w:r>
            <w:r w:rsidRPr="001800B7">
              <w:rPr>
                <w:szCs w:val="22"/>
                <w:u w:val="single"/>
              </w:rPr>
              <w:br/>
              <w:t>du projet</w:t>
            </w:r>
          </w:p>
        </w:tc>
        <w:tc>
          <w:tcPr>
            <w:tcW w:w="2694" w:type="dxa"/>
            <w:shd w:val="clear" w:color="auto" w:fill="auto"/>
            <w:vAlign w:val="center"/>
          </w:tcPr>
          <w:p w:rsidR="00606348" w:rsidRPr="001800B7" w:rsidRDefault="00606348" w:rsidP="00F30D9D">
            <w:pPr>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shd w:val="clear" w:color="auto" w:fill="auto"/>
            <w:vAlign w:val="center"/>
          </w:tcPr>
          <w:p w:rsidR="00606348" w:rsidRPr="001800B7" w:rsidRDefault="00606348" w:rsidP="00F30D9D">
            <w:pPr>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shd w:val="clear" w:color="auto" w:fill="auto"/>
            <w:vAlign w:val="center"/>
          </w:tcPr>
          <w:p w:rsidR="00606348" w:rsidRPr="001800B7" w:rsidRDefault="00606348" w:rsidP="00F30D9D">
            <w:pPr>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60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6" w:type="dxa"/>
            <w:shd w:val="clear" w:color="auto" w:fill="auto"/>
          </w:tcPr>
          <w:p w:rsidR="0073312B" w:rsidRPr="001800B7" w:rsidRDefault="00193D68" w:rsidP="00606348">
            <w:pPr>
              <w:spacing w:before="120" w:after="120"/>
              <w:rPr>
                <w:szCs w:val="22"/>
              </w:rPr>
            </w:pPr>
            <w:r w:rsidRPr="001800B7">
              <w:rPr>
                <w:szCs w:val="22"/>
              </w:rPr>
              <w:t>Contribuer à améliorer l</w:t>
            </w:r>
            <w:r w:rsidR="005311D6" w:rsidRPr="001800B7">
              <w:rPr>
                <w:szCs w:val="22"/>
              </w:rPr>
              <w:t>’</w:t>
            </w:r>
            <w:r w:rsidRPr="001800B7">
              <w:rPr>
                <w:szCs w:val="22"/>
              </w:rPr>
              <w:t>utilisation du système de propriété intellectuelle aux fins du financement, de la production et de la diffusion des œuvres audiovisuelles.</w:t>
            </w:r>
          </w:p>
        </w:tc>
        <w:tc>
          <w:tcPr>
            <w:tcW w:w="2694" w:type="dxa"/>
            <w:shd w:val="clear" w:color="auto" w:fill="auto"/>
          </w:tcPr>
          <w:p w:rsidR="008475D2" w:rsidRPr="001800B7" w:rsidRDefault="00193D68" w:rsidP="00606348">
            <w:pPr>
              <w:spacing w:before="120" w:after="120"/>
              <w:rPr>
                <w:bCs/>
                <w:szCs w:val="22"/>
              </w:rPr>
            </w:pPr>
            <w:r w:rsidRPr="001800B7">
              <w:rPr>
                <w:bCs/>
                <w:szCs w:val="22"/>
              </w:rPr>
              <w:t>Les participants utilisent davantage les compétences acquises pour financer, produire et distribuer les œuvres audiovisuelles (à établir au moyen d</w:t>
            </w:r>
            <w:r w:rsidR="005311D6" w:rsidRPr="001800B7">
              <w:rPr>
                <w:bCs/>
                <w:szCs w:val="22"/>
              </w:rPr>
              <w:t>’</w:t>
            </w:r>
            <w:r w:rsidRPr="001800B7">
              <w:rPr>
                <w:bCs/>
                <w:szCs w:val="22"/>
              </w:rPr>
              <w:t>un questionnaire d</w:t>
            </w:r>
            <w:r w:rsidR="005311D6" w:rsidRPr="001800B7">
              <w:rPr>
                <w:bCs/>
                <w:szCs w:val="22"/>
              </w:rPr>
              <w:t>’</w:t>
            </w:r>
            <w:r w:rsidRPr="001800B7">
              <w:rPr>
                <w:bCs/>
                <w:szCs w:val="22"/>
              </w:rPr>
              <w:t>évaluation adressé aux participants environ six mois après la fin de la formation).</w:t>
            </w:r>
          </w:p>
          <w:p w:rsidR="008475D2" w:rsidRPr="001800B7" w:rsidRDefault="00193D68" w:rsidP="00606348">
            <w:pPr>
              <w:spacing w:before="120" w:after="120"/>
              <w:rPr>
                <w:bCs/>
                <w:szCs w:val="22"/>
              </w:rPr>
            </w:pPr>
            <w:r w:rsidRPr="001800B7">
              <w:rPr>
                <w:bCs/>
                <w:szCs w:val="22"/>
              </w:rPr>
              <w:t>Augmenter le nombre de transactions de propriété intellectuelle dans le secteur de l</w:t>
            </w:r>
            <w:r w:rsidR="005311D6" w:rsidRPr="001800B7">
              <w:rPr>
                <w:bCs/>
                <w:szCs w:val="22"/>
              </w:rPr>
              <w:t>’</w:t>
            </w:r>
            <w:r w:rsidRPr="001800B7">
              <w:rPr>
                <w:bCs/>
                <w:szCs w:val="22"/>
              </w:rPr>
              <w:t>audiovisuel en ce qui concerne la production et la distribution (le niveau de référence doit être déterminé par l</w:t>
            </w:r>
            <w:r w:rsidR="005311D6" w:rsidRPr="001800B7">
              <w:rPr>
                <w:bCs/>
                <w:szCs w:val="22"/>
              </w:rPr>
              <w:t>’</w:t>
            </w:r>
            <w:r w:rsidRPr="001800B7">
              <w:rPr>
                <w:bCs/>
                <w:szCs w:val="22"/>
              </w:rPr>
              <w:t>étude exploratoire).</w:t>
            </w:r>
          </w:p>
          <w:p w:rsidR="0073312B" w:rsidRPr="001800B7" w:rsidRDefault="00193D68" w:rsidP="00606348">
            <w:pPr>
              <w:spacing w:before="120" w:after="120"/>
              <w:rPr>
                <w:bCs/>
                <w:szCs w:val="22"/>
                <w:u w:val="single"/>
              </w:rPr>
            </w:pPr>
            <w:r w:rsidRPr="001800B7">
              <w:rPr>
                <w:bCs/>
                <w:szCs w:val="22"/>
              </w:rPr>
              <w:t>Augmenter les voies légitimes pour la vente des droits de films africains (le niveau de référence doit être déterminé par l</w:t>
            </w:r>
            <w:r w:rsidR="005311D6" w:rsidRPr="001800B7">
              <w:rPr>
                <w:bCs/>
                <w:szCs w:val="22"/>
              </w:rPr>
              <w:t>’</w:t>
            </w:r>
            <w:r w:rsidRPr="001800B7">
              <w:rPr>
                <w:bCs/>
                <w:szCs w:val="22"/>
              </w:rPr>
              <w:t>étude exploratoire).</w:t>
            </w:r>
          </w:p>
        </w:tc>
        <w:tc>
          <w:tcPr>
            <w:tcW w:w="2976" w:type="dxa"/>
            <w:shd w:val="clear" w:color="auto" w:fill="auto"/>
          </w:tcPr>
          <w:p w:rsidR="008475D2" w:rsidRPr="001800B7" w:rsidRDefault="00193D68" w:rsidP="00606348">
            <w:pPr>
              <w:spacing w:before="120" w:after="120"/>
              <w:rPr>
                <w:szCs w:val="22"/>
              </w:rPr>
            </w:pPr>
            <w:r w:rsidRPr="001800B7">
              <w:rPr>
                <w:szCs w:val="22"/>
              </w:rPr>
              <w:t>Prématuré à ce stade.</w:t>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p>
          <w:p w:rsidR="008475D2" w:rsidRPr="001800B7" w:rsidRDefault="00193D68" w:rsidP="00606348">
            <w:pPr>
              <w:spacing w:before="120" w:after="120"/>
              <w:rPr>
                <w:szCs w:val="22"/>
              </w:rPr>
            </w:pPr>
            <w:r w:rsidRPr="001800B7">
              <w:rPr>
                <w:szCs w:val="22"/>
              </w:rPr>
              <w:t>Prématuré à ce stade.</w:t>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p>
          <w:p w:rsidR="0073312B" w:rsidRPr="001800B7" w:rsidRDefault="00193D68" w:rsidP="00606348">
            <w:pPr>
              <w:spacing w:before="120" w:after="120"/>
              <w:rPr>
                <w:bCs/>
                <w:szCs w:val="22"/>
              </w:rPr>
            </w:pPr>
            <w:r w:rsidRPr="001800B7">
              <w:rPr>
                <w:szCs w:val="22"/>
              </w:rPr>
              <w:t>Prématuré à ce stade.</w:t>
            </w:r>
          </w:p>
        </w:tc>
        <w:tc>
          <w:tcPr>
            <w:tcW w:w="1455" w:type="dxa"/>
            <w:shd w:val="clear" w:color="auto" w:fill="auto"/>
          </w:tcPr>
          <w:p w:rsidR="0073312B" w:rsidRPr="001800B7" w:rsidRDefault="00193D68" w:rsidP="00606348">
            <w:pPr>
              <w:pStyle w:val="Heading3"/>
              <w:spacing w:before="120" w:after="120"/>
              <w:rPr>
                <w:bCs w:val="0"/>
                <w:szCs w:val="22"/>
                <w:u w:val="none"/>
              </w:rPr>
            </w:pPr>
            <w:r w:rsidRPr="001800B7">
              <w:rPr>
                <w:bCs w:val="0"/>
                <w:szCs w:val="22"/>
                <w:u w:val="none"/>
              </w:rPr>
              <w:t>NE</w:t>
            </w:r>
          </w:p>
        </w:tc>
      </w:tr>
      <w:tr w:rsidR="001800B7" w:rsidRPr="001800B7" w:rsidTr="00606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6" w:type="dxa"/>
            <w:shd w:val="clear" w:color="auto" w:fill="auto"/>
          </w:tcPr>
          <w:p w:rsidR="00384527" w:rsidRPr="001800B7" w:rsidRDefault="00193D68" w:rsidP="00606348">
            <w:pPr>
              <w:spacing w:before="120" w:after="120"/>
              <w:rPr>
                <w:szCs w:val="22"/>
              </w:rPr>
            </w:pPr>
            <w:r w:rsidRPr="001800B7">
              <w:rPr>
                <w:szCs w:val="22"/>
              </w:rPr>
              <w:t>Faire avancer la mise en place d</w:t>
            </w:r>
            <w:r w:rsidR="005311D6" w:rsidRPr="001800B7">
              <w:rPr>
                <w:szCs w:val="22"/>
              </w:rPr>
              <w:t>’</w:t>
            </w:r>
            <w:r w:rsidRPr="001800B7">
              <w:rPr>
                <w:szCs w:val="22"/>
              </w:rPr>
              <w:t>une infrastructure efficace pour les transactions de propriété intellectuelle et la concession de licences et renforcer les compétences en la matière afin d</w:t>
            </w:r>
            <w:r w:rsidR="005311D6" w:rsidRPr="001800B7">
              <w:rPr>
                <w:szCs w:val="22"/>
              </w:rPr>
              <w:t>’</w:t>
            </w:r>
            <w:r w:rsidRPr="001800B7">
              <w:rPr>
                <w:szCs w:val="22"/>
              </w:rPr>
              <w:t>accroître les gains financiers des créateurs et de l</w:t>
            </w:r>
            <w:r w:rsidR="005311D6" w:rsidRPr="001800B7">
              <w:rPr>
                <w:szCs w:val="22"/>
              </w:rPr>
              <w:t>’</w:t>
            </w:r>
            <w:r w:rsidRPr="001800B7">
              <w:rPr>
                <w:szCs w:val="22"/>
              </w:rPr>
              <w:t>industrie de l</w:t>
            </w:r>
            <w:r w:rsidR="005311D6" w:rsidRPr="001800B7">
              <w:rPr>
                <w:szCs w:val="22"/>
              </w:rPr>
              <w:t>’</w:t>
            </w:r>
            <w:r w:rsidRPr="001800B7">
              <w:rPr>
                <w:szCs w:val="22"/>
              </w:rPr>
              <w:t>audiovisuel</w:t>
            </w:r>
          </w:p>
        </w:tc>
        <w:tc>
          <w:tcPr>
            <w:tcW w:w="2694" w:type="dxa"/>
            <w:shd w:val="clear" w:color="auto" w:fill="auto"/>
          </w:tcPr>
          <w:p w:rsidR="008475D2" w:rsidRPr="001800B7" w:rsidRDefault="00EF43D7" w:rsidP="00606348">
            <w:pPr>
              <w:spacing w:before="120" w:after="120"/>
              <w:rPr>
                <w:bCs/>
                <w:szCs w:val="22"/>
              </w:rPr>
            </w:pPr>
            <w:r w:rsidRPr="001800B7">
              <w:rPr>
                <w:bCs/>
                <w:szCs w:val="22"/>
              </w:rPr>
              <w:t>Accroître le nombre de transactions de propriété intellectuelle et la concession de licences des droits audiovisuels par le biais de négociations collectives et de pratiques collectives de concession de licences et la mise en œuvre des lignes directrices (les résultats doivent être déterminés par l</w:t>
            </w:r>
            <w:r w:rsidR="005311D6" w:rsidRPr="001800B7">
              <w:rPr>
                <w:bCs/>
                <w:szCs w:val="22"/>
              </w:rPr>
              <w:t>’</w:t>
            </w:r>
            <w:r w:rsidRPr="001800B7">
              <w:rPr>
                <w:bCs/>
                <w:szCs w:val="22"/>
              </w:rPr>
              <w:t>étude</w:t>
            </w:r>
            <w:r w:rsidR="00384527" w:rsidRPr="001800B7">
              <w:rPr>
                <w:bCs/>
                <w:szCs w:val="22"/>
              </w:rPr>
              <w:t>).</w:t>
            </w:r>
          </w:p>
          <w:p w:rsidR="008475D2" w:rsidRPr="001800B7" w:rsidRDefault="00EF43D7" w:rsidP="00606348">
            <w:pPr>
              <w:spacing w:before="120" w:after="120"/>
              <w:rPr>
                <w:bCs/>
                <w:szCs w:val="22"/>
              </w:rPr>
            </w:pPr>
            <w:r w:rsidRPr="001800B7">
              <w:rPr>
                <w:bCs/>
                <w:szCs w:val="22"/>
              </w:rPr>
              <w:t>Multiplier et développer l</w:t>
            </w:r>
            <w:r w:rsidR="005311D6" w:rsidRPr="001800B7">
              <w:rPr>
                <w:bCs/>
                <w:szCs w:val="22"/>
              </w:rPr>
              <w:t>’</w:t>
            </w:r>
            <w:r w:rsidRPr="001800B7">
              <w:rPr>
                <w:bCs/>
                <w:szCs w:val="22"/>
              </w:rPr>
              <w:t xml:space="preserve">infrastructure pour la concession de licences des droits audiovisuels qui soit compatible avec </w:t>
            </w:r>
            <w:r w:rsidRPr="001800B7">
              <w:rPr>
                <w:bCs/>
                <w:szCs w:val="22"/>
              </w:rPr>
              <w:lastRenderedPageBreak/>
              <w:t>les normes internationales, notamment par le biais des organismes de gestion collective (résultats à déterminer par l</w:t>
            </w:r>
            <w:r w:rsidR="005311D6" w:rsidRPr="001800B7">
              <w:rPr>
                <w:bCs/>
                <w:szCs w:val="22"/>
              </w:rPr>
              <w:t>’</w:t>
            </w:r>
            <w:r w:rsidRPr="001800B7">
              <w:rPr>
                <w:bCs/>
                <w:szCs w:val="22"/>
              </w:rPr>
              <w:t>étude</w:t>
            </w:r>
            <w:r w:rsidR="00384527" w:rsidRPr="001800B7">
              <w:rPr>
                <w:bCs/>
                <w:szCs w:val="22"/>
              </w:rPr>
              <w:t>).</w:t>
            </w:r>
          </w:p>
          <w:p w:rsidR="00384527" w:rsidRPr="001800B7" w:rsidRDefault="00EF43D7" w:rsidP="00606348">
            <w:pPr>
              <w:spacing w:before="120" w:after="120"/>
              <w:rPr>
                <w:bCs/>
                <w:szCs w:val="22"/>
              </w:rPr>
            </w:pPr>
            <w:r w:rsidRPr="001800B7">
              <w:rPr>
                <w:bCs/>
                <w:szCs w:val="22"/>
              </w:rPr>
              <w:t>Mise en œuvre progressive des outils appropriés et des règles commerciales pour la gestion des œuvres audiovisuelles compatibles avec les normes internationales (résultats à déterminer par le document exploratoire</w:t>
            </w:r>
            <w:r w:rsidR="00384527" w:rsidRPr="001800B7">
              <w:rPr>
                <w:bCs/>
                <w:szCs w:val="22"/>
              </w:rPr>
              <w:t>).</w:t>
            </w:r>
          </w:p>
        </w:tc>
        <w:tc>
          <w:tcPr>
            <w:tcW w:w="2976" w:type="dxa"/>
            <w:shd w:val="clear" w:color="auto" w:fill="auto"/>
          </w:tcPr>
          <w:p w:rsidR="008475D2" w:rsidRPr="001800B7" w:rsidRDefault="00193D68" w:rsidP="00606348">
            <w:pPr>
              <w:spacing w:before="120" w:after="120"/>
              <w:rPr>
                <w:szCs w:val="22"/>
              </w:rPr>
            </w:pPr>
            <w:r w:rsidRPr="001800B7">
              <w:rPr>
                <w:szCs w:val="22"/>
              </w:rPr>
              <w:lastRenderedPageBreak/>
              <w:t>Prématuré à ce stade.</w:t>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r w:rsidR="00606348" w:rsidRPr="001800B7">
              <w:rPr>
                <w:szCs w:val="22"/>
              </w:rPr>
              <w:br/>
            </w:r>
          </w:p>
          <w:p w:rsidR="00384527" w:rsidRPr="001800B7" w:rsidRDefault="00193D68" w:rsidP="00606348">
            <w:pPr>
              <w:spacing w:before="120" w:after="120"/>
              <w:rPr>
                <w:szCs w:val="22"/>
              </w:rPr>
            </w:pPr>
            <w:r w:rsidRPr="001800B7">
              <w:rPr>
                <w:szCs w:val="22"/>
              </w:rPr>
              <w:t>Prématuré à ce stade.</w:t>
            </w:r>
          </w:p>
        </w:tc>
        <w:tc>
          <w:tcPr>
            <w:tcW w:w="1455" w:type="dxa"/>
            <w:shd w:val="clear" w:color="auto" w:fill="auto"/>
          </w:tcPr>
          <w:p w:rsidR="00384527" w:rsidRPr="001800B7" w:rsidRDefault="00193D68" w:rsidP="00606348">
            <w:pPr>
              <w:pStyle w:val="Heading3"/>
              <w:spacing w:before="120" w:after="120"/>
              <w:rPr>
                <w:szCs w:val="22"/>
                <w:u w:val="none"/>
              </w:rPr>
            </w:pPr>
            <w:r w:rsidRPr="001800B7">
              <w:rPr>
                <w:szCs w:val="22"/>
                <w:u w:val="none"/>
              </w:rPr>
              <w:t>N.D.</w:t>
            </w:r>
          </w:p>
        </w:tc>
      </w:tr>
    </w:tbl>
    <w:p w:rsidR="008475D2" w:rsidRPr="001800B7" w:rsidRDefault="008475D2" w:rsidP="00606348">
      <w:pPr>
        <w:rPr>
          <w:szCs w:val="22"/>
        </w:rPr>
      </w:pPr>
    </w:p>
    <w:p w:rsidR="00606348" w:rsidRPr="001800B7" w:rsidRDefault="00606348" w:rsidP="00606348">
      <w:pPr>
        <w:rPr>
          <w:szCs w:val="22"/>
        </w:rPr>
      </w:pPr>
    </w:p>
    <w:p w:rsidR="00606348" w:rsidRPr="001800B7" w:rsidRDefault="00606348" w:rsidP="00606348">
      <w:pPr>
        <w:rPr>
          <w:szCs w:val="22"/>
        </w:rPr>
      </w:pPr>
    </w:p>
    <w:p w:rsidR="00E20EEC" w:rsidRPr="001800B7" w:rsidRDefault="00CD731A" w:rsidP="00606348">
      <w:pPr>
        <w:pStyle w:val="Endofdocument-Annex"/>
        <w:rPr>
          <w:szCs w:val="22"/>
        </w:rPr>
        <w:sectPr w:rsidR="00E20EEC" w:rsidRPr="001800B7" w:rsidSect="00BF4C15">
          <w:headerReference w:type="default" r:id="rId45"/>
          <w:headerReference w:type="first" r:id="rId46"/>
          <w:endnotePr>
            <w:numFmt w:val="decimal"/>
          </w:endnotePr>
          <w:pgSz w:w="11907" w:h="16840" w:code="9"/>
          <w:pgMar w:top="567" w:right="1134" w:bottom="1418" w:left="1418" w:header="510" w:footer="1021" w:gutter="0"/>
          <w:pgNumType w:start="1"/>
          <w:cols w:space="720"/>
          <w:titlePg/>
          <w:docGrid w:linePitch="299"/>
        </w:sectPr>
      </w:pPr>
      <w:r w:rsidRPr="001800B7">
        <w:rPr>
          <w:szCs w:val="22"/>
        </w:rPr>
        <w:t>[L</w:t>
      </w:r>
      <w:r w:rsidR="005311D6" w:rsidRPr="001800B7">
        <w:rPr>
          <w:szCs w:val="22"/>
        </w:rPr>
        <w:t>’</w:t>
      </w:r>
      <w:r w:rsidRPr="001800B7">
        <w:rPr>
          <w:szCs w:val="22"/>
        </w:rPr>
        <w:t>annexe</w:t>
      </w:r>
      <w:r w:rsidR="008005FD" w:rsidRPr="001800B7">
        <w:rPr>
          <w:szCs w:val="22"/>
        </w:rPr>
        <w:t> </w:t>
      </w:r>
      <w:r w:rsidRPr="001800B7">
        <w:rPr>
          <w:szCs w:val="22"/>
        </w:rPr>
        <w:t>V suit]</w:t>
      </w:r>
    </w:p>
    <w:tbl>
      <w:tblPr>
        <w:tblpPr w:leftFromText="180" w:rightFromText="180" w:vertAnchor="text" w:horzAnchor="margin" w:tblpY="151"/>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B22B3B">
        <w:tc>
          <w:tcPr>
            <w:tcW w:w="9501" w:type="dxa"/>
            <w:gridSpan w:val="2"/>
            <w:shd w:val="clear" w:color="auto" w:fill="auto"/>
          </w:tcPr>
          <w:p w:rsidR="009E7C19" w:rsidRPr="001800B7" w:rsidRDefault="00193D68" w:rsidP="008475D2">
            <w:pPr>
              <w:pStyle w:val="Heading2"/>
              <w:spacing w:before="120" w:after="120"/>
              <w:rPr>
                <w:rFonts w:eastAsia="Times New Roman"/>
                <w:iCs w:val="0"/>
                <w:szCs w:val="22"/>
                <w:lang w:eastAsia="en-US"/>
              </w:rPr>
            </w:pPr>
            <w:r w:rsidRPr="001800B7">
              <w:rPr>
                <w:rFonts w:eastAsia="Times New Roman"/>
                <w:iCs w:val="0"/>
                <w:szCs w:val="22"/>
                <w:lang w:eastAsia="en-US"/>
              </w:rPr>
              <w:lastRenderedPageBreak/>
              <w:t>RÉSUMÉ DU PROJET</w:t>
            </w:r>
          </w:p>
        </w:tc>
      </w:tr>
      <w:tr w:rsidR="001800B7" w:rsidRPr="001800B7" w:rsidTr="00B22B3B">
        <w:tc>
          <w:tcPr>
            <w:tcW w:w="2235" w:type="dxa"/>
            <w:shd w:val="clear" w:color="auto" w:fill="auto"/>
          </w:tcPr>
          <w:p w:rsidR="009E7C19" w:rsidRPr="001800B7" w:rsidRDefault="00193D68" w:rsidP="008475D2">
            <w:pPr>
              <w:keepNext/>
              <w:spacing w:before="120" w:after="120"/>
              <w:outlineLvl w:val="2"/>
              <w:rPr>
                <w:szCs w:val="22"/>
                <w:u w:val="single"/>
              </w:rPr>
            </w:pPr>
            <w:r w:rsidRPr="001800B7">
              <w:rPr>
                <w:szCs w:val="22"/>
                <w:u w:val="single"/>
              </w:rPr>
              <w:t>Code du projet</w:t>
            </w:r>
          </w:p>
        </w:tc>
        <w:tc>
          <w:tcPr>
            <w:tcW w:w="7266" w:type="dxa"/>
            <w:shd w:val="clear" w:color="auto" w:fill="auto"/>
            <w:vAlign w:val="center"/>
          </w:tcPr>
          <w:p w:rsidR="009E7C19" w:rsidRPr="001800B7" w:rsidRDefault="00B8224B" w:rsidP="008475D2">
            <w:pPr>
              <w:spacing w:before="120" w:after="120"/>
              <w:rPr>
                <w:szCs w:val="22"/>
              </w:rPr>
            </w:pPr>
            <w:r w:rsidRPr="001800B7">
              <w:rPr>
                <w:szCs w:val="22"/>
              </w:rPr>
              <w:t>DA</w:t>
            </w:r>
            <w:r w:rsidR="001800B7" w:rsidRPr="001800B7">
              <w:rPr>
                <w:szCs w:val="22"/>
              </w:rPr>
              <w:noBreakHyphen/>
            </w:r>
            <w:r w:rsidRPr="001800B7">
              <w:rPr>
                <w:szCs w:val="22"/>
              </w:rPr>
              <w:t>1</w:t>
            </w:r>
            <w:r w:rsidR="001800B7" w:rsidRPr="001800B7">
              <w:rPr>
                <w:szCs w:val="22"/>
              </w:rPr>
              <w:noBreakHyphen/>
            </w:r>
            <w:r w:rsidRPr="001800B7">
              <w:rPr>
                <w:szCs w:val="22"/>
              </w:rPr>
              <w:t>10</w:t>
            </w:r>
            <w:r w:rsidR="001800B7" w:rsidRPr="001800B7">
              <w:rPr>
                <w:szCs w:val="22"/>
              </w:rPr>
              <w:noBreakHyphen/>
            </w:r>
            <w:r w:rsidRPr="001800B7">
              <w:rPr>
                <w:szCs w:val="22"/>
              </w:rPr>
              <w:t>11</w:t>
            </w:r>
            <w:r w:rsidR="001800B7" w:rsidRPr="001800B7">
              <w:rPr>
                <w:szCs w:val="22"/>
              </w:rPr>
              <w:noBreakHyphen/>
            </w:r>
            <w:r w:rsidRPr="001800B7">
              <w:rPr>
                <w:szCs w:val="22"/>
              </w:rPr>
              <w:t>13</w:t>
            </w:r>
            <w:r w:rsidR="001800B7" w:rsidRPr="001800B7">
              <w:rPr>
                <w:szCs w:val="22"/>
              </w:rPr>
              <w:noBreakHyphen/>
            </w:r>
            <w:r w:rsidRPr="001800B7">
              <w:rPr>
                <w:szCs w:val="22"/>
              </w:rPr>
              <w:t>19</w:t>
            </w:r>
            <w:r w:rsidR="001800B7" w:rsidRPr="001800B7">
              <w:rPr>
                <w:szCs w:val="22"/>
              </w:rPr>
              <w:noBreakHyphen/>
            </w:r>
            <w:r w:rsidRPr="001800B7">
              <w:rPr>
                <w:szCs w:val="22"/>
              </w:rPr>
              <w:t>25</w:t>
            </w:r>
            <w:r w:rsidR="001800B7" w:rsidRPr="001800B7">
              <w:rPr>
                <w:szCs w:val="22"/>
              </w:rPr>
              <w:noBreakHyphen/>
            </w:r>
            <w:r w:rsidRPr="001800B7">
              <w:rPr>
                <w:szCs w:val="22"/>
              </w:rPr>
              <w:t>32</w:t>
            </w:r>
            <w:r w:rsidR="001800B7" w:rsidRPr="001800B7">
              <w:rPr>
                <w:szCs w:val="22"/>
              </w:rPr>
              <w:noBreakHyphen/>
            </w:r>
            <w:r w:rsidRPr="001800B7">
              <w:rPr>
                <w:szCs w:val="22"/>
              </w:rPr>
              <w:t>01</w:t>
            </w:r>
          </w:p>
        </w:tc>
      </w:tr>
      <w:tr w:rsidR="001800B7" w:rsidRPr="001800B7" w:rsidTr="00B22B3B">
        <w:tc>
          <w:tcPr>
            <w:tcW w:w="2235" w:type="dxa"/>
            <w:shd w:val="clear" w:color="auto" w:fill="auto"/>
          </w:tcPr>
          <w:p w:rsidR="009E7C19" w:rsidRPr="001800B7" w:rsidRDefault="00193D68" w:rsidP="00606348">
            <w:pPr>
              <w:keepNext/>
              <w:spacing w:before="120" w:after="120"/>
              <w:outlineLvl w:val="2"/>
              <w:rPr>
                <w:rFonts w:eastAsia="Times New Roman"/>
                <w:szCs w:val="22"/>
                <w:lang w:eastAsia="en-US"/>
              </w:rPr>
            </w:pPr>
            <w:r w:rsidRPr="001800B7">
              <w:rPr>
                <w:bCs/>
                <w:szCs w:val="22"/>
                <w:u w:val="single"/>
                <w:lang w:eastAsia="en-US"/>
              </w:rPr>
              <w:t>Titre</w:t>
            </w:r>
          </w:p>
        </w:tc>
        <w:tc>
          <w:tcPr>
            <w:tcW w:w="7266" w:type="dxa"/>
            <w:shd w:val="clear" w:color="auto" w:fill="auto"/>
            <w:vAlign w:val="center"/>
          </w:tcPr>
          <w:p w:rsidR="009E7C19" w:rsidRDefault="00193D68" w:rsidP="00606348">
            <w:pPr>
              <w:spacing w:before="120" w:after="120"/>
              <w:rPr>
                <w:rFonts w:eastAsia="Times New Roman"/>
                <w:iCs/>
                <w:szCs w:val="22"/>
                <w:lang w:eastAsia="en-US"/>
              </w:rPr>
            </w:pPr>
            <w:r w:rsidRPr="001800B7">
              <w:rPr>
                <w:rFonts w:eastAsia="Times New Roman"/>
                <w:iCs/>
                <w:szCs w:val="22"/>
                <w:lang w:eastAsia="en-US"/>
              </w:rPr>
              <w:t>Projet de renforcement de la coopération Sud</w:t>
            </w:r>
            <w:r w:rsidR="001800B7" w:rsidRPr="001800B7">
              <w:rPr>
                <w:rFonts w:eastAsia="Times New Roman"/>
                <w:iCs/>
                <w:szCs w:val="22"/>
                <w:lang w:eastAsia="en-US"/>
              </w:rPr>
              <w:noBreakHyphen/>
            </w:r>
            <w:r w:rsidRPr="001800B7">
              <w:rPr>
                <w:rFonts w:eastAsia="Times New Roman"/>
                <w:iCs/>
                <w:szCs w:val="22"/>
                <w:lang w:eastAsia="en-US"/>
              </w:rPr>
              <w:t>Sud dans le domaine de la propriété intellectuelle au service du développement parmi les pays en développement et les pays les moins avancés.</w:t>
            </w:r>
          </w:p>
          <w:p w:rsidR="00FC46A1" w:rsidRPr="001800B7" w:rsidRDefault="00FC46A1" w:rsidP="00606348">
            <w:pPr>
              <w:spacing w:before="120" w:after="120"/>
              <w:rPr>
                <w:rFonts w:eastAsia="Times New Roman"/>
                <w:szCs w:val="22"/>
                <w:lang w:eastAsia="en-US"/>
              </w:rPr>
            </w:pPr>
          </w:p>
        </w:tc>
      </w:tr>
      <w:tr w:rsidR="001800B7" w:rsidRPr="001800B7" w:rsidTr="00B22B3B">
        <w:tc>
          <w:tcPr>
            <w:tcW w:w="2235" w:type="dxa"/>
            <w:shd w:val="clear" w:color="auto" w:fill="auto"/>
          </w:tcPr>
          <w:p w:rsidR="009E7C19" w:rsidRPr="001800B7" w:rsidRDefault="00193D68" w:rsidP="00606348">
            <w:pPr>
              <w:keepNext/>
              <w:spacing w:before="120" w:after="120"/>
              <w:outlineLvl w:val="2"/>
              <w:rPr>
                <w:rFonts w:eastAsia="Times New Roman"/>
                <w:szCs w:val="22"/>
                <w:lang w:eastAsia="en-US"/>
              </w:rPr>
            </w:pPr>
            <w:r w:rsidRPr="001800B7">
              <w:rPr>
                <w:bCs/>
                <w:szCs w:val="22"/>
                <w:u w:val="single"/>
                <w:lang w:eastAsia="en-US"/>
              </w:rPr>
              <w:t>Recommandations du Plan d</w:t>
            </w:r>
            <w:r w:rsidR="005311D6" w:rsidRPr="001800B7">
              <w:rPr>
                <w:bCs/>
                <w:szCs w:val="22"/>
                <w:u w:val="single"/>
                <w:lang w:eastAsia="en-US"/>
              </w:rPr>
              <w:t>’</w:t>
            </w:r>
            <w:r w:rsidRPr="001800B7">
              <w:rPr>
                <w:bCs/>
                <w:szCs w:val="22"/>
                <w:u w:val="single"/>
                <w:lang w:eastAsia="en-US"/>
              </w:rPr>
              <w:t>action pour le développement</w:t>
            </w:r>
          </w:p>
        </w:tc>
        <w:tc>
          <w:tcPr>
            <w:tcW w:w="7266" w:type="dxa"/>
            <w:shd w:val="clear" w:color="auto" w:fill="auto"/>
          </w:tcPr>
          <w:p w:rsidR="008475D2" w:rsidRPr="001800B7" w:rsidRDefault="0085718F" w:rsidP="00606348">
            <w:pPr>
              <w:spacing w:before="100" w:after="100"/>
              <w:rPr>
                <w:rFonts w:eastAsia="Times New Roman"/>
                <w:iCs/>
                <w:szCs w:val="22"/>
                <w:lang w:eastAsia="en-US"/>
              </w:rPr>
            </w:pPr>
            <w:r w:rsidRPr="001800B7">
              <w:rPr>
                <w:rFonts w:eastAsia="Times New Roman"/>
                <w:iCs/>
                <w:szCs w:val="22"/>
                <w:lang w:eastAsia="en-US"/>
              </w:rPr>
              <w:t>Recommandations n</w:t>
            </w:r>
            <w:r w:rsidRPr="001800B7">
              <w:rPr>
                <w:rFonts w:eastAsia="Times New Roman"/>
                <w:iCs/>
                <w:szCs w:val="22"/>
                <w:vertAlign w:val="superscript"/>
                <w:lang w:eastAsia="en-US"/>
              </w:rPr>
              <w:t>os</w:t>
            </w:r>
            <w:r w:rsidR="009E7C19" w:rsidRPr="001800B7">
              <w:rPr>
                <w:rFonts w:eastAsia="Times New Roman"/>
                <w:iCs/>
                <w:szCs w:val="22"/>
                <w:lang w:eastAsia="en-US"/>
              </w:rPr>
              <w:t xml:space="preserve">1, 10, 11, 13, 19, 25 </w:t>
            </w:r>
            <w:r w:rsidRPr="001800B7">
              <w:rPr>
                <w:rFonts w:eastAsia="Times New Roman"/>
                <w:iCs/>
                <w:szCs w:val="22"/>
                <w:lang w:eastAsia="en-US"/>
              </w:rPr>
              <w:t xml:space="preserve">et </w:t>
            </w:r>
            <w:r w:rsidR="009E7C19" w:rsidRPr="001800B7">
              <w:rPr>
                <w:rFonts w:eastAsia="Times New Roman"/>
                <w:iCs/>
                <w:szCs w:val="22"/>
                <w:lang w:eastAsia="en-US"/>
              </w:rPr>
              <w:t>32</w:t>
            </w:r>
            <w:r w:rsidRPr="001800B7">
              <w:rPr>
                <w:rFonts w:eastAsia="Times New Roman"/>
                <w:iCs/>
                <w:szCs w:val="22"/>
                <w:lang w:eastAsia="en-US"/>
              </w:rPr>
              <w:t> </w:t>
            </w:r>
            <w:r w:rsidR="009E7C19" w:rsidRPr="001800B7">
              <w:rPr>
                <w:rFonts w:eastAsia="Times New Roman"/>
                <w:iCs/>
                <w:szCs w:val="22"/>
                <w:lang w:eastAsia="en-US"/>
              </w:rPr>
              <w:t>:</w:t>
            </w:r>
          </w:p>
          <w:p w:rsidR="008475D2" w:rsidRPr="001800B7" w:rsidRDefault="00193D68" w:rsidP="00606348">
            <w:pPr>
              <w:spacing w:before="100" w:after="100"/>
              <w:rPr>
                <w:rFonts w:eastAsia="Times New Roman"/>
                <w:iCs/>
                <w:szCs w:val="22"/>
                <w:lang w:eastAsia="en-US"/>
              </w:rPr>
            </w:pPr>
            <w:r w:rsidRPr="001800B7">
              <w:rPr>
                <w:rFonts w:eastAsia="Times New Roman"/>
                <w:i/>
                <w:iCs/>
                <w:szCs w:val="22"/>
                <w:lang w:eastAsia="en-US"/>
              </w:rPr>
              <w:t>Recommandation n° 1</w:t>
            </w:r>
            <w:r w:rsidRPr="001800B7">
              <w:rPr>
                <w:rFonts w:eastAsia="Times New Roman"/>
                <w:iCs/>
                <w:szCs w:val="22"/>
                <w:lang w:eastAsia="en-US"/>
              </w:rPr>
              <w:t> : L</w:t>
            </w:r>
            <w:r w:rsidR="005311D6" w:rsidRPr="001800B7">
              <w:rPr>
                <w:rFonts w:eastAsia="Times New Roman"/>
                <w:iCs/>
                <w:szCs w:val="22"/>
                <w:lang w:eastAsia="en-US"/>
              </w:rPr>
              <w:t>’</w:t>
            </w:r>
            <w:r w:rsidRPr="001800B7">
              <w:rPr>
                <w:rFonts w:eastAsia="Times New Roman"/>
                <w:iCs/>
                <w:szCs w:val="22"/>
                <w:lang w:eastAsia="en-US"/>
              </w:rPr>
              <w:t>assistance technique de l</w:t>
            </w:r>
            <w:r w:rsidR="005311D6" w:rsidRPr="001800B7">
              <w:rPr>
                <w:rFonts w:eastAsia="Times New Roman"/>
                <w:iCs/>
                <w:szCs w:val="22"/>
                <w:lang w:eastAsia="en-US"/>
              </w:rPr>
              <w:t>’</w:t>
            </w:r>
            <w:r w:rsidRPr="001800B7">
              <w:rPr>
                <w:rFonts w:eastAsia="Times New Roman"/>
                <w:iCs/>
                <w:szCs w:val="22"/>
                <w:lang w:eastAsia="en-US"/>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w:t>
            </w:r>
            <w:r w:rsidR="0008593D" w:rsidRPr="001800B7">
              <w:rPr>
                <w:rFonts w:eastAsia="Times New Roman"/>
                <w:iCs/>
                <w:szCs w:val="22"/>
                <w:lang w:eastAsia="en-US"/>
              </w:rPr>
              <w:t xml:space="preserve">.  </w:t>
            </w:r>
            <w:r w:rsidRPr="001800B7">
              <w:rPr>
                <w:rFonts w:eastAsia="Times New Roman"/>
                <w:iCs/>
                <w:szCs w:val="22"/>
                <w:lang w:eastAsia="en-US"/>
              </w:rPr>
              <w:t>À cet égard, les mécanismes d</w:t>
            </w:r>
            <w:r w:rsidR="005311D6" w:rsidRPr="001800B7">
              <w:rPr>
                <w:rFonts w:eastAsia="Times New Roman"/>
                <w:iCs/>
                <w:szCs w:val="22"/>
                <w:lang w:eastAsia="en-US"/>
              </w:rPr>
              <w:t>’</w:t>
            </w:r>
            <w:r w:rsidRPr="001800B7">
              <w:rPr>
                <w:rFonts w:eastAsia="Times New Roman"/>
                <w:iCs/>
                <w:szCs w:val="22"/>
                <w:lang w:eastAsia="en-US"/>
              </w:rPr>
              <w:t>établissement et d</w:t>
            </w:r>
            <w:r w:rsidR="005311D6" w:rsidRPr="001800B7">
              <w:rPr>
                <w:rFonts w:eastAsia="Times New Roman"/>
                <w:iCs/>
                <w:szCs w:val="22"/>
                <w:lang w:eastAsia="en-US"/>
              </w:rPr>
              <w:t>’</w:t>
            </w:r>
            <w:r w:rsidRPr="001800B7">
              <w:rPr>
                <w:rFonts w:eastAsia="Times New Roman"/>
                <w:iCs/>
                <w:szCs w:val="22"/>
                <w:lang w:eastAsia="en-US"/>
              </w:rPr>
              <w:t>exécution et procédures d</w:t>
            </w:r>
            <w:r w:rsidR="005311D6" w:rsidRPr="001800B7">
              <w:rPr>
                <w:rFonts w:eastAsia="Times New Roman"/>
                <w:iCs/>
                <w:szCs w:val="22"/>
                <w:lang w:eastAsia="en-US"/>
              </w:rPr>
              <w:t>’</w:t>
            </w:r>
            <w:r w:rsidRPr="001800B7">
              <w:rPr>
                <w:rFonts w:eastAsia="Times New Roman"/>
                <w:iCs/>
                <w:szCs w:val="22"/>
                <w:lang w:eastAsia="en-US"/>
              </w:rPr>
              <w:t>évaluation des programmes d</w:t>
            </w:r>
            <w:r w:rsidR="005311D6" w:rsidRPr="001800B7">
              <w:rPr>
                <w:rFonts w:eastAsia="Times New Roman"/>
                <w:iCs/>
                <w:szCs w:val="22"/>
                <w:lang w:eastAsia="en-US"/>
              </w:rPr>
              <w:t>’</w:t>
            </w:r>
            <w:r w:rsidRPr="001800B7">
              <w:rPr>
                <w:rFonts w:eastAsia="Times New Roman"/>
                <w:iCs/>
                <w:szCs w:val="22"/>
                <w:lang w:eastAsia="en-US"/>
              </w:rPr>
              <w:t>assistance technique doivent être ciblés par pays.</w:t>
            </w:r>
          </w:p>
          <w:p w:rsidR="008475D2" w:rsidRPr="001800B7" w:rsidRDefault="00193D68" w:rsidP="00606348">
            <w:pPr>
              <w:spacing w:before="100" w:after="100"/>
              <w:rPr>
                <w:rFonts w:eastAsia="Times New Roman"/>
                <w:iCs/>
                <w:szCs w:val="22"/>
                <w:lang w:eastAsia="en-US"/>
              </w:rPr>
            </w:pPr>
            <w:r w:rsidRPr="001800B7">
              <w:rPr>
                <w:rFonts w:eastAsia="Times New Roman"/>
                <w:i/>
                <w:iCs/>
                <w:szCs w:val="22"/>
                <w:lang w:eastAsia="en-US"/>
              </w:rPr>
              <w:t>Recommandation n° 10</w:t>
            </w:r>
            <w:r w:rsidRPr="001800B7">
              <w:rPr>
                <w:rFonts w:eastAsia="Times New Roman"/>
                <w:iCs/>
                <w:szCs w:val="22"/>
                <w:lang w:eastAsia="en-US"/>
              </w:rPr>
              <w:t> : Aider les États membres à développer et à améliorer les capacités institutionnelles nationales en propriété intellectuelle par le développement des infrastructures et autres moyens en vue de renforcer l</w:t>
            </w:r>
            <w:r w:rsidR="005311D6" w:rsidRPr="001800B7">
              <w:rPr>
                <w:rFonts w:eastAsia="Times New Roman"/>
                <w:iCs/>
                <w:szCs w:val="22"/>
                <w:lang w:eastAsia="en-US"/>
              </w:rPr>
              <w:t>’</w:t>
            </w:r>
            <w:r w:rsidRPr="001800B7">
              <w:rPr>
                <w:rFonts w:eastAsia="Times New Roman"/>
                <w:iCs/>
                <w:szCs w:val="22"/>
                <w:lang w:eastAsia="en-US"/>
              </w:rPr>
              <w:t>efficacité des institutions nationales de propriété intellectuelle et de concilier protection de la propriété intellectuelle et préservation de l</w:t>
            </w:r>
            <w:r w:rsidR="005311D6" w:rsidRPr="001800B7">
              <w:rPr>
                <w:rFonts w:eastAsia="Times New Roman"/>
                <w:iCs/>
                <w:szCs w:val="22"/>
                <w:lang w:eastAsia="en-US"/>
              </w:rPr>
              <w:t>’</w:t>
            </w:r>
            <w:r w:rsidRPr="001800B7">
              <w:rPr>
                <w:rFonts w:eastAsia="Times New Roman"/>
                <w:iCs/>
                <w:szCs w:val="22"/>
                <w:lang w:eastAsia="en-US"/>
              </w:rPr>
              <w:t>intérêt général</w:t>
            </w:r>
            <w:r w:rsidR="0008593D" w:rsidRPr="001800B7">
              <w:rPr>
                <w:rFonts w:eastAsia="Times New Roman"/>
                <w:iCs/>
                <w:szCs w:val="22"/>
                <w:lang w:eastAsia="en-US"/>
              </w:rPr>
              <w:t xml:space="preserve">.  </w:t>
            </w:r>
            <w:r w:rsidRPr="001800B7">
              <w:rPr>
                <w:rFonts w:eastAsia="Times New Roman"/>
                <w:iCs/>
                <w:szCs w:val="22"/>
                <w:lang w:eastAsia="en-US"/>
              </w:rPr>
              <w:t>Cette assistance technique devrait également être étendue aux organisations sous</w:t>
            </w:r>
            <w:r w:rsidR="001800B7" w:rsidRPr="001800B7">
              <w:rPr>
                <w:rFonts w:eastAsia="Times New Roman"/>
                <w:iCs/>
                <w:szCs w:val="22"/>
                <w:lang w:eastAsia="en-US"/>
              </w:rPr>
              <w:noBreakHyphen/>
            </w:r>
            <w:r w:rsidRPr="001800B7">
              <w:rPr>
                <w:rFonts w:eastAsia="Times New Roman"/>
                <w:iCs/>
                <w:szCs w:val="22"/>
                <w:lang w:eastAsia="en-US"/>
              </w:rPr>
              <w:t>régionales et régionales œuvrant dans le domaine de la propriété intellectuelle.</w:t>
            </w:r>
          </w:p>
          <w:p w:rsidR="008475D2" w:rsidRPr="001800B7" w:rsidRDefault="00193D68" w:rsidP="00606348">
            <w:pPr>
              <w:spacing w:before="100" w:after="100"/>
              <w:rPr>
                <w:rFonts w:eastAsia="Times New Roman"/>
                <w:iCs/>
                <w:szCs w:val="22"/>
                <w:lang w:eastAsia="en-US"/>
              </w:rPr>
            </w:pPr>
            <w:r w:rsidRPr="001800B7">
              <w:rPr>
                <w:rFonts w:eastAsia="Times New Roman"/>
                <w:i/>
                <w:iCs/>
                <w:szCs w:val="22"/>
                <w:lang w:eastAsia="en-US"/>
              </w:rPr>
              <w:t>Recommandation n°</w:t>
            </w:r>
            <w:r w:rsidR="008005FD" w:rsidRPr="001800B7">
              <w:rPr>
                <w:rFonts w:eastAsia="Times New Roman"/>
                <w:i/>
                <w:iCs/>
                <w:szCs w:val="22"/>
                <w:lang w:eastAsia="en-US"/>
              </w:rPr>
              <w:t> </w:t>
            </w:r>
            <w:r w:rsidRPr="001800B7">
              <w:rPr>
                <w:rFonts w:eastAsia="Times New Roman"/>
                <w:i/>
                <w:iCs/>
                <w:szCs w:val="22"/>
                <w:lang w:eastAsia="en-US"/>
              </w:rPr>
              <w:t>11</w:t>
            </w:r>
            <w:r w:rsidR="008005FD" w:rsidRPr="001800B7">
              <w:rPr>
                <w:rFonts w:eastAsia="Times New Roman"/>
                <w:i/>
                <w:iCs/>
                <w:szCs w:val="22"/>
                <w:lang w:eastAsia="en-US"/>
              </w:rPr>
              <w:t> </w:t>
            </w:r>
            <w:r w:rsidRPr="001800B7">
              <w:rPr>
                <w:rFonts w:eastAsia="Times New Roman"/>
                <w:i/>
                <w:iCs/>
                <w:szCs w:val="22"/>
                <w:lang w:eastAsia="en-US"/>
              </w:rPr>
              <w:t>:</w:t>
            </w:r>
            <w:r w:rsidRPr="001800B7">
              <w:rPr>
                <w:rFonts w:eastAsia="Times New Roman"/>
                <w:iCs/>
                <w:szCs w:val="22"/>
                <w:lang w:eastAsia="en-US"/>
              </w:rPr>
              <w:t xml:space="preserve"> 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5311D6" w:rsidRPr="001800B7">
              <w:rPr>
                <w:rFonts w:eastAsia="Times New Roman"/>
                <w:iCs/>
                <w:szCs w:val="22"/>
                <w:lang w:eastAsia="en-US"/>
              </w:rPr>
              <w:t>’</w:t>
            </w:r>
            <w:r w:rsidRPr="001800B7">
              <w:rPr>
                <w:rFonts w:eastAsia="Times New Roman"/>
                <w:iCs/>
                <w:szCs w:val="22"/>
                <w:lang w:eastAsia="en-US"/>
              </w:rPr>
              <w:t>OMPI.</w:t>
            </w:r>
          </w:p>
          <w:p w:rsidR="008475D2" w:rsidRPr="001800B7" w:rsidRDefault="00193D68" w:rsidP="00606348">
            <w:pPr>
              <w:spacing w:before="100" w:after="100"/>
              <w:rPr>
                <w:rFonts w:eastAsia="Times New Roman"/>
                <w:iCs/>
                <w:szCs w:val="22"/>
                <w:lang w:eastAsia="en-US"/>
              </w:rPr>
            </w:pPr>
            <w:r w:rsidRPr="001800B7">
              <w:rPr>
                <w:rFonts w:eastAsia="Times New Roman"/>
                <w:i/>
                <w:iCs/>
                <w:szCs w:val="22"/>
                <w:lang w:eastAsia="en-US"/>
              </w:rPr>
              <w:t>Recommandation n°</w:t>
            </w:r>
            <w:r w:rsidR="008005FD" w:rsidRPr="001800B7">
              <w:rPr>
                <w:rFonts w:eastAsia="Times New Roman"/>
                <w:i/>
                <w:iCs/>
                <w:szCs w:val="22"/>
                <w:lang w:eastAsia="en-US"/>
              </w:rPr>
              <w:t> </w:t>
            </w:r>
            <w:r w:rsidRPr="001800B7">
              <w:rPr>
                <w:rFonts w:eastAsia="Times New Roman"/>
                <w:i/>
                <w:iCs/>
                <w:szCs w:val="22"/>
                <w:lang w:eastAsia="en-US"/>
              </w:rPr>
              <w:t>13</w:t>
            </w:r>
            <w:r w:rsidR="008005FD" w:rsidRPr="001800B7">
              <w:rPr>
                <w:rFonts w:eastAsia="Times New Roman"/>
                <w:i/>
                <w:iCs/>
                <w:szCs w:val="22"/>
                <w:lang w:eastAsia="en-US"/>
              </w:rPr>
              <w:t> </w:t>
            </w:r>
            <w:r w:rsidRPr="001800B7">
              <w:rPr>
                <w:rFonts w:eastAsia="Times New Roman"/>
                <w:i/>
                <w:iCs/>
                <w:szCs w:val="22"/>
                <w:lang w:eastAsia="en-US"/>
              </w:rPr>
              <w:t>:</w:t>
            </w:r>
            <w:r w:rsidRPr="001800B7">
              <w:rPr>
                <w:rFonts w:eastAsia="Times New Roman"/>
                <w:iCs/>
                <w:szCs w:val="22"/>
                <w:lang w:eastAsia="en-US"/>
              </w:rPr>
              <w:t xml:space="preserve"> L</w:t>
            </w:r>
            <w:r w:rsidR="005311D6" w:rsidRPr="001800B7">
              <w:rPr>
                <w:rFonts w:eastAsia="Times New Roman"/>
                <w:iCs/>
                <w:szCs w:val="22"/>
                <w:lang w:eastAsia="en-US"/>
              </w:rPr>
              <w:t>’</w:t>
            </w:r>
            <w:r w:rsidRPr="001800B7">
              <w:rPr>
                <w:rFonts w:eastAsia="Times New Roman"/>
                <w:iCs/>
                <w:szCs w:val="22"/>
                <w:lang w:eastAsia="en-US"/>
              </w:rPr>
              <w:t>assistance législative de l</w:t>
            </w:r>
            <w:r w:rsidR="005311D6" w:rsidRPr="001800B7">
              <w:rPr>
                <w:rFonts w:eastAsia="Times New Roman"/>
                <w:iCs/>
                <w:szCs w:val="22"/>
                <w:lang w:eastAsia="en-US"/>
              </w:rPr>
              <w:t>’</w:t>
            </w:r>
            <w:r w:rsidRPr="001800B7">
              <w:rPr>
                <w:rFonts w:eastAsia="Times New Roman"/>
                <w:iCs/>
                <w:szCs w:val="22"/>
                <w:lang w:eastAsia="en-US"/>
              </w:rPr>
              <w:t>OMPI doit notamment être axée sur le développement et déterminée par la demande, compte tenu des priorités et des besoins particuliers des pays en développement, notamment</w:t>
            </w:r>
            <w:r w:rsidR="00456841" w:rsidRPr="001800B7">
              <w:rPr>
                <w:rFonts w:eastAsia="Times New Roman"/>
                <w:iCs/>
                <w:szCs w:val="22"/>
                <w:lang w:eastAsia="en-US"/>
              </w:rPr>
              <w:t xml:space="preserve"> des PMA</w:t>
            </w:r>
            <w:r w:rsidRPr="001800B7">
              <w:rPr>
                <w:rFonts w:eastAsia="Times New Roman"/>
                <w:iCs/>
                <w:szCs w:val="22"/>
                <w:lang w:eastAsia="en-US"/>
              </w:rPr>
              <w:t>, ainsi que des différents niveaux de développement des États membres;  les activités doivent être menées à bien dans les délais.</w:t>
            </w:r>
          </w:p>
          <w:p w:rsidR="008475D2" w:rsidRPr="001800B7" w:rsidRDefault="00193D68" w:rsidP="00606348">
            <w:pPr>
              <w:spacing w:before="100" w:after="100"/>
              <w:rPr>
                <w:rFonts w:eastAsia="Times New Roman"/>
                <w:iCs/>
                <w:szCs w:val="22"/>
                <w:lang w:eastAsia="en-US"/>
              </w:rPr>
            </w:pPr>
            <w:r w:rsidRPr="001800B7">
              <w:rPr>
                <w:rFonts w:eastAsia="Times New Roman"/>
                <w:i/>
                <w:iCs/>
                <w:szCs w:val="22"/>
                <w:lang w:eastAsia="en-US"/>
              </w:rPr>
              <w:t>Recommandation n°</w:t>
            </w:r>
            <w:r w:rsidR="008005FD" w:rsidRPr="001800B7">
              <w:rPr>
                <w:rFonts w:eastAsia="Times New Roman"/>
                <w:i/>
                <w:iCs/>
                <w:szCs w:val="22"/>
                <w:lang w:eastAsia="en-US"/>
              </w:rPr>
              <w:t> </w:t>
            </w:r>
            <w:r w:rsidRPr="001800B7">
              <w:rPr>
                <w:rFonts w:eastAsia="Times New Roman"/>
                <w:i/>
                <w:iCs/>
                <w:szCs w:val="22"/>
                <w:lang w:eastAsia="en-US"/>
              </w:rPr>
              <w:t>19</w:t>
            </w:r>
            <w:r w:rsidR="008005FD" w:rsidRPr="001800B7">
              <w:rPr>
                <w:rFonts w:eastAsia="Times New Roman"/>
                <w:i/>
                <w:iCs/>
                <w:szCs w:val="22"/>
                <w:lang w:eastAsia="en-US"/>
              </w:rPr>
              <w:t> </w:t>
            </w:r>
            <w:r w:rsidRPr="001800B7">
              <w:rPr>
                <w:rFonts w:eastAsia="Times New Roman"/>
                <w:i/>
                <w:iCs/>
                <w:szCs w:val="22"/>
                <w:lang w:eastAsia="en-US"/>
              </w:rPr>
              <w:t xml:space="preserve">: </w:t>
            </w:r>
            <w:r w:rsidRPr="001800B7">
              <w:rPr>
                <w:rFonts w:eastAsia="Times New Roman"/>
                <w:iCs/>
                <w:szCs w:val="22"/>
                <w:lang w:eastAsia="en-US"/>
              </w:rPr>
              <w:t>Engager les discussions sur les moyens à mettre en œuvre, dans le cadre du mandat de l</w:t>
            </w:r>
            <w:r w:rsidR="005311D6" w:rsidRPr="001800B7">
              <w:rPr>
                <w:rFonts w:eastAsia="Times New Roman"/>
                <w:iCs/>
                <w:szCs w:val="22"/>
                <w:lang w:eastAsia="en-US"/>
              </w:rPr>
              <w:t>’</w:t>
            </w:r>
            <w:r w:rsidRPr="001800B7">
              <w:rPr>
                <w:rFonts w:eastAsia="Times New Roman"/>
                <w:iCs/>
                <w:szCs w:val="22"/>
                <w:lang w:eastAsia="en-US"/>
              </w:rPr>
              <w:t>OMPI, pour faciliter davantage l</w:t>
            </w:r>
            <w:r w:rsidR="005311D6" w:rsidRPr="001800B7">
              <w:rPr>
                <w:rFonts w:eastAsia="Times New Roman"/>
                <w:iCs/>
                <w:szCs w:val="22"/>
                <w:lang w:eastAsia="en-US"/>
              </w:rPr>
              <w:t>’</w:t>
            </w:r>
            <w:r w:rsidRPr="001800B7">
              <w:rPr>
                <w:rFonts w:eastAsia="Times New Roman"/>
                <w:iCs/>
                <w:szCs w:val="22"/>
                <w:lang w:eastAsia="en-US"/>
              </w:rPr>
              <w:t>accès des pays en développement et</w:t>
            </w:r>
            <w:r w:rsidR="00456841" w:rsidRPr="001800B7">
              <w:rPr>
                <w:rFonts w:eastAsia="Times New Roman"/>
                <w:iCs/>
                <w:szCs w:val="22"/>
                <w:lang w:eastAsia="en-US"/>
              </w:rPr>
              <w:t xml:space="preserve"> des PMA</w:t>
            </w:r>
            <w:r w:rsidRPr="001800B7">
              <w:rPr>
                <w:rFonts w:eastAsia="Times New Roman"/>
                <w:iCs/>
                <w:szCs w:val="22"/>
                <w:lang w:eastAsia="en-US"/>
              </w:rPr>
              <w:t xml:space="preserve"> aux savoirs et à la technologie afin de stimuler la créativité et l</w:t>
            </w:r>
            <w:r w:rsidR="005311D6" w:rsidRPr="001800B7">
              <w:rPr>
                <w:rFonts w:eastAsia="Times New Roman"/>
                <w:iCs/>
                <w:szCs w:val="22"/>
                <w:lang w:eastAsia="en-US"/>
              </w:rPr>
              <w:t>’</w:t>
            </w:r>
            <w:r w:rsidRPr="001800B7">
              <w:rPr>
                <w:rFonts w:eastAsia="Times New Roman"/>
                <w:iCs/>
                <w:szCs w:val="22"/>
                <w:lang w:eastAsia="en-US"/>
              </w:rPr>
              <w:t>innovation et de renforcer les activités déjà entreprises dans ce domaine au sein de l</w:t>
            </w:r>
            <w:r w:rsidR="005311D6" w:rsidRPr="001800B7">
              <w:rPr>
                <w:rFonts w:eastAsia="Times New Roman"/>
                <w:iCs/>
                <w:szCs w:val="22"/>
                <w:lang w:eastAsia="en-US"/>
              </w:rPr>
              <w:t>’</w:t>
            </w:r>
            <w:r w:rsidRPr="001800B7">
              <w:rPr>
                <w:rFonts w:eastAsia="Times New Roman"/>
                <w:iCs/>
                <w:szCs w:val="22"/>
                <w:lang w:eastAsia="en-US"/>
              </w:rPr>
              <w:t>OMPI.</w:t>
            </w:r>
          </w:p>
          <w:p w:rsidR="008475D2" w:rsidRDefault="00193D68" w:rsidP="00606348">
            <w:pPr>
              <w:spacing w:before="100" w:after="100"/>
              <w:rPr>
                <w:rFonts w:eastAsia="Times New Roman"/>
                <w:iCs/>
                <w:szCs w:val="22"/>
                <w:lang w:eastAsia="en-US"/>
              </w:rPr>
            </w:pPr>
            <w:r w:rsidRPr="001800B7">
              <w:rPr>
                <w:rFonts w:eastAsia="Times New Roman"/>
                <w:i/>
                <w:iCs/>
                <w:szCs w:val="22"/>
                <w:lang w:eastAsia="en-US"/>
              </w:rPr>
              <w:t>Recommandation n°</w:t>
            </w:r>
            <w:r w:rsidR="008005FD" w:rsidRPr="001800B7">
              <w:rPr>
                <w:rFonts w:eastAsia="Times New Roman"/>
                <w:i/>
                <w:iCs/>
                <w:szCs w:val="22"/>
                <w:lang w:eastAsia="en-US"/>
              </w:rPr>
              <w:t> </w:t>
            </w:r>
            <w:r w:rsidRPr="001800B7">
              <w:rPr>
                <w:rFonts w:eastAsia="Times New Roman"/>
                <w:i/>
                <w:iCs/>
                <w:szCs w:val="22"/>
                <w:lang w:eastAsia="en-US"/>
              </w:rPr>
              <w:t>25</w:t>
            </w:r>
            <w:r w:rsidR="008005FD" w:rsidRPr="001800B7">
              <w:rPr>
                <w:rFonts w:eastAsia="Times New Roman"/>
                <w:i/>
                <w:iCs/>
                <w:szCs w:val="22"/>
                <w:lang w:eastAsia="en-US"/>
              </w:rPr>
              <w:t> </w:t>
            </w:r>
            <w:r w:rsidRPr="001800B7">
              <w:rPr>
                <w:rFonts w:eastAsia="Times New Roman"/>
                <w:i/>
                <w:iCs/>
                <w:szCs w:val="22"/>
                <w:lang w:eastAsia="en-US"/>
              </w:rPr>
              <w:t>:</w:t>
            </w:r>
            <w:r w:rsidRPr="001800B7">
              <w:rPr>
                <w:rFonts w:eastAsia="Times New Roman"/>
                <w:iCs/>
                <w:szCs w:val="22"/>
                <w:lang w:eastAsia="en-US"/>
              </w:rPr>
              <w:t xml:space="preserve"> 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5311D6" w:rsidRPr="001800B7">
              <w:rPr>
                <w:rFonts w:eastAsia="Times New Roman"/>
                <w:iCs/>
                <w:szCs w:val="22"/>
                <w:lang w:eastAsia="en-US"/>
              </w:rPr>
              <w:t>’</w:t>
            </w:r>
            <w:r w:rsidRPr="001800B7">
              <w:rPr>
                <w:rFonts w:eastAsia="Times New Roman"/>
                <w:iCs/>
                <w:szCs w:val="22"/>
                <w:lang w:eastAsia="en-US"/>
              </w:rPr>
              <w:t>en tirer profit, le cas échéant.</w:t>
            </w:r>
          </w:p>
          <w:p w:rsidR="00FC46A1" w:rsidRPr="001800B7" w:rsidRDefault="00FC46A1" w:rsidP="00606348">
            <w:pPr>
              <w:spacing w:before="100" w:after="100"/>
              <w:rPr>
                <w:rFonts w:eastAsia="Times New Roman"/>
                <w:iCs/>
                <w:szCs w:val="22"/>
                <w:lang w:eastAsia="en-US"/>
              </w:rPr>
            </w:pPr>
          </w:p>
          <w:p w:rsidR="009E7C19" w:rsidRPr="001800B7" w:rsidRDefault="00193D68" w:rsidP="00606348">
            <w:pPr>
              <w:spacing w:before="100" w:after="100"/>
              <w:rPr>
                <w:rFonts w:eastAsia="Times New Roman"/>
                <w:i/>
                <w:szCs w:val="22"/>
                <w:lang w:eastAsia="en-US"/>
              </w:rPr>
            </w:pPr>
            <w:r w:rsidRPr="001800B7">
              <w:rPr>
                <w:rFonts w:eastAsia="Times New Roman"/>
                <w:i/>
                <w:iCs/>
                <w:szCs w:val="22"/>
                <w:lang w:eastAsia="en-US"/>
              </w:rPr>
              <w:lastRenderedPageBreak/>
              <w:t>Recommandation n°</w:t>
            </w:r>
            <w:r w:rsidR="008005FD" w:rsidRPr="001800B7">
              <w:rPr>
                <w:rFonts w:eastAsia="Times New Roman"/>
                <w:i/>
                <w:iCs/>
                <w:szCs w:val="22"/>
                <w:lang w:eastAsia="en-US"/>
              </w:rPr>
              <w:t> </w:t>
            </w:r>
            <w:r w:rsidRPr="001800B7">
              <w:rPr>
                <w:rFonts w:eastAsia="Times New Roman"/>
                <w:i/>
                <w:iCs/>
                <w:szCs w:val="22"/>
                <w:lang w:eastAsia="en-US"/>
              </w:rPr>
              <w:t>32</w:t>
            </w:r>
            <w:r w:rsidR="008005FD" w:rsidRPr="001800B7">
              <w:rPr>
                <w:rFonts w:eastAsia="Times New Roman"/>
                <w:i/>
                <w:iCs/>
                <w:szCs w:val="22"/>
                <w:lang w:eastAsia="en-US"/>
              </w:rPr>
              <w:t> </w:t>
            </w:r>
            <w:r w:rsidRPr="001800B7">
              <w:rPr>
                <w:rFonts w:eastAsia="Times New Roman"/>
                <w:i/>
                <w:iCs/>
                <w:szCs w:val="22"/>
                <w:lang w:eastAsia="en-US"/>
              </w:rPr>
              <w:t xml:space="preserve">: </w:t>
            </w:r>
            <w:r w:rsidRPr="001800B7">
              <w:rPr>
                <w:rFonts w:eastAsia="Times New Roman"/>
                <w:iCs/>
                <w:szCs w:val="22"/>
                <w:lang w:eastAsia="en-US"/>
              </w:rPr>
              <w:t>Ménager au sein de l</w:t>
            </w:r>
            <w:r w:rsidR="005311D6" w:rsidRPr="001800B7">
              <w:rPr>
                <w:rFonts w:eastAsia="Times New Roman"/>
                <w:iCs/>
                <w:szCs w:val="22"/>
                <w:lang w:eastAsia="en-US"/>
              </w:rPr>
              <w:t>’</w:t>
            </w:r>
            <w:r w:rsidRPr="001800B7">
              <w:rPr>
                <w:rFonts w:eastAsia="Times New Roman"/>
                <w:iCs/>
                <w:szCs w:val="22"/>
                <w:lang w:eastAsia="en-US"/>
              </w:rPr>
              <w:t>OMPI la possibilité d</w:t>
            </w:r>
            <w:r w:rsidR="005311D6" w:rsidRPr="001800B7">
              <w:rPr>
                <w:rFonts w:eastAsia="Times New Roman"/>
                <w:iCs/>
                <w:szCs w:val="22"/>
                <w:lang w:eastAsia="en-US"/>
              </w:rPr>
              <w:t>’</w:t>
            </w:r>
            <w:r w:rsidRPr="001800B7">
              <w:rPr>
                <w:rFonts w:eastAsia="Times New Roman"/>
                <w:iCs/>
                <w:szCs w:val="22"/>
                <w:lang w:eastAsia="en-US"/>
              </w:rPr>
              <w:t>échanger des informations et des données d</w:t>
            </w:r>
            <w:r w:rsidR="005311D6" w:rsidRPr="001800B7">
              <w:rPr>
                <w:rFonts w:eastAsia="Times New Roman"/>
                <w:iCs/>
                <w:szCs w:val="22"/>
                <w:lang w:eastAsia="en-US"/>
              </w:rPr>
              <w:t>’</w:t>
            </w:r>
            <w:r w:rsidRPr="001800B7">
              <w:rPr>
                <w:rFonts w:eastAsia="Times New Roman"/>
                <w:iCs/>
                <w:szCs w:val="22"/>
                <w:lang w:eastAsia="en-US"/>
              </w:rPr>
              <w:t>expérience nationales et régionales sur les liens entre les droits de propriété intellectuelle et les politiques en matière de concurrence</w:t>
            </w:r>
            <w:r w:rsidRPr="001800B7">
              <w:rPr>
                <w:rFonts w:eastAsia="Times New Roman"/>
                <w:i/>
                <w:iCs/>
                <w:szCs w:val="22"/>
                <w:lang w:eastAsia="en-US"/>
              </w:rPr>
              <w:t>.</w:t>
            </w:r>
          </w:p>
        </w:tc>
      </w:tr>
      <w:tr w:rsidR="001800B7" w:rsidRPr="001800B7" w:rsidTr="00B22B3B">
        <w:tc>
          <w:tcPr>
            <w:tcW w:w="2235" w:type="dxa"/>
            <w:shd w:val="clear" w:color="auto" w:fill="auto"/>
          </w:tcPr>
          <w:p w:rsidR="009E7C19" w:rsidRPr="001800B7" w:rsidRDefault="00193D68" w:rsidP="00606348">
            <w:pPr>
              <w:keepNext/>
              <w:spacing w:before="120" w:after="120"/>
              <w:outlineLvl w:val="2"/>
              <w:rPr>
                <w:rFonts w:eastAsia="Times New Roman"/>
                <w:szCs w:val="22"/>
                <w:lang w:eastAsia="en-US"/>
              </w:rPr>
            </w:pPr>
            <w:r w:rsidRPr="001800B7">
              <w:rPr>
                <w:bCs/>
                <w:szCs w:val="22"/>
                <w:u w:val="single"/>
                <w:lang w:eastAsia="en-US"/>
              </w:rPr>
              <w:lastRenderedPageBreak/>
              <w:t>Budget du projet</w:t>
            </w:r>
          </w:p>
        </w:tc>
        <w:tc>
          <w:tcPr>
            <w:tcW w:w="7266" w:type="dxa"/>
            <w:shd w:val="clear" w:color="auto" w:fill="auto"/>
          </w:tcPr>
          <w:p w:rsidR="008475D2" w:rsidRPr="001800B7" w:rsidRDefault="00193D68" w:rsidP="008475D2">
            <w:pPr>
              <w:spacing w:before="120" w:after="120"/>
              <w:rPr>
                <w:rFonts w:eastAsia="Times New Roman"/>
                <w:szCs w:val="22"/>
                <w:lang w:eastAsia="en-US"/>
              </w:rPr>
            </w:pPr>
            <w:r w:rsidRPr="001800B7">
              <w:rPr>
                <w:rFonts w:eastAsia="Times New Roman"/>
                <w:szCs w:val="22"/>
                <w:lang w:eastAsia="en-US"/>
              </w:rPr>
              <w:t>Dépenses autres que les dépenses de personnel</w:t>
            </w:r>
            <w:r w:rsidR="008005FD" w:rsidRPr="001800B7">
              <w:rPr>
                <w:rFonts w:eastAsia="Times New Roman"/>
                <w:szCs w:val="22"/>
                <w:lang w:eastAsia="en-US"/>
              </w:rPr>
              <w:t> </w:t>
            </w:r>
            <w:r w:rsidRPr="001800B7">
              <w:rPr>
                <w:rFonts w:eastAsia="Times New Roman"/>
                <w:szCs w:val="22"/>
                <w:lang w:eastAsia="en-US"/>
              </w:rPr>
              <w:t>: 755</w:t>
            </w:r>
            <w:r w:rsidR="00824712" w:rsidRPr="001800B7">
              <w:rPr>
                <w:rFonts w:eastAsia="Times New Roman"/>
                <w:szCs w:val="22"/>
                <w:lang w:eastAsia="en-US"/>
              </w:rPr>
              <w:t> </w:t>
            </w:r>
            <w:r w:rsidRPr="001800B7">
              <w:rPr>
                <w:rFonts w:eastAsia="Times New Roman"/>
                <w:szCs w:val="22"/>
                <w:lang w:eastAsia="en-US"/>
              </w:rPr>
              <w:t>460</w:t>
            </w:r>
            <w:r w:rsidR="008005FD" w:rsidRPr="001800B7">
              <w:rPr>
                <w:rFonts w:eastAsia="Times New Roman"/>
                <w:szCs w:val="22"/>
                <w:lang w:eastAsia="en-US"/>
              </w:rPr>
              <w:t> </w:t>
            </w:r>
            <w:r w:rsidRPr="001800B7">
              <w:rPr>
                <w:rFonts w:eastAsia="Times New Roman"/>
                <w:szCs w:val="22"/>
                <w:lang w:eastAsia="en-US"/>
              </w:rPr>
              <w:t>francs suisses</w:t>
            </w:r>
          </w:p>
          <w:p w:rsidR="009E7C19" w:rsidRPr="001800B7" w:rsidRDefault="00193D68" w:rsidP="00606348">
            <w:pPr>
              <w:spacing w:before="120" w:after="120"/>
              <w:rPr>
                <w:rFonts w:eastAsia="Times New Roman"/>
                <w:szCs w:val="22"/>
                <w:lang w:eastAsia="en-US"/>
              </w:rPr>
            </w:pPr>
            <w:r w:rsidRPr="001800B7">
              <w:rPr>
                <w:rFonts w:eastAsia="Times New Roman"/>
                <w:szCs w:val="22"/>
                <w:lang w:eastAsia="en-US"/>
              </w:rPr>
              <w:t>Dépenses de personnel</w:t>
            </w:r>
            <w:r w:rsidR="008005FD" w:rsidRPr="001800B7">
              <w:rPr>
                <w:rFonts w:eastAsia="Times New Roman"/>
                <w:szCs w:val="22"/>
                <w:lang w:eastAsia="en-US"/>
              </w:rPr>
              <w:t> </w:t>
            </w:r>
            <w:r w:rsidRPr="001800B7">
              <w:rPr>
                <w:rFonts w:eastAsia="Times New Roman"/>
                <w:szCs w:val="22"/>
                <w:lang w:eastAsia="en-US"/>
              </w:rPr>
              <w:t>: 202</w:t>
            </w:r>
            <w:r w:rsidR="00824712" w:rsidRPr="001800B7">
              <w:rPr>
                <w:rFonts w:eastAsia="Times New Roman"/>
                <w:szCs w:val="22"/>
                <w:lang w:eastAsia="en-US"/>
              </w:rPr>
              <w:t> </w:t>
            </w:r>
            <w:r w:rsidRPr="001800B7">
              <w:rPr>
                <w:rFonts w:eastAsia="Times New Roman"/>
                <w:szCs w:val="22"/>
                <w:lang w:eastAsia="en-US"/>
              </w:rPr>
              <w:t>000</w:t>
            </w:r>
            <w:r w:rsidR="008005FD" w:rsidRPr="001800B7">
              <w:rPr>
                <w:rFonts w:eastAsia="Times New Roman"/>
                <w:szCs w:val="22"/>
                <w:lang w:eastAsia="en-US"/>
              </w:rPr>
              <w:t> </w:t>
            </w:r>
            <w:r w:rsidRPr="001800B7">
              <w:rPr>
                <w:rFonts w:eastAsia="Times New Roman"/>
                <w:szCs w:val="22"/>
                <w:lang w:eastAsia="en-US"/>
              </w:rPr>
              <w:t>francs suisses</w:t>
            </w:r>
          </w:p>
        </w:tc>
      </w:tr>
      <w:tr w:rsidR="001800B7" w:rsidRPr="001800B7" w:rsidTr="00B22B3B">
        <w:tc>
          <w:tcPr>
            <w:tcW w:w="2235" w:type="dxa"/>
            <w:shd w:val="clear" w:color="auto" w:fill="auto"/>
          </w:tcPr>
          <w:p w:rsidR="009E7C19" w:rsidRPr="001800B7" w:rsidRDefault="00193D68" w:rsidP="00606348">
            <w:pPr>
              <w:keepNext/>
              <w:spacing w:before="120" w:after="120"/>
              <w:outlineLvl w:val="2"/>
              <w:rPr>
                <w:rFonts w:eastAsia="Times New Roman"/>
                <w:szCs w:val="22"/>
                <w:lang w:eastAsia="en-US"/>
              </w:rPr>
            </w:pPr>
            <w:r w:rsidRPr="001800B7">
              <w:rPr>
                <w:bCs/>
                <w:szCs w:val="22"/>
                <w:u w:val="single"/>
                <w:lang w:eastAsia="en-US"/>
              </w:rPr>
              <w:t>Date de début du projet</w:t>
            </w:r>
          </w:p>
        </w:tc>
        <w:tc>
          <w:tcPr>
            <w:tcW w:w="7266" w:type="dxa"/>
            <w:shd w:val="clear" w:color="auto" w:fill="auto"/>
          </w:tcPr>
          <w:p w:rsidR="009E7C19" w:rsidRPr="001800B7" w:rsidRDefault="0008593D" w:rsidP="00606348">
            <w:pPr>
              <w:spacing w:before="120" w:after="120"/>
              <w:rPr>
                <w:rFonts w:eastAsia="Times New Roman"/>
                <w:szCs w:val="22"/>
                <w:lang w:eastAsia="en-US"/>
              </w:rPr>
            </w:pPr>
            <w:r w:rsidRPr="001800B7">
              <w:rPr>
                <w:rFonts w:eastAsia="Times New Roman"/>
                <w:szCs w:val="22"/>
                <w:lang w:eastAsia="en-US"/>
              </w:rPr>
              <w:t>Avril </w:t>
            </w:r>
            <w:r w:rsidR="00193D68" w:rsidRPr="001800B7">
              <w:rPr>
                <w:rFonts w:eastAsia="Times New Roman"/>
                <w:szCs w:val="22"/>
                <w:lang w:eastAsia="en-US"/>
              </w:rPr>
              <w:t>2012</w:t>
            </w:r>
          </w:p>
        </w:tc>
      </w:tr>
      <w:tr w:rsidR="001800B7" w:rsidRPr="001800B7" w:rsidTr="00B22B3B">
        <w:tc>
          <w:tcPr>
            <w:tcW w:w="2235" w:type="dxa"/>
            <w:shd w:val="clear" w:color="auto" w:fill="auto"/>
          </w:tcPr>
          <w:p w:rsidR="009E7C19" w:rsidRPr="001800B7" w:rsidRDefault="00193D68" w:rsidP="00606348">
            <w:pPr>
              <w:keepNext/>
              <w:spacing w:before="120" w:after="120"/>
              <w:outlineLvl w:val="2"/>
              <w:rPr>
                <w:rFonts w:eastAsia="Times New Roman"/>
                <w:szCs w:val="22"/>
                <w:lang w:eastAsia="en-US"/>
              </w:rPr>
            </w:pPr>
            <w:r w:rsidRPr="001800B7">
              <w:rPr>
                <w:bCs/>
                <w:szCs w:val="22"/>
                <w:u w:val="single"/>
                <w:lang w:eastAsia="en-US"/>
              </w:rPr>
              <w:t>Durée du projet</w:t>
            </w:r>
          </w:p>
        </w:tc>
        <w:tc>
          <w:tcPr>
            <w:tcW w:w="7266" w:type="dxa"/>
            <w:shd w:val="clear" w:color="auto" w:fill="auto"/>
          </w:tcPr>
          <w:p w:rsidR="009E7C19" w:rsidRPr="001800B7" w:rsidRDefault="00193D68" w:rsidP="00606348">
            <w:pPr>
              <w:spacing w:before="120" w:after="120"/>
              <w:rPr>
                <w:rFonts w:eastAsia="Times New Roman"/>
                <w:szCs w:val="22"/>
                <w:lang w:eastAsia="en-US"/>
              </w:rPr>
            </w:pPr>
            <w:r w:rsidRPr="001800B7">
              <w:rPr>
                <w:rFonts w:eastAsia="Times New Roman"/>
                <w:szCs w:val="22"/>
                <w:lang w:eastAsia="en-US"/>
              </w:rPr>
              <w:t>24 mois (première phase)</w:t>
            </w:r>
            <w:r w:rsidR="0008593D" w:rsidRPr="001800B7">
              <w:rPr>
                <w:rFonts w:eastAsia="Times New Roman"/>
                <w:szCs w:val="22"/>
                <w:lang w:eastAsia="en-US"/>
              </w:rPr>
              <w:t xml:space="preserve">.  </w:t>
            </w:r>
            <w:r w:rsidR="00EF43D7" w:rsidRPr="001800B7">
              <w:rPr>
                <w:rFonts w:eastAsia="Times New Roman"/>
                <w:szCs w:val="22"/>
                <w:lang w:eastAsia="en-US"/>
              </w:rPr>
              <w:t>Le projet a été pro</w:t>
            </w:r>
            <w:r w:rsidR="00D75F0D" w:rsidRPr="001800B7">
              <w:rPr>
                <w:rFonts w:eastAsia="Times New Roman"/>
                <w:szCs w:val="22"/>
                <w:lang w:eastAsia="en-US"/>
              </w:rPr>
              <w:t xml:space="preserve">rogé </w:t>
            </w:r>
            <w:r w:rsidR="00EF43D7" w:rsidRPr="001800B7">
              <w:rPr>
                <w:rFonts w:eastAsia="Times New Roman"/>
                <w:szCs w:val="22"/>
                <w:lang w:eastAsia="en-US"/>
              </w:rPr>
              <w:t>d</w:t>
            </w:r>
            <w:r w:rsidR="005311D6" w:rsidRPr="001800B7">
              <w:rPr>
                <w:rFonts w:eastAsia="Times New Roman"/>
                <w:szCs w:val="22"/>
                <w:lang w:eastAsia="en-US"/>
              </w:rPr>
              <w:t>’</w:t>
            </w:r>
            <w:r w:rsidR="00EF43D7" w:rsidRPr="001800B7">
              <w:rPr>
                <w:rFonts w:eastAsia="Times New Roman"/>
                <w:szCs w:val="22"/>
                <w:lang w:eastAsia="en-US"/>
              </w:rPr>
              <w:t>une période supplémentaire d</w:t>
            </w:r>
            <w:r w:rsidR="005311D6" w:rsidRPr="001800B7">
              <w:rPr>
                <w:rFonts w:eastAsia="Times New Roman"/>
                <w:szCs w:val="22"/>
                <w:lang w:eastAsia="en-US"/>
              </w:rPr>
              <w:t>’</w:t>
            </w:r>
            <w:r w:rsidR="00EF43D7" w:rsidRPr="001800B7">
              <w:rPr>
                <w:rFonts w:eastAsia="Times New Roman"/>
                <w:szCs w:val="22"/>
                <w:lang w:eastAsia="en-US"/>
              </w:rPr>
              <w:t>un an</w:t>
            </w:r>
            <w:r w:rsidR="00D75F0D" w:rsidRPr="001800B7">
              <w:rPr>
                <w:rFonts w:eastAsia="Times New Roman"/>
                <w:szCs w:val="22"/>
                <w:lang w:eastAsia="en-US"/>
              </w:rPr>
              <w:t xml:space="preserve"> en vertu de la décision de la t</w:t>
            </w:r>
            <w:r w:rsidR="00EF43D7" w:rsidRPr="001800B7">
              <w:rPr>
                <w:rFonts w:eastAsia="Times New Roman"/>
                <w:szCs w:val="22"/>
                <w:lang w:eastAsia="en-US"/>
              </w:rPr>
              <w:t>reizième</w:t>
            </w:r>
            <w:r w:rsidR="008005FD" w:rsidRPr="001800B7">
              <w:rPr>
                <w:rFonts w:eastAsia="Times New Roman"/>
                <w:szCs w:val="22"/>
                <w:lang w:eastAsia="en-US"/>
              </w:rPr>
              <w:t> </w:t>
            </w:r>
            <w:r w:rsidR="00D75F0D" w:rsidRPr="001800B7">
              <w:rPr>
                <w:rFonts w:eastAsia="Times New Roman"/>
                <w:szCs w:val="22"/>
                <w:lang w:eastAsia="en-US"/>
              </w:rPr>
              <w:t>s</w:t>
            </w:r>
            <w:r w:rsidR="00EF43D7" w:rsidRPr="001800B7">
              <w:rPr>
                <w:rFonts w:eastAsia="Times New Roman"/>
                <w:szCs w:val="22"/>
                <w:lang w:eastAsia="en-US"/>
              </w:rPr>
              <w:t>ession</w:t>
            </w:r>
            <w:r w:rsidR="00456841" w:rsidRPr="001800B7">
              <w:rPr>
                <w:rFonts w:eastAsia="Times New Roman"/>
                <w:szCs w:val="22"/>
                <w:lang w:eastAsia="en-US"/>
              </w:rPr>
              <w:t xml:space="preserve"> du CDI</w:t>
            </w:r>
            <w:r w:rsidR="00EF43D7" w:rsidRPr="001800B7">
              <w:rPr>
                <w:rFonts w:eastAsia="Times New Roman"/>
                <w:szCs w:val="22"/>
                <w:lang w:eastAsia="en-US"/>
              </w:rPr>
              <w:t>P (voir le paragraphe </w:t>
            </w:r>
            <w:r w:rsidR="009E7C19" w:rsidRPr="001800B7">
              <w:rPr>
                <w:rFonts w:eastAsia="Times New Roman"/>
                <w:szCs w:val="22"/>
                <w:lang w:eastAsia="en-US"/>
              </w:rPr>
              <w:t xml:space="preserve">7 </w:t>
            </w:r>
            <w:r w:rsidR="00EF43D7" w:rsidRPr="001800B7">
              <w:rPr>
                <w:rFonts w:eastAsia="Times New Roman"/>
                <w:szCs w:val="22"/>
                <w:lang w:eastAsia="en-US"/>
              </w:rPr>
              <w:t>du résumé du président à l</w:t>
            </w:r>
            <w:r w:rsidR="005311D6" w:rsidRPr="001800B7">
              <w:rPr>
                <w:rFonts w:eastAsia="Times New Roman"/>
                <w:szCs w:val="22"/>
                <w:lang w:eastAsia="en-US"/>
              </w:rPr>
              <w:t>’</w:t>
            </w:r>
            <w:r w:rsidR="00EF43D7" w:rsidRPr="001800B7">
              <w:rPr>
                <w:rFonts w:eastAsia="Times New Roman"/>
                <w:szCs w:val="22"/>
                <w:lang w:eastAsia="en-US"/>
              </w:rPr>
              <w:t>adresse</w:t>
            </w:r>
            <w:r w:rsidR="0008593D" w:rsidRPr="001800B7">
              <w:rPr>
                <w:rFonts w:eastAsia="Times New Roman"/>
                <w:szCs w:val="22"/>
                <w:lang w:eastAsia="en-US"/>
              </w:rPr>
              <w:t xml:space="preserve"> </w:t>
            </w:r>
            <w:hyperlink r:id="rId47" w:history="1">
              <w:r w:rsidR="0008593D" w:rsidRPr="001800B7">
                <w:rPr>
                  <w:rStyle w:val="Hyperlink"/>
                  <w:color w:val="auto"/>
                  <w:szCs w:val="22"/>
                </w:rPr>
                <w:t>http://www.wipo.int/edocs/mdocs/mdocs/fr/cdip_13/cdip_13_summary.pdf</w:t>
              </w:r>
            </w:hyperlink>
            <w:r w:rsidR="009E7C19" w:rsidRPr="001800B7">
              <w:rPr>
                <w:szCs w:val="22"/>
              </w:rPr>
              <w:t>).</w:t>
            </w:r>
          </w:p>
        </w:tc>
      </w:tr>
      <w:tr w:rsidR="001800B7" w:rsidRPr="001800B7" w:rsidTr="00B22B3B">
        <w:tc>
          <w:tcPr>
            <w:tcW w:w="2235" w:type="dxa"/>
            <w:tcBorders>
              <w:bottom w:val="single" w:sz="4" w:space="0" w:color="auto"/>
            </w:tcBorders>
            <w:shd w:val="clear" w:color="auto" w:fill="auto"/>
          </w:tcPr>
          <w:p w:rsidR="009E7C19" w:rsidRPr="001800B7" w:rsidRDefault="00193D68" w:rsidP="008475D2">
            <w:pPr>
              <w:keepNext/>
              <w:spacing w:before="120" w:after="120"/>
              <w:outlineLvl w:val="2"/>
              <w:rPr>
                <w:bCs/>
                <w:szCs w:val="22"/>
                <w:u w:val="single"/>
                <w:lang w:eastAsia="en-US"/>
              </w:rPr>
            </w:pPr>
            <w:r w:rsidRPr="001800B7">
              <w:rPr>
                <w:bCs/>
                <w:szCs w:val="22"/>
                <w:u w:val="single"/>
                <w:lang w:eastAsia="en-US"/>
              </w:rPr>
              <w:t>Principaux secteurs de l</w:t>
            </w:r>
            <w:r w:rsidR="005311D6" w:rsidRPr="001800B7">
              <w:rPr>
                <w:bCs/>
                <w:szCs w:val="22"/>
                <w:u w:val="single"/>
                <w:lang w:eastAsia="en-US"/>
              </w:rPr>
              <w:t>’</w:t>
            </w:r>
            <w:r w:rsidRPr="001800B7">
              <w:rPr>
                <w:bCs/>
                <w:szCs w:val="22"/>
                <w:u w:val="single"/>
                <w:lang w:eastAsia="en-US"/>
              </w:rPr>
              <w:t>OMPI concernés et liens avec les programmes de l</w:t>
            </w:r>
            <w:r w:rsidR="005311D6" w:rsidRPr="001800B7">
              <w:rPr>
                <w:bCs/>
                <w:szCs w:val="22"/>
                <w:u w:val="single"/>
                <w:lang w:eastAsia="en-US"/>
              </w:rPr>
              <w:t>’</w:t>
            </w:r>
            <w:r w:rsidRPr="001800B7">
              <w:rPr>
                <w:bCs/>
                <w:szCs w:val="22"/>
                <w:u w:val="single"/>
                <w:lang w:eastAsia="en-US"/>
              </w:rPr>
              <w:t>OMPI</w:t>
            </w:r>
          </w:p>
        </w:tc>
        <w:tc>
          <w:tcPr>
            <w:tcW w:w="7266" w:type="dxa"/>
            <w:tcBorders>
              <w:bottom w:val="single" w:sz="4" w:space="0" w:color="auto"/>
            </w:tcBorders>
            <w:shd w:val="clear" w:color="auto" w:fill="auto"/>
          </w:tcPr>
          <w:p w:rsidR="008475D2" w:rsidRPr="001800B7" w:rsidRDefault="00EF43D7" w:rsidP="008475D2">
            <w:pPr>
              <w:spacing w:before="120" w:after="120"/>
              <w:rPr>
                <w:rFonts w:eastAsia="Times New Roman"/>
                <w:szCs w:val="22"/>
                <w:lang w:eastAsia="en-US"/>
              </w:rPr>
            </w:pPr>
            <w:r w:rsidRPr="001800B7">
              <w:rPr>
                <w:rFonts w:eastAsia="Times New Roman"/>
                <w:szCs w:val="22"/>
                <w:lang w:eastAsia="en-US"/>
              </w:rPr>
              <w:t>Principaux secteurs </w:t>
            </w:r>
            <w:r w:rsidR="009E7C19" w:rsidRPr="001800B7">
              <w:rPr>
                <w:rFonts w:eastAsia="Times New Roman"/>
                <w:szCs w:val="22"/>
                <w:lang w:eastAsia="en-US"/>
              </w:rPr>
              <w:t xml:space="preserve">: </w:t>
            </w:r>
            <w:r w:rsidRPr="001800B7">
              <w:rPr>
                <w:rFonts w:eastAsia="Times New Roman"/>
                <w:szCs w:val="22"/>
                <w:lang w:eastAsia="en-US"/>
              </w:rPr>
              <w:t>Secteur du développement (</w:t>
            </w:r>
            <w:r w:rsidR="00733A12" w:rsidRPr="001800B7">
              <w:rPr>
                <w:rFonts w:eastAsia="Times New Roman"/>
                <w:szCs w:val="22"/>
                <w:lang w:eastAsia="en-US"/>
              </w:rPr>
              <w:t>programme</w:t>
            </w:r>
            <w:r w:rsidRPr="001800B7">
              <w:rPr>
                <w:rFonts w:eastAsia="Times New Roman"/>
                <w:szCs w:val="22"/>
                <w:lang w:eastAsia="en-US"/>
              </w:rPr>
              <w:t> 9), Secteur de</w:t>
            </w:r>
            <w:r w:rsidR="00D75F0D" w:rsidRPr="001800B7">
              <w:rPr>
                <w:rFonts w:eastAsia="Times New Roman"/>
                <w:szCs w:val="22"/>
                <w:lang w:eastAsia="en-US"/>
              </w:rPr>
              <w:t xml:space="preserve"> l</w:t>
            </w:r>
            <w:r w:rsidR="005311D6" w:rsidRPr="001800B7">
              <w:rPr>
                <w:rFonts w:eastAsia="Times New Roman"/>
                <w:szCs w:val="22"/>
                <w:lang w:eastAsia="en-US"/>
              </w:rPr>
              <w:t>’</w:t>
            </w:r>
            <w:r w:rsidR="00D75F0D" w:rsidRPr="001800B7">
              <w:rPr>
                <w:rFonts w:eastAsia="Times New Roman"/>
                <w:szCs w:val="22"/>
                <w:lang w:eastAsia="en-US"/>
              </w:rPr>
              <w:t>infrastructure mondiale</w:t>
            </w:r>
            <w:r w:rsidRPr="001800B7">
              <w:rPr>
                <w:rFonts w:eastAsia="Times New Roman"/>
                <w:szCs w:val="22"/>
                <w:lang w:eastAsia="en-US"/>
              </w:rPr>
              <w:t xml:space="preserve"> (</w:t>
            </w:r>
            <w:r w:rsidR="00733A12" w:rsidRPr="001800B7">
              <w:rPr>
                <w:rFonts w:eastAsia="Times New Roman"/>
                <w:szCs w:val="22"/>
                <w:lang w:eastAsia="en-US"/>
              </w:rPr>
              <w:t>programme</w:t>
            </w:r>
            <w:r w:rsidRPr="001800B7">
              <w:rPr>
                <w:rFonts w:eastAsia="Times New Roman"/>
                <w:szCs w:val="22"/>
                <w:lang w:eastAsia="en-US"/>
              </w:rPr>
              <w:t> </w:t>
            </w:r>
            <w:r w:rsidR="009E7C19" w:rsidRPr="001800B7">
              <w:rPr>
                <w:rFonts w:eastAsia="Times New Roman"/>
                <w:szCs w:val="22"/>
                <w:lang w:eastAsia="en-US"/>
              </w:rPr>
              <w:t>14).</w:t>
            </w:r>
          </w:p>
          <w:p w:rsidR="008475D2" w:rsidRPr="001800B7" w:rsidRDefault="00193D68" w:rsidP="008475D2">
            <w:pPr>
              <w:spacing w:before="120" w:after="120"/>
              <w:rPr>
                <w:rFonts w:eastAsia="Times New Roman"/>
                <w:iCs/>
                <w:szCs w:val="22"/>
                <w:lang w:eastAsia="en-US"/>
              </w:rPr>
            </w:pPr>
            <w:r w:rsidRPr="001800B7">
              <w:rPr>
                <w:rFonts w:eastAsia="Times New Roman"/>
                <w:iCs/>
                <w:szCs w:val="22"/>
                <w:lang w:eastAsia="en-US"/>
              </w:rPr>
              <w:t xml:space="preserve">Liens avec </w:t>
            </w:r>
            <w:proofErr w:type="gramStart"/>
            <w:r w:rsidRPr="001800B7">
              <w:rPr>
                <w:rFonts w:eastAsia="Times New Roman"/>
                <w:iCs/>
                <w:szCs w:val="22"/>
                <w:lang w:eastAsia="en-US"/>
              </w:rPr>
              <w:t>les programmes</w:t>
            </w:r>
            <w:proofErr w:type="gramEnd"/>
            <w:r w:rsidRPr="001800B7">
              <w:rPr>
                <w:rFonts w:eastAsia="Times New Roman"/>
                <w:iCs/>
                <w:szCs w:val="22"/>
                <w:lang w:eastAsia="en-US"/>
              </w:rPr>
              <w:t xml:space="preserve"> 1, 2, 3, 4, 5, 6, 7, 8, 11, 15, 16, 18 et 30 de l</w:t>
            </w:r>
            <w:r w:rsidR="005311D6" w:rsidRPr="001800B7">
              <w:rPr>
                <w:rFonts w:eastAsia="Times New Roman"/>
                <w:iCs/>
                <w:szCs w:val="22"/>
                <w:lang w:eastAsia="en-US"/>
              </w:rPr>
              <w:t>’</w:t>
            </w:r>
            <w:r w:rsidRPr="001800B7">
              <w:rPr>
                <w:rFonts w:eastAsia="Times New Roman"/>
                <w:iCs/>
                <w:szCs w:val="22"/>
                <w:lang w:eastAsia="en-US"/>
              </w:rPr>
              <w:t>OMPI.</w:t>
            </w:r>
          </w:p>
          <w:p w:rsidR="009E7C19" w:rsidRPr="001800B7" w:rsidRDefault="00193D68" w:rsidP="00606348">
            <w:pPr>
              <w:spacing w:before="120" w:after="120"/>
              <w:rPr>
                <w:rFonts w:eastAsia="Times New Roman"/>
                <w:szCs w:val="22"/>
                <w:lang w:eastAsia="en-US"/>
              </w:rPr>
            </w:pPr>
            <w:r w:rsidRPr="001800B7">
              <w:rPr>
                <w:rFonts w:eastAsia="Times New Roman"/>
                <w:iCs/>
                <w:szCs w:val="22"/>
                <w:lang w:eastAsia="en-US"/>
              </w:rPr>
              <w:t>Liens avec les projets ci</w:t>
            </w:r>
            <w:r w:rsidR="001800B7" w:rsidRPr="001800B7">
              <w:rPr>
                <w:rFonts w:eastAsia="Times New Roman"/>
                <w:iCs/>
                <w:szCs w:val="22"/>
                <w:lang w:eastAsia="en-US"/>
              </w:rPr>
              <w:noBreakHyphen/>
            </w:r>
            <w:r w:rsidRPr="001800B7">
              <w:rPr>
                <w:rFonts w:eastAsia="Times New Roman"/>
                <w:iCs/>
                <w:szCs w:val="22"/>
                <w:lang w:eastAsia="en-US"/>
              </w:rPr>
              <w:t>après du Plan d</w:t>
            </w:r>
            <w:r w:rsidR="005311D6" w:rsidRPr="001800B7">
              <w:rPr>
                <w:rFonts w:eastAsia="Times New Roman"/>
                <w:iCs/>
                <w:szCs w:val="22"/>
                <w:lang w:eastAsia="en-US"/>
              </w:rPr>
              <w:t>’</w:t>
            </w:r>
            <w:r w:rsidRPr="001800B7">
              <w:rPr>
                <w:rFonts w:eastAsia="Times New Roman"/>
                <w:iCs/>
                <w:szCs w:val="22"/>
                <w:lang w:eastAsia="en-US"/>
              </w:rPr>
              <w:t>action pour le développement</w:t>
            </w:r>
            <w:r w:rsidR="008005FD" w:rsidRPr="001800B7">
              <w:rPr>
                <w:rFonts w:eastAsia="Times New Roman"/>
                <w:iCs/>
                <w:szCs w:val="22"/>
                <w:lang w:eastAsia="en-US"/>
              </w:rPr>
              <w:t> </w:t>
            </w:r>
            <w:r w:rsidRPr="001800B7">
              <w:rPr>
                <w:rFonts w:eastAsia="Times New Roman"/>
                <w:iCs/>
                <w:szCs w:val="22"/>
                <w:lang w:eastAsia="en-US"/>
              </w:rPr>
              <w:t xml:space="preserve">: DA_05_01, DA_08_01, DA_09_01, DA_10_05, DA_7_23_32_01 </w:t>
            </w:r>
            <w:r w:rsidR="0008593D" w:rsidRPr="001800B7">
              <w:rPr>
                <w:rFonts w:eastAsia="Times New Roman"/>
                <w:iCs/>
                <w:szCs w:val="22"/>
                <w:lang w:eastAsia="en-US"/>
              </w:rPr>
              <w:t>et</w:t>
            </w:r>
            <w:r w:rsidRPr="001800B7">
              <w:rPr>
                <w:rFonts w:eastAsia="Times New Roman"/>
                <w:iCs/>
                <w:szCs w:val="22"/>
                <w:lang w:eastAsia="en-US"/>
              </w:rPr>
              <w:t xml:space="preserve"> DA_35_37_01, DA_19_25_26_28_01.</w:t>
            </w:r>
          </w:p>
        </w:tc>
      </w:tr>
      <w:tr w:rsidR="001800B7" w:rsidRPr="001800B7" w:rsidTr="00B22B3B">
        <w:tc>
          <w:tcPr>
            <w:tcW w:w="2235" w:type="dxa"/>
            <w:tcBorders>
              <w:bottom w:val="single" w:sz="4" w:space="0" w:color="auto"/>
            </w:tcBorders>
            <w:shd w:val="clear" w:color="auto" w:fill="auto"/>
          </w:tcPr>
          <w:p w:rsidR="009E7C19" w:rsidRPr="001800B7" w:rsidRDefault="00193D68" w:rsidP="008475D2">
            <w:pPr>
              <w:keepNext/>
              <w:spacing w:before="120" w:after="120"/>
              <w:outlineLvl w:val="2"/>
              <w:rPr>
                <w:bCs/>
                <w:szCs w:val="22"/>
                <w:u w:val="single"/>
                <w:lang w:eastAsia="en-US"/>
              </w:rPr>
            </w:pPr>
            <w:r w:rsidRPr="001800B7">
              <w:rPr>
                <w:bCs/>
                <w:szCs w:val="22"/>
                <w:u w:val="single"/>
                <w:lang w:eastAsia="en-US"/>
              </w:rPr>
              <w:t>Brève description du projet</w:t>
            </w:r>
          </w:p>
        </w:tc>
        <w:tc>
          <w:tcPr>
            <w:tcW w:w="7266" w:type="dxa"/>
            <w:tcBorders>
              <w:bottom w:val="single" w:sz="4" w:space="0" w:color="auto"/>
            </w:tcBorders>
            <w:shd w:val="clear" w:color="auto" w:fill="auto"/>
          </w:tcPr>
          <w:p w:rsidR="008475D2" w:rsidRPr="001800B7" w:rsidRDefault="00193D68" w:rsidP="00B22B3B">
            <w:pPr>
              <w:spacing w:before="100" w:after="100"/>
              <w:rPr>
                <w:rFonts w:eastAsia="Times New Roman"/>
                <w:szCs w:val="22"/>
                <w:lang w:eastAsia="en-US"/>
              </w:rPr>
            </w:pPr>
            <w:r w:rsidRPr="001800B7">
              <w:rPr>
                <w:rFonts w:eastAsia="Times New Roman"/>
                <w:szCs w:val="22"/>
                <w:lang w:eastAsia="en-US"/>
              </w:rPr>
              <w:t>Ce projet vise à optimiser les résultats de la mise en œuvre de certaines recommandations du Plan d</w:t>
            </w:r>
            <w:r w:rsidR="005311D6" w:rsidRPr="001800B7">
              <w:rPr>
                <w:rFonts w:eastAsia="Times New Roman"/>
                <w:szCs w:val="22"/>
                <w:lang w:eastAsia="en-US"/>
              </w:rPr>
              <w:t>’</w:t>
            </w:r>
            <w:r w:rsidRPr="001800B7">
              <w:rPr>
                <w:rFonts w:eastAsia="Times New Roman"/>
                <w:szCs w:val="22"/>
                <w:lang w:eastAsia="en-US"/>
              </w:rPr>
              <w:t>action de l</w:t>
            </w:r>
            <w:r w:rsidR="005311D6" w:rsidRPr="001800B7">
              <w:rPr>
                <w:rFonts w:eastAsia="Times New Roman"/>
                <w:szCs w:val="22"/>
                <w:lang w:eastAsia="en-US"/>
              </w:rPr>
              <w:t>’</w:t>
            </w:r>
            <w:r w:rsidRPr="001800B7">
              <w:rPr>
                <w:rFonts w:eastAsia="Times New Roman"/>
                <w:szCs w:val="22"/>
                <w:lang w:eastAsia="en-US"/>
              </w:rPr>
              <w:t>OMPI pour le développement</w:t>
            </w:r>
            <w:r w:rsidR="0008593D" w:rsidRPr="001800B7">
              <w:rPr>
                <w:rFonts w:eastAsia="Times New Roman"/>
                <w:szCs w:val="22"/>
                <w:lang w:eastAsia="en-US"/>
              </w:rPr>
              <w:t xml:space="preserve">.  </w:t>
            </w:r>
            <w:r w:rsidRPr="001800B7">
              <w:rPr>
                <w:rFonts w:eastAsia="Times New Roman"/>
                <w:szCs w:val="22"/>
                <w:lang w:eastAsia="en-US"/>
              </w:rPr>
              <w:t>À</w:t>
            </w:r>
            <w:r w:rsidR="00B22B3B" w:rsidRPr="001800B7">
              <w:rPr>
                <w:rFonts w:eastAsia="Times New Roman"/>
                <w:szCs w:val="22"/>
                <w:lang w:eastAsia="en-US"/>
              </w:rPr>
              <w:t> </w:t>
            </w:r>
            <w:r w:rsidRPr="001800B7">
              <w:rPr>
                <w:rFonts w:eastAsia="Times New Roman"/>
                <w:szCs w:val="22"/>
                <w:lang w:eastAsia="en-US"/>
              </w:rPr>
              <w:t>cette fin, d</w:t>
            </w:r>
            <w:r w:rsidR="005311D6" w:rsidRPr="001800B7">
              <w:rPr>
                <w:rFonts w:eastAsia="Times New Roman"/>
                <w:szCs w:val="22"/>
                <w:lang w:eastAsia="en-US"/>
              </w:rPr>
              <w:t>’</w:t>
            </w:r>
            <w:r w:rsidRPr="001800B7">
              <w:rPr>
                <w:rFonts w:eastAsia="Times New Roman"/>
                <w:szCs w:val="22"/>
                <w:lang w:eastAsia="en-US"/>
              </w:rPr>
              <w:t>une part, il complète et renforce les projets déjà élaborés au titre des recommandations n</w:t>
            </w:r>
            <w:r w:rsidRPr="001800B7">
              <w:rPr>
                <w:rFonts w:eastAsia="Times New Roman"/>
                <w:szCs w:val="22"/>
                <w:vertAlign w:val="superscript"/>
                <w:lang w:eastAsia="en-US"/>
              </w:rPr>
              <w:t>os</w:t>
            </w:r>
            <w:r w:rsidRPr="001800B7">
              <w:rPr>
                <w:rFonts w:eastAsia="Times New Roman"/>
                <w:szCs w:val="22"/>
                <w:lang w:eastAsia="en-US"/>
              </w:rPr>
              <w:t>10, 19, 25 et 32 et, d</w:t>
            </w:r>
            <w:r w:rsidR="005311D6" w:rsidRPr="001800B7">
              <w:rPr>
                <w:rFonts w:eastAsia="Times New Roman"/>
                <w:szCs w:val="22"/>
                <w:lang w:eastAsia="en-US"/>
              </w:rPr>
              <w:t>’</w:t>
            </w:r>
            <w:r w:rsidRPr="001800B7">
              <w:rPr>
                <w:rFonts w:eastAsia="Times New Roman"/>
                <w:szCs w:val="22"/>
                <w:lang w:eastAsia="en-US"/>
              </w:rPr>
              <w:t>autre part, il concrétise les recommandations n</w:t>
            </w:r>
            <w:r w:rsidRPr="001800B7">
              <w:rPr>
                <w:rFonts w:eastAsia="Times New Roman"/>
                <w:szCs w:val="22"/>
                <w:vertAlign w:val="superscript"/>
                <w:lang w:eastAsia="en-US"/>
              </w:rPr>
              <w:t>os</w:t>
            </w:r>
            <w:r w:rsidRPr="001800B7">
              <w:rPr>
                <w:rFonts w:eastAsia="Times New Roman"/>
                <w:szCs w:val="22"/>
                <w:lang w:eastAsia="en-US"/>
              </w:rPr>
              <w:t xml:space="preserve"> 1, 11 et</w:t>
            </w:r>
            <w:r w:rsidR="00CC3A5C" w:rsidRPr="001800B7">
              <w:rPr>
                <w:rFonts w:eastAsia="Times New Roman"/>
                <w:szCs w:val="22"/>
                <w:lang w:eastAsia="en-US"/>
              </w:rPr>
              <w:t> </w:t>
            </w:r>
            <w:r w:rsidRPr="001800B7">
              <w:rPr>
                <w:rFonts w:eastAsia="Times New Roman"/>
                <w:szCs w:val="22"/>
                <w:lang w:eastAsia="en-US"/>
              </w:rPr>
              <w:t>13.</w:t>
            </w:r>
          </w:p>
          <w:p w:rsidR="008475D2" w:rsidRPr="001800B7" w:rsidRDefault="00193D68" w:rsidP="00B22B3B">
            <w:pPr>
              <w:spacing w:before="100" w:after="100"/>
              <w:rPr>
                <w:rFonts w:eastAsia="Times New Roman"/>
                <w:iCs/>
                <w:szCs w:val="22"/>
                <w:lang w:eastAsia="en-US"/>
              </w:rPr>
            </w:pPr>
            <w:r w:rsidRPr="001800B7">
              <w:rPr>
                <w:rFonts w:eastAsia="Times New Roman"/>
                <w:iCs/>
                <w:szCs w:val="22"/>
                <w:lang w:eastAsia="en-US"/>
              </w:rPr>
              <w:t>En vue d</w:t>
            </w:r>
            <w:r w:rsidR="005311D6" w:rsidRPr="001800B7">
              <w:rPr>
                <w:rFonts w:eastAsia="Times New Roman"/>
                <w:iCs/>
                <w:szCs w:val="22"/>
                <w:lang w:eastAsia="en-US"/>
              </w:rPr>
              <w:t>’</w:t>
            </w:r>
            <w:r w:rsidRPr="001800B7">
              <w:rPr>
                <w:rFonts w:eastAsia="Times New Roman"/>
                <w:iCs/>
                <w:szCs w:val="22"/>
                <w:lang w:eastAsia="en-US"/>
              </w:rPr>
              <w:t>atteindre les objectifs fixés, le projet s</w:t>
            </w:r>
            <w:r w:rsidR="005311D6" w:rsidRPr="001800B7">
              <w:rPr>
                <w:rFonts w:eastAsia="Times New Roman"/>
                <w:iCs/>
                <w:szCs w:val="22"/>
                <w:lang w:eastAsia="en-US"/>
              </w:rPr>
              <w:t>’</w:t>
            </w:r>
            <w:r w:rsidRPr="001800B7">
              <w:rPr>
                <w:rFonts w:eastAsia="Times New Roman"/>
                <w:iCs/>
                <w:szCs w:val="22"/>
                <w:lang w:eastAsia="en-US"/>
              </w:rPr>
              <w:t>attache à trouver le moyen de canaliser les efforts déployés par différents acteurs en vue de promouvoir la coopération Sud</w:t>
            </w:r>
            <w:r w:rsidR="001800B7" w:rsidRPr="001800B7">
              <w:rPr>
                <w:rFonts w:eastAsia="Times New Roman"/>
                <w:iCs/>
                <w:szCs w:val="22"/>
                <w:lang w:eastAsia="en-US"/>
              </w:rPr>
              <w:noBreakHyphen/>
            </w:r>
            <w:r w:rsidRPr="001800B7">
              <w:rPr>
                <w:rFonts w:eastAsia="Times New Roman"/>
                <w:iCs/>
                <w:szCs w:val="22"/>
                <w:lang w:eastAsia="en-US"/>
              </w:rPr>
              <w:t>Sud dans le domaine de la propriété intellectuelle.  Le projet vise à obtenir des résultats tangibles dans les domaines ci</w:t>
            </w:r>
            <w:r w:rsidR="001800B7" w:rsidRPr="001800B7">
              <w:rPr>
                <w:rFonts w:eastAsia="Times New Roman"/>
                <w:iCs/>
                <w:szCs w:val="22"/>
                <w:lang w:eastAsia="en-US"/>
              </w:rPr>
              <w:noBreakHyphen/>
            </w:r>
            <w:r w:rsidRPr="001800B7">
              <w:rPr>
                <w:rFonts w:eastAsia="Times New Roman"/>
                <w:iCs/>
                <w:szCs w:val="22"/>
                <w:lang w:eastAsia="en-US"/>
              </w:rPr>
              <w:t>après dans les pays en développement et</w:t>
            </w:r>
            <w:r w:rsidR="00456841" w:rsidRPr="001800B7">
              <w:rPr>
                <w:rFonts w:eastAsia="Times New Roman"/>
                <w:iCs/>
                <w:szCs w:val="22"/>
                <w:lang w:eastAsia="en-US"/>
              </w:rPr>
              <w:t xml:space="preserve"> les PMA</w:t>
            </w:r>
            <w:r w:rsidR="008005FD" w:rsidRPr="001800B7">
              <w:rPr>
                <w:rFonts w:eastAsia="Times New Roman"/>
                <w:iCs/>
                <w:szCs w:val="22"/>
                <w:lang w:eastAsia="en-US"/>
              </w:rPr>
              <w:t> </w:t>
            </w:r>
            <w:r w:rsidRPr="001800B7">
              <w:rPr>
                <w:rFonts w:eastAsia="Times New Roman"/>
                <w:iCs/>
                <w:szCs w:val="22"/>
                <w:lang w:eastAsia="en-US"/>
              </w:rPr>
              <w:t>:</w:t>
            </w:r>
          </w:p>
          <w:p w:rsidR="00B650B1" w:rsidRPr="001800B7" w:rsidRDefault="00193D68" w:rsidP="0010628F">
            <w:pPr>
              <w:numPr>
                <w:ilvl w:val="0"/>
                <w:numId w:val="8"/>
              </w:numPr>
              <w:tabs>
                <w:tab w:val="clear" w:pos="567"/>
                <w:tab w:val="num" w:pos="1026"/>
              </w:tabs>
              <w:ind w:left="459"/>
              <w:rPr>
                <w:rFonts w:eastAsia="Times New Roman"/>
                <w:iCs/>
                <w:szCs w:val="22"/>
                <w:lang w:eastAsia="en-US"/>
              </w:rPr>
            </w:pPr>
            <w:r w:rsidRPr="001800B7">
              <w:rPr>
                <w:rFonts w:eastAsia="Times New Roman"/>
                <w:iCs/>
                <w:szCs w:val="22"/>
                <w:lang w:eastAsia="en-US"/>
              </w:rPr>
              <w:t>promotion d</w:t>
            </w:r>
            <w:r w:rsidR="005311D6" w:rsidRPr="001800B7">
              <w:rPr>
                <w:rFonts w:eastAsia="Times New Roman"/>
                <w:iCs/>
                <w:szCs w:val="22"/>
                <w:lang w:eastAsia="en-US"/>
              </w:rPr>
              <w:t>’</w:t>
            </w:r>
            <w:r w:rsidRPr="001800B7">
              <w:rPr>
                <w:rFonts w:eastAsia="Times New Roman"/>
                <w:iCs/>
                <w:szCs w:val="22"/>
                <w:lang w:eastAsia="en-US"/>
              </w:rPr>
              <w:t>une assistance juridico</w:t>
            </w:r>
            <w:r w:rsidR="001800B7" w:rsidRPr="001800B7">
              <w:rPr>
                <w:rFonts w:eastAsia="Times New Roman"/>
                <w:iCs/>
                <w:szCs w:val="22"/>
                <w:lang w:eastAsia="en-US"/>
              </w:rPr>
              <w:noBreakHyphen/>
            </w:r>
            <w:r w:rsidRPr="001800B7">
              <w:rPr>
                <w:rFonts w:eastAsia="Times New Roman"/>
                <w:iCs/>
                <w:szCs w:val="22"/>
                <w:lang w:eastAsia="en-US"/>
              </w:rPr>
              <w:t>technique en matière de propriété intellectuelle axée sur le développement (recommandations n</w:t>
            </w:r>
            <w:r w:rsidRPr="001800B7">
              <w:rPr>
                <w:rFonts w:eastAsia="Times New Roman"/>
                <w:iCs/>
                <w:szCs w:val="22"/>
                <w:vertAlign w:val="superscript"/>
                <w:lang w:eastAsia="en-US"/>
              </w:rPr>
              <w:t>os</w:t>
            </w:r>
            <w:r w:rsidRPr="001800B7">
              <w:rPr>
                <w:rFonts w:eastAsia="Times New Roman"/>
                <w:iCs/>
                <w:szCs w:val="22"/>
                <w:lang w:eastAsia="en-US"/>
              </w:rPr>
              <w:t xml:space="preserve"> 1 et 13);</w:t>
            </w:r>
          </w:p>
          <w:p w:rsidR="00B650B1" w:rsidRPr="001800B7" w:rsidRDefault="00193D68" w:rsidP="0010628F">
            <w:pPr>
              <w:numPr>
                <w:ilvl w:val="0"/>
                <w:numId w:val="8"/>
              </w:numPr>
              <w:tabs>
                <w:tab w:val="clear" w:pos="567"/>
                <w:tab w:val="num" w:pos="1026"/>
              </w:tabs>
              <w:ind w:left="459"/>
              <w:rPr>
                <w:rFonts w:eastAsia="Times New Roman"/>
                <w:iCs/>
                <w:szCs w:val="22"/>
                <w:lang w:eastAsia="en-US"/>
              </w:rPr>
            </w:pPr>
            <w:r w:rsidRPr="001800B7">
              <w:rPr>
                <w:rFonts w:eastAsia="Times New Roman"/>
                <w:iCs/>
                <w:szCs w:val="22"/>
                <w:lang w:eastAsia="en-US"/>
              </w:rPr>
              <w:t>renforcement des capacités des institutions de propriété intellectuelle (recommandation n°</w:t>
            </w:r>
            <w:r w:rsidR="008005FD" w:rsidRPr="001800B7">
              <w:rPr>
                <w:rFonts w:eastAsia="Times New Roman"/>
                <w:iCs/>
                <w:szCs w:val="22"/>
                <w:lang w:eastAsia="en-US"/>
              </w:rPr>
              <w:t> </w:t>
            </w:r>
            <w:r w:rsidRPr="001800B7">
              <w:rPr>
                <w:rFonts w:eastAsia="Times New Roman"/>
                <w:iCs/>
                <w:szCs w:val="22"/>
                <w:lang w:eastAsia="en-US"/>
              </w:rPr>
              <w:t>10);</w:t>
            </w:r>
          </w:p>
          <w:p w:rsidR="00B650B1" w:rsidRPr="001800B7" w:rsidRDefault="00193D68" w:rsidP="0010628F">
            <w:pPr>
              <w:numPr>
                <w:ilvl w:val="0"/>
                <w:numId w:val="8"/>
              </w:numPr>
              <w:tabs>
                <w:tab w:val="clear" w:pos="567"/>
                <w:tab w:val="num" w:pos="1026"/>
              </w:tabs>
              <w:ind w:left="459"/>
              <w:rPr>
                <w:rFonts w:eastAsia="Times New Roman"/>
                <w:iCs/>
                <w:szCs w:val="22"/>
                <w:lang w:eastAsia="en-US"/>
              </w:rPr>
            </w:pPr>
            <w:r w:rsidRPr="001800B7">
              <w:rPr>
                <w:rFonts w:eastAsia="Times New Roman"/>
                <w:iCs/>
                <w:szCs w:val="22"/>
                <w:lang w:eastAsia="en-US"/>
              </w:rPr>
              <w:t>renforcement des capacités d</w:t>
            </w:r>
            <w:r w:rsidR="005311D6" w:rsidRPr="001800B7">
              <w:rPr>
                <w:rFonts w:eastAsia="Times New Roman"/>
                <w:iCs/>
                <w:szCs w:val="22"/>
                <w:lang w:eastAsia="en-US"/>
              </w:rPr>
              <w:t>’</w:t>
            </w:r>
            <w:r w:rsidRPr="001800B7">
              <w:rPr>
                <w:rFonts w:eastAsia="Times New Roman"/>
                <w:iCs/>
                <w:szCs w:val="22"/>
                <w:lang w:eastAsia="en-US"/>
              </w:rPr>
              <w:t>innovation nationales (recommandation n°</w:t>
            </w:r>
            <w:r w:rsidR="008005FD" w:rsidRPr="001800B7">
              <w:rPr>
                <w:rFonts w:eastAsia="Times New Roman"/>
                <w:iCs/>
                <w:szCs w:val="22"/>
                <w:lang w:eastAsia="en-US"/>
              </w:rPr>
              <w:t> </w:t>
            </w:r>
            <w:r w:rsidRPr="001800B7">
              <w:rPr>
                <w:rFonts w:eastAsia="Times New Roman"/>
                <w:iCs/>
                <w:szCs w:val="22"/>
                <w:lang w:eastAsia="en-US"/>
              </w:rPr>
              <w:t>11);</w:t>
            </w:r>
          </w:p>
          <w:p w:rsidR="00B650B1" w:rsidRPr="001800B7" w:rsidRDefault="00193D68" w:rsidP="0010628F">
            <w:pPr>
              <w:numPr>
                <w:ilvl w:val="0"/>
                <w:numId w:val="8"/>
              </w:numPr>
              <w:tabs>
                <w:tab w:val="clear" w:pos="567"/>
                <w:tab w:val="num" w:pos="1026"/>
              </w:tabs>
              <w:ind w:left="459"/>
              <w:rPr>
                <w:rFonts w:eastAsia="Times New Roman"/>
                <w:iCs/>
                <w:szCs w:val="22"/>
                <w:lang w:eastAsia="en-US"/>
              </w:rPr>
            </w:pPr>
            <w:r w:rsidRPr="001800B7">
              <w:rPr>
                <w:rFonts w:eastAsia="Times New Roman"/>
                <w:iCs/>
                <w:szCs w:val="22"/>
                <w:lang w:eastAsia="en-US"/>
              </w:rPr>
              <w:t>accès et diffusion facilités du savoir et de la technologie, ainsi que l</w:t>
            </w:r>
            <w:r w:rsidR="005311D6" w:rsidRPr="001800B7">
              <w:rPr>
                <w:rFonts w:eastAsia="Times New Roman"/>
                <w:iCs/>
                <w:szCs w:val="22"/>
                <w:lang w:eastAsia="en-US"/>
              </w:rPr>
              <w:t>’</w:t>
            </w:r>
            <w:r w:rsidRPr="001800B7">
              <w:rPr>
                <w:rFonts w:eastAsia="Times New Roman"/>
                <w:iCs/>
                <w:szCs w:val="22"/>
                <w:lang w:eastAsia="en-US"/>
              </w:rPr>
              <w:t>utilisation des éléments de flexibilité en matière de propriété intellectuelle (recommandations n</w:t>
            </w:r>
            <w:r w:rsidRPr="001800B7">
              <w:rPr>
                <w:rFonts w:eastAsia="Times New Roman"/>
                <w:iCs/>
                <w:szCs w:val="22"/>
                <w:vertAlign w:val="superscript"/>
                <w:lang w:eastAsia="en-US"/>
              </w:rPr>
              <w:t>os</w:t>
            </w:r>
            <w:r w:rsidRPr="001800B7">
              <w:rPr>
                <w:rFonts w:eastAsia="Times New Roman"/>
                <w:iCs/>
                <w:szCs w:val="22"/>
                <w:lang w:eastAsia="en-US"/>
              </w:rPr>
              <w:t xml:space="preserve"> 19 et 25);  et</w:t>
            </w:r>
          </w:p>
          <w:p w:rsidR="009E7C19" w:rsidRPr="001800B7" w:rsidRDefault="00193D68" w:rsidP="0010628F">
            <w:pPr>
              <w:numPr>
                <w:ilvl w:val="0"/>
                <w:numId w:val="8"/>
              </w:numPr>
              <w:tabs>
                <w:tab w:val="clear" w:pos="567"/>
                <w:tab w:val="num" w:pos="1026"/>
              </w:tabs>
              <w:spacing w:after="120"/>
              <w:ind w:left="459"/>
              <w:rPr>
                <w:rFonts w:eastAsia="Times New Roman"/>
                <w:szCs w:val="22"/>
                <w:lang w:eastAsia="en-US"/>
              </w:rPr>
            </w:pPr>
            <w:r w:rsidRPr="001800B7">
              <w:rPr>
                <w:rFonts w:eastAsia="Times New Roman"/>
                <w:iCs/>
                <w:szCs w:val="22"/>
                <w:lang w:eastAsia="en-US"/>
              </w:rPr>
              <w:t>compréhension du lien entre propriété intellectuelle et politiques en matière de concurrence (recommandation n°</w:t>
            </w:r>
            <w:r w:rsidR="008005FD" w:rsidRPr="001800B7">
              <w:rPr>
                <w:rFonts w:eastAsia="Times New Roman"/>
                <w:iCs/>
                <w:szCs w:val="22"/>
                <w:lang w:eastAsia="en-US"/>
              </w:rPr>
              <w:t> </w:t>
            </w:r>
            <w:r w:rsidRPr="001800B7">
              <w:rPr>
                <w:rFonts w:eastAsia="Times New Roman"/>
                <w:iCs/>
                <w:szCs w:val="22"/>
                <w:lang w:eastAsia="en-US"/>
              </w:rPr>
              <w:t>32).</w:t>
            </w:r>
          </w:p>
        </w:tc>
      </w:tr>
    </w:tbl>
    <w:p w:rsidR="00B650B1" w:rsidRDefault="00B650B1" w:rsidP="00B22B3B">
      <w:pPr>
        <w:rPr>
          <w:szCs w:val="22"/>
          <w:lang w:eastAsia="en-US"/>
        </w:rPr>
      </w:pPr>
    </w:p>
    <w:p w:rsidR="00FC46A1" w:rsidRDefault="00FC46A1" w:rsidP="00B22B3B">
      <w:pPr>
        <w:rPr>
          <w:szCs w:val="22"/>
          <w:lang w:eastAsia="en-US"/>
        </w:rPr>
      </w:pPr>
    </w:p>
    <w:p w:rsidR="00FC46A1" w:rsidRPr="001800B7" w:rsidRDefault="00FC46A1" w:rsidP="00B22B3B">
      <w:pPr>
        <w:rPr>
          <w:szCs w:val="22"/>
          <w:lang w:eastAsia="en-US"/>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F30D9D">
        <w:tc>
          <w:tcPr>
            <w:tcW w:w="2235" w:type="dxa"/>
            <w:tcBorders>
              <w:top w:val="single" w:sz="4" w:space="0" w:color="auto"/>
              <w:right w:val="single" w:sz="6" w:space="0" w:color="auto"/>
            </w:tcBorders>
            <w:shd w:val="clear" w:color="auto" w:fill="auto"/>
          </w:tcPr>
          <w:p w:rsidR="00F30D9D" w:rsidRPr="001800B7" w:rsidRDefault="00F30D9D" w:rsidP="00F30D9D">
            <w:pPr>
              <w:keepNext/>
              <w:spacing w:before="120" w:after="120"/>
              <w:outlineLvl w:val="2"/>
              <w:rPr>
                <w:bCs/>
                <w:szCs w:val="22"/>
                <w:u w:val="single"/>
                <w:lang w:eastAsia="en-US"/>
              </w:rPr>
            </w:pPr>
            <w:r w:rsidRPr="001800B7">
              <w:rPr>
                <w:bCs/>
                <w:szCs w:val="22"/>
                <w:u w:val="single"/>
                <w:lang w:eastAsia="en-US"/>
              </w:rPr>
              <w:lastRenderedPageBreak/>
              <w:t>Chef de projet</w:t>
            </w:r>
          </w:p>
        </w:tc>
        <w:tc>
          <w:tcPr>
            <w:tcW w:w="7266" w:type="dxa"/>
            <w:tcBorders>
              <w:top w:val="single" w:sz="4" w:space="0" w:color="auto"/>
              <w:left w:val="single" w:sz="6" w:space="0" w:color="auto"/>
            </w:tcBorders>
            <w:vAlign w:val="center"/>
          </w:tcPr>
          <w:p w:rsidR="00F30D9D" w:rsidRPr="001800B7" w:rsidRDefault="00F30D9D" w:rsidP="00F30D9D">
            <w:pPr>
              <w:keepNext/>
              <w:spacing w:before="120" w:after="120"/>
              <w:rPr>
                <w:rFonts w:eastAsia="Times New Roman"/>
                <w:iCs/>
                <w:szCs w:val="22"/>
                <w:lang w:eastAsia="en-US"/>
              </w:rPr>
            </w:pPr>
            <w:r w:rsidRPr="001800B7">
              <w:rPr>
                <w:rFonts w:eastAsia="Times New Roman"/>
                <w:szCs w:val="22"/>
                <w:lang w:eastAsia="en-US"/>
              </w:rPr>
              <w:t xml:space="preserve">M. Alejandro Roca </w:t>
            </w:r>
            <w:proofErr w:type="spellStart"/>
            <w:r w:rsidRPr="001800B7">
              <w:rPr>
                <w:rFonts w:eastAsia="Times New Roman"/>
                <w:szCs w:val="22"/>
                <w:lang w:eastAsia="en-US"/>
              </w:rPr>
              <w:t>Campaña</w:t>
            </w:r>
            <w:proofErr w:type="spellEnd"/>
          </w:p>
        </w:tc>
      </w:tr>
      <w:tr w:rsidR="001800B7" w:rsidRPr="001800B7" w:rsidTr="00F30D9D">
        <w:tc>
          <w:tcPr>
            <w:tcW w:w="2235" w:type="dxa"/>
            <w:shd w:val="clear" w:color="auto" w:fill="auto"/>
          </w:tcPr>
          <w:p w:rsidR="00F30D9D" w:rsidRPr="001800B7" w:rsidDel="00196374" w:rsidRDefault="00F30D9D" w:rsidP="00F30D9D">
            <w:pPr>
              <w:spacing w:before="120" w:after="120"/>
              <w:outlineLvl w:val="2"/>
              <w:rPr>
                <w:bCs/>
                <w:szCs w:val="22"/>
                <w:u w:val="single"/>
                <w:lang w:eastAsia="en-US"/>
              </w:rPr>
            </w:pPr>
            <w:r w:rsidRPr="001800B7">
              <w:rPr>
                <w:bCs/>
                <w:szCs w:val="22"/>
                <w:u w:val="single"/>
                <w:lang w:eastAsia="en-US"/>
              </w:rPr>
              <w:t>Liens avec les résultats escomptés dans le programme et budget pour 2012</w:t>
            </w:r>
            <w:r w:rsidR="001800B7" w:rsidRPr="001800B7">
              <w:rPr>
                <w:bCs/>
                <w:szCs w:val="22"/>
                <w:u w:val="single"/>
                <w:lang w:eastAsia="en-US"/>
              </w:rPr>
              <w:noBreakHyphen/>
            </w:r>
            <w:r w:rsidRPr="001800B7">
              <w:rPr>
                <w:bCs/>
                <w:szCs w:val="22"/>
                <w:u w:val="single"/>
                <w:lang w:eastAsia="en-US"/>
              </w:rPr>
              <w:t>2013</w:t>
            </w:r>
          </w:p>
        </w:tc>
        <w:tc>
          <w:tcPr>
            <w:tcW w:w="7266" w:type="dxa"/>
          </w:tcPr>
          <w:p w:rsidR="00F30D9D" w:rsidRPr="001800B7" w:rsidDel="00196374" w:rsidRDefault="00F30D9D" w:rsidP="00F30D9D">
            <w:pPr>
              <w:autoSpaceDE w:val="0"/>
              <w:autoSpaceDN w:val="0"/>
              <w:adjustRightInd w:val="0"/>
              <w:spacing w:before="120" w:after="120"/>
              <w:rPr>
                <w:rFonts w:eastAsia="Times New Roman"/>
                <w:iCs/>
                <w:szCs w:val="22"/>
                <w:lang w:eastAsia="en-US"/>
              </w:rPr>
            </w:pPr>
            <w:r w:rsidRPr="001800B7">
              <w:rPr>
                <w:rFonts w:eastAsia="Times New Roman"/>
                <w:i/>
                <w:iCs/>
                <w:szCs w:val="22"/>
                <w:lang w:eastAsia="en-US"/>
              </w:rPr>
              <w:t xml:space="preserve">Résultat escompté III.6 : </w:t>
            </w:r>
            <w:r w:rsidRPr="001800B7">
              <w:rPr>
                <w:rFonts w:eastAsia="Times New Roman"/>
                <w:iCs/>
                <w:szCs w:val="22"/>
                <w:lang w:eastAsia="en-US"/>
              </w:rPr>
              <w:t>Les principes du Plan d</w:t>
            </w:r>
            <w:r w:rsidR="005311D6" w:rsidRPr="001800B7">
              <w:rPr>
                <w:rFonts w:eastAsia="Times New Roman"/>
                <w:iCs/>
                <w:szCs w:val="22"/>
                <w:lang w:eastAsia="en-US"/>
              </w:rPr>
              <w:t>’</w:t>
            </w:r>
            <w:r w:rsidRPr="001800B7">
              <w:rPr>
                <w:rFonts w:eastAsia="Times New Roman"/>
                <w:iCs/>
                <w:szCs w:val="22"/>
                <w:lang w:eastAsia="en-US"/>
              </w:rPr>
              <w:t>action pour le développement ont été davantage intégrés dans les programmes et activités de l</w:t>
            </w:r>
            <w:r w:rsidR="005311D6" w:rsidRPr="001800B7">
              <w:rPr>
                <w:rFonts w:eastAsia="Times New Roman"/>
                <w:iCs/>
                <w:szCs w:val="22"/>
                <w:lang w:eastAsia="en-US"/>
              </w:rPr>
              <w:t>’</w:t>
            </w:r>
            <w:r w:rsidRPr="001800B7">
              <w:rPr>
                <w:rFonts w:eastAsia="Times New Roman"/>
                <w:iCs/>
                <w:szCs w:val="22"/>
                <w:lang w:eastAsia="en-US"/>
              </w:rPr>
              <w:t>Organisation.</w:t>
            </w:r>
          </w:p>
        </w:tc>
      </w:tr>
      <w:tr w:rsidR="001800B7" w:rsidRPr="001800B7" w:rsidTr="00F30D9D">
        <w:tc>
          <w:tcPr>
            <w:tcW w:w="2235" w:type="dxa"/>
            <w:shd w:val="clear" w:color="auto" w:fill="auto"/>
          </w:tcPr>
          <w:p w:rsidR="00F30D9D" w:rsidRPr="001800B7" w:rsidRDefault="00F30D9D" w:rsidP="00F30D9D">
            <w:pPr>
              <w:spacing w:before="120" w:after="120"/>
              <w:outlineLvl w:val="2"/>
              <w:rPr>
                <w:rFonts w:eastAsia="Times New Roman"/>
                <w:i/>
                <w:szCs w:val="22"/>
                <w:lang w:eastAsia="en-US"/>
              </w:rPr>
            </w:pPr>
            <w:r w:rsidRPr="001800B7">
              <w:rPr>
                <w:bCs/>
                <w:szCs w:val="22"/>
                <w:u w:val="single"/>
                <w:lang w:eastAsia="en-US"/>
              </w:rPr>
              <w:t>État d</w:t>
            </w:r>
            <w:r w:rsidR="005311D6" w:rsidRPr="001800B7">
              <w:rPr>
                <w:bCs/>
                <w:szCs w:val="22"/>
                <w:u w:val="single"/>
                <w:lang w:eastAsia="en-US"/>
              </w:rPr>
              <w:t>’</w:t>
            </w:r>
            <w:r w:rsidRPr="001800B7">
              <w:rPr>
                <w:bCs/>
                <w:szCs w:val="22"/>
                <w:u w:val="single"/>
                <w:lang w:eastAsia="en-US"/>
              </w:rPr>
              <w:t>avancement du projet</w:t>
            </w:r>
          </w:p>
        </w:tc>
        <w:tc>
          <w:tcPr>
            <w:tcW w:w="7266" w:type="dxa"/>
          </w:tcPr>
          <w:p w:rsidR="00F30D9D" w:rsidRPr="001800B7" w:rsidRDefault="00F30D9D" w:rsidP="00F30D9D">
            <w:pPr>
              <w:spacing w:before="120" w:after="120"/>
              <w:rPr>
                <w:rFonts w:eastAsia="Times New Roman"/>
                <w:iCs/>
                <w:szCs w:val="22"/>
                <w:lang w:eastAsia="en-US"/>
              </w:rPr>
            </w:pPr>
            <w:r w:rsidRPr="001800B7">
              <w:rPr>
                <w:rFonts w:eastAsia="Times New Roman"/>
                <w:szCs w:val="22"/>
                <w:lang w:eastAsia="en-US"/>
              </w:rPr>
              <w:t>Conformément au résultat escompté susmentionné et aux recommandations n</w:t>
            </w:r>
            <w:r w:rsidRPr="001800B7">
              <w:rPr>
                <w:rFonts w:eastAsia="Times New Roman"/>
                <w:szCs w:val="22"/>
                <w:vertAlign w:val="superscript"/>
                <w:lang w:eastAsia="en-US"/>
              </w:rPr>
              <w:t>os</w:t>
            </w:r>
            <w:r w:rsidRPr="001800B7">
              <w:rPr>
                <w:rFonts w:eastAsia="Times New Roman"/>
                <w:szCs w:val="22"/>
                <w:lang w:eastAsia="en-US"/>
              </w:rPr>
              <w:t> 1, 10, 11, 13, 19, 25 et 32 du Plan d</w:t>
            </w:r>
            <w:r w:rsidR="005311D6" w:rsidRPr="001800B7">
              <w:rPr>
                <w:rFonts w:eastAsia="Times New Roman"/>
                <w:szCs w:val="22"/>
                <w:lang w:eastAsia="en-US"/>
              </w:rPr>
              <w:t>’</w:t>
            </w:r>
            <w:r w:rsidRPr="001800B7">
              <w:rPr>
                <w:rFonts w:eastAsia="Times New Roman"/>
                <w:szCs w:val="22"/>
                <w:lang w:eastAsia="en-US"/>
              </w:rPr>
              <w:t>action pour le développement, le projet vise à renforcer la coopération entre les pays en développement et les PMA en élaborant des moyens d</w:t>
            </w:r>
            <w:r w:rsidR="005311D6" w:rsidRPr="001800B7">
              <w:rPr>
                <w:rFonts w:eastAsia="Times New Roman"/>
                <w:szCs w:val="22"/>
                <w:lang w:eastAsia="en-US"/>
              </w:rPr>
              <w:t>’</w:t>
            </w:r>
            <w:r w:rsidRPr="001800B7">
              <w:rPr>
                <w:rFonts w:eastAsia="Times New Roman"/>
                <w:szCs w:val="22"/>
                <w:lang w:eastAsia="en-US"/>
              </w:rPr>
              <w:t>acheminer les efforts de coopération Sud</w:t>
            </w:r>
            <w:r w:rsidR="001800B7" w:rsidRPr="001800B7">
              <w:rPr>
                <w:rFonts w:eastAsia="Times New Roman"/>
                <w:szCs w:val="22"/>
                <w:lang w:eastAsia="en-US"/>
              </w:rPr>
              <w:noBreakHyphen/>
            </w:r>
            <w:r w:rsidRPr="001800B7">
              <w:rPr>
                <w:rFonts w:eastAsia="Times New Roman"/>
                <w:szCs w:val="22"/>
                <w:lang w:eastAsia="en-US"/>
              </w:rPr>
              <w:t>Sud dans le domaine de la propriété intellectuelle et du développement afin de contribuer à un renforcement des capacités qu</w:t>
            </w:r>
            <w:r w:rsidR="005311D6" w:rsidRPr="001800B7">
              <w:rPr>
                <w:rFonts w:eastAsia="Times New Roman"/>
                <w:szCs w:val="22"/>
                <w:lang w:eastAsia="en-US"/>
              </w:rPr>
              <w:t>’</w:t>
            </w:r>
            <w:r w:rsidRPr="001800B7">
              <w:rPr>
                <w:rFonts w:eastAsia="Times New Roman"/>
                <w:szCs w:val="22"/>
                <w:lang w:eastAsia="en-US"/>
              </w:rPr>
              <w:t>ont les pays en développement et les PMA de partager leurs connaissances et expériences mais aussi de promouvoir plus encore l</w:t>
            </w:r>
            <w:r w:rsidR="005311D6" w:rsidRPr="001800B7">
              <w:rPr>
                <w:rFonts w:eastAsia="Times New Roman"/>
                <w:szCs w:val="22"/>
                <w:lang w:eastAsia="en-US"/>
              </w:rPr>
              <w:t>’</w:t>
            </w:r>
            <w:r w:rsidRPr="001800B7">
              <w:rPr>
                <w:rFonts w:eastAsia="Times New Roman"/>
                <w:szCs w:val="22"/>
                <w:lang w:eastAsia="en-US"/>
              </w:rPr>
              <w:t>assistance technique et juridique axée sur le développement dans le domaine de la propriété intellectuelle.  Compte tenu de la stratégie d</w:t>
            </w:r>
            <w:r w:rsidR="005311D6" w:rsidRPr="001800B7">
              <w:rPr>
                <w:rFonts w:eastAsia="Times New Roman"/>
                <w:szCs w:val="22"/>
                <w:lang w:eastAsia="en-US"/>
              </w:rPr>
              <w:t>’</w:t>
            </w:r>
            <w:r w:rsidRPr="001800B7">
              <w:rPr>
                <w:rFonts w:eastAsia="Times New Roman"/>
                <w:szCs w:val="22"/>
                <w:lang w:eastAsia="en-US"/>
              </w:rPr>
              <w:t>exécution du projet et des activités décrites dans le rapport CDIP/12/2, les progrès ci</w:t>
            </w:r>
            <w:r w:rsidR="001800B7" w:rsidRPr="001800B7">
              <w:rPr>
                <w:rFonts w:eastAsia="Times New Roman"/>
                <w:szCs w:val="22"/>
                <w:lang w:eastAsia="en-US"/>
              </w:rPr>
              <w:noBreakHyphen/>
            </w:r>
            <w:r w:rsidRPr="001800B7">
              <w:rPr>
                <w:rFonts w:eastAsia="Times New Roman"/>
                <w:szCs w:val="22"/>
                <w:lang w:eastAsia="en-US"/>
              </w:rPr>
              <w:t>après ont été réalisés durant la période considérée :</w:t>
            </w:r>
          </w:p>
          <w:p w:rsidR="00F30D9D" w:rsidRDefault="00F30D9D" w:rsidP="0010628F">
            <w:pPr>
              <w:pStyle w:val="ONUME"/>
              <w:numPr>
                <w:ilvl w:val="0"/>
                <w:numId w:val="7"/>
              </w:numPr>
              <w:spacing w:before="120" w:after="120"/>
              <w:rPr>
                <w:rFonts w:eastAsia="Times New Roman"/>
                <w:spacing w:val="-2"/>
                <w:szCs w:val="22"/>
                <w:lang w:eastAsia="en-US"/>
              </w:rPr>
            </w:pPr>
            <w:r w:rsidRPr="001800B7">
              <w:rPr>
                <w:rFonts w:eastAsia="Times New Roman"/>
                <w:spacing w:val="-2"/>
                <w:szCs w:val="22"/>
                <w:lang w:eastAsia="en-US"/>
              </w:rPr>
              <w:t xml:space="preserve">Le 22 novembre 2013, immédiatement après la douzième session du CDIP, comme en avaient convenu les coordonnateurs des groupes, le Secrétariat a convoqué à Genève la </w:t>
            </w:r>
            <w:r w:rsidRPr="001800B7">
              <w:rPr>
                <w:rFonts w:eastAsia="Times New Roman"/>
                <w:i/>
                <w:spacing w:val="-2"/>
                <w:szCs w:val="22"/>
                <w:lang w:eastAsia="en-US"/>
              </w:rPr>
              <w:t>deuxième conférence annuelle sur la coopération Sud</w:t>
            </w:r>
            <w:r w:rsidR="001800B7" w:rsidRPr="001800B7">
              <w:rPr>
                <w:rFonts w:eastAsia="Times New Roman"/>
                <w:i/>
                <w:spacing w:val="-2"/>
                <w:szCs w:val="22"/>
                <w:lang w:eastAsia="en-US"/>
              </w:rPr>
              <w:noBreakHyphen/>
            </w:r>
            <w:r w:rsidRPr="001800B7">
              <w:rPr>
                <w:rFonts w:eastAsia="Times New Roman"/>
                <w:i/>
                <w:spacing w:val="-2"/>
                <w:szCs w:val="22"/>
                <w:lang w:eastAsia="en-US"/>
              </w:rPr>
              <w:t>Sud dans le domaine de la propriété intellectuelle au service du développement</w:t>
            </w:r>
            <w:r w:rsidRPr="001800B7">
              <w:rPr>
                <w:rFonts w:eastAsia="Times New Roman"/>
                <w:spacing w:val="-2"/>
                <w:szCs w:val="22"/>
                <w:lang w:eastAsia="en-US"/>
              </w:rPr>
              <w:t>.  Ouverte aux décideurs, aux fonctionnaires nationaux et aux représentants d</w:t>
            </w:r>
            <w:r w:rsidR="005311D6" w:rsidRPr="001800B7">
              <w:rPr>
                <w:rFonts w:eastAsia="Times New Roman"/>
                <w:spacing w:val="-2"/>
                <w:szCs w:val="22"/>
                <w:lang w:eastAsia="en-US"/>
              </w:rPr>
              <w:t>’</w:t>
            </w:r>
            <w:r w:rsidRPr="001800B7">
              <w:rPr>
                <w:rFonts w:eastAsia="Times New Roman"/>
                <w:spacing w:val="-2"/>
                <w:szCs w:val="22"/>
                <w:lang w:eastAsia="en-US"/>
              </w:rPr>
              <w:t>offices de propriété intellectuelle des pays en développement, des PMA et des autres États membres intéressés, ainsi qu</w:t>
            </w:r>
            <w:r w:rsidR="005311D6" w:rsidRPr="001800B7">
              <w:rPr>
                <w:rFonts w:eastAsia="Times New Roman"/>
                <w:spacing w:val="-2"/>
                <w:szCs w:val="22"/>
                <w:lang w:eastAsia="en-US"/>
              </w:rPr>
              <w:t>’</w:t>
            </w:r>
            <w:r w:rsidRPr="001800B7">
              <w:rPr>
                <w:rFonts w:eastAsia="Times New Roman"/>
                <w:spacing w:val="-2"/>
                <w:szCs w:val="22"/>
                <w:lang w:eastAsia="en-US"/>
              </w:rPr>
              <w:t>aux représentants d</w:t>
            </w:r>
            <w:r w:rsidR="005311D6" w:rsidRPr="001800B7">
              <w:rPr>
                <w:rFonts w:eastAsia="Times New Roman"/>
                <w:spacing w:val="-2"/>
                <w:szCs w:val="22"/>
                <w:lang w:eastAsia="en-US"/>
              </w:rPr>
              <w:t>’</w:t>
            </w:r>
            <w:r w:rsidRPr="001800B7">
              <w:rPr>
                <w:rFonts w:eastAsia="Times New Roman"/>
                <w:spacing w:val="-2"/>
                <w:szCs w:val="22"/>
                <w:lang w:eastAsia="en-US"/>
              </w:rPr>
              <w:t>organisations gouvernementales et non gouvernementales régionales et internationales, la conférence a permis : a) d</w:t>
            </w:r>
            <w:r w:rsidR="005311D6" w:rsidRPr="001800B7">
              <w:rPr>
                <w:rFonts w:eastAsia="Times New Roman"/>
                <w:spacing w:val="-2"/>
                <w:szCs w:val="22"/>
                <w:lang w:eastAsia="en-US"/>
              </w:rPr>
              <w:t>’</w:t>
            </w:r>
            <w:r w:rsidRPr="001800B7">
              <w:rPr>
                <w:rFonts w:eastAsia="Times New Roman"/>
                <w:spacing w:val="-2"/>
                <w:szCs w:val="22"/>
                <w:lang w:eastAsia="en-US"/>
              </w:rPr>
              <w:t xml:space="preserve">examiner les conclusions de la </w:t>
            </w:r>
            <w:r w:rsidRPr="001800B7">
              <w:rPr>
                <w:rFonts w:eastAsia="Times New Roman"/>
                <w:i/>
                <w:spacing w:val="-2"/>
                <w:szCs w:val="22"/>
                <w:lang w:eastAsia="en-US"/>
              </w:rPr>
              <w:t>deuxième réunion interrégionale sur la coopération Sud</w:t>
            </w:r>
            <w:r w:rsidR="001800B7" w:rsidRPr="001800B7">
              <w:rPr>
                <w:rFonts w:eastAsia="Times New Roman"/>
                <w:i/>
                <w:spacing w:val="-2"/>
                <w:szCs w:val="22"/>
                <w:lang w:eastAsia="en-US"/>
              </w:rPr>
              <w:noBreakHyphen/>
            </w:r>
            <w:r w:rsidRPr="001800B7">
              <w:rPr>
                <w:rFonts w:eastAsia="Times New Roman"/>
                <w:i/>
                <w:spacing w:val="-2"/>
                <w:szCs w:val="22"/>
                <w:lang w:eastAsia="en-US"/>
              </w:rPr>
              <w:t>Sud relative aux brevets, aux marques, aux indications géographiques, aux dessins et modèles industriels et à l</w:t>
            </w:r>
            <w:r w:rsidR="005311D6" w:rsidRPr="001800B7">
              <w:rPr>
                <w:rFonts w:eastAsia="Times New Roman"/>
                <w:i/>
                <w:spacing w:val="-2"/>
                <w:szCs w:val="22"/>
                <w:lang w:eastAsia="en-US"/>
              </w:rPr>
              <w:t>’</w:t>
            </w:r>
            <w:r w:rsidRPr="001800B7">
              <w:rPr>
                <w:rFonts w:eastAsia="Times New Roman"/>
                <w:i/>
                <w:spacing w:val="-2"/>
                <w:szCs w:val="22"/>
                <w:lang w:eastAsia="en-US"/>
              </w:rPr>
              <w:t>application des droits</w:t>
            </w:r>
            <w:r w:rsidRPr="001800B7">
              <w:rPr>
                <w:rFonts w:eastAsia="Times New Roman"/>
                <w:spacing w:val="-2"/>
                <w:szCs w:val="22"/>
                <w:lang w:eastAsia="en-US"/>
              </w:rPr>
              <w:t>, tenue au Caire (République arabe d</w:t>
            </w:r>
            <w:r w:rsidR="005311D6" w:rsidRPr="001800B7">
              <w:rPr>
                <w:rFonts w:eastAsia="Times New Roman"/>
                <w:spacing w:val="-2"/>
                <w:szCs w:val="22"/>
                <w:lang w:eastAsia="en-US"/>
              </w:rPr>
              <w:t>’</w:t>
            </w:r>
            <w:r w:rsidRPr="001800B7">
              <w:rPr>
                <w:rFonts w:eastAsia="Times New Roman"/>
                <w:spacing w:val="-2"/>
                <w:szCs w:val="22"/>
                <w:lang w:eastAsia="en-US"/>
              </w:rPr>
              <w:t>Égypte) du 6 au 8 mai 2013, et b) de débattre de l</w:t>
            </w:r>
            <w:r w:rsidR="005311D6" w:rsidRPr="001800B7">
              <w:rPr>
                <w:rFonts w:eastAsia="Times New Roman"/>
                <w:spacing w:val="-2"/>
                <w:szCs w:val="22"/>
                <w:lang w:eastAsia="en-US"/>
              </w:rPr>
              <w:t>’</w:t>
            </w:r>
            <w:r w:rsidRPr="001800B7">
              <w:rPr>
                <w:rFonts w:eastAsia="Times New Roman"/>
                <w:spacing w:val="-2"/>
                <w:szCs w:val="22"/>
                <w:lang w:eastAsia="en-US"/>
              </w:rPr>
              <w:t>avenir du projet sur la coopération Sud</w:t>
            </w:r>
            <w:r w:rsidR="001800B7" w:rsidRPr="001800B7">
              <w:rPr>
                <w:rFonts w:eastAsia="Times New Roman"/>
                <w:spacing w:val="-2"/>
                <w:szCs w:val="22"/>
                <w:lang w:eastAsia="en-US"/>
              </w:rPr>
              <w:noBreakHyphen/>
            </w:r>
            <w:r w:rsidRPr="001800B7">
              <w:rPr>
                <w:rFonts w:eastAsia="Times New Roman"/>
                <w:spacing w:val="-2"/>
                <w:szCs w:val="22"/>
                <w:lang w:eastAsia="en-US"/>
              </w:rPr>
              <w:t>Sud.  La conférence a remporté un franc succès, réunissant 119 participants, parmi lesquels 75 représentants de 48 pays en développement et PMA, 20 représentants de 12 pays développés, 13 représentants de 7 organisations intergouvernementales et 7 représentants de 6 organisations non gouvernementales.  Les commentaires recueillis ont permis de confirmer que la conférence avait bien répondu aux attentes et atteint les objectifs fixés (plus de 92% des répondants ont qualifié la conférence de bonne, très bonne ou excellente).  Diffusée en direct sur le Web pour assurer son accès à un plus large public, la conférence a offert une plate</w:t>
            </w:r>
            <w:r w:rsidR="001800B7" w:rsidRPr="001800B7">
              <w:rPr>
                <w:rFonts w:eastAsia="Times New Roman"/>
                <w:spacing w:val="-2"/>
                <w:szCs w:val="22"/>
                <w:lang w:eastAsia="en-US"/>
              </w:rPr>
              <w:noBreakHyphen/>
            </w:r>
            <w:r w:rsidRPr="001800B7">
              <w:rPr>
                <w:rFonts w:eastAsia="Times New Roman"/>
                <w:spacing w:val="-2"/>
                <w:szCs w:val="22"/>
                <w:lang w:eastAsia="en-US"/>
              </w:rPr>
              <w:t>forme de sensibilisation à l</w:t>
            </w:r>
            <w:r w:rsidR="005311D6" w:rsidRPr="001800B7">
              <w:rPr>
                <w:rFonts w:eastAsia="Times New Roman"/>
                <w:spacing w:val="-2"/>
                <w:szCs w:val="22"/>
                <w:lang w:eastAsia="en-US"/>
              </w:rPr>
              <w:t>’</w:t>
            </w:r>
            <w:r w:rsidRPr="001800B7">
              <w:rPr>
                <w:rFonts w:eastAsia="Times New Roman"/>
                <w:spacing w:val="-2"/>
                <w:szCs w:val="22"/>
                <w:lang w:eastAsia="en-US"/>
              </w:rPr>
              <w:t>importance de la coopération Sud</w:t>
            </w:r>
            <w:r w:rsidR="001800B7" w:rsidRPr="001800B7">
              <w:rPr>
                <w:rFonts w:eastAsia="Times New Roman"/>
                <w:spacing w:val="-2"/>
                <w:szCs w:val="22"/>
                <w:lang w:eastAsia="en-US"/>
              </w:rPr>
              <w:noBreakHyphen/>
            </w:r>
            <w:r w:rsidRPr="001800B7">
              <w:rPr>
                <w:rFonts w:eastAsia="Times New Roman"/>
                <w:spacing w:val="-2"/>
                <w:szCs w:val="22"/>
                <w:lang w:eastAsia="en-US"/>
              </w:rPr>
              <w:t xml:space="preserve">Sud dans le domaine de la propriété intellectuelle sur la base des conclusions de la </w:t>
            </w:r>
            <w:r w:rsidRPr="001800B7">
              <w:rPr>
                <w:rFonts w:eastAsia="Times New Roman"/>
                <w:i/>
                <w:spacing w:val="-2"/>
                <w:szCs w:val="22"/>
                <w:lang w:eastAsia="en-US"/>
              </w:rPr>
              <w:t>deuxième réunion interrégionale sur la coopération Sud</w:t>
            </w:r>
            <w:r w:rsidR="001800B7" w:rsidRPr="001800B7">
              <w:rPr>
                <w:rFonts w:eastAsia="Times New Roman"/>
                <w:i/>
                <w:spacing w:val="-2"/>
                <w:szCs w:val="22"/>
                <w:lang w:eastAsia="en-US"/>
              </w:rPr>
              <w:noBreakHyphen/>
            </w:r>
            <w:r w:rsidRPr="001800B7">
              <w:rPr>
                <w:rFonts w:eastAsia="Times New Roman"/>
                <w:i/>
                <w:spacing w:val="-2"/>
                <w:szCs w:val="22"/>
                <w:lang w:eastAsia="en-US"/>
              </w:rPr>
              <w:t>Sud</w:t>
            </w:r>
            <w:r w:rsidRPr="001800B7">
              <w:rPr>
                <w:rFonts w:eastAsia="Times New Roman"/>
                <w:spacing w:val="-2"/>
                <w:szCs w:val="22"/>
                <w:lang w:eastAsia="en-US"/>
              </w:rPr>
              <w:t>, et a permis aux États membres d</w:t>
            </w:r>
            <w:r w:rsidR="005311D6" w:rsidRPr="001800B7">
              <w:rPr>
                <w:rFonts w:eastAsia="Times New Roman"/>
                <w:spacing w:val="-2"/>
                <w:szCs w:val="22"/>
                <w:lang w:eastAsia="en-US"/>
              </w:rPr>
              <w:t>’</w:t>
            </w:r>
            <w:r w:rsidRPr="001800B7">
              <w:rPr>
                <w:rFonts w:eastAsia="Times New Roman"/>
                <w:spacing w:val="-2"/>
                <w:szCs w:val="22"/>
                <w:lang w:eastAsia="en-US"/>
              </w:rPr>
              <w:t>échanger des vues et des idées sur la façon de faire avancer le processus.  Les textes des exposés, l</w:t>
            </w:r>
            <w:r w:rsidR="005311D6" w:rsidRPr="001800B7">
              <w:rPr>
                <w:rFonts w:eastAsia="Times New Roman"/>
                <w:spacing w:val="-2"/>
                <w:szCs w:val="22"/>
                <w:lang w:eastAsia="en-US"/>
              </w:rPr>
              <w:t>’</w:t>
            </w:r>
            <w:r w:rsidRPr="001800B7">
              <w:rPr>
                <w:rFonts w:eastAsia="Times New Roman"/>
                <w:spacing w:val="-2"/>
                <w:szCs w:val="22"/>
                <w:lang w:eastAsia="en-US"/>
              </w:rPr>
              <w:t>enregistrement vidéo, le rapport détaillé et le résumé du rapport de la conférence sont disponibles sur le site Web de l</w:t>
            </w:r>
            <w:r w:rsidR="005311D6" w:rsidRPr="001800B7">
              <w:rPr>
                <w:rFonts w:eastAsia="Times New Roman"/>
                <w:spacing w:val="-2"/>
                <w:szCs w:val="22"/>
                <w:lang w:eastAsia="en-US"/>
              </w:rPr>
              <w:t>’</w:t>
            </w:r>
            <w:r w:rsidRPr="001800B7">
              <w:rPr>
                <w:rFonts w:eastAsia="Times New Roman"/>
                <w:spacing w:val="-2"/>
                <w:szCs w:val="22"/>
                <w:lang w:eastAsia="en-US"/>
              </w:rPr>
              <w:t>OMPI, à l</w:t>
            </w:r>
            <w:r w:rsidR="005311D6" w:rsidRPr="001800B7">
              <w:rPr>
                <w:rFonts w:eastAsia="Times New Roman"/>
                <w:spacing w:val="-2"/>
                <w:szCs w:val="22"/>
                <w:lang w:eastAsia="en-US"/>
              </w:rPr>
              <w:t>’</w:t>
            </w:r>
            <w:r w:rsidRPr="001800B7">
              <w:rPr>
                <w:rFonts w:eastAsia="Times New Roman"/>
                <w:spacing w:val="-2"/>
                <w:szCs w:val="22"/>
                <w:lang w:eastAsia="en-US"/>
              </w:rPr>
              <w:t xml:space="preserve">adresse suivante : </w:t>
            </w:r>
            <w:hyperlink r:id="rId48" w:history="1">
              <w:r w:rsidRPr="001800B7">
                <w:rPr>
                  <w:rStyle w:val="Hyperlink"/>
                  <w:rFonts w:eastAsia="Times New Roman"/>
                  <w:color w:val="auto"/>
                  <w:spacing w:val="-2"/>
                  <w:szCs w:val="22"/>
                  <w:lang w:eastAsia="en-US"/>
                </w:rPr>
                <w:t>http://www.wipo.int/meetings/fr/details.jsp?meeting_id=30462</w:t>
              </w:r>
            </w:hyperlink>
            <w:r w:rsidRPr="001800B7">
              <w:rPr>
                <w:rFonts w:eastAsia="Times New Roman"/>
                <w:spacing w:val="-2"/>
                <w:szCs w:val="22"/>
                <w:lang w:eastAsia="en-US"/>
              </w:rPr>
              <w:t>.</w:t>
            </w:r>
          </w:p>
          <w:p w:rsidR="00FC46A1" w:rsidRPr="001800B7" w:rsidRDefault="00FC46A1" w:rsidP="00FC46A1">
            <w:pPr>
              <w:pStyle w:val="ONUME"/>
              <w:numPr>
                <w:ilvl w:val="0"/>
                <w:numId w:val="0"/>
              </w:numPr>
              <w:spacing w:before="120" w:after="120"/>
              <w:rPr>
                <w:rFonts w:eastAsia="Times New Roman"/>
                <w:spacing w:val="-2"/>
                <w:szCs w:val="22"/>
                <w:lang w:eastAsia="en-US"/>
              </w:rPr>
            </w:pPr>
          </w:p>
          <w:p w:rsidR="00F30D9D" w:rsidRPr="001800B7" w:rsidRDefault="00F30D9D" w:rsidP="0010628F">
            <w:pPr>
              <w:pStyle w:val="ONUME"/>
              <w:numPr>
                <w:ilvl w:val="0"/>
                <w:numId w:val="7"/>
              </w:numPr>
              <w:spacing w:before="120" w:after="120"/>
              <w:rPr>
                <w:szCs w:val="22"/>
              </w:rPr>
            </w:pPr>
            <w:r w:rsidRPr="001800B7">
              <w:rPr>
                <w:szCs w:val="22"/>
              </w:rPr>
              <w:t>Pendant la période considérée, le Secrétariat a aussi poursuivi le développement de la plate</w:t>
            </w:r>
            <w:r w:rsidR="001800B7" w:rsidRPr="001800B7">
              <w:rPr>
                <w:szCs w:val="22"/>
              </w:rPr>
              <w:noBreakHyphen/>
            </w:r>
            <w:r w:rsidRPr="001800B7">
              <w:rPr>
                <w:szCs w:val="22"/>
              </w:rPr>
              <w:t>forme et des outils en ligne pour la coopération Sud</w:t>
            </w:r>
            <w:r w:rsidR="001800B7" w:rsidRPr="001800B7">
              <w:rPr>
                <w:szCs w:val="22"/>
              </w:rPr>
              <w:noBreakHyphen/>
            </w:r>
            <w:r w:rsidRPr="001800B7">
              <w:rPr>
                <w:szCs w:val="22"/>
              </w:rPr>
              <w:t>Sud, notamment en introduisant des fonctionnalités Sud</w:t>
            </w:r>
            <w:r w:rsidR="001800B7" w:rsidRPr="001800B7">
              <w:rPr>
                <w:szCs w:val="22"/>
              </w:rPr>
              <w:noBreakHyphen/>
            </w:r>
            <w:r w:rsidRPr="001800B7">
              <w:rPr>
                <w:szCs w:val="22"/>
              </w:rPr>
              <w:t>Sud dans la base de données d</w:t>
            </w:r>
            <w:r w:rsidR="005311D6" w:rsidRPr="001800B7">
              <w:rPr>
                <w:szCs w:val="22"/>
              </w:rPr>
              <w:t>’</w:t>
            </w:r>
            <w:r w:rsidRPr="001800B7">
              <w:rPr>
                <w:szCs w:val="22"/>
              </w:rPr>
              <w:t>assistance technique en propriété intellectuelle (IP</w:t>
            </w:r>
            <w:r w:rsidR="001800B7" w:rsidRPr="001800B7">
              <w:rPr>
                <w:szCs w:val="22"/>
              </w:rPr>
              <w:noBreakHyphen/>
            </w:r>
            <w:r w:rsidRPr="001800B7">
              <w:rPr>
                <w:szCs w:val="22"/>
              </w:rPr>
              <w:t>TAD), dans la base de données de mise en parallèle des besoins de développement liés à la propriété intellectuelle (IP</w:t>
            </w:r>
            <w:r w:rsidR="001800B7" w:rsidRPr="001800B7">
              <w:rPr>
                <w:szCs w:val="22"/>
              </w:rPr>
              <w:noBreakHyphen/>
            </w:r>
            <w:r w:rsidRPr="001800B7">
              <w:rPr>
                <w:szCs w:val="22"/>
              </w:rPr>
              <w:t>DMD) et dans la liste de consultants de l</w:t>
            </w:r>
            <w:r w:rsidR="005311D6" w:rsidRPr="001800B7">
              <w:rPr>
                <w:szCs w:val="22"/>
              </w:rPr>
              <w:t>’</w:t>
            </w:r>
            <w:r w:rsidRPr="001800B7">
              <w:rPr>
                <w:szCs w:val="22"/>
              </w:rPr>
              <w:t>OMPI.  Grâce à une coopération avec la Division des projets spéciaux chargée de l</w:t>
            </w:r>
            <w:r w:rsidR="005311D6" w:rsidRPr="001800B7">
              <w:rPr>
                <w:szCs w:val="22"/>
              </w:rPr>
              <w:t>’</w:t>
            </w:r>
            <w:r w:rsidRPr="001800B7">
              <w:rPr>
                <w:szCs w:val="22"/>
              </w:rPr>
              <w:t>élaboration et de la maintenance des bases de données susmentionnées et avec la Division des communications, le projet a donné lieu à la création d</w:t>
            </w:r>
            <w:r w:rsidR="005311D6" w:rsidRPr="001800B7">
              <w:rPr>
                <w:szCs w:val="22"/>
              </w:rPr>
              <w:t>’</w:t>
            </w:r>
            <w:r w:rsidRPr="001800B7">
              <w:rPr>
                <w:szCs w:val="22"/>
              </w:rPr>
              <w:t>une page Web OMPI spéciale qui centralise toutes les informations sur les activités de coopération Sud</w:t>
            </w:r>
            <w:r w:rsidR="001800B7" w:rsidRPr="001800B7">
              <w:rPr>
                <w:szCs w:val="22"/>
              </w:rPr>
              <w:noBreakHyphen/>
            </w:r>
            <w:r w:rsidRPr="001800B7">
              <w:rPr>
                <w:szCs w:val="22"/>
              </w:rPr>
              <w:t>Sud dans le domaine de la propriété intellectuelle et qui fournit les informations, les outils et les ressources ci</w:t>
            </w:r>
            <w:r w:rsidR="001800B7" w:rsidRPr="001800B7">
              <w:rPr>
                <w:szCs w:val="22"/>
              </w:rPr>
              <w:noBreakHyphen/>
            </w:r>
            <w:r w:rsidRPr="001800B7">
              <w:rPr>
                <w:szCs w:val="22"/>
              </w:rPr>
              <w:t>après : a) la base de données d</w:t>
            </w:r>
            <w:r w:rsidR="005311D6" w:rsidRPr="001800B7">
              <w:rPr>
                <w:szCs w:val="22"/>
              </w:rPr>
              <w:t>’</w:t>
            </w:r>
            <w:r w:rsidRPr="001800B7">
              <w:rPr>
                <w:szCs w:val="22"/>
              </w:rPr>
              <w:t>assistance technique Sud</w:t>
            </w:r>
            <w:r w:rsidR="001800B7" w:rsidRPr="001800B7">
              <w:rPr>
                <w:szCs w:val="22"/>
              </w:rPr>
              <w:noBreakHyphen/>
            </w:r>
            <w:r w:rsidRPr="001800B7">
              <w:rPr>
                <w:szCs w:val="22"/>
              </w:rPr>
              <w:t>Sud en matière de propriété intellectuelle, qui présente les activités d</w:t>
            </w:r>
            <w:r w:rsidR="005311D6" w:rsidRPr="001800B7">
              <w:rPr>
                <w:szCs w:val="22"/>
              </w:rPr>
              <w:t>’</w:t>
            </w:r>
            <w:r w:rsidRPr="001800B7">
              <w:rPr>
                <w:szCs w:val="22"/>
              </w:rPr>
              <w:t>assistance technique et de renforcement des capacités menées avec le soutien de l</w:t>
            </w:r>
            <w:r w:rsidR="005311D6" w:rsidRPr="001800B7">
              <w:rPr>
                <w:szCs w:val="22"/>
              </w:rPr>
              <w:t>’</w:t>
            </w:r>
            <w:r w:rsidRPr="001800B7">
              <w:rPr>
                <w:szCs w:val="22"/>
              </w:rPr>
              <w:t>OMPI dans le cadre de la coopération Sud</w:t>
            </w:r>
            <w:r w:rsidR="001800B7" w:rsidRPr="001800B7">
              <w:rPr>
                <w:szCs w:val="22"/>
              </w:rPr>
              <w:noBreakHyphen/>
            </w:r>
            <w:r w:rsidRPr="001800B7">
              <w:rPr>
                <w:szCs w:val="22"/>
              </w:rPr>
              <w:t>Sud;  b) la liste de consultants Sud</w:t>
            </w:r>
            <w:r w:rsidR="001800B7" w:rsidRPr="001800B7">
              <w:rPr>
                <w:szCs w:val="22"/>
              </w:rPr>
              <w:noBreakHyphen/>
            </w:r>
            <w:r w:rsidRPr="001800B7">
              <w:rPr>
                <w:szCs w:val="22"/>
              </w:rPr>
              <w:t>Sud, qui contient des informations sur les consultants et les personnes ressources venant des pays en développement, des PMA et des pays en transition, ce qui permet de trouver les spécialistes disponibles dans le Sud;  c) les fonctionnalités Sud</w:t>
            </w:r>
            <w:r w:rsidR="001800B7" w:rsidRPr="001800B7">
              <w:rPr>
                <w:szCs w:val="22"/>
              </w:rPr>
              <w:noBreakHyphen/>
            </w:r>
            <w:r w:rsidRPr="001800B7">
              <w:rPr>
                <w:szCs w:val="22"/>
              </w:rPr>
              <w:t>Sud introduites dans la base de données IP</w:t>
            </w:r>
            <w:r w:rsidR="001800B7" w:rsidRPr="001800B7">
              <w:rPr>
                <w:szCs w:val="22"/>
              </w:rPr>
              <w:noBreakHyphen/>
            </w:r>
            <w:r w:rsidRPr="001800B7">
              <w:rPr>
                <w:szCs w:val="22"/>
              </w:rPr>
              <w:t>DMD, pour permettre une meilleure mise en parallèle de l</w:t>
            </w:r>
            <w:r w:rsidR="005311D6" w:rsidRPr="001800B7">
              <w:rPr>
                <w:szCs w:val="22"/>
              </w:rPr>
              <w:t>’</w:t>
            </w:r>
            <w:r w:rsidRPr="001800B7">
              <w:rPr>
                <w:szCs w:val="22"/>
              </w:rPr>
              <w:t>offre et de la demande dans les pays en développement et les PMA;  d) des informations sur les initiatives Sud</w:t>
            </w:r>
            <w:r w:rsidR="001800B7" w:rsidRPr="001800B7">
              <w:rPr>
                <w:szCs w:val="22"/>
              </w:rPr>
              <w:noBreakHyphen/>
            </w:r>
            <w:r w:rsidRPr="001800B7">
              <w:rPr>
                <w:szCs w:val="22"/>
              </w:rPr>
              <w:t>Sud nationales et régionales dans le domaine de la propriété intellectuelle, recueillies au moyen d</w:t>
            </w:r>
            <w:r w:rsidR="005311D6" w:rsidRPr="001800B7">
              <w:rPr>
                <w:szCs w:val="22"/>
              </w:rPr>
              <w:t>’</w:t>
            </w:r>
            <w:r w:rsidRPr="001800B7">
              <w:rPr>
                <w:szCs w:val="22"/>
              </w:rPr>
              <w:t xml:space="preserve">un questionnaire envoyé aux États membres à cette fin;  et e) des informations sur le cadre des </w:t>
            </w:r>
            <w:r w:rsidR="005311D6" w:rsidRPr="001800B7">
              <w:rPr>
                <w:szCs w:val="22"/>
              </w:rPr>
              <w:t>Nations Unies</w:t>
            </w:r>
            <w:r w:rsidRPr="001800B7">
              <w:rPr>
                <w:szCs w:val="22"/>
              </w:rPr>
              <w:t xml:space="preserve"> pour la coopération Sud</w:t>
            </w:r>
            <w:r w:rsidR="001800B7" w:rsidRPr="001800B7">
              <w:rPr>
                <w:szCs w:val="22"/>
              </w:rPr>
              <w:noBreakHyphen/>
            </w:r>
            <w:r w:rsidRPr="001800B7">
              <w:rPr>
                <w:szCs w:val="22"/>
              </w:rPr>
              <w:t>Sud et sur le partenariat entre l</w:t>
            </w:r>
            <w:r w:rsidR="005311D6" w:rsidRPr="001800B7">
              <w:rPr>
                <w:szCs w:val="22"/>
              </w:rPr>
              <w:t>’</w:t>
            </w:r>
            <w:r w:rsidRPr="001800B7">
              <w:rPr>
                <w:szCs w:val="22"/>
              </w:rPr>
              <w:t xml:space="preserve">OMPI et le Bureau des </w:t>
            </w:r>
            <w:r w:rsidR="005311D6" w:rsidRPr="001800B7">
              <w:rPr>
                <w:szCs w:val="22"/>
              </w:rPr>
              <w:t>Nations Unies</w:t>
            </w:r>
            <w:r w:rsidRPr="001800B7">
              <w:rPr>
                <w:szCs w:val="22"/>
              </w:rPr>
              <w:t xml:space="preserve"> pour la coopération Sud</w:t>
            </w:r>
            <w:r w:rsidR="001800B7" w:rsidRPr="001800B7">
              <w:rPr>
                <w:szCs w:val="22"/>
              </w:rPr>
              <w:noBreakHyphen/>
            </w:r>
            <w:r w:rsidRPr="001800B7">
              <w:rPr>
                <w:szCs w:val="22"/>
              </w:rPr>
              <w:t>Sud (UNOSSC).  La plate</w:t>
            </w:r>
            <w:r w:rsidR="001800B7" w:rsidRPr="001800B7">
              <w:rPr>
                <w:szCs w:val="22"/>
              </w:rPr>
              <w:noBreakHyphen/>
            </w:r>
            <w:r w:rsidRPr="001800B7">
              <w:rPr>
                <w:szCs w:val="22"/>
              </w:rPr>
              <w:t>forme en ligne (</w:t>
            </w:r>
            <w:hyperlink r:id="rId49" w:history="1">
              <w:r w:rsidRPr="001800B7">
                <w:rPr>
                  <w:rStyle w:val="Hyperlink"/>
                  <w:color w:val="auto"/>
                  <w:szCs w:val="22"/>
                </w:rPr>
                <w:t>http://www.wipo.int/cooperation/fr/south_south/</w:t>
              </w:r>
            </w:hyperlink>
            <w:r w:rsidRPr="001800B7">
              <w:rPr>
                <w:szCs w:val="22"/>
              </w:rPr>
              <w:t>) a été lancée officiellement lors d</w:t>
            </w:r>
            <w:r w:rsidR="005311D6" w:rsidRPr="001800B7">
              <w:rPr>
                <w:szCs w:val="22"/>
              </w:rPr>
              <w:t>’</w:t>
            </w:r>
            <w:r w:rsidRPr="001800B7">
              <w:rPr>
                <w:szCs w:val="22"/>
              </w:rPr>
              <w:t>une manifestation parallèle organisée en marge de la treizième session du CDIP, le 21 mai 2014.</w:t>
            </w:r>
          </w:p>
          <w:p w:rsidR="00F30D9D" w:rsidRPr="001800B7" w:rsidRDefault="00F30D9D" w:rsidP="0010628F">
            <w:pPr>
              <w:numPr>
                <w:ilvl w:val="0"/>
                <w:numId w:val="2"/>
              </w:numPr>
              <w:spacing w:before="120" w:after="120"/>
              <w:rPr>
                <w:rFonts w:eastAsia="Times New Roman"/>
                <w:szCs w:val="22"/>
                <w:lang w:eastAsia="en-US"/>
              </w:rPr>
            </w:pPr>
            <w:r w:rsidRPr="001800B7">
              <w:rPr>
                <w:rFonts w:eastAsia="Times New Roman"/>
                <w:szCs w:val="22"/>
                <w:lang w:eastAsia="en-US"/>
              </w:rPr>
              <w:t xml:space="preserve">Suivi des activités du système des </w:t>
            </w:r>
            <w:r w:rsidR="005311D6" w:rsidRPr="001800B7">
              <w:rPr>
                <w:rFonts w:eastAsia="Times New Roman"/>
                <w:szCs w:val="22"/>
                <w:lang w:eastAsia="en-US"/>
              </w:rPr>
              <w:t>Nations Unies</w:t>
            </w:r>
            <w:r w:rsidRPr="001800B7">
              <w:rPr>
                <w:rFonts w:eastAsia="Times New Roman"/>
                <w:szCs w:val="22"/>
                <w:lang w:eastAsia="en-US"/>
              </w:rPr>
              <w:t xml:space="preserve"> dans le domaine de la coopération Sud</w:t>
            </w:r>
            <w:r w:rsidR="001800B7" w:rsidRPr="001800B7">
              <w:rPr>
                <w:rFonts w:eastAsia="Times New Roman"/>
                <w:szCs w:val="22"/>
                <w:lang w:eastAsia="en-US"/>
              </w:rPr>
              <w:noBreakHyphen/>
            </w:r>
            <w:r w:rsidRPr="001800B7">
              <w:rPr>
                <w:rFonts w:eastAsia="Times New Roman"/>
                <w:szCs w:val="22"/>
                <w:lang w:eastAsia="en-US"/>
              </w:rPr>
              <w:t>Sud et coordination avec l</w:t>
            </w:r>
            <w:r w:rsidR="005311D6" w:rsidRPr="001800B7">
              <w:rPr>
                <w:rFonts w:eastAsia="Times New Roman"/>
                <w:szCs w:val="22"/>
                <w:lang w:eastAsia="en-US"/>
              </w:rPr>
              <w:t>’</w:t>
            </w:r>
            <w:r w:rsidRPr="001800B7">
              <w:rPr>
                <w:rFonts w:eastAsia="Times New Roman"/>
                <w:szCs w:val="22"/>
                <w:lang w:eastAsia="en-US"/>
              </w:rPr>
              <w:t>UNOSSC : l</w:t>
            </w:r>
            <w:r w:rsidR="005311D6" w:rsidRPr="001800B7">
              <w:rPr>
                <w:rFonts w:eastAsia="Times New Roman"/>
                <w:szCs w:val="22"/>
                <w:lang w:eastAsia="en-US"/>
              </w:rPr>
              <w:t>’</w:t>
            </w:r>
            <w:r w:rsidRPr="001800B7">
              <w:rPr>
                <w:rFonts w:eastAsia="Times New Roman"/>
                <w:szCs w:val="22"/>
                <w:lang w:eastAsia="en-US"/>
              </w:rPr>
              <w:t>OMPI a tenu son engagement par rapport aux activités de coopération Sud</w:t>
            </w:r>
            <w:r w:rsidR="001800B7" w:rsidRPr="001800B7">
              <w:rPr>
                <w:rFonts w:eastAsia="Times New Roman"/>
                <w:szCs w:val="22"/>
                <w:lang w:eastAsia="en-US"/>
              </w:rPr>
              <w:noBreakHyphen/>
            </w:r>
            <w:r w:rsidRPr="001800B7">
              <w:rPr>
                <w:rFonts w:eastAsia="Times New Roman"/>
                <w:szCs w:val="22"/>
                <w:lang w:eastAsia="en-US"/>
              </w:rPr>
              <w:t xml:space="preserve">Sud du système des </w:t>
            </w:r>
            <w:r w:rsidR="005311D6" w:rsidRPr="001800B7">
              <w:rPr>
                <w:rFonts w:eastAsia="Times New Roman"/>
                <w:szCs w:val="22"/>
                <w:lang w:eastAsia="en-US"/>
              </w:rPr>
              <w:t>Nations Unies</w:t>
            </w:r>
            <w:r w:rsidRPr="001800B7">
              <w:rPr>
                <w:rFonts w:eastAsia="Times New Roman"/>
                <w:szCs w:val="22"/>
                <w:lang w:eastAsia="en-US"/>
              </w:rPr>
              <w:t xml:space="preserve"> en participant à l</w:t>
            </w:r>
            <w:r w:rsidR="005311D6" w:rsidRPr="001800B7">
              <w:rPr>
                <w:rFonts w:eastAsia="Times New Roman"/>
                <w:szCs w:val="22"/>
                <w:lang w:eastAsia="en-US"/>
              </w:rPr>
              <w:t>’</w:t>
            </w:r>
            <w:r w:rsidRPr="001800B7">
              <w:rPr>
                <w:rFonts w:eastAsia="Times New Roman"/>
                <w:szCs w:val="22"/>
                <w:lang w:eastAsia="en-US"/>
              </w:rPr>
              <w:t>édition 2013 de la Global South</w:t>
            </w:r>
            <w:r w:rsidR="001800B7" w:rsidRPr="001800B7">
              <w:rPr>
                <w:rFonts w:eastAsia="Times New Roman"/>
                <w:szCs w:val="22"/>
                <w:lang w:eastAsia="en-US"/>
              </w:rPr>
              <w:noBreakHyphen/>
            </w:r>
            <w:r w:rsidRPr="001800B7">
              <w:rPr>
                <w:rFonts w:eastAsia="Times New Roman"/>
                <w:szCs w:val="22"/>
                <w:lang w:eastAsia="en-US"/>
              </w:rPr>
              <w:t xml:space="preserve">South Development Expo (GSSD), organisée par le Programme des </w:t>
            </w:r>
            <w:r w:rsidR="005311D6" w:rsidRPr="001800B7">
              <w:rPr>
                <w:rFonts w:eastAsia="Times New Roman"/>
                <w:szCs w:val="22"/>
                <w:lang w:eastAsia="en-US"/>
              </w:rPr>
              <w:t>Nations Unies</w:t>
            </w:r>
            <w:r w:rsidRPr="001800B7">
              <w:rPr>
                <w:rFonts w:eastAsia="Times New Roman"/>
                <w:szCs w:val="22"/>
                <w:lang w:eastAsia="en-US"/>
              </w:rPr>
              <w:t xml:space="preserve"> pour l</w:t>
            </w:r>
            <w:r w:rsidR="005311D6" w:rsidRPr="001800B7">
              <w:rPr>
                <w:rFonts w:eastAsia="Times New Roman"/>
                <w:szCs w:val="22"/>
                <w:lang w:eastAsia="en-US"/>
              </w:rPr>
              <w:t>’</w:t>
            </w:r>
            <w:r w:rsidRPr="001800B7">
              <w:rPr>
                <w:rFonts w:eastAsia="Times New Roman"/>
                <w:szCs w:val="22"/>
                <w:lang w:eastAsia="en-US"/>
              </w:rPr>
              <w:t>environnement (PNUE) à Nairobi du 28 octobre au 1</w:t>
            </w:r>
            <w:r w:rsidRPr="001800B7">
              <w:rPr>
                <w:rFonts w:eastAsia="Times New Roman"/>
                <w:szCs w:val="22"/>
                <w:vertAlign w:val="superscript"/>
                <w:lang w:eastAsia="en-US"/>
              </w:rPr>
              <w:t>er</w:t>
            </w:r>
            <w:r w:rsidRPr="001800B7">
              <w:rPr>
                <w:rFonts w:eastAsia="Times New Roman"/>
                <w:szCs w:val="22"/>
                <w:lang w:eastAsia="en-US"/>
              </w:rPr>
              <w:t> novembre 2013.  L</w:t>
            </w:r>
            <w:r w:rsidR="005311D6" w:rsidRPr="001800B7">
              <w:rPr>
                <w:rFonts w:eastAsia="Times New Roman"/>
                <w:szCs w:val="22"/>
                <w:lang w:eastAsia="en-US"/>
              </w:rPr>
              <w:t>’</w:t>
            </w:r>
            <w:r w:rsidRPr="001800B7">
              <w:rPr>
                <w:rFonts w:eastAsia="Times New Roman"/>
                <w:szCs w:val="22"/>
                <w:lang w:eastAsia="en-US"/>
              </w:rPr>
              <w:t>Expo a réuni des décideurs, des fonctionnaires nationaux et des représentants d</w:t>
            </w:r>
            <w:r w:rsidR="005311D6" w:rsidRPr="001800B7">
              <w:rPr>
                <w:rFonts w:eastAsia="Times New Roman"/>
                <w:szCs w:val="22"/>
                <w:lang w:eastAsia="en-US"/>
              </w:rPr>
              <w:t>’</w:t>
            </w:r>
            <w:r w:rsidRPr="001800B7">
              <w:rPr>
                <w:rFonts w:eastAsia="Times New Roman"/>
                <w:szCs w:val="22"/>
                <w:lang w:eastAsia="en-US"/>
              </w:rPr>
              <w:t>organisations intergouvernementales et non gouvernementales, du secteur privé et de la société civile, qui ont pu échanger leurs meilleures pratiques et présenter des partenariats fructueux dans le domaine de la coopération Sud</w:t>
            </w:r>
            <w:r w:rsidR="001800B7" w:rsidRPr="001800B7">
              <w:rPr>
                <w:rFonts w:eastAsia="Times New Roman"/>
                <w:szCs w:val="22"/>
                <w:lang w:eastAsia="en-US"/>
              </w:rPr>
              <w:noBreakHyphen/>
            </w:r>
            <w:r w:rsidRPr="001800B7">
              <w:rPr>
                <w:rFonts w:eastAsia="Times New Roman"/>
                <w:szCs w:val="22"/>
                <w:lang w:eastAsia="en-US"/>
              </w:rPr>
              <w:t>Sud et de la coopération triangulaire, ainsi que des solutions aux problèmes de développement, sur le thème “Construire des économies ouvertes et vertes : la coopération Sud</w:t>
            </w:r>
            <w:r w:rsidR="001800B7" w:rsidRPr="001800B7">
              <w:rPr>
                <w:rFonts w:eastAsia="Times New Roman"/>
                <w:szCs w:val="22"/>
                <w:lang w:eastAsia="en-US"/>
              </w:rPr>
              <w:noBreakHyphen/>
            </w:r>
            <w:r w:rsidRPr="001800B7">
              <w:rPr>
                <w:rFonts w:eastAsia="Times New Roman"/>
                <w:szCs w:val="22"/>
                <w:lang w:eastAsia="en-US"/>
              </w:rPr>
              <w:t>Sud pour le développement durable et l</w:t>
            </w:r>
            <w:r w:rsidR="005311D6" w:rsidRPr="001800B7">
              <w:rPr>
                <w:rFonts w:eastAsia="Times New Roman"/>
                <w:szCs w:val="22"/>
                <w:lang w:eastAsia="en-US"/>
              </w:rPr>
              <w:t>’</w:t>
            </w:r>
            <w:r w:rsidRPr="001800B7">
              <w:rPr>
                <w:rFonts w:eastAsia="Times New Roman"/>
                <w:szCs w:val="22"/>
                <w:lang w:eastAsia="en-US"/>
              </w:rPr>
              <w:t>éradication de la pauvreté”.  L</w:t>
            </w:r>
            <w:r w:rsidR="005311D6" w:rsidRPr="001800B7">
              <w:rPr>
                <w:rFonts w:eastAsia="Times New Roman"/>
                <w:szCs w:val="22"/>
                <w:lang w:eastAsia="en-US"/>
              </w:rPr>
              <w:t>’</w:t>
            </w:r>
            <w:r w:rsidRPr="001800B7">
              <w:rPr>
                <w:rFonts w:eastAsia="Times New Roman"/>
                <w:szCs w:val="22"/>
                <w:lang w:eastAsia="en-US"/>
              </w:rPr>
              <w:t xml:space="preserve">OMPI a participé au </w:t>
            </w:r>
            <w:r w:rsidRPr="001800B7">
              <w:rPr>
                <w:szCs w:val="22"/>
              </w:rPr>
              <w:t>High</w:t>
            </w:r>
            <w:r w:rsidR="001800B7" w:rsidRPr="001800B7">
              <w:rPr>
                <w:szCs w:val="22"/>
              </w:rPr>
              <w:noBreakHyphen/>
            </w:r>
            <w:proofErr w:type="spellStart"/>
            <w:r w:rsidRPr="001800B7">
              <w:rPr>
                <w:szCs w:val="22"/>
              </w:rPr>
              <w:t>level</w:t>
            </w:r>
            <w:proofErr w:type="spellEnd"/>
            <w:r w:rsidRPr="001800B7">
              <w:rPr>
                <w:szCs w:val="22"/>
              </w:rPr>
              <w:t xml:space="preserve"> Development Forum for Development </w:t>
            </w:r>
            <w:proofErr w:type="spellStart"/>
            <w:r w:rsidRPr="001800B7">
              <w:rPr>
                <w:szCs w:val="22"/>
              </w:rPr>
              <w:t>Cooperation</w:t>
            </w:r>
            <w:proofErr w:type="spellEnd"/>
            <w:r w:rsidRPr="001800B7">
              <w:rPr>
                <w:szCs w:val="22"/>
              </w:rPr>
              <w:t xml:space="preserve"> (forum de haut niveau pour la coopération au développement), conçu pour permettre aux acteurs de la coopération Sud</w:t>
            </w:r>
            <w:r w:rsidR="001800B7" w:rsidRPr="001800B7">
              <w:rPr>
                <w:szCs w:val="22"/>
              </w:rPr>
              <w:noBreakHyphen/>
            </w:r>
            <w:r w:rsidRPr="001800B7">
              <w:rPr>
                <w:szCs w:val="22"/>
              </w:rPr>
              <w:t>Sud aux niveaux national, régional et international de partager leurs expériences dans la gestion des activités de coopération Sud</w:t>
            </w:r>
            <w:r w:rsidR="001800B7" w:rsidRPr="001800B7">
              <w:rPr>
                <w:szCs w:val="22"/>
              </w:rPr>
              <w:noBreakHyphen/>
            </w:r>
            <w:r w:rsidRPr="001800B7">
              <w:rPr>
                <w:szCs w:val="22"/>
              </w:rPr>
              <w:t>Sud et de coopération triangulaire, et d</w:t>
            </w:r>
            <w:r w:rsidR="005311D6" w:rsidRPr="001800B7">
              <w:rPr>
                <w:szCs w:val="22"/>
              </w:rPr>
              <w:t>’</w:t>
            </w:r>
            <w:r w:rsidRPr="001800B7">
              <w:rPr>
                <w:szCs w:val="22"/>
              </w:rPr>
              <w:t xml:space="preserve">explorer de nouvelles pistes pour faciliter les partenariats de ce type.  </w:t>
            </w:r>
            <w:r w:rsidRPr="001800B7">
              <w:rPr>
                <w:szCs w:val="22"/>
              </w:rPr>
              <w:lastRenderedPageBreak/>
              <w:t>Elle a aussi participé à la table ronde consacrée à la plate</w:t>
            </w:r>
            <w:r w:rsidR="001800B7" w:rsidRPr="001800B7">
              <w:rPr>
                <w:szCs w:val="22"/>
              </w:rPr>
              <w:noBreakHyphen/>
            </w:r>
            <w:r w:rsidRPr="001800B7">
              <w:rPr>
                <w:szCs w:val="22"/>
              </w:rPr>
              <w:t>forme Global South</w:t>
            </w:r>
            <w:r w:rsidR="001800B7" w:rsidRPr="001800B7">
              <w:rPr>
                <w:szCs w:val="22"/>
              </w:rPr>
              <w:noBreakHyphen/>
            </w:r>
            <w:r w:rsidRPr="001800B7">
              <w:rPr>
                <w:szCs w:val="22"/>
              </w:rPr>
              <w:t xml:space="preserve">South </w:t>
            </w:r>
            <w:proofErr w:type="spellStart"/>
            <w:r w:rsidRPr="001800B7">
              <w:rPr>
                <w:szCs w:val="22"/>
              </w:rPr>
              <w:t>Assets</w:t>
            </w:r>
            <w:proofErr w:type="spellEnd"/>
            <w:r w:rsidRPr="001800B7">
              <w:rPr>
                <w:szCs w:val="22"/>
              </w:rPr>
              <w:t xml:space="preserve"> and </w:t>
            </w:r>
            <w:proofErr w:type="spellStart"/>
            <w:r w:rsidRPr="001800B7">
              <w:rPr>
                <w:szCs w:val="22"/>
              </w:rPr>
              <w:t>Technology</w:t>
            </w:r>
            <w:proofErr w:type="spellEnd"/>
            <w:r w:rsidRPr="001800B7">
              <w:rPr>
                <w:szCs w:val="22"/>
              </w:rPr>
              <w:t xml:space="preserve"> Exchange (SS</w:t>
            </w:r>
            <w:r w:rsidR="001800B7" w:rsidRPr="001800B7">
              <w:rPr>
                <w:szCs w:val="22"/>
              </w:rPr>
              <w:noBreakHyphen/>
            </w:r>
            <w:r w:rsidRPr="001800B7">
              <w:rPr>
                <w:szCs w:val="22"/>
              </w:rPr>
              <w:t>GATE), au cours de laquelle elle a présenté la plate</w:t>
            </w:r>
            <w:r w:rsidR="001800B7" w:rsidRPr="001800B7">
              <w:rPr>
                <w:szCs w:val="22"/>
              </w:rPr>
              <w:noBreakHyphen/>
            </w:r>
            <w:r w:rsidRPr="001800B7">
              <w:rPr>
                <w:szCs w:val="22"/>
              </w:rPr>
              <w:t>forme WIPO GREEN.  Cette table ronde a aussi permis aux deux organismes d</w:t>
            </w:r>
            <w:r w:rsidR="005311D6" w:rsidRPr="001800B7">
              <w:rPr>
                <w:szCs w:val="22"/>
              </w:rPr>
              <w:t>’</w:t>
            </w:r>
            <w:r w:rsidRPr="001800B7">
              <w:rPr>
                <w:szCs w:val="22"/>
              </w:rPr>
              <w:t>officialiser le lien institutionnel qui les unit en échangeant des lettres, dans lesquelles ils insistent sur leur intention commune de favoriser le transfert des technologies vertes et des services d</w:t>
            </w:r>
            <w:r w:rsidR="005311D6" w:rsidRPr="001800B7">
              <w:rPr>
                <w:szCs w:val="22"/>
              </w:rPr>
              <w:t>’</w:t>
            </w:r>
            <w:r w:rsidRPr="001800B7">
              <w:rPr>
                <w:szCs w:val="22"/>
              </w:rPr>
              <w:t>appui, le partage de solutions et des meilleures pratiques et la fourniture d</w:t>
            </w:r>
            <w:r w:rsidR="005311D6" w:rsidRPr="001800B7">
              <w:rPr>
                <w:szCs w:val="22"/>
              </w:rPr>
              <w:t>’</w:t>
            </w:r>
            <w:r w:rsidRPr="001800B7">
              <w:rPr>
                <w:szCs w:val="22"/>
              </w:rPr>
              <w:t>avis d</w:t>
            </w:r>
            <w:r w:rsidR="005311D6" w:rsidRPr="001800B7">
              <w:rPr>
                <w:szCs w:val="22"/>
              </w:rPr>
              <w:t>’</w:t>
            </w:r>
            <w:r w:rsidRPr="001800B7">
              <w:rPr>
                <w:szCs w:val="22"/>
              </w:rPr>
              <w:t>experts sur la propriété intellectuelle dans le contexte des technologies vertes.</w:t>
            </w:r>
          </w:p>
          <w:p w:rsidR="00F30D9D" w:rsidRPr="001800B7" w:rsidRDefault="00F30D9D" w:rsidP="00F30D9D">
            <w:pPr>
              <w:pStyle w:val="ONUME"/>
              <w:spacing w:before="120" w:after="120"/>
              <w:rPr>
                <w:szCs w:val="22"/>
                <w:lang w:eastAsia="en-US"/>
              </w:rPr>
            </w:pPr>
            <w:r w:rsidRPr="001800B7">
              <w:rPr>
                <w:szCs w:val="22"/>
                <w:lang w:eastAsia="en-US"/>
              </w:rPr>
              <w:t>Conformément au calendrier d</w:t>
            </w:r>
            <w:r w:rsidR="005311D6" w:rsidRPr="001800B7">
              <w:rPr>
                <w:szCs w:val="22"/>
                <w:lang w:eastAsia="en-US"/>
              </w:rPr>
              <w:t>’</w:t>
            </w:r>
            <w:r w:rsidRPr="001800B7">
              <w:rPr>
                <w:szCs w:val="22"/>
                <w:lang w:eastAsia="en-US"/>
              </w:rPr>
              <w:t>examen du projet, celui</w:t>
            </w:r>
            <w:r w:rsidR="001800B7" w:rsidRPr="001800B7">
              <w:rPr>
                <w:szCs w:val="22"/>
                <w:lang w:eastAsia="en-US"/>
              </w:rPr>
              <w:noBreakHyphen/>
            </w:r>
            <w:r w:rsidRPr="001800B7">
              <w:rPr>
                <w:szCs w:val="22"/>
                <w:lang w:eastAsia="en-US"/>
              </w:rPr>
              <w:t>ci a été évalué par deux évaluateurs externes entre janvier et mars 2014, en coordination avec la Division de la coordination du Plan d</w:t>
            </w:r>
            <w:r w:rsidR="005311D6" w:rsidRPr="001800B7">
              <w:rPr>
                <w:szCs w:val="22"/>
                <w:lang w:eastAsia="en-US"/>
              </w:rPr>
              <w:t>’</w:t>
            </w:r>
            <w:r w:rsidRPr="001800B7">
              <w:rPr>
                <w:szCs w:val="22"/>
                <w:lang w:eastAsia="en-US"/>
              </w:rPr>
              <w:t>action pour le développement.  Le rapport final de l</w:t>
            </w:r>
            <w:r w:rsidR="005311D6" w:rsidRPr="001800B7">
              <w:rPr>
                <w:szCs w:val="22"/>
                <w:lang w:eastAsia="en-US"/>
              </w:rPr>
              <w:t>’</w:t>
            </w:r>
            <w:r w:rsidRPr="001800B7">
              <w:rPr>
                <w:szCs w:val="22"/>
                <w:lang w:eastAsia="en-US"/>
              </w:rPr>
              <w:t>évaluation indépendante, qui a été présenté aux États membres lors de la treizième session du CDIP, contient plusieurs recommandations, notamment celle, adoptée par les États membres, de prolonger le projet d</w:t>
            </w:r>
            <w:r w:rsidR="005311D6" w:rsidRPr="001800B7">
              <w:rPr>
                <w:szCs w:val="22"/>
                <w:lang w:eastAsia="en-US"/>
              </w:rPr>
              <w:t>’</w:t>
            </w:r>
            <w:r w:rsidRPr="001800B7">
              <w:rPr>
                <w:szCs w:val="22"/>
                <w:lang w:eastAsia="en-US"/>
              </w:rPr>
              <w:t>un an afin d</w:t>
            </w:r>
            <w:r w:rsidR="005311D6" w:rsidRPr="001800B7">
              <w:rPr>
                <w:szCs w:val="22"/>
                <w:lang w:eastAsia="en-US"/>
              </w:rPr>
              <w:t>’</w:t>
            </w:r>
            <w:r w:rsidRPr="001800B7">
              <w:rPr>
                <w:szCs w:val="22"/>
                <w:lang w:eastAsia="en-US"/>
              </w:rPr>
              <w:t>affiner tous les instruments en ligne, de les faire mieux connaître auprès des utilisateurs et d</w:t>
            </w:r>
            <w:r w:rsidR="005311D6" w:rsidRPr="001800B7">
              <w:rPr>
                <w:szCs w:val="22"/>
                <w:lang w:eastAsia="en-US"/>
              </w:rPr>
              <w:t>’</w:t>
            </w:r>
            <w:r w:rsidRPr="001800B7">
              <w:rPr>
                <w:szCs w:val="22"/>
                <w:lang w:eastAsia="en-US"/>
              </w:rPr>
              <w:t>assurer leur mise à jour par la collecte d</w:t>
            </w:r>
            <w:r w:rsidR="005311D6" w:rsidRPr="001800B7">
              <w:rPr>
                <w:szCs w:val="22"/>
                <w:lang w:eastAsia="en-US"/>
              </w:rPr>
              <w:t>’</w:t>
            </w:r>
            <w:r w:rsidRPr="001800B7">
              <w:rPr>
                <w:szCs w:val="22"/>
                <w:lang w:eastAsia="en-US"/>
              </w:rPr>
              <w:t>informations supplémentaires.  Le rapport complet de l</w:t>
            </w:r>
            <w:r w:rsidR="005311D6" w:rsidRPr="001800B7">
              <w:rPr>
                <w:szCs w:val="22"/>
                <w:lang w:eastAsia="en-US"/>
              </w:rPr>
              <w:t>’</w:t>
            </w:r>
            <w:r w:rsidRPr="001800B7">
              <w:rPr>
                <w:szCs w:val="22"/>
                <w:lang w:eastAsia="en-US"/>
              </w:rPr>
              <w:t>évaluation peut être consulté à l</w:t>
            </w:r>
            <w:r w:rsidR="005311D6" w:rsidRPr="001800B7">
              <w:rPr>
                <w:szCs w:val="22"/>
                <w:lang w:eastAsia="en-US"/>
              </w:rPr>
              <w:t>’</w:t>
            </w:r>
            <w:r w:rsidRPr="001800B7">
              <w:rPr>
                <w:szCs w:val="22"/>
                <w:lang w:eastAsia="en-US"/>
              </w:rPr>
              <w:t xml:space="preserve">adresse suivante : </w:t>
            </w:r>
            <w:hyperlink r:id="rId50" w:history="1">
              <w:r w:rsidRPr="001800B7">
                <w:rPr>
                  <w:rStyle w:val="Hyperlink"/>
                  <w:rFonts w:eastAsia="Times New Roman"/>
                  <w:color w:val="auto"/>
                  <w:szCs w:val="22"/>
                  <w:lang w:eastAsia="en-US"/>
                </w:rPr>
                <w:t>http://www.wipo.int/meetings/en/doc_details.jsp?doc_id=268822</w:t>
              </w:r>
            </w:hyperlink>
            <w:r w:rsidRPr="001800B7">
              <w:rPr>
                <w:rFonts w:eastAsia="Times New Roman"/>
                <w:szCs w:val="22"/>
                <w:lang w:eastAsia="en-US"/>
              </w:rPr>
              <w:t>.</w:t>
            </w:r>
          </w:p>
          <w:p w:rsidR="00F30D9D" w:rsidRPr="001800B7" w:rsidRDefault="00F30D9D" w:rsidP="0010628F">
            <w:pPr>
              <w:numPr>
                <w:ilvl w:val="0"/>
                <w:numId w:val="2"/>
              </w:numPr>
              <w:spacing w:before="120" w:after="120"/>
              <w:rPr>
                <w:rFonts w:eastAsia="Times New Roman"/>
                <w:szCs w:val="22"/>
                <w:lang w:eastAsia="en-US"/>
              </w:rPr>
            </w:pPr>
            <w:r w:rsidRPr="001800B7">
              <w:rPr>
                <w:rFonts w:eastAsia="Times New Roman"/>
                <w:szCs w:val="22"/>
                <w:lang w:eastAsia="en-US"/>
              </w:rPr>
              <w:t>Durant la période considérée, compte tenu des recommandations formulées dans le rapport d</w:t>
            </w:r>
            <w:r w:rsidR="005311D6" w:rsidRPr="001800B7">
              <w:rPr>
                <w:rFonts w:eastAsia="Times New Roman"/>
                <w:szCs w:val="22"/>
                <w:lang w:eastAsia="en-US"/>
              </w:rPr>
              <w:t>’</w:t>
            </w:r>
            <w:r w:rsidRPr="001800B7">
              <w:rPr>
                <w:rFonts w:eastAsia="Times New Roman"/>
                <w:szCs w:val="22"/>
                <w:lang w:eastAsia="en-US"/>
              </w:rPr>
              <w:t>évaluation du projet et de la nécessité, plus particulièrement, d</w:t>
            </w:r>
            <w:r w:rsidR="005311D6" w:rsidRPr="001800B7">
              <w:rPr>
                <w:rFonts w:eastAsia="Times New Roman"/>
                <w:szCs w:val="22"/>
                <w:lang w:eastAsia="en-US"/>
              </w:rPr>
              <w:t>’</w:t>
            </w:r>
            <w:r w:rsidRPr="001800B7">
              <w:rPr>
                <w:rFonts w:eastAsia="Times New Roman"/>
                <w:szCs w:val="22"/>
                <w:lang w:eastAsia="en-US"/>
              </w:rPr>
              <w:t>affiner les instruments en ligne sur la base des avis émis par les utilisateurs et de promouvoir la plate</w:t>
            </w:r>
            <w:r w:rsidR="001800B7" w:rsidRPr="001800B7">
              <w:rPr>
                <w:rFonts w:eastAsia="Times New Roman"/>
                <w:szCs w:val="22"/>
                <w:lang w:eastAsia="en-US"/>
              </w:rPr>
              <w:noBreakHyphen/>
            </w:r>
            <w:r w:rsidRPr="001800B7">
              <w:rPr>
                <w:rFonts w:eastAsia="Times New Roman"/>
                <w:szCs w:val="22"/>
                <w:lang w:eastAsia="en-US"/>
              </w:rPr>
              <w:t>forme Sud</w:t>
            </w:r>
            <w:r w:rsidR="001800B7" w:rsidRPr="001800B7">
              <w:rPr>
                <w:rFonts w:eastAsia="Times New Roman"/>
                <w:szCs w:val="22"/>
                <w:lang w:eastAsia="en-US"/>
              </w:rPr>
              <w:noBreakHyphen/>
            </w:r>
            <w:r w:rsidRPr="001800B7">
              <w:rPr>
                <w:rFonts w:eastAsia="Times New Roman"/>
                <w:szCs w:val="22"/>
                <w:lang w:eastAsia="en-US"/>
              </w:rPr>
              <w:t>Sud auprès des utilisateurs, le Secrétariat a élaboré une enquête en ligne, disponible en anglais, en français et en espagnol, pour recueillir les avis des utilisateurs de la plate</w:t>
            </w:r>
            <w:r w:rsidR="001800B7" w:rsidRPr="001800B7">
              <w:rPr>
                <w:rFonts w:eastAsia="Times New Roman"/>
                <w:szCs w:val="22"/>
                <w:lang w:eastAsia="en-US"/>
              </w:rPr>
              <w:noBreakHyphen/>
            </w:r>
            <w:r w:rsidRPr="001800B7">
              <w:rPr>
                <w:rFonts w:eastAsia="Times New Roman"/>
                <w:szCs w:val="22"/>
                <w:lang w:eastAsia="en-US"/>
              </w:rPr>
              <w:t>forme et contribuer à recenser les lacunes et/ou les besoins en termes de contenu, de fonctionnalités et de ressources en ligne supplémentaires concernant la coopération Sud</w:t>
            </w:r>
            <w:r w:rsidR="001800B7" w:rsidRPr="001800B7">
              <w:rPr>
                <w:rFonts w:eastAsia="Times New Roman"/>
                <w:szCs w:val="22"/>
                <w:lang w:eastAsia="en-US"/>
              </w:rPr>
              <w:noBreakHyphen/>
            </w:r>
            <w:r w:rsidRPr="001800B7">
              <w:rPr>
                <w:rFonts w:eastAsia="Times New Roman"/>
                <w:szCs w:val="22"/>
                <w:lang w:eastAsia="en-US"/>
              </w:rPr>
              <w:t>Sud dans le domaine de la propriété intellectuelle.  Aux fins de sensibilisation et de diffusion, le Secrétariat a par ailleurs organisé, comme indiqué au paragraphe 2 ci</w:t>
            </w:r>
            <w:r w:rsidR="001800B7" w:rsidRPr="001800B7">
              <w:rPr>
                <w:rFonts w:eastAsia="Times New Roman"/>
                <w:szCs w:val="22"/>
                <w:lang w:eastAsia="en-US"/>
              </w:rPr>
              <w:noBreakHyphen/>
            </w:r>
            <w:r w:rsidRPr="001800B7">
              <w:rPr>
                <w:rFonts w:eastAsia="Times New Roman"/>
                <w:szCs w:val="22"/>
                <w:lang w:eastAsia="en-US"/>
              </w:rPr>
              <w:t>dessus, une manifestation parallèle en marge de la treizième session du CDIP pour lancer officiellement la plate</w:t>
            </w:r>
            <w:r w:rsidR="001800B7" w:rsidRPr="001800B7">
              <w:rPr>
                <w:rFonts w:eastAsia="Times New Roman"/>
                <w:szCs w:val="22"/>
                <w:lang w:eastAsia="en-US"/>
              </w:rPr>
              <w:noBreakHyphen/>
            </w:r>
            <w:r w:rsidRPr="001800B7">
              <w:rPr>
                <w:rFonts w:eastAsia="Times New Roman"/>
                <w:szCs w:val="22"/>
                <w:lang w:eastAsia="en-US"/>
              </w:rPr>
              <w:t>forme en ligne et en présenter la structure générale ainsi que le contenu et les outils que l</w:t>
            </w:r>
            <w:r w:rsidR="005311D6" w:rsidRPr="001800B7">
              <w:rPr>
                <w:rFonts w:eastAsia="Times New Roman"/>
                <w:szCs w:val="22"/>
                <w:lang w:eastAsia="en-US"/>
              </w:rPr>
              <w:t>’</w:t>
            </w:r>
            <w:r w:rsidRPr="001800B7">
              <w:rPr>
                <w:rFonts w:eastAsia="Times New Roman"/>
                <w:szCs w:val="22"/>
                <w:lang w:eastAsia="en-US"/>
              </w:rPr>
              <w:t>on peut y trouver.  Enfin, le Secrétariat a continué à recueillir, à analyser et à compiler les informations fournies par les États membres sur les initiatives nationales et régionales de coopération Sud</w:t>
            </w:r>
            <w:r w:rsidR="001800B7" w:rsidRPr="001800B7">
              <w:rPr>
                <w:rFonts w:eastAsia="Times New Roman"/>
                <w:szCs w:val="22"/>
                <w:lang w:eastAsia="en-US"/>
              </w:rPr>
              <w:noBreakHyphen/>
            </w:r>
            <w:r w:rsidRPr="001800B7">
              <w:rPr>
                <w:rFonts w:eastAsia="Times New Roman"/>
                <w:szCs w:val="22"/>
                <w:lang w:eastAsia="en-US"/>
              </w:rPr>
              <w:t>Sud dans le domaine de la propriété intellectuelle, en vue de les présenter sur la plate</w:t>
            </w:r>
            <w:r w:rsidR="001800B7" w:rsidRPr="001800B7">
              <w:rPr>
                <w:rFonts w:eastAsia="Times New Roman"/>
                <w:szCs w:val="22"/>
                <w:lang w:eastAsia="en-US"/>
              </w:rPr>
              <w:noBreakHyphen/>
            </w:r>
            <w:r w:rsidRPr="001800B7">
              <w:rPr>
                <w:rFonts w:eastAsia="Times New Roman"/>
                <w:szCs w:val="22"/>
                <w:lang w:eastAsia="en-US"/>
              </w:rPr>
              <w:t>forme.</w:t>
            </w:r>
          </w:p>
        </w:tc>
      </w:tr>
      <w:tr w:rsidR="001800B7" w:rsidRPr="001800B7" w:rsidTr="00F30D9D">
        <w:tc>
          <w:tcPr>
            <w:tcW w:w="2235" w:type="dxa"/>
            <w:shd w:val="clear" w:color="auto" w:fill="auto"/>
          </w:tcPr>
          <w:p w:rsidR="00F30D9D" w:rsidRPr="001800B7" w:rsidRDefault="00F30D9D" w:rsidP="00F30D9D">
            <w:pPr>
              <w:spacing w:before="120" w:after="120"/>
              <w:outlineLvl w:val="2"/>
              <w:rPr>
                <w:rFonts w:eastAsia="Times New Roman"/>
                <w:i/>
                <w:szCs w:val="22"/>
                <w:lang w:eastAsia="en-US"/>
              </w:rPr>
            </w:pPr>
            <w:r w:rsidRPr="001800B7">
              <w:rPr>
                <w:bCs/>
                <w:szCs w:val="22"/>
                <w:u w:val="single"/>
                <w:lang w:eastAsia="en-US"/>
              </w:rPr>
              <w:lastRenderedPageBreak/>
              <w:t>Exemples de succès ou d</w:t>
            </w:r>
            <w:r w:rsidR="005311D6" w:rsidRPr="001800B7">
              <w:rPr>
                <w:bCs/>
                <w:szCs w:val="22"/>
                <w:u w:val="single"/>
                <w:lang w:eastAsia="en-US"/>
              </w:rPr>
              <w:t>’</w:t>
            </w:r>
            <w:r w:rsidRPr="001800B7">
              <w:rPr>
                <w:bCs/>
                <w:szCs w:val="22"/>
                <w:u w:val="single"/>
                <w:lang w:eastAsia="en-US"/>
              </w:rPr>
              <w:t>effets positifs et principaux enseignements</w:t>
            </w:r>
          </w:p>
        </w:tc>
        <w:tc>
          <w:tcPr>
            <w:tcW w:w="7266" w:type="dxa"/>
            <w:vAlign w:val="center"/>
          </w:tcPr>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Le rapport de l</w:t>
            </w:r>
            <w:r w:rsidR="005311D6" w:rsidRPr="001800B7">
              <w:rPr>
                <w:rFonts w:eastAsia="Times New Roman"/>
                <w:szCs w:val="22"/>
                <w:lang w:eastAsia="en-US"/>
              </w:rPr>
              <w:t>’</w:t>
            </w:r>
            <w:r w:rsidRPr="001800B7">
              <w:rPr>
                <w:rFonts w:eastAsia="Times New Roman"/>
                <w:szCs w:val="22"/>
                <w:lang w:eastAsia="en-US"/>
              </w:rPr>
              <w:t>évaluation indépendante et les conclusions de celui</w:t>
            </w:r>
            <w:r w:rsidR="001800B7" w:rsidRPr="001800B7">
              <w:rPr>
                <w:rFonts w:eastAsia="Times New Roman"/>
                <w:szCs w:val="22"/>
                <w:lang w:eastAsia="en-US"/>
              </w:rPr>
              <w:noBreakHyphen/>
            </w:r>
            <w:r w:rsidRPr="001800B7">
              <w:rPr>
                <w:rFonts w:eastAsia="Times New Roman"/>
                <w:szCs w:val="22"/>
                <w:lang w:eastAsia="en-US"/>
              </w:rPr>
              <w:t>ci indiquent que le projet a présenté beaucoup d</w:t>
            </w:r>
            <w:r w:rsidR="005311D6" w:rsidRPr="001800B7">
              <w:rPr>
                <w:rFonts w:eastAsia="Times New Roman"/>
                <w:szCs w:val="22"/>
                <w:lang w:eastAsia="en-US"/>
              </w:rPr>
              <w:t>’</w:t>
            </w:r>
            <w:r w:rsidRPr="001800B7">
              <w:rPr>
                <w:rFonts w:eastAsia="Times New Roman"/>
                <w:szCs w:val="22"/>
                <w:lang w:eastAsia="en-US"/>
              </w:rPr>
              <w:t>intérêt pour les États membres et les bénéficiaires directs et a aidé le Secrétariat et les États membres à mieux comprendre la valeur ajoutée qu</w:t>
            </w:r>
            <w:r w:rsidR="005311D6" w:rsidRPr="001800B7">
              <w:rPr>
                <w:rFonts w:eastAsia="Times New Roman"/>
                <w:szCs w:val="22"/>
                <w:lang w:eastAsia="en-US"/>
              </w:rPr>
              <w:t>’</w:t>
            </w:r>
            <w:r w:rsidRPr="001800B7">
              <w:rPr>
                <w:rFonts w:eastAsia="Times New Roman"/>
                <w:szCs w:val="22"/>
                <w:lang w:eastAsia="en-US"/>
              </w:rPr>
              <w:t>apporte la coopération Sud</w:t>
            </w:r>
            <w:r w:rsidR="001800B7" w:rsidRPr="001800B7">
              <w:rPr>
                <w:rFonts w:eastAsia="Times New Roman"/>
                <w:szCs w:val="22"/>
                <w:lang w:eastAsia="en-US"/>
              </w:rPr>
              <w:noBreakHyphen/>
            </w:r>
            <w:r w:rsidRPr="001800B7">
              <w:rPr>
                <w:rFonts w:eastAsia="Times New Roman"/>
                <w:szCs w:val="22"/>
                <w:lang w:eastAsia="en-US"/>
              </w:rPr>
              <w:t>Sud dans le domaine de la propriété intellectuelle.  Les enquêtes qui ont été menées dans le cadre du projet et que les évaluateurs ont validées au moyen d</w:t>
            </w:r>
            <w:r w:rsidR="005311D6" w:rsidRPr="001800B7">
              <w:rPr>
                <w:rFonts w:eastAsia="Times New Roman"/>
                <w:szCs w:val="22"/>
                <w:lang w:eastAsia="en-US"/>
              </w:rPr>
              <w:t>’</w:t>
            </w:r>
            <w:r w:rsidRPr="001800B7">
              <w:rPr>
                <w:rFonts w:eastAsia="Times New Roman"/>
                <w:szCs w:val="22"/>
                <w:lang w:eastAsia="en-US"/>
              </w:rPr>
              <w:t>entretiens approfondis avec certains participants ont confirmé le grand intérêt des réunions interrégionales et des conférences annuelles sur la coopération Sud</w:t>
            </w:r>
            <w:r w:rsidR="001800B7" w:rsidRPr="001800B7">
              <w:rPr>
                <w:rFonts w:eastAsia="Times New Roman"/>
                <w:szCs w:val="22"/>
                <w:lang w:eastAsia="en-US"/>
              </w:rPr>
              <w:noBreakHyphen/>
            </w:r>
            <w:r w:rsidRPr="001800B7">
              <w:rPr>
                <w:rFonts w:eastAsia="Times New Roman"/>
                <w:szCs w:val="22"/>
                <w:lang w:eastAsia="en-US"/>
              </w:rPr>
              <w:t>Sud, ainsi que la forte valeur ajoutée que pourraient apporter les outils en ligne pour l</w:t>
            </w:r>
            <w:r w:rsidR="005311D6" w:rsidRPr="001800B7">
              <w:rPr>
                <w:rFonts w:eastAsia="Times New Roman"/>
                <w:szCs w:val="22"/>
                <w:lang w:eastAsia="en-US"/>
              </w:rPr>
              <w:t>’</w:t>
            </w:r>
            <w:r w:rsidRPr="001800B7">
              <w:rPr>
                <w:rFonts w:eastAsia="Times New Roman"/>
                <w:szCs w:val="22"/>
                <w:lang w:eastAsia="en-US"/>
              </w:rPr>
              <w:t>échange d</w:t>
            </w:r>
            <w:r w:rsidR="005311D6" w:rsidRPr="001800B7">
              <w:rPr>
                <w:rFonts w:eastAsia="Times New Roman"/>
                <w:szCs w:val="22"/>
                <w:lang w:eastAsia="en-US"/>
              </w:rPr>
              <w:t>’</w:t>
            </w:r>
            <w:r w:rsidRPr="001800B7">
              <w:rPr>
                <w:rFonts w:eastAsia="Times New Roman"/>
                <w:szCs w:val="22"/>
                <w:lang w:eastAsia="en-US"/>
              </w:rPr>
              <w:t>informations et l</w:t>
            </w:r>
            <w:r w:rsidR="005311D6" w:rsidRPr="001800B7">
              <w:rPr>
                <w:rFonts w:eastAsia="Times New Roman"/>
                <w:szCs w:val="22"/>
                <w:lang w:eastAsia="en-US"/>
              </w:rPr>
              <w:t>’</w:t>
            </w:r>
            <w:r w:rsidRPr="001800B7">
              <w:rPr>
                <w:rFonts w:eastAsia="Times New Roman"/>
                <w:szCs w:val="22"/>
                <w:lang w:eastAsia="en-US"/>
              </w:rPr>
              <w:t>accès aux connaissances.</w:t>
            </w:r>
          </w:p>
        </w:tc>
      </w:tr>
      <w:tr w:rsidR="001800B7" w:rsidRPr="001800B7" w:rsidTr="00F30D9D">
        <w:tc>
          <w:tcPr>
            <w:tcW w:w="2235" w:type="dxa"/>
            <w:shd w:val="clear" w:color="auto" w:fill="auto"/>
          </w:tcPr>
          <w:p w:rsidR="00F30D9D" w:rsidRPr="001800B7" w:rsidRDefault="00F30D9D" w:rsidP="00F30D9D">
            <w:pPr>
              <w:spacing w:before="120" w:after="120"/>
              <w:outlineLvl w:val="2"/>
              <w:rPr>
                <w:rFonts w:eastAsia="Times New Roman"/>
                <w:i/>
                <w:szCs w:val="22"/>
                <w:lang w:eastAsia="en-US"/>
              </w:rPr>
            </w:pPr>
            <w:r w:rsidRPr="001800B7">
              <w:rPr>
                <w:bCs/>
                <w:szCs w:val="22"/>
                <w:u w:val="single"/>
                <w:lang w:eastAsia="en-US"/>
              </w:rPr>
              <w:lastRenderedPageBreak/>
              <w:t>Risques et atténuation des risques</w:t>
            </w:r>
          </w:p>
        </w:tc>
        <w:tc>
          <w:tcPr>
            <w:tcW w:w="7266" w:type="dxa"/>
          </w:tcPr>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Risque : utilisation insuffisante de la plate</w:t>
            </w:r>
            <w:r w:rsidR="001800B7" w:rsidRPr="001800B7">
              <w:rPr>
                <w:rFonts w:eastAsia="Times New Roman"/>
                <w:szCs w:val="22"/>
                <w:lang w:eastAsia="en-US"/>
              </w:rPr>
              <w:noBreakHyphen/>
            </w:r>
            <w:r w:rsidRPr="001800B7">
              <w:rPr>
                <w:rFonts w:eastAsia="Times New Roman"/>
                <w:szCs w:val="22"/>
                <w:lang w:eastAsia="en-US"/>
              </w:rPr>
              <w:t>forme en ligne consacrée à la coopération Sud</w:t>
            </w:r>
            <w:r w:rsidR="001800B7" w:rsidRPr="001800B7">
              <w:rPr>
                <w:rFonts w:eastAsia="Times New Roman"/>
                <w:szCs w:val="22"/>
                <w:lang w:eastAsia="en-US"/>
              </w:rPr>
              <w:noBreakHyphen/>
            </w:r>
            <w:r w:rsidRPr="001800B7">
              <w:rPr>
                <w:rFonts w:eastAsia="Times New Roman"/>
                <w:szCs w:val="22"/>
                <w:lang w:eastAsia="en-US"/>
              </w:rPr>
              <w:t>Sud et des outils et bases de données en ligne.</w:t>
            </w:r>
          </w:p>
          <w:p w:rsidR="00F30D9D" w:rsidRPr="001800B7" w:rsidRDefault="00F30D9D" w:rsidP="00F30D9D">
            <w:pPr>
              <w:spacing w:before="120" w:after="120"/>
              <w:rPr>
                <w:rFonts w:eastAsia="Times New Roman"/>
                <w:iCs/>
                <w:szCs w:val="22"/>
                <w:lang w:eastAsia="en-US"/>
              </w:rPr>
            </w:pPr>
            <w:r w:rsidRPr="001800B7">
              <w:rPr>
                <w:rFonts w:eastAsia="Times New Roman"/>
                <w:szCs w:val="22"/>
                <w:lang w:eastAsia="en-US"/>
              </w:rPr>
              <w:t>Atténuation : on s</w:t>
            </w:r>
            <w:r w:rsidR="005311D6" w:rsidRPr="001800B7">
              <w:rPr>
                <w:rFonts w:eastAsia="Times New Roman"/>
                <w:szCs w:val="22"/>
                <w:lang w:eastAsia="en-US"/>
              </w:rPr>
              <w:t>’</w:t>
            </w:r>
            <w:r w:rsidRPr="001800B7">
              <w:rPr>
                <w:rFonts w:eastAsia="Times New Roman"/>
                <w:szCs w:val="22"/>
                <w:lang w:eastAsia="en-US"/>
              </w:rPr>
              <w:t>attaquera à ce risque en faisant connaître davantage la nouvelle plate</w:t>
            </w:r>
            <w:r w:rsidR="001800B7" w:rsidRPr="001800B7">
              <w:rPr>
                <w:rFonts w:eastAsia="Times New Roman"/>
                <w:szCs w:val="22"/>
                <w:lang w:eastAsia="en-US"/>
              </w:rPr>
              <w:noBreakHyphen/>
            </w:r>
            <w:r w:rsidRPr="001800B7">
              <w:rPr>
                <w:rFonts w:eastAsia="Times New Roman"/>
                <w:szCs w:val="22"/>
                <w:lang w:eastAsia="en-US"/>
              </w:rPr>
              <w:t>forme et les nouveaux outils en ligne aux parties prenantes intéressées.</w:t>
            </w:r>
          </w:p>
        </w:tc>
      </w:tr>
      <w:tr w:rsidR="001800B7" w:rsidRPr="001800B7" w:rsidTr="00F30D9D">
        <w:tc>
          <w:tcPr>
            <w:tcW w:w="2235" w:type="dxa"/>
            <w:shd w:val="clear" w:color="auto" w:fill="auto"/>
          </w:tcPr>
          <w:p w:rsidR="00F30D9D" w:rsidRPr="001800B7" w:rsidRDefault="00F30D9D" w:rsidP="00F30D9D">
            <w:pPr>
              <w:spacing w:before="120" w:after="120"/>
              <w:outlineLvl w:val="2"/>
              <w:rPr>
                <w:rFonts w:eastAsia="Times New Roman"/>
                <w:szCs w:val="22"/>
                <w:lang w:eastAsia="en-US"/>
              </w:rPr>
            </w:pPr>
            <w:r w:rsidRPr="001800B7">
              <w:rPr>
                <w:bCs/>
                <w:szCs w:val="22"/>
                <w:u w:val="single"/>
                <w:lang w:eastAsia="en-US"/>
              </w:rPr>
              <w:t>Questions appelant des mesures ou une attention immédiates</w:t>
            </w:r>
          </w:p>
        </w:tc>
        <w:tc>
          <w:tcPr>
            <w:tcW w:w="7266" w:type="dxa"/>
          </w:tcPr>
          <w:p w:rsidR="00F30D9D" w:rsidRPr="001800B7" w:rsidRDefault="00F30D9D" w:rsidP="00F30D9D">
            <w:pPr>
              <w:spacing w:before="120" w:after="120"/>
              <w:rPr>
                <w:rFonts w:eastAsia="Times New Roman"/>
                <w:iCs/>
                <w:szCs w:val="22"/>
                <w:lang w:eastAsia="en-US"/>
              </w:rPr>
            </w:pPr>
            <w:r w:rsidRPr="001800B7">
              <w:rPr>
                <w:rFonts w:eastAsia="Times New Roman"/>
                <w:iCs/>
                <w:szCs w:val="22"/>
                <w:lang w:eastAsia="en-US"/>
              </w:rPr>
              <w:t>N.D.</w:t>
            </w:r>
          </w:p>
        </w:tc>
      </w:tr>
      <w:tr w:rsidR="001800B7" w:rsidRPr="001800B7" w:rsidTr="00F30D9D">
        <w:tc>
          <w:tcPr>
            <w:tcW w:w="2235" w:type="dxa"/>
            <w:shd w:val="clear" w:color="auto" w:fill="auto"/>
          </w:tcPr>
          <w:p w:rsidR="00F30D9D" w:rsidRPr="001800B7" w:rsidRDefault="00F30D9D" w:rsidP="00F30D9D">
            <w:pPr>
              <w:spacing w:before="120" w:after="120"/>
              <w:outlineLvl w:val="2"/>
              <w:rPr>
                <w:rFonts w:eastAsia="Times New Roman"/>
                <w:i/>
                <w:szCs w:val="22"/>
                <w:lang w:eastAsia="en-US"/>
              </w:rPr>
            </w:pPr>
            <w:r w:rsidRPr="001800B7">
              <w:rPr>
                <w:bCs/>
                <w:szCs w:val="22"/>
                <w:u w:val="single"/>
                <w:lang w:eastAsia="en-US"/>
              </w:rPr>
              <w:t>Mesures à prendre</w:t>
            </w:r>
          </w:p>
        </w:tc>
        <w:tc>
          <w:tcPr>
            <w:tcW w:w="7266" w:type="dxa"/>
          </w:tcPr>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Compte tenu des recommandations formulées dans le rapport final de l</w:t>
            </w:r>
            <w:r w:rsidR="005311D6" w:rsidRPr="001800B7">
              <w:rPr>
                <w:rFonts w:eastAsia="Times New Roman"/>
                <w:szCs w:val="22"/>
                <w:lang w:eastAsia="en-US"/>
              </w:rPr>
              <w:t>’</w:t>
            </w:r>
            <w:r w:rsidRPr="001800B7">
              <w:rPr>
                <w:rFonts w:eastAsia="Times New Roman"/>
                <w:szCs w:val="22"/>
                <w:lang w:eastAsia="en-US"/>
              </w:rPr>
              <w:t>évaluation du projet, adopté par les États membres lors de la treizième session du CDIP, il faudra entreprendre les activités ci</w:t>
            </w:r>
            <w:r w:rsidR="001800B7" w:rsidRPr="001800B7">
              <w:rPr>
                <w:rFonts w:eastAsia="Times New Roman"/>
                <w:szCs w:val="22"/>
                <w:lang w:eastAsia="en-US"/>
              </w:rPr>
              <w:noBreakHyphen/>
            </w:r>
            <w:r w:rsidRPr="001800B7">
              <w:rPr>
                <w:rFonts w:eastAsia="Times New Roman"/>
                <w:szCs w:val="22"/>
                <w:lang w:eastAsia="en-US"/>
              </w:rPr>
              <w:t>après au cours des prochains mois :</w:t>
            </w:r>
          </w:p>
          <w:p w:rsidR="00F30D9D" w:rsidRPr="001800B7" w:rsidRDefault="00F30D9D" w:rsidP="0010628F">
            <w:pPr>
              <w:pStyle w:val="ONUME"/>
              <w:numPr>
                <w:ilvl w:val="0"/>
                <w:numId w:val="31"/>
              </w:numPr>
              <w:spacing w:before="120" w:after="120"/>
              <w:rPr>
                <w:rFonts w:eastAsia="Times New Roman"/>
                <w:szCs w:val="22"/>
                <w:lang w:eastAsia="en-US"/>
              </w:rPr>
            </w:pPr>
            <w:r w:rsidRPr="001800B7">
              <w:rPr>
                <w:rFonts w:eastAsia="Times New Roman"/>
                <w:szCs w:val="22"/>
                <w:lang w:eastAsia="en-US"/>
              </w:rPr>
              <w:t>Affiner les outils en ligne sur la base des avis émis par les utilisateurs, les faire mieux connaître auprès des utilisateurs potentiels et assurer leur mise à jour, notamment en collectant des informations.</w:t>
            </w:r>
          </w:p>
          <w:p w:rsidR="00F30D9D" w:rsidRPr="001800B7" w:rsidRDefault="00F30D9D" w:rsidP="0010628F">
            <w:pPr>
              <w:numPr>
                <w:ilvl w:val="0"/>
                <w:numId w:val="7"/>
              </w:numPr>
              <w:spacing w:before="120" w:after="120"/>
              <w:rPr>
                <w:rFonts w:eastAsia="Times New Roman"/>
                <w:szCs w:val="22"/>
                <w:lang w:eastAsia="en-US"/>
              </w:rPr>
            </w:pPr>
            <w:r w:rsidRPr="001800B7">
              <w:rPr>
                <w:rFonts w:eastAsia="Times New Roman"/>
                <w:szCs w:val="22"/>
                <w:lang w:eastAsia="en-US"/>
              </w:rPr>
              <w:t>Recenser les activités existantes dans le domaine de la coopération Sud</w:t>
            </w:r>
            <w:r w:rsidR="001800B7" w:rsidRPr="001800B7">
              <w:rPr>
                <w:rFonts w:eastAsia="Times New Roman"/>
                <w:szCs w:val="22"/>
                <w:lang w:eastAsia="en-US"/>
              </w:rPr>
              <w:noBreakHyphen/>
            </w:r>
            <w:r w:rsidRPr="001800B7">
              <w:rPr>
                <w:rFonts w:eastAsia="Times New Roman"/>
                <w:szCs w:val="22"/>
                <w:lang w:eastAsia="en-US"/>
              </w:rPr>
              <w:t>Sud au sein de l</w:t>
            </w:r>
            <w:r w:rsidR="005311D6" w:rsidRPr="001800B7">
              <w:rPr>
                <w:rFonts w:eastAsia="Times New Roman"/>
                <w:szCs w:val="22"/>
                <w:lang w:eastAsia="en-US"/>
              </w:rPr>
              <w:t>’</w:t>
            </w:r>
            <w:r w:rsidRPr="001800B7">
              <w:rPr>
                <w:rFonts w:eastAsia="Times New Roman"/>
                <w:szCs w:val="22"/>
                <w:lang w:eastAsia="en-US"/>
              </w:rPr>
              <w:t xml:space="preserve">OMPI et étudier les bonnes pratiques des autres organisations du système des </w:t>
            </w:r>
            <w:r w:rsidR="005311D6" w:rsidRPr="001800B7">
              <w:rPr>
                <w:rFonts w:eastAsia="Times New Roman"/>
                <w:szCs w:val="22"/>
                <w:lang w:eastAsia="en-US"/>
              </w:rPr>
              <w:t>Nations Unies</w:t>
            </w:r>
            <w:r w:rsidRPr="001800B7">
              <w:rPr>
                <w:rFonts w:eastAsia="Times New Roman"/>
                <w:szCs w:val="22"/>
                <w:lang w:eastAsia="en-US"/>
              </w:rPr>
              <w:t>.</w:t>
            </w:r>
          </w:p>
          <w:p w:rsidR="00F30D9D" w:rsidRPr="001800B7" w:rsidRDefault="00F30D9D" w:rsidP="0010628F">
            <w:pPr>
              <w:numPr>
                <w:ilvl w:val="0"/>
                <w:numId w:val="7"/>
              </w:numPr>
              <w:spacing w:before="120" w:after="120"/>
              <w:rPr>
                <w:rFonts w:eastAsia="Times New Roman"/>
                <w:iCs/>
                <w:szCs w:val="22"/>
                <w:lang w:eastAsia="en-US"/>
              </w:rPr>
            </w:pPr>
            <w:r w:rsidRPr="001800B7">
              <w:rPr>
                <w:rFonts w:eastAsia="Times New Roman"/>
                <w:iCs/>
                <w:szCs w:val="22"/>
                <w:lang w:eastAsia="en-US"/>
              </w:rPr>
              <w:t xml:space="preserve">Le Secrétariat continuera par ailleurs de suivre les activités du système des </w:t>
            </w:r>
            <w:r w:rsidR="005311D6" w:rsidRPr="001800B7">
              <w:rPr>
                <w:rFonts w:eastAsia="Times New Roman"/>
                <w:iCs/>
                <w:szCs w:val="22"/>
                <w:lang w:eastAsia="en-US"/>
              </w:rPr>
              <w:t>Nations Unies</w:t>
            </w:r>
            <w:r w:rsidRPr="001800B7">
              <w:rPr>
                <w:rFonts w:eastAsia="Times New Roman"/>
                <w:iCs/>
                <w:szCs w:val="22"/>
                <w:lang w:eastAsia="en-US"/>
              </w:rPr>
              <w:t xml:space="preserve"> dans le domaine de la coopération Sud</w:t>
            </w:r>
            <w:r w:rsidR="001800B7" w:rsidRPr="001800B7">
              <w:rPr>
                <w:rFonts w:eastAsia="Times New Roman"/>
                <w:iCs/>
                <w:szCs w:val="22"/>
                <w:lang w:eastAsia="en-US"/>
              </w:rPr>
              <w:noBreakHyphen/>
            </w:r>
            <w:r w:rsidRPr="001800B7">
              <w:rPr>
                <w:rFonts w:eastAsia="Times New Roman"/>
                <w:iCs/>
                <w:szCs w:val="22"/>
                <w:lang w:eastAsia="en-US"/>
              </w:rPr>
              <w:t>Sud et d</w:t>
            </w:r>
            <w:r w:rsidR="005311D6" w:rsidRPr="001800B7">
              <w:rPr>
                <w:rFonts w:eastAsia="Times New Roman"/>
                <w:iCs/>
                <w:szCs w:val="22"/>
                <w:lang w:eastAsia="en-US"/>
              </w:rPr>
              <w:t>’</w:t>
            </w:r>
            <w:r w:rsidRPr="001800B7">
              <w:rPr>
                <w:rFonts w:eastAsia="Times New Roman"/>
                <w:iCs/>
                <w:szCs w:val="22"/>
                <w:lang w:eastAsia="en-US"/>
              </w:rPr>
              <w:t>assurer la coordination avec l</w:t>
            </w:r>
            <w:r w:rsidR="005311D6" w:rsidRPr="001800B7">
              <w:rPr>
                <w:rFonts w:eastAsia="Times New Roman"/>
                <w:iCs/>
                <w:szCs w:val="22"/>
                <w:lang w:eastAsia="en-US"/>
              </w:rPr>
              <w:t>’</w:t>
            </w:r>
            <w:r w:rsidRPr="001800B7">
              <w:rPr>
                <w:rFonts w:eastAsia="Times New Roman"/>
                <w:iCs/>
                <w:szCs w:val="22"/>
                <w:lang w:eastAsia="en-US"/>
              </w:rPr>
              <w:t>UNOSSC afin de garantir la pérennité des liens créés pendant le projet.</w:t>
            </w:r>
          </w:p>
          <w:p w:rsidR="00F30D9D" w:rsidRPr="001800B7" w:rsidRDefault="00F30D9D" w:rsidP="0010628F">
            <w:pPr>
              <w:numPr>
                <w:ilvl w:val="0"/>
                <w:numId w:val="7"/>
              </w:numPr>
              <w:spacing w:before="120" w:after="120"/>
              <w:rPr>
                <w:rFonts w:eastAsia="Times New Roman"/>
                <w:iCs/>
                <w:szCs w:val="22"/>
                <w:lang w:eastAsia="en-US"/>
              </w:rPr>
            </w:pPr>
            <w:r w:rsidRPr="001800B7">
              <w:rPr>
                <w:iCs/>
                <w:szCs w:val="22"/>
              </w:rPr>
              <w:t>Conformément aux recommandations formulées dans le rapport d</w:t>
            </w:r>
            <w:r w:rsidR="005311D6" w:rsidRPr="001800B7">
              <w:rPr>
                <w:iCs/>
                <w:szCs w:val="22"/>
              </w:rPr>
              <w:t>’</w:t>
            </w:r>
            <w:r w:rsidRPr="001800B7">
              <w:rPr>
                <w:iCs/>
                <w:szCs w:val="22"/>
              </w:rPr>
              <w:t>évaluation, le Secrétariat établira, pour examen par les États membres, un projet de lignes directrices concernant la prise en considération de la coopération Sud</w:t>
            </w:r>
            <w:r w:rsidR="001800B7" w:rsidRPr="001800B7">
              <w:rPr>
                <w:iCs/>
                <w:szCs w:val="22"/>
              </w:rPr>
              <w:noBreakHyphen/>
            </w:r>
            <w:r w:rsidRPr="001800B7">
              <w:rPr>
                <w:iCs/>
                <w:szCs w:val="22"/>
              </w:rPr>
              <w:t>Sud en tant que stratégie de mise en œuvre en complément des approches existantes au sein de l</w:t>
            </w:r>
            <w:r w:rsidR="005311D6" w:rsidRPr="001800B7">
              <w:rPr>
                <w:iCs/>
                <w:szCs w:val="22"/>
              </w:rPr>
              <w:t>’</w:t>
            </w:r>
            <w:r w:rsidRPr="001800B7">
              <w:rPr>
                <w:iCs/>
                <w:szCs w:val="22"/>
              </w:rPr>
              <w:t>OMPI.</w:t>
            </w:r>
          </w:p>
        </w:tc>
      </w:tr>
      <w:tr w:rsidR="001800B7" w:rsidRPr="001800B7" w:rsidTr="00F30D9D">
        <w:tc>
          <w:tcPr>
            <w:tcW w:w="2235" w:type="dxa"/>
            <w:shd w:val="clear" w:color="auto" w:fill="auto"/>
          </w:tcPr>
          <w:p w:rsidR="00F30D9D" w:rsidRPr="001800B7" w:rsidRDefault="00F30D9D" w:rsidP="00F30D9D">
            <w:pPr>
              <w:spacing w:before="120" w:after="120"/>
              <w:outlineLvl w:val="2"/>
              <w:rPr>
                <w:rFonts w:eastAsia="Times New Roman"/>
                <w:i/>
                <w:szCs w:val="22"/>
                <w:lang w:eastAsia="en-US"/>
              </w:rPr>
            </w:pPr>
            <w:r w:rsidRPr="001800B7">
              <w:rPr>
                <w:bCs/>
                <w:szCs w:val="22"/>
                <w:u w:val="single"/>
                <w:lang w:eastAsia="en-US"/>
              </w:rPr>
              <w:t>Calendrier d</w:t>
            </w:r>
            <w:r w:rsidR="005311D6" w:rsidRPr="001800B7">
              <w:rPr>
                <w:bCs/>
                <w:szCs w:val="22"/>
                <w:u w:val="single"/>
                <w:lang w:eastAsia="en-US"/>
              </w:rPr>
              <w:t>’</w:t>
            </w:r>
            <w:r w:rsidRPr="001800B7">
              <w:rPr>
                <w:bCs/>
                <w:szCs w:val="22"/>
                <w:u w:val="single"/>
                <w:lang w:eastAsia="en-US"/>
              </w:rPr>
              <w:t>exécution</w:t>
            </w:r>
          </w:p>
        </w:tc>
        <w:tc>
          <w:tcPr>
            <w:tcW w:w="7266" w:type="dxa"/>
          </w:tcPr>
          <w:p w:rsidR="00F30D9D" w:rsidRPr="001800B7" w:rsidRDefault="00F30D9D" w:rsidP="00F30D9D">
            <w:pPr>
              <w:spacing w:before="120" w:after="120"/>
              <w:rPr>
                <w:rFonts w:eastAsia="Times New Roman"/>
                <w:iCs/>
                <w:szCs w:val="22"/>
                <w:lang w:eastAsia="en-US"/>
              </w:rPr>
            </w:pPr>
            <w:r w:rsidRPr="001800B7">
              <w:rPr>
                <w:szCs w:val="22"/>
              </w:rPr>
              <w:t>Le projet a été évalué conformément au calendrier.  Comme en ont décidé les États membres lors de la treizième session du CDIP, celui</w:t>
            </w:r>
            <w:r w:rsidR="001800B7" w:rsidRPr="001800B7">
              <w:rPr>
                <w:szCs w:val="22"/>
              </w:rPr>
              <w:noBreakHyphen/>
            </w:r>
            <w:r w:rsidRPr="001800B7">
              <w:rPr>
                <w:szCs w:val="22"/>
              </w:rPr>
              <w:t>ci a décidé de prolonger d</w:t>
            </w:r>
            <w:r w:rsidR="005311D6" w:rsidRPr="001800B7">
              <w:rPr>
                <w:szCs w:val="22"/>
              </w:rPr>
              <w:t>’</w:t>
            </w:r>
            <w:r w:rsidRPr="001800B7">
              <w:rPr>
                <w:szCs w:val="22"/>
              </w:rPr>
              <w:t>une année le projet afin de mener à bien les activités en cours avec le solde disponible des fonds alloués au projet.</w:t>
            </w:r>
          </w:p>
        </w:tc>
      </w:tr>
      <w:tr w:rsidR="001800B7" w:rsidRPr="001800B7" w:rsidTr="00F30D9D">
        <w:tc>
          <w:tcPr>
            <w:tcW w:w="2235" w:type="dxa"/>
            <w:shd w:val="clear" w:color="auto" w:fill="auto"/>
          </w:tcPr>
          <w:p w:rsidR="00F30D9D" w:rsidRPr="001800B7" w:rsidRDefault="00F30D9D" w:rsidP="00F30D9D">
            <w:pPr>
              <w:spacing w:before="120" w:after="120"/>
              <w:outlineLvl w:val="2"/>
              <w:rPr>
                <w:rFonts w:eastAsia="Times New Roman"/>
                <w:i/>
                <w:szCs w:val="22"/>
                <w:lang w:eastAsia="en-US"/>
              </w:rPr>
            </w:pPr>
            <w:r w:rsidRPr="001800B7">
              <w:rPr>
                <w:bCs/>
                <w:szCs w:val="22"/>
                <w:u w:val="single"/>
                <w:lang w:eastAsia="en-US"/>
              </w:rPr>
              <w:t>Taux d</w:t>
            </w:r>
            <w:r w:rsidR="005311D6" w:rsidRPr="001800B7">
              <w:rPr>
                <w:bCs/>
                <w:szCs w:val="22"/>
                <w:u w:val="single"/>
                <w:lang w:eastAsia="en-US"/>
              </w:rPr>
              <w:t>’</w:t>
            </w:r>
            <w:r w:rsidRPr="001800B7">
              <w:rPr>
                <w:bCs/>
                <w:szCs w:val="22"/>
                <w:u w:val="single"/>
                <w:lang w:eastAsia="en-US"/>
              </w:rPr>
              <w:t>exécution du projet</w:t>
            </w:r>
          </w:p>
        </w:tc>
        <w:tc>
          <w:tcPr>
            <w:tcW w:w="7266" w:type="dxa"/>
          </w:tcPr>
          <w:p w:rsidR="00F30D9D" w:rsidRPr="001800B7" w:rsidRDefault="00F30D9D" w:rsidP="00F30D9D">
            <w:pPr>
              <w:spacing w:before="120" w:after="120"/>
              <w:rPr>
                <w:rFonts w:eastAsia="Times New Roman"/>
                <w:iCs/>
                <w:szCs w:val="22"/>
                <w:lang w:eastAsia="en-US"/>
              </w:rPr>
            </w:pPr>
            <w:r w:rsidRPr="001800B7">
              <w:rPr>
                <w:rFonts w:eastAsia="Times New Roman"/>
                <w:iCs/>
                <w:szCs w:val="22"/>
                <w:lang w:eastAsia="en-US"/>
              </w:rPr>
              <w:t>Le taux d</w:t>
            </w:r>
            <w:r w:rsidR="005311D6" w:rsidRPr="001800B7">
              <w:rPr>
                <w:rFonts w:eastAsia="Times New Roman"/>
                <w:iCs/>
                <w:szCs w:val="22"/>
                <w:lang w:eastAsia="en-US"/>
              </w:rPr>
              <w:t>’</w:t>
            </w:r>
            <w:r w:rsidRPr="001800B7">
              <w:rPr>
                <w:rFonts w:eastAsia="Times New Roman"/>
                <w:iCs/>
                <w:szCs w:val="22"/>
                <w:lang w:eastAsia="en-US"/>
              </w:rPr>
              <w:t>utilisation du budget à la fin du mois d</w:t>
            </w:r>
            <w:r w:rsidR="005311D6" w:rsidRPr="001800B7">
              <w:rPr>
                <w:rFonts w:eastAsia="Times New Roman"/>
                <w:iCs/>
                <w:szCs w:val="22"/>
                <w:lang w:eastAsia="en-US"/>
              </w:rPr>
              <w:t>’</w:t>
            </w:r>
            <w:r w:rsidRPr="001800B7">
              <w:rPr>
                <w:rFonts w:eastAsia="Times New Roman"/>
                <w:iCs/>
                <w:szCs w:val="22"/>
                <w:lang w:eastAsia="en-US"/>
              </w:rPr>
              <w:t>août 2014 s</w:t>
            </w:r>
            <w:r w:rsidR="005311D6" w:rsidRPr="001800B7">
              <w:rPr>
                <w:rFonts w:eastAsia="Times New Roman"/>
                <w:iCs/>
                <w:szCs w:val="22"/>
                <w:lang w:eastAsia="en-US"/>
              </w:rPr>
              <w:t>’</w:t>
            </w:r>
            <w:r w:rsidRPr="001800B7">
              <w:rPr>
                <w:rFonts w:eastAsia="Times New Roman"/>
                <w:iCs/>
                <w:szCs w:val="22"/>
                <w:lang w:eastAsia="en-US"/>
              </w:rPr>
              <w:t>élevait à 74%.</w:t>
            </w:r>
          </w:p>
        </w:tc>
      </w:tr>
      <w:tr w:rsidR="00F30D9D" w:rsidRPr="001800B7" w:rsidTr="00F30D9D">
        <w:tc>
          <w:tcPr>
            <w:tcW w:w="2235" w:type="dxa"/>
            <w:shd w:val="clear" w:color="auto" w:fill="auto"/>
          </w:tcPr>
          <w:p w:rsidR="00F30D9D" w:rsidRPr="001800B7" w:rsidRDefault="00F30D9D" w:rsidP="00F30D9D">
            <w:pPr>
              <w:spacing w:before="120" w:after="120"/>
              <w:outlineLvl w:val="2"/>
              <w:rPr>
                <w:bCs/>
                <w:szCs w:val="22"/>
                <w:u w:val="single"/>
                <w:lang w:eastAsia="en-US"/>
              </w:rPr>
            </w:pPr>
            <w:r w:rsidRPr="001800B7">
              <w:rPr>
                <w:bCs/>
                <w:szCs w:val="22"/>
                <w:u w:val="single"/>
                <w:lang w:eastAsia="en-US"/>
              </w:rPr>
              <w:t>Rapports précédents</w:t>
            </w:r>
          </w:p>
        </w:tc>
        <w:tc>
          <w:tcPr>
            <w:tcW w:w="7266" w:type="dxa"/>
          </w:tcPr>
          <w:p w:rsidR="00F30D9D" w:rsidRPr="001800B7" w:rsidRDefault="00F30D9D" w:rsidP="00F30D9D">
            <w:pPr>
              <w:spacing w:before="120" w:after="120"/>
              <w:rPr>
                <w:szCs w:val="22"/>
              </w:rPr>
            </w:pPr>
            <w:r w:rsidRPr="001800B7">
              <w:rPr>
                <w:szCs w:val="22"/>
              </w:rPr>
              <w:t>Les rapports sur l</w:t>
            </w:r>
            <w:r w:rsidR="005311D6" w:rsidRPr="001800B7">
              <w:rPr>
                <w:szCs w:val="22"/>
              </w:rPr>
              <w:t>’</w:t>
            </w:r>
            <w:r w:rsidRPr="001800B7">
              <w:rPr>
                <w:szCs w:val="22"/>
              </w:rPr>
              <w:t>état d</w:t>
            </w:r>
            <w:r w:rsidR="005311D6" w:rsidRPr="001800B7">
              <w:rPr>
                <w:szCs w:val="22"/>
              </w:rPr>
              <w:t>’</w:t>
            </w:r>
            <w:r w:rsidRPr="001800B7">
              <w:rPr>
                <w:szCs w:val="22"/>
              </w:rPr>
              <w:t>avancement de ce projet, figurant à l</w:t>
            </w:r>
            <w:r w:rsidR="005311D6" w:rsidRPr="001800B7">
              <w:rPr>
                <w:szCs w:val="22"/>
              </w:rPr>
              <w:t>’</w:t>
            </w:r>
            <w:r w:rsidRPr="001800B7">
              <w:rPr>
                <w:szCs w:val="22"/>
              </w:rPr>
              <w:t>annexe XI du document CDIP/10/2 et à l</w:t>
            </w:r>
            <w:r w:rsidR="005311D6" w:rsidRPr="001800B7">
              <w:rPr>
                <w:szCs w:val="22"/>
              </w:rPr>
              <w:t>’</w:t>
            </w:r>
            <w:r w:rsidRPr="001800B7">
              <w:rPr>
                <w:szCs w:val="22"/>
              </w:rPr>
              <w:t>annexe IX du document CDIP/12/2, ont été soumis au Comité, respectivement à la dixième session et à la douzième session de celui</w:t>
            </w:r>
            <w:r w:rsidR="001800B7" w:rsidRPr="001800B7">
              <w:rPr>
                <w:szCs w:val="22"/>
              </w:rPr>
              <w:noBreakHyphen/>
            </w:r>
            <w:r w:rsidRPr="001800B7">
              <w:rPr>
                <w:szCs w:val="22"/>
              </w:rPr>
              <w:t>ci.</w:t>
            </w:r>
          </w:p>
          <w:p w:rsidR="00F30D9D" w:rsidRPr="001800B7" w:rsidRDefault="00F30D9D" w:rsidP="00F30D9D">
            <w:pPr>
              <w:spacing w:before="120" w:after="120"/>
              <w:rPr>
                <w:rFonts w:eastAsia="Times New Roman"/>
                <w:iCs/>
                <w:szCs w:val="22"/>
                <w:lang w:eastAsia="en-US"/>
              </w:rPr>
            </w:pPr>
            <w:r w:rsidRPr="001800B7">
              <w:rPr>
                <w:rFonts w:eastAsia="Times New Roman"/>
                <w:iCs/>
                <w:szCs w:val="22"/>
                <w:lang w:eastAsia="en-US"/>
              </w:rPr>
              <w:t>Un rapport d</w:t>
            </w:r>
            <w:r w:rsidR="005311D6" w:rsidRPr="001800B7">
              <w:rPr>
                <w:rFonts w:eastAsia="Times New Roman"/>
                <w:iCs/>
                <w:szCs w:val="22"/>
                <w:lang w:eastAsia="en-US"/>
              </w:rPr>
              <w:t>’</w:t>
            </w:r>
            <w:r w:rsidRPr="001800B7">
              <w:rPr>
                <w:rFonts w:eastAsia="Times New Roman"/>
                <w:iCs/>
                <w:szCs w:val="22"/>
                <w:lang w:eastAsia="en-US"/>
              </w:rPr>
              <w:t>évaluation du projet, qui fait l</w:t>
            </w:r>
            <w:r w:rsidR="005311D6" w:rsidRPr="001800B7">
              <w:rPr>
                <w:rFonts w:eastAsia="Times New Roman"/>
                <w:iCs/>
                <w:szCs w:val="22"/>
                <w:lang w:eastAsia="en-US"/>
              </w:rPr>
              <w:t>’</w:t>
            </w:r>
            <w:r w:rsidRPr="001800B7">
              <w:rPr>
                <w:rFonts w:eastAsia="Times New Roman"/>
                <w:iCs/>
                <w:szCs w:val="22"/>
                <w:lang w:eastAsia="en-US"/>
              </w:rPr>
              <w:t>objet du document CDIP/13/4, a été soumis au Comité à la treizième session de celui</w:t>
            </w:r>
            <w:r w:rsidR="001800B7" w:rsidRPr="001800B7">
              <w:rPr>
                <w:rFonts w:eastAsia="Times New Roman"/>
                <w:iCs/>
                <w:szCs w:val="22"/>
                <w:lang w:eastAsia="en-US"/>
              </w:rPr>
              <w:noBreakHyphen/>
            </w:r>
            <w:r w:rsidRPr="001800B7">
              <w:rPr>
                <w:rFonts w:eastAsia="Times New Roman"/>
                <w:iCs/>
                <w:szCs w:val="22"/>
                <w:lang w:eastAsia="en-US"/>
              </w:rPr>
              <w:t>ci.</w:t>
            </w:r>
          </w:p>
        </w:tc>
      </w:tr>
    </w:tbl>
    <w:p w:rsidR="00F30D9D" w:rsidRPr="001800B7" w:rsidRDefault="00F30D9D" w:rsidP="00F30D9D">
      <w:pPr>
        <w:rPr>
          <w:rFonts w:eastAsia="Times New Roman"/>
          <w:szCs w:val="22"/>
          <w:lang w:eastAsia="en-US"/>
        </w:rPr>
      </w:pPr>
    </w:p>
    <w:p w:rsidR="00F30D9D" w:rsidRPr="001800B7" w:rsidRDefault="00F30D9D" w:rsidP="00F30D9D">
      <w:pPr>
        <w:rPr>
          <w:rFonts w:eastAsia="Times New Roman"/>
          <w:szCs w:val="22"/>
          <w:lang w:eastAsia="en-US"/>
        </w:rPr>
      </w:pPr>
    </w:p>
    <w:p w:rsidR="00F30D9D" w:rsidRPr="001800B7" w:rsidRDefault="00F30D9D" w:rsidP="00F30D9D">
      <w:pPr>
        <w:rPr>
          <w:rFonts w:eastAsia="Times New Roman"/>
          <w:szCs w:val="22"/>
          <w:lang w:eastAsia="en-US"/>
        </w:rPr>
      </w:pPr>
      <w:r w:rsidRPr="001800B7">
        <w:rPr>
          <w:szCs w:val="22"/>
        </w:rPr>
        <w:br w:type="page"/>
      </w:r>
      <w:r w:rsidRPr="001800B7">
        <w:rPr>
          <w:rFonts w:eastAsia="Times New Roman"/>
          <w:szCs w:val="22"/>
          <w:lang w:eastAsia="en-US"/>
        </w:rPr>
        <w:lastRenderedPageBreak/>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F30D9D" w:rsidRPr="001800B7" w:rsidRDefault="00F30D9D" w:rsidP="00F30D9D">
      <w:pPr>
        <w:rPr>
          <w:szCs w:val="22"/>
        </w:rPr>
      </w:pPr>
    </w:p>
    <w:p w:rsidR="00F30D9D" w:rsidRPr="001800B7" w:rsidRDefault="00F30D9D" w:rsidP="00F30D9D">
      <w:pPr>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p w:rsidR="00F30D9D" w:rsidRPr="001800B7" w:rsidRDefault="00F30D9D" w:rsidP="00F30D9D">
      <w:pPr>
        <w:rPr>
          <w:rFonts w:eastAsia="Times New Roman"/>
          <w:szCs w:val="22"/>
          <w:lang w:eastAsia="en-US"/>
        </w:rPr>
      </w:pP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F30D9D">
        <w:trPr>
          <w:cantSplit/>
        </w:trPr>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NE</w:t>
            </w:r>
          </w:p>
        </w:tc>
      </w:tr>
      <w:tr w:rsidR="00F30D9D" w:rsidRPr="001800B7" w:rsidTr="00F30D9D">
        <w:trPr>
          <w:cantSplit/>
        </w:trPr>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F30D9D" w:rsidRPr="001800B7" w:rsidRDefault="00F30D9D" w:rsidP="00F30D9D">
      <w:pPr>
        <w:rPr>
          <w:szCs w:val="22"/>
          <w:lang w:eastAsia="en-US"/>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6"/>
        <w:gridCol w:w="2694"/>
        <w:gridCol w:w="2976"/>
        <w:gridCol w:w="1455"/>
      </w:tblGrid>
      <w:tr w:rsidR="001800B7" w:rsidRPr="001800B7" w:rsidTr="00F30D9D">
        <w:tc>
          <w:tcPr>
            <w:tcW w:w="2366" w:type="dxa"/>
            <w:shd w:val="clear" w:color="auto" w:fill="auto"/>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Style w:val="FootnoteReference"/>
                <w:rFonts w:eastAsia="Times New Roman"/>
                <w:szCs w:val="22"/>
                <w:lang w:eastAsia="en-US"/>
              </w:rPr>
              <w:footnoteReference w:id="4"/>
            </w:r>
            <w:r w:rsidRPr="001800B7">
              <w:rPr>
                <w:rFonts w:eastAsia="Times New Roman"/>
                <w:szCs w:val="22"/>
                <w:u w:val="single"/>
                <w:lang w:eastAsia="en-US"/>
              </w:rPr>
              <w:br/>
            </w:r>
            <w:r w:rsidRPr="001800B7">
              <w:rPr>
                <w:rFonts w:eastAsia="Times New Roman"/>
                <w:szCs w:val="22"/>
                <w:lang w:eastAsia="en-US"/>
              </w:rPr>
              <w:t>(résultat escompté)</w:t>
            </w:r>
          </w:p>
        </w:tc>
        <w:tc>
          <w:tcPr>
            <w:tcW w:w="2694" w:type="dxa"/>
            <w:shd w:val="clear" w:color="auto" w:fill="auto"/>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6" w:type="dxa"/>
            <w:shd w:val="clear" w:color="auto" w:fill="auto"/>
          </w:tcPr>
          <w:p w:rsidR="00F30D9D" w:rsidRPr="001800B7" w:rsidRDefault="00F30D9D" w:rsidP="00F30D9D">
            <w:pPr>
              <w:keepNext/>
              <w:spacing w:before="120" w:after="120"/>
              <w:jc w:val="center"/>
              <w:outlineLvl w:val="2"/>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55" w:type="dxa"/>
            <w:shd w:val="clear" w:color="auto" w:fill="auto"/>
          </w:tcPr>
          <w:p w:rsidR="00F30D9D" w:rsidRPr="001800B7" w:rsidRDefault="00F30D9D" w:rsidP="00F30D9D">
            <w:pPr>
              <w:keepNext/>
              <w:spacing w:before="120" w:after="120"/>
              <w:jc w:val="center"/>
              <w:outlineLvl w:val="2"/>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F30D9D">
        <w:tc>
          <w:tcPr>
            <w:tcW w:w="2366" w:type="dxa"/>
            <w:shd w:val="clear" w:color="auto" w:fill="auto"/>
          </w:tcPr>
          <w:p w:rsidR="00F30D9D" w:rsidRPr="001800B7" w:rsidRDefault="00F30D9D" w:rsidP="00F30D9D">
            <w:pPr>
              <w:spacing w:before="120" w:after="120"/>
              <w:rPr>
                <w:rFonts w:eastAsia="Times New Roman"/>
                <w:bCs/>
                <w:szCs w:val="22"/>
                <w:lang w:eastAsia="en-US"/>
              </w:rPr>
            </w:pPr>
            <w:r w:rsidRPr="001800B7">
              <w:rPr>
                <w:rFonts w:eastAsia="Times New Roman"/>
                <w:bCs/>
                <w:szCs w:val="22"/>
                <w:lang w:eastAsia="en-US"/>
              </w:rPr>
              <w:t>Conférences annuelles et réunions interrégionales.</w:t>
            </w:r>
          </w:p>
        </w:tc>
        <w:tc>
          <w:tcPr>
            <w:tcW w:w="2694" w:type="dxa"/>
            <w:shd w:val="clear" w:color="auto" w:fill="auto"/>
          </w:tcPr>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Niveau de participation.</w:t>
            </w:r>
          </w:p>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Retours d</w:t>
            </w:r>
            <w:r w:rsidR="005311D6" w:rsidRPr="001800B7">
              <w:rPr>
                <w:rFonts w:eastAsia="Times New Roman"/>
                <w:szCs w:val="22"/>
                <w:lang w:eastAsia="en-US"/>
              </w:rPr>
              <w:t>’</w:t>
            </w:r>
            <w:r w:rsidRPr="001800B7">
              <w:rPr>
                <w:rFonts w:eastAsia="Times New Roman"/>
                <w:szCs w:val="22"/>
                <w:lang w:eastAsia="en-US"/>
              </w:rPr>
              <w:t>information des participants au moyen d</w:t>
            </w:r>
            <w:r w:rsidR="005311D6" w:rsidRPr="001800B7">
              <w:rPr>
                <w:rFonts w:eastAsia="Times New Roman"/>
                <w:szCs w:val="22"/>
                <w:lang w:eastAsia="en-US"/>
              </w:rPr>
              <w:t>’</w:t>
            </w:r>
            <w:r w:rsidRPr="001800B7">
              <w:rPr>
                <w:rFonts w:eastAsia="Times New Roman"/>
                <w:szCs w:val="22"/>
                <w:lang w:eastAsia="en-US"/>
              </w:rPr>
              <w:t>un questionnaire</w:t>
            </w:r>
          </w:p>
        </w:tc>
        <w:tc>
          <w:tcPr>
            <w:tcW w:w="2976" w:type="dxa"/>
            <w:shd w:val="clear" w:color="auto" w:fill="auto"/>
          </w:tcPr>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 xml:space="preserve">La </w:t>
            </w:r>
            <w:r w:rsidRPr="001800B7">
              <w:rPr>
                <w:rFonts w:eastAsia="Times New Roman"/>
                <w:i/>
                <w:szCs w:val="22"/>
                <w:lang w:eastAsia="en-US"/>
              </w:rPr>
              <w:t>deuxième conférence annuelle sur la coopération Sud</w:t>
            </w:r>
            <w:r w:rsidR="001800B7" w:rsidRPr="001800B7">
              <w:rPr>
                <w:rFonts w:eastAsia="Times New Roman"/>
                <w:i/>
                <w:szCs w:val="22"/>
                <w:lang w:eastAsia="en-US"/>
              </w:rPr>
              <w:noBreakHyphen/>
            </w:r>
            <w:r w:rsidRPr="001800B7">
              <w:rPr>
                <w:rFonts w:eastAsia="Times New Roman"/>
                <w:i/>
                <w:szCs w:val="22"/>
                <w:lang w:eastAsia="en-US"/>
              </w:rPr>
              <w:t>Sud dans le domaine de la propriété intellectuelle au service du développement</w:t>
            </w:r>
            <w:r w:rsidRPr="001800B7">
              <w:rPr>
                <w:rFonts w:eastAsia="Times New Roman"/>
                <w:szCs w:val="22"/>
                <w:lang w:eastAsia="en-US"/>
              </w:rPr>
              <w:t xml:space="preserve"> a réuni plus de 100 participants, parmi lesquels 75 représentants de 48 pays en développement et PMA, 20 représentants de 12 pays développés, 13 représentants de 7 organisations intergouvernementales et 7 représentants de 6 ONG.</w:t>
            </w:r>
          </w:p>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 xml:space="preserve">Les commentaires recueillis ont permis de confirmer que la conférence avait bien répondu aux attentes et atteint les objectifs fixés (plus de 92% des répondants ont qualifié la conférence de bonne, très bonne ou excellente).  La conférence a été diffusée en direct sur le Web pour assurer son accès à un plus large public et tous les documents de réunion, </w:t>
            </w:r>
            <w:r w:rsidR="005311D6" w:rsidRPr="001800B7">
              <w:rPr>
                <w:rFonts w:eastAsia="Times New Roman"/>
                <w:szCs w:val="22"/>
                <w:lang w:eastAsia="en-US"/>
              </w:rPr>
              <w:t>y compris</w:t>
            </w:r>
            <w:r w:rsidRPr="001800B7">
              <w:rPr>
                <w:rFonts w:eastAsia="Times New Roman"/>
                <w:szCs w:val="22"/>
                <w:lang w:eastAsia="en-US"/>
              </w:rPr>
              <w:t xml:space="preserve"> le texte des exposés, le rapport complet et le résumé du rapport de la conférence, ont été publiés sur la page Web du site de l</w:t>
            </w:r>
            <w:r w:rsidR="005311D6" w:rsidRPr="001800B7">
              <w:rPr>
                <w:rFonts w:eastAsia="Times New Roman"/>
                <w:szCs w:val="22"/>
                <w:lang w:eastAsia="en-US"/>
              </w:rPr>
              <w:t>’</w:t>
            </w:r>
            <w:r w:rsidRPr="001800B7">
              <w:rPr>
                <w:rFonts w:eastAsia="Times New Roman"/>
                <w:szCs w:val="22"/>
                <w:lang w:eastAsia="en-US"/>
              </w:rPr>
              <w:t>OMPI consacrée à la réunion.</w:t>
            </w:r>
          </w:p>
        </w:tc>
        <w:tc>
          <w:tcPr>
            <w:tcW w:w="1455" w:type="dxa"/>
            <w:shd w:val="clear" w:color="auto" w:fill="auto"/>
          </w:tcPr>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w:t>
            </w:r>
          </w:p>
        </w:tc>
      </w:tr>
      <w:tr w:rsidR="001800B7" w:rsidRPr="001800B7" w:rsidTr="00F30D9D">
        <w:tc>
          <w:tcPr>
            <w:tcW w:w="2366" w:type="dxa"/>
            <w:shd w:val="clear" w:color="auto" w:fill="auto"/>
          </w:tcPr>
          <w:p w:rsidR="00F30D9D" w:rsidRPr="001800B7" w:rsidRDefault="00F30D9D" w:rsidP="00F30D9D">
            <w:pPr>
              <w:spacing w:before="100" w:after="100"/>
              <w:rPr>
                <w:rFonts w:eastAsia="Times New Roman"/>
                <w:bCs/>
                <w:szCs w:val="22"/>
                <w:lang w:eastAsia="en-US"/>
              </w:rPr>
            </w:pPr>
            <w:r w:rsidRPr="001800B7">
              <w:rPr>
                <w:rFonts w:eastAsia="Times New Roman"/>
                <w:bCs/>
                <w:szCs w:val="22"/>
                <w:lang w:eastAsia="en-US"/>
              </w:rPr>
              <w:lastRenderedPageBreak/>
              <w:t>Activités Sud</w:t>
            </w:r>
            <w:r w:rsidR="001800B7" w:rsidRPr="001800B7">
              <w:rPr>
                <w:rFonts w:eastAsia="Times New Roman"/>
                <w:bCs/>
                <w:szCs w:val="22"/>
                <w:lang w:eastAsia="en-US"/>
              </w:rPr>
              <w:noBreakHyphen/>
            </w:r>
            <w:r w:rsidRPr="001800B7">
              <w:rPr>
                <w:rFonts w:eastAsia="Times New Roman"/>
                <w:bCs/>
                <w:szCs w:val="22"/>
                <w:lang w:eastAsia="en-US"/>
              </w:rPr>
              <w:t>Sud de formation et de renforcement des capacités.</w:t>
            </w:r>
          </w:p>
        </w:tc>
        <w:tc>
          <w:tcPr>
            <w:tcW w:w="2694" w:type="dxa"/>
            <w:shd w:val="clear" w:color="auto" w:fill="auto"/>
          </w:tcPr>
          <w:p w:rsidR="00F30D9D" w:rsidRPr="001800B7" w:rsidRDefault="00F30D9D" w:rsidP="00F30D9D">
            <w:pPr>
              <w:autoSpaceDE w:val="0"/>
              <w:autoSpaceDN w:val="0"/>
              <w:adjustRightInd w:val="0"/>
              <w:spacing w:before="100" w:after="100"/>
              <w:rPr>
                <w:rFonts w:eastAsia="Times New Roman"/>
                <w:szCs w:val="22"/>
                <w:lang w:eastAsia="en-US"/>
              </w:rPr>
            </w:pPr>
            <w:r w:rsidRPr="001800B7">
              <w:rPr>
                <w:rFonts w:eastAsia="Times New Roman"/>
                <w:szCs w:val="22"/>
                <w:lang w:eastAsia="en-US"/>
              </w:rPr>
              <w:t>Nouvelles fonctions ajoutées dans la base de données de l</w:t>
            </w:r>
            <w:r w:rsidR="005311D6" w:rsidRPr="001800B7">
              <w:rPr>
                <w:rFonts w:eastAsia="Times New Roman"/>
                <w:szCs w:val="22"/>
                <w:lang w:eastAsia="en-US"/>
              </w:rPr>
              <w:t>’</w:t>
            </w:r>
            <w:r w:rsidRPr="001800B7">
              <w:rPr>
                <w:rFonts w:eastAsia="Times New Roman"/>
                <w:szCs w:val="22"/>
                <w:lang w:eastAsia="en-US"/>
              </w:rPr>
              <w:t>assistance technique en matière de propriété intellectuelle (IP</w:t>
            </w:r>
            <w:r w:rsidR="001800B7" w:rsidRPr="001800B7">
              <w:rPr>
                <w:rFonts w:eastAsia="Times New Roman"/>
                <w:szCs w:val="22"/>
                <w:lang w:eastAsia="en-US"/>
              </w:rPr>
              <w:noBreakHyphen/>
            </w:r>
            <w:r w:rsidRPr="001800B7">
              <w:rPr>
                <w:rFonts w:eastAsia="Times New Roman"/>
                <w:szCs w:val="22"/>
                <w:lang w:eastAsia="en-US"/>
              </w:rPr>
              <w:t>TAD) et la base de données de mise en parallèle des besoins de développement liés à la propriété intellectuelle.</w:t>
            </w:r>
          </w:p>
          <w:p w:rsidR="00F30D9D" w:rsidRPr="001800B7" w:rsidRDefault="00F30D9D" w:rsidP="00F30D9D">
            <w:pPr>
              <w:autoSpaceDE w:val="0"/>
              <w:autoSpaceDN w:val="0"/>
              <w:adjustRightInd w:val="0"/>
              <w:spacing w:before="100" w:after="100"/>
              <w:rPr>
                <w:rFonts w:eastAsia="Times New Roman"/>
                <w:szCs w:val="22"/>
                <w:lang w:eastAsia="en-US"/>
              </w:rPr>
            </w:pPr>
            <w:r w:rsidRPr="001800B7">
              <w:rPr>
                <w:rFonts w:eastAsia="Times New Roman"/>
                <w:szCs w:val="22"/>
                <w:lang w:eastAsia="en-US"/>
              </w:rPr>
              <w:t>Statistiques sur l</w:t>
            </w:r>
            <w:r w:rsidR="005311D6" w:rsidRPr="001800B7">
              <w:rPr>
                <w:rFonts w:eastAsia="Times New Roman"/>
                <w:szCs w:val="22"/>
                <w:lang w:eastAsia="en-US"/>
              </w:rPr>
              <w:t>’</w:t>
            </w:r>
            <w:r w:rsidRPr="001800B7">
              <w:rPr>
                <w:rFonts w:eastAsia="Times New Roman"/>
                <w:szCs w:val="22"/>
                <w:lang w:eastAsia="en-US"/>
              </w:rPr>
              <w:t>utilisation du dispositif de mise en parallèle et nombre de voyages ou missions d</w:t>
            </w:r>
            <w:r w:rsidR="005311D6" w:rsidRPr="001800B7">
              <w:rPr>
                <w:rFonts w:eastAsia="Times New Roman"/>
                <w:szCs w:val="22"/>
                <w:lang w:eastAsia="en-US"/>
              </w:rPr>
              <w:t>’</w:t>
            </w:r>
            <w:r w:rsidRPr="001800B7">
              <w:rPr>
                <w:rFonts w:eastAsia="Times New Roman"/>
                <w:szCs w:val="22"/>
                <w:lang w:eastAsia="en-US"/>
              </w:rPr>
              <w:t>échange parmi les pays en développement et les PMA.</w:t>
            </w:r>
          </w:p>
        </w:tc>
        <w:tc>
          <w:tcPr>
            <w:tcW w:w="2976" w:type="dxa"/>
            <w:shd w:val="clear" w:color="auto" w:fill="auto"/>
          </w:tcPr>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Les fonctionnalités Sud</w:t>
            </w:r>
            <w:r w:rsidR="001800B7" w:rsidRPr="001800B7">
              <w:rPr>
                <w:rFonts w:eastAsia="Times New Roman"/>
                <w:szCs w:val="22"/>
                <w:lang w:eastAsia="en-US"/>
              </w:rPr>
              <w:noBreakHyphen/>
            </w:r>
            <w:r w:rsidRPr="001800B7">
              <w:rPr>
                <w:rFonts w:eastAsia="Times New Roman"/>
                <w:szCs w:val="22"/>
                <w:lang w:eastAsia="en-US"/>
              </w:rPr>
              <w:t>Sud ont été développées et introduites dans les bases de données IP</w:t>
            </w:r>
            <w:r w:rsidR="001800B7" w:rsidRPr="001800B7">
              <w:rPr>
                <w:rFonts w:eastAsia="Times New Roman"/>
                <w:szCs w:val="22"/>
                <w:lang w:eastAsia="en-US"/>
              </w:rPr>
              <w:noBreakHyphen/>
            </w:r>
            <w:r w:rsidRPr="001800B7">
              <w:rPr>
                <w:rFonts w:eastAsia="Times New Roman"/>
                <w:szCs w:val="22"/>
                <w:lang w:eastAsia="en-US"/>
              </w:rPr>
              <w:t>TAD et IP</w:t>
            </w:r>
            <w:r w:rsidR="001800B7" w:rsidRPr="001800B7">
              <w:rPr>
                <w:rFonts w:eastAsia="Times New Roman"/>
                <w:szCs w:val="22"/>
                <w:lang w:eastAsia="en-US"/>
              </w:rPr>
              <w:noBreakHyphen/>
            </w:r>
            <w:r w:rsidRPr="001800B7">
              <w:rPr>
                <w:rFonts w:eastAsia="Times New Roman"/>
                <w:szCs w:val="22"/>
                <w:lang w:eastAsia="en-US"/>
              </w:rPr>
              <w:t>DMD, et incluses sur la plate</w:t>
            </w:r>
            <w:r w:rsidR="001800B7" w:rsidRPr="001800B7">
              <w:rPr>
                <w:rFonts w:eastAsia="Times New Roman"/>
                <w:szCs w:val="22"/>
                <w:lang w:eastAsia="en-US"/>
              </w:rPr>
              <w:noBreakHyphen/>
            </w:r>
            <w:r w:rsidRPr="001800B7">
              <w:rPr>
                <w:rFonts w:eastAsia="Times New Roman"/>
                <w:szCs w:val="22"/>
                <w:lang w:eastAsia="en-US"/>
              </w:rPr>
              <w:t>forme en ligne consacrée à la coopération Sud</w:t>
            </w:r>
            <w:r w:rsidR="001800B7" w:rsidRPr="001800B7">
              <w:rPr>
                <w:rFonts w:eastAsia="Times New Roman"/>
                <w:szCs w:val="22"/>
                <w:lang w:eastAsia="en-US"/>
              </w:rPr>
              <w:noBreakHyphen/>
            </w:r>
            <w:r w:rsidRPr="001800B7">
              <w:rPr>
                <w:rFonts w:eastAsia="Times New Roman"/>
                <w:szCs w:val="22"/>
                <w:lang w:eastAsia="en-US"/>
              </w:rPr>
              <w:t xml:space="preserve">Sud : </w:t>
            </w:r>
            <w:hyperlink r:id="rId51" w:history="1">
              <w:r w:rsidRPr="001800B7">
                <w:rPr>
                  <w:rStyle w:val="Hyperlink"/>
                  <w:rFonts w:eastAsia="Times New Roman"/>
                  <w:color w:val="auto"/>
                  <w:szCs w:val="22"/>
                  <w:lang w:eastAsia="en-US"/>
                </w:rPr>
                <w:t>http://www.wipo.int/cooperation/fr/south_south/</w:t>
              </w:r>
            </w:hyperlink>
            <w:r w:rsidRPr="001800B7">
              <w:rPr>
                <w:rFonts w:eastAsia="Times New Roman"/>
                <w:szCs w:val="22"/>
                <w:lang w:eastAsia="en-US"/>
              </w:rPr>
              <w:t>.</w:t>
            </w:r>
          </w:p>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En raison du déploiement tardif des outils en ligne, aucune statistique n</w:t>
            </w:r>
            <w:r w:rsidR="005311D6" w:rsidRPr="001800B7">
              <w:rPr>
                <w:rFonts w:eastAsia="Times New Roman"/>
                <w:szCs w:val="22"/>
                <w:lang w:eastAsia="en-US"/>
              </w:rPr>
              <w:t>’</w:t>
            </w:r>
            <w:r w:rsidRPr="001800B7">
              <w:rPr>
                <w:rFonts w:eastAsia="Times New Roman"/>
                <w:szCs w:val="22"/>
                <w:lang w:eastAsia="en-US"/>
              </w:rPr>
              <w:t>est disponible pour l</w:t>
            </w:r>
            <w:r w:rsidR="005311D6" w:rsidRPr="001800B7">
              <w:rPr>
                <w:rFonts w:eastAsia="Times New Roman"/>
                <w:szCs w:val="22"/>
                <w:lang w:eastAsia="en-US"/>
              </w:rPr>
              <w:t>’</w:t>
            </w:r>
            <w:r w:rsidRPr="001800B7">
              <w:rPr>
                <w:rFonts w:eastAsia="Times New Roman"/>
                <w:szCs w:val="22"/>
                <w:lang w:eastAsia="en-US"/>
              </w:rPr>
              <w:t>instant.</w:t>
            </w:r>
          </w:p>
        </w:tc>
        <w:tc>
          <w:tcPr>
            <w:tcW w:w="1455" w:type="dxa"/>
            <w:shd w:val="clear" w:color="auto" w:fill="auto"/>
          </w:tcPr>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w:t>
            </w:r>
          </w:p>
        </w:tc>
      </w:tr>
      <w:tr w:rsidR="001800B7" w:rsidRPr="001800B7" w:rsidTr="00F30D9D">
        <w:tc>
          <w:tcPr>
            <w:tcW w:w="2366" w:type="dxa"/>
            <w:shd w:val="clear" w:color="auto" w:fill="auto"/>
          </w:tcPr>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Faire davantage appel, dans les activités d</w:t>
            </w:r>
            <w:r w:rsidR="005311D6" w:rsidRPr="001800B7">
              <w:rPr>
                <w:rFonts w:eastAsia="Times New Roman"/>
                <w:szCs w:val="22"/>
                <w:lang w:eastAsia="en-US"/>
              </w:rPr>
              <w:t>’</w:t>
            </w:r>
            <w:r w:rsidRPr="001800B7">
              <w:rPr>
                <w:rFonts w:eastAsia="Times New Roman"/>
                <w:szCs w:val="22"/>
                <w:lang w:eastAsia="en-US"/>
              </w:rPr>
              <w:t>assistance technique et de renforcement des capacités de l</w:t>
            </w:r>
            <w:r w:rsidR="005311D6" w:rsidRPr="001800B7">
              <w:rPr>
                <w:rFonts w:eastAsia="Times New Roman"/>
                <w:szCs w:val="22"/>
                <w:lang w:eastAsia="en-US"/>
              </w:rPr>
              <w:t>’</w:t>
            </w:r>
            <w:r w:rsidRPr="001800B7">
              <w:rPr>
                <w:rFonts w:eastAsia="Times New Roman"/>
                <w:szCs w:val="22"/>
                <w:lang w:eastAsia="en-US"/>
              </w:rPr>
              <w:t>OMPI, à des experts et au partage de données d</w:t>
            </w:r>
            <w:r w:rsidR="005311D6" w:rsidRPr="001800B7">
              <w:rPr>
                <w:rFonts w:eastAsia="Times New Roman"/>
                <w:szCs w:val="22"/>
                <w:lang w:eastAsia="en-US"/>
              </w:rPr>
              <w:t>’</w:t>
            </w:r>
            <w:r w:rsidRPr="001800B7">
              <w:rPr>
                <w:rFonts w:eastAsia="Times New Roman"/>
                <w:szCs w:val="22"/>
                <w:lang w:eastAsia="en-US"/>
              </w:rPr>
              <w:t>expérience provenant de pays en développement et de PMA.</w:t>
            </w:r>
          </w:p>
        </w:tc>
        <w:tc>
          <w:tcPr>
            <w:tcW w:w="2694" w:type="dxa"/>
            <w:shd w:val="clear" w:color="auto" w:fill="auto"/>
          </w:tcPr>
          <w:p w:rsidR="00F30D9D" w:rsidRPr="001800B7" w:rsidRDefault="00F30D9D" w:rsidP="00F30D9D">
            <w:pPr>
              <w:autoSpaceDE w:val="0"/>
              <w:autoSpaceDN w:val="0"/>
              <w:adjustRightInd w:val="0"/>
              <w:spacing w:before="100" w:after="100"/>
              <w:rPr>
                <w:rFonts w:eastAsia="Times New Roman"/>
                <w:szCs w:val="22"/>
                <w:lang w:eastAsia="en-US"/>
              </w:rPr>
            </w:pPr>
            <w:r w:rsidRPr="001800B7">
              <w:rPr>
                <w:rFonts w:eastAsia="Times New Roman"/>
                <w:szCs w:val="22"/>
                <w:lang w:eastAsia="en-US"/>
              </w:rPr>
              <w:t>Rapports périodiques annuels et examen de la liste de consultants de l</w:t>
            </w:r>
            <w:r w:rsidR="005311D6" w:rsidRPr="001800B7">
              <w:rPr>
                <w:rFonts w:eastAsia="Times New Roman"/>
                <w:szCs w:val="22"/>
                <w:lang w:eastAsia="en-US"/>
              </w:rPr>
              <w:t>’</w:t>
            </w:r>
            <w:r w:rsidRPr="001800B7">
              <w:rPr>
                <w:rFonts w:eastAsia="Times New Roman"/>
                <w:szCs w:val="22"/>
                <w:lang w:eastAsia="en-US"/>
              </w:rPr>
              <w:t>OMPI afin d</w:t>
            </w:r>
            <w:r w:rsidR="005311D6" w:rsidRPr="001800B7">
              <w:rPr>
                <w:rFonts w:eastAsia="Times New Roman"/>
                <w:szCs w:val="22"/>
                <w:lang w:eastAsia="en-US"/>
              </w:rPr>
              <w:t>’</w:t>
            </w:r>
            <w:r w:rsidRPr="001800B7">
              <w:rPr>
                <w:rFonts w:eastAsia="Times New Roman"/>
                <w:szCs w:val="22"/>
                <w:lang w:eastAsia="en-US"/>
              </w:rPr>
              <w:t>évaluer le recours accru à des consultants provenant de pays en développement et de PMA.</w:t>
            </w:r>
          </w:p>
        </w:tc>
        <w:tc>
          <w:tcPr>
            <w:tcW w:w="2976" w:type="dxa"/>
            <w:shd w:val="clear" w:color="auto" w:fill="auto"/>
          </w:tcPr>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La liste de consultants Sud</w:t>
            </w:r>
            <w:r w:rsidR="001800B7" w:rsidRPr="001800B7">
              <w:rPr>
                <w:rFonts w:eastAsia="Times New Roman"/>
                <w:szCs w:val="22"/>
                <w:lang w:eastAsia="en-US"/>
              </w:rPr>
              <w:noBreakHyphen/>
            </w:r>
            <w:r w:rsidRPr="001800B7">
              <w:rPr>
                <w:rFonts w:eastAsia="Times New Roman"/>
                <w:szCs w:val="22"/>
                <w:lang w:eastAsia="en-US"/>
              </w:rPr>
              <w:t>Sud, qui contient des informations sur les consultants et les personnes ressources venant des pays en développement, des PMA et des pays en transition, a été établie;  cette liste figure maintenant parmi les ressources disponibles sur la page Web consacrée à la coopération Sud</w:t>
            </w:r>
            <w:r w:rsidR="001800B7" w:rsidRPr="001800B7">
              <w:rPr>
                <w:rFonts w:eastAsia="Times New Roman"/>
                <w:szCs w:val="22"/>
                <w:lang w:eastAsia="en-US"/>
              </w:rPr>
              <w:noBreakHyphen/>
            </w:r>
            <w:r w:rsidRPr="001800B7">
              <w:rPr>
                <w:rFonts w:eastAsia="Times New Roman"/>
                <w:szCs w:val="22"/>
                <w:lang w:eastAsia="en-US"/>
              </w:rPr>
              <w:t>Sud.</w:t>
            </w:r>
          </w:p>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En raison du déploiement tardif des outils en ligne, aucune statistique n</w:t>
            </w:r>
            <w:r w:rsidR="005311D6" w:rsidRPr="001800B7">
              <w:rPr>
                <w:rFonts w:eastAsia="Times New Roman"/>
                <w:szCs w:val="22"/>
                <w:lang w:eastAsia="en-US"/>
              </w:rPr>
              <w:t>’</w:t>
            </w:r>
            <w:r w:rsidRPr="001800B7">
              <w:rPr>
                <w:rFonts w:eastAsia="Times New Roman"/>
                <w:szCs w:val="22"/>
                <w:lang w:eastAsia="en-US"/>
              </w:rPr>
              <w:t>est disponible pour l</w:t>
            </w:r>
            <w:r w:rsidR="005311D6" w:rsidRPr="001800B7">
              <w:rPr>
                <w:rFonts w:eastAsia="Times New Roman"/>
                <w:szCs w:val="22"/>
                <w:lang w:eastAsia="en-US"/>
              </w:rPr>
              <w:t>’</w:t>
            </w:r>
            <w:r w:rsidRPr="001800B7">
              <w:rPr>
                <w:rFonts w:eastAsia="Times New Roman"/>
                <w:szCs w:val="22"/>
                <w:lang w:eastAsia="en-US"/>
              </w:rPr>
              <w:t>instant.</w:t>
            </w:r>
          </w:p>
        </w:tc>
        <w:tc>
          <w:tcPr>
            <w:tcW w:w="1455" w:type="dxa"/>
            <w:shd w:val="clear" w:color="auto" w:fill="auto"/>
          </w:tcPr>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w:t>
            </w:r>
          </w:p>
        </w:tc>
      </w:tr>
      <w:tr w:rsidR="001800B7" w:rsidRPr="001800B7" w:rsidTr="00F30D9D">
        <w:tc>
          <w:tcPr>
            <w:tcW w:w="2366" w:type="dxa"/>
            <w:shd w:val="clear" w:color="auto" w:fill="auto"/>
          </w:tcPr>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Page Web sur le site de l</w:t>
            </w:r>
            <w:r w:rsidR="005311D6" w:rsidRPr="001800B7">
              <w:rPr>
                <w:rFonts w:eastAsia="Times New Roman"/>
                <w:szCs w:val="22"/>
                <w:lang w:eastAsia="en-US"/>
              </w:rPr>
              <w:t>’</w:t>
            </w:r>
            <w:r w:rsidRPr="001800B7">
              <w:rPr>
                <w:rFonts w:eastAsia="Times New Roman"/>
                <w:szCs w:val="22"/>
                <w:lang w:eastAsia="en-US"/>
              </w:rPr>
              <w:t>OMPI consacrée à la coopération Sud</w:t>
            </w:r>
            <w:r w:rsidR="001800B7" w:rsidRPr="001800B7">
              <w:rPr>
                <w:rFonts w:eastAsia="Times New Roman"/>
                <w:szCs w:val="22"/>
                <w:lang w:eastAsia="en-US"/>
              </w:rPr>
              <w:noBreakHyphen/>
            </w:r>
            <w:r w:rsidRPr="001800B7">
              <w:rPr>
                <w:rFonts w:eastAsia="Times New Roman"/>
                <w:szCs w:val="22"/>
                <w:lang w:eastAsia="en-US"/>
              </w:rPr>
              <w:t>Sud et portail Web interactif/réseau virtuel.</w:t>
            </w:r>
          </w:p>
        </w:tc>
        <w:tc>
          <w:tcPr>
            <w:tcW w:w="2694" w:type="dxa"/>
            <w:shd w:val="clear" w:color="auto" w:fill="auto"/>
          </w:tcPr>
          <w:p w:rsidR="00F30D9D" w:rsidRPr="001800B7" w:rsidRDefault="00F30D9D" w:rsidP="00F30D9D">
            <w:pPr>
              <w:autoSpaceDE w:val="0"/>
              <w:autoSpaceDN w:val="0"/>
              <w:adjustRightInd w:val="0"/>
              <w:spacing w:before="100" w:after="100"/>
              <w:rPr>
                <w:rFonts w:eastAsia="Times New Roman"/>
                <w:szCs w:val="22"/>
                <w:lang w:eastAsia="en-US"/>
              </w:rPr>
            </w:pPr>
            <w:r w:rsidRPr="001800B7">
              <w:rPr>
                <w:rFonts w:eastAsia="Times New Roman"/>
                <w:szCs w:val="22"/>
                <w:lang w:eastAsia="en-US"/>
              </w:rPr>
              <w:t>Portail Web interactif/réseau virtuel créé.</w:t>
            </w:r>
          </w:p>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Retours d</w:t>
            </w:r>
            <w:r w:rsidR="005311D6" w:rsidRPr="001800B7">
              <w:rPr>
                <w:rFonts w:eastAsia="Times New Roman"/>
                <w:szCs w:val="22"/>
                <w:lang w:eastAsia="en-US"/>
              </w:rPr>
              <w:t>’</w:t>
            </w:r>
            <w:r w:rsidRPr="001800B7">
              <w:rPr>
                <w:rFonts w:eastAsia="Times New Roman"/>
                <w:szCs w:val="22"/>
                <w:lang w:eastAsia="en-US"/>
              </w:rPr>
              <w:t>information des utilisateurs et statistiques sur l</w:t>
            </w:r>
            <w:r w:rsidR="005311D6" w:rsidRPr="001800B7">
              <w:rPr>
                <w:rFonts w:eastAsia="Times New Roman"/>
                <w:szCs w:val="22"/>
                <w:lang w:eastAsia="en-US"/>
              </w:rPr>
              <w:t>’</w:t>
            </w:r>
            <w:r w:rsidRPr="001800B7">
              <w:rPr>
                <w:rFonts w:eastAsia="Times New Roman"/>
                <w:szCs w:val="22"/>
                <w:lang w:eastAsia="en-US"/>
              </w:rPr>
              <w:t>utilisation du réseau virtuel, et évaluation qualitative demandée aux participants et résultats sous forme d</w:t>
            </w:r>
            <w:r w:rsidR="005311D6" w:rsidRPr="001800B7">
              <w:rPr>
                <w:rFonts w:eastAsia="Times New Roman"/>
                <w:szCs w:val="22"/>
                <w:lang w:eastAsia="en-US"/>
              </w:rPr>
              <w:t>’</w:t>
            </w:r>
            <w:r w:rsidRPr="001800B7">
              <w:rPr>
                <w:rFonts w:eastAsia="Times New Roman"/>
                <w:szCs w:val="22"/>
                <w:lang w:eastAsia="en-US"/>
              </w:rPr>
              <w:t>interaction en partenariat.</w:t>
            </w:r>
          </w:p>
        </w:tc>
        <w:tc>
          <w:tcPr>
            <w:tcW w:w="2976" w:type="dxa"/>
            <w:shd w:val="clear" w:color="auto" w:fill="auto"/>
          </w:tcPr>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La page Web consacrée à la coopération Sud</w:t>
            </w:r>
            <w:r w:rsidR="001800B7" w:rsidRPr="001800B7">
              <w:rPr>
                <w:rFonts w:eastAsia="Times New Roman"/>
                <w:szCs w:val="22"/>
                <w:lang w:eastAsia="en-US"/>
              </w:rPr>
              <w:noBreakHyphen/>
            </w:r>
            <w:r w:rsidRPr="001800B7">
              <w:rPr>
                <w:rFonts w:eastAsia="Times New Roman"/>
                <w:szCs w:val="22"/>
                <w:lang w:eastAsia="en-US"/>
              </w:rPr>
              <w:t>Sud a été achevée fin 2013 et lancée officiellement lors d</w:t>
            </w:r>
            <w:r w:rsidR="005311D6" w:rsidRPr="001800B7">
              <w:rPr>
                <w:rFonts w:eastAsia="Times New Roman"/>
                <w:szCs w:val="22"/>
                <w:lang w:eastAsia="en-US"/>
              </w:rPr>
              <w:t>’</w:t>
            </w:r>
            <w:r w:rsidRPr="001800B7">
              <w:rPr>
                <w:rFonts w:eastAsia="Times New Roman"/>
                <w:szCs w:val="22"/>
                <w:lang w:eastAsia="en-US"/>
              </w:rPr>
              <w:t>une manifestation parallèle en marge de la treizième session du CDIP, le 21 mai 2014.  La plate</w:t>
            </w:r>
            <w:r w:rsidR="001800B7" w:rsidRPr="001800B7">
              <w:rPr>
                <w:rFonts w:eastAsia="Times New Roman"/>
                <w:szCs w:val="22"/>
                <w:lang w:eastAsia="en-US"/>
              </w:rPr>
              <w:noBreakHyphen/>
            </w:r>
            <w:r w:rsidRPr="001800B7">
              <w:rPr>
                <w:rFonts w:eastAsia="Times New Roman"/>
                <w:szCs w:val="22"/>
                <w:lang w:eastAsia="en-US"/>
              </w:rPr>
              <w:t>forme est accessible à l</w:t>
            </w:r>
            <w:r w:rsidR="005311D6" w:rsidRPr="001800B7">
              <w:rPr>
                <w:rFonts w:eastAsia="Times New Roman"/>
                <w:szCs w:val="22"/>
                <w:lang w:eastAsia="en-US"/>
              </w:rPr>
              <w:t>’</w:t>
            </w:r>
            <w:r w:rsidRPr="001800B7">
              <w:rPr>
                <w:rFonts w:eastAsia="Times New Roman"/>
                <w:szCs w:val="22"/>
                <w:lang w:eastAsia="en-US"/>
              </w:rPr>
              <w:t xml:space="preserve">adresse suivante : </w:t>
            </w:r>
            <w:hyperlink r:id="rId52" w:history="1">
              <w:r w:rsidRPr="001800B7">
                <w:rPr>
                  <w:rStyle w:val="Hyperlink"/>
                  <w:rFonts w:eastAsia="Times New Roman"/>
                  <w:color w:val="auto"/>
                  <w:szCs w:val="22"/>
                  <w:lang w:eastAsia="en-US"/>
                </w:rPr>
                <w:t>http://www.wipo.int/cooperation/fr/south_south/</w:t>
              </w:r>
            </w:hyperlink>
            <w:r w:rsidRPr="001800B7">
              <w:rPr>
                <w:rFonts w:eastAsia="Times New Roman"/>
                <w:szCs w:val="22"/>
                <w:lang w:eastAsia="en-US"/>
              </w:rPr>
              <w:t>.</w:t>
            </w:r>
          </w:p>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En raison du déploiement tardif des outils en ligne, aucune statistique n</w:t>
            </w:r>
            <w:r w:rsidR="005311D6" w:rsidRPr="001800B7">
              <w:rPr>
                <w:rFonts w:eastAsia="Times New Roman"/>
                <w:szCs w:val="22"/>
                <w:lang w:eastAsia="en-US"/>
              </w:rPr>
              <w:t>’</w:t>
            </w:r>
            <w:r w:rsidRPr="001800B7">
              <w:rPr>
                <w:rFonts w:eastAsia="Times New Roman"/>
                <w:szCs w:val="22"/>
                <w:lang w:eastAsia="en-US"/>
              </w:rPr>
              <w:t>est disponible pour l</w:t>
            </w:r>
            <w:r w:rsidR="005311D6" w:rsidRPr="001800B7">
              <w:rPr>
                <w:rFonts w:eastAsia="Times New Roman"/>
                <w:szCs w:val="22"/>
                <w:lang w:eastAsia="en-US"/>
              </w:rPr>
              <w:t>’</w:t>
            </w:r>
            <w:r w:rsidRPr="001800B7">
              <w:rPr>
                <w:rFonts w:eastAsia="Times New Roman"/>
                <w:szCs w:val="22"/>
                <w:lang w:eastAsia="en-US"/>
              </w:rPr>
              <w:t>instant.</w:t>
            </w:r>
          </w:p>
        </w:tc>
        <w:tc>
          <w:tcPr>
            <w:tcW w:w="1455" w:type="dxa"/>
            <w:shd w:val="clear" w:color="auto" w:fill="auto"/>
          </w:tcPr>
          <w:p w:rsidR="00F30D9D" w:rsidRPr="001800B7" w:rsidRDefault="00F30D9D" w:rsidP="00F30D9D">
            <w:pPr>
              <w:spacing w:before="100" w:after="100"/>
              <w:rPr>
                <w:rFonts w:eastAsia="Times New Roman"/>
                <w:szCs w:val="22"/>
                <w:lang w:eastAsia="en-US"/>
              </w:rPr>
            </w:pPr>
            <w:r w:rsidRPr="001800B7">
              <w:rPr>
                <w:rFonts w:eastAsia="Times New Roman"/>
                <w:szCs w:val="22"/>
                <w:lang w:eastAsia="en-US"/>
              </w:rPr>
              <w:t>***</w:t>
            </w:r>
          </w:p>
        </w:tc>
      </w:tr>
      <w:tr w:rsidR="001800B7" w:rsidRPr="001800B7" w:rsidTr="00F30D9D">
        <w:tc>
          <w:tcPr>
            <w:tcW w:w="2366" w:type="dxa"/>
            <w:shd w:val="clear" w:color="auto" w:fill="auto"/>
          </w:tcPr>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lastRenderedPageBreak/>
              <w:t>Coordonnateur de la coopération Sud</w:t>
            </w:r>
            <w:r w:rsidR="001800B7" w:rsidRPr="001800B7">
              <w:rPr>
                <w:rFonts w:eastAsia="Times New Roman"/>
                <w:szCs w:val="22"/>
                <w:lang w:eastAsia="en-US"/>
              </w:rPr>
              <w:noBreakHyphen/>
            </w:r>
            <w:r w:rsidRPr="001800B7">
              <w:rPr>
                <w:rFonts w:eastAsia="Times New Roman"/>
                <w:szCs w:val="22"/>
                <w:lang w:eastAsia="en-US"/>
              </w:rPr>
              <w:t>Sud.</w:t>
            </w:r>
          </w:p>
        </w:tc>
        <w:tc>
          <w:tcPr>
            <w:tcW w:w="2694" w:type="dxa"/>
            <w:shd w:val="clear" w:color="auto" w:fill="auto"/>
          </w:tcPr>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Désignation d</w:t>
            </w:r>
            <w:r w:rsidR="005311D6" w:rsidRPr="001800B7">
              <w:rPr>
                <w:rFonts w:eastAsia="Times New Roman"/>
                <w:szCs w:val="22"/>
                <w:lang w:eastAsia="en-US"/>
              </w:rPr>
              <w:t>’</w:t>
            </w:r>
            <w:r w:rsidRPr="001800B7">
              <w:rPr>
                <w:rFonts w:eastAsia="Times New Roman"/>
                <w:szCs w:val="22"/>
                <w:lang w:eastAsia="en-US"/>
              </w:rPr>
              <w:t>un coordonnateur de la coopération Sud</w:t>
            </w:r>
            <w:r w:rsidR="001800B7" w:rsidRPr="001800B7">
              <w:rPr>
                <w:rFonts w:eastAsia="Times New Roman"/>
                <w:szCs w:val="22"/>
                <w:lang w:eastAsia="en-US"/>
              </w:rPr>
              <w:noBreakHyphen/>
            </w:r>
            <w:r w:rsidRPr="001800B7">
              <w:rPr>
                <w:rFonts w:eastAsia="Times New Roman"/>
                <w:szCs w:val="22"/>
                <w:lang w:eastAsia="en-US"/>
              </w:rPr>
              <w:t>Sud au sein du Secrétariat de l</w:t>
            </w:r>
            <w:r w:rsidR="005311D6" w:rsidRPr="001800B7">
              <w:rPr>
                <w:rFonts w:eastAsia="Times New Roman"/>
                <w:szCs w:val="22"/>
                <w:lang w:eastAsia="en-US"/>
              </w:rPr>
              <w:t>’</w:t>
            </w:r>
            <w:r w:rsidRPr="001800B7">
              <w:rPr>
                <w:rFonts w:eastAsia="Times New Roman"/>
                <w:szCs w:val="22"/>
                <w:lang w:eastAsia="en-US"/>
              </w:rPr>
              <w:t>OMPI.</w:t>
            </w:r>
          </w:p>
          <w:p w:rsidR="00F30D9D" w:rsidRPr="001800B7" w:rsidRDefault="00F30D9D" w:rsidP="00F30D9D">
            <w:pPr>
              <w:keepNext/>
              <w:spacing w:before="120" w:after="120"/>
              <w:rPr>
                <w:rFonts w:eastAsia="Times New Roman"/>
                <w:szCs w:val="22"/>
                <w:lang w:eastAsia="en-US"/>
              </w:rPr>
            </w:pPr>
            <w:r w:rsidRPr="001800B7">
              <w:rPr>
                <w:rFonts w:eastAsia="Times New Roman"/>
                <w:szCs w:val="22"/>
                <w:lang w:eastAsia="en-US"/>
              </w:rPr>
              <w:t>Rapports périodiques présentés par le coordonnateur aux États membres.</w:t>
            </w:r>
          </w:p>
        </w:tc>
        <w:tc>
          <w:tcPr>
            <w:tcW w:w="2976" w:type="dxa"/>
            <w:shd w:val="clear" w:color="auto" w:fill="auto"/>
          </w:tcPr>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 xml:space="preserve">Chef de projet désigné comme coordonnateur </w:t>
            </w:r>
            <w:r w:rsidRPr="001800B7">
              <w:rPr>
                <w:rFonts w:eastAsia="Times New Roman"/>
                <w:i/>
                <w:szCs w:val="22"/>
                <w:lang w:eastAsia="en-US"/>
              </w:rPr>
              <w:t>de facto</w:t>
            </w:r>
            <w:r w:rsidRPr="001800B7">
              <w:rPr>
                <w:rFonts w:eastAsia="Times New Roman"/>
                <w:szCs w:val="22"/>
                <w:lang w:eastAsia="en-US"/>
              </w:rPr>
              <w:t xml:space="preserve"> de la coopération Sud</w:t>
            </w:r>
            <w:r w:rsidR="001800B7" w:rsidRPr="001800B7">
              <w:rPr>
                <w:rFonts w:eastAsia="Times New Roman"/>
                <w:szCs w:val="22"/>
                <w:lang w:eastAsia="en-US"/>
              </w:rPr>
              <w:noBreakHyphen/>
            </w:r>
            <w:r w:rsidRPr="001800B7">
              <w:rPr>
                <w:rFonts w:eastAsia="Times New Roman"/>
                <w:szCs w:val="22"/>
                <w:lang w:eastAsia="en-US"/>
              </w:rPr>
              <w:t>Sud en raison de la nature ponctuelle du projet.</w:t>
            </w:r>
          </w:p>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Les activités que l</w:t>
            </w:r>
            <w:r w:rsidR="005311D6" w:rsidRPr="001800B7">
              <w:rPr>
                <w:rFonts w:eastAsia="Times New Roman"/>
                <w:szCs w:val="22"/>
                <w:lang w:eastAsia="en-US"/>
              </w:rPr>
              <w:t>’</w:t>
            </w:r>
            <w:r w:rsidRPr="001800B7">
              <w:rPr>
                <w:rFonts w:eastAsia="Times New Roman"/>
                <w:szCs w:val="22"/>
                <w:lang w:eastAsia="en-US"/>
              </w:rPr>
              <w:t>OMPI mène en coopération avec l</w:t>
            </w:r>
            <w:r w:rsidR="005311D6" w:rsidRPr="001800B7">
              <w:rPr>
                <w:rFonts w:eastAsia="Times New Roman"/>
                <w:szCs w:val="22"/>
                <w:lang w:eastAsia="en-US"/>
              </w:rPr>
              <w:t>’</w:t>
            </w:r>
            <w:r w:rsidRPr="001800B7">
              <w:rPr>
                <w:rFonts w:eastAsia="Times New Roman"/>
                <w:szCs w:val="22"/>
                <w:lang w:eastAsia="en-US"/>
              </w:rPr>
              <w:t>UNOSSC font l</w:t>
            </w:r>
            <w:r w:rsidR="005311D6" w:rsidRPr="001800B7">
              <w:rPr>
                <w:rFonts w:eastAsia="Times New Roman"/>
                <w:szCs w:val="22"/>
                <w:lang w:eastAsia="en-US"/>
              </w:rPr>
              <w:t>’</w:t>
            </w:r>
            <w:r w:rsidRPr="001800B7">
              <w:rPr>
                <w:rFonts w:eastAsia="Times New Roman"/>
                <w:szCs w:val="22"/>
                <w:lang w:eastAsia="en-US"/>
              </w:rPr>
              <w:t>objet des rapports CDIP/10/2 et CDIP/12/2, et du présent rapport.</w:t>
            </w:r>
          </w:p>
        </w:tc>
        <w:tc>
          <w:tcPr>
            <w:tcW w:w="1455" w:type="dxa"/>
            <w:shd w:val="clear" w:color="auto" w:fill="auto"/>
          </w:tcPr>
          <w:p w:rsidR="00F30D9D" w:rsidRPr="001800B7" w:rsidRDefault="00F30D9D" w:rsidP="00F30D9D">
            <w:pPr>
              <w:spacing w:before="120" w:after="120"/>
              <w:rPr>
                <w:rFonts w:eastAsia="Times New Roman"/>
                <w:szCs w:val="22"/>
                <w:lang w:eastAsia="en-US"/>
              </w:rPr>
            </w:pPr>
            <w:r w:rsidRPr="001800B7">
              <w:rPr>
                <w:rFonts w:eastAsia="Times New Roman"/>
                <w:szCs w:val="22"/>
                <w:lang w:eastAsia="en-US"/>
              </w:rPr>
              <w:t>***</w:t>
            </w:r>
          </w:p>
        </w:tc>
      </w:tr>
    </w:tbl>
    <w:p w:rsidR="00F30D9D" w:rsidRPr="001800B7" w:rsidRDefault="00F30D9D" w:rsidP="00F30D9D">
      <w:pPr>
        <w:rPr>
          <w:rFonts w:eastAsia="Times New Roman"/>
          <w:szCs w:val="22"/>
          <w:lang w:eastAsia="en-US"/>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6"/>
        <w:gridCol w:w="2694"/>
        <w:gridCol w:w="2975"/>
        <w:gridCol w:w="1456"/>
      </w:tblGrid>
      <w:tr w:rsidR="001800B7" w:rsidRPr="001800B7" w:rsidTr="00F30D9D">
        <w:trPr>
          <w:trHeight w:val="616"/>
        </w:trPr>
        <w:tc>
          <w:tcPr>
            <w:tcW w:w="2366" w:type="dxa"/>
            <w:shd w:val="clear" w:color="auto" w:fill="auto"/>
            <w:vAlign w:val="center"/>
          </w:tcPr>
          <w:p w:rsidR="00F30D9D" w:rsidRPr="001800B7" w:rsidRDefault="00F30D9D" w:rsidP="00F30D9D">
            <w:pPr>
              <w:spacing w:before="120" w:after="120"/>
              <w:jc w:val="center"/>
              <w:rPr>
                <w:szCs w:val="22"/>
                <w:u w:val="single"/>
              </w:rPr>
            </w:pPr>
            <w:r w:rsidRPr="001800B7">
              <w:rPr>
                <w:szCs w:val="22"/>
                <w:u w:val="single"/>
              </w:rPr>
              <w:t xml:space="preserve">Objectifs </w:t>
            </w:r>
            <w:r w:rsidRPr="001800B7">
              <w:rPr>
                <w:szCs w:val="22"/>
                <w:u w:val="single"/>
              </w:rPr>
              <w:br/>
              <w:t>du projet</w:t>
            </w:r>
          </w:p>
        </w:tc>
        <w:tc>
          <w:tcPr>
            <w:tcW w:w="2694" w:type="dxa"/>
            <w:shd w:val="clear" w:color="auto" w:fill="auto"/>
            <w:vAlign w:val="center"/>
          </w:tcPr>
          <w:p w:rsidR="00F30D9D" w:rsidRPr="001800B7" w:rsidRDefault="00F30D9D" w:rsidP="00F30D9D">
            <w:pPr>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shd w:val="clear" w:color="auto" w:fill="auto"/>
            <w:vAlign w:val="center"/>
          </w:tcPr>
          <w:p w:rsidR="00F30D9D" w:rsidRPr="001800B7" w:rsidRDefault="00F30D9D" w:rsidP="00F30D9D">
            <w:pPr>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shd w:val="clear" w:color="auto" w:fill="auto"/>
            <w:vAlign w:val="center"/>
          </w:tcPr>
          <w:p w:rsidR="00F30D9D" w:rsidRPr="001800B7" w:rsidRDefault="00F30D9D" w:rsidP="00F30D9D">
            <w:pPr>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F30D9D">
        <w:trPr>
          <w:trHeight w:val="509"/>
        </w:trPr>
        <w:tc>
          <w:tcPr>
            <w:tcW w:w="2366" w:type="dxa"/>
            <w:shd w:val="clear" w:color="auto" w:fill="auto"/>
          </w:tcPr>
          <w:p w:rsidR="00F30D9D" w:rsidRPr="001800B7" w:rsidRDefault="00F30D9D" w:rsidP="00F30D9D">
            <w:pPr>
              <w:spacing w:before="120" w:after="120"/>
              <w:rPr>
                <w:szCs w:val="22"/>
              </w:rPr>
            </w:pPr>
            <w:r w:rsidRPr="001800B7">
              <w:rPr>
                <w:szCs w:val="22"/>
              </w:rPr>
              <w:t>Meilleure compréhension de la propriété intellectuelle et de sa contribution potentielle au développement dans les pays en développement et les PMA;</w:t>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 xml:space="preserve">Recensement des priorités et des besoins spécifiques des pays en développement et des PMA dans le domaine de la propriété intellectuelle au service du développement, </w:t>
            </w:r>
            <w:r w:rsidR="005311D6" w:rsidRPr="001800B7">
              <w:rPr>
                <w:szCs w:val="22"/>
              </w:rPr>
              <w:t>y compris</w:t>
            </w:r>
            <w:r w:rsidRPr="001800B7">
              <w:rPr>
                <w:szCs w:val="22"/>
              </w:rPr>
              <w:t xml:space="preserve"> l</w:t>
            </w:r>
            <w:r w:rsidR="005311D6" w:rsidRPr="001800B7">
              <w:rPr>
                <w:szCs w:val="22"/>
              </w:rPr>
              <w:t>’</w:t>
            </w:r>
            <w:r w:rsidRPr="001800B7">
              <w:rPr>
                <w:szCs w:val="22"/>
              </w:rPr>
              <w:t>établissement de normes aux niveaux national, régional et international.</w:t>
            </w:r>
          </w:p>
          <w:p w:rsidR="00F30D9D" w:rsidRPr="001800B7" w:rsidRDefault="00F30D9D" w:rsidP="00F30D9D">
            <w:pPr>
              <w:spacing w:before="120" w:after="120"/>
              <w:rPr>
                <w:szCs w:val="22"/>
              </w:rPr>
            </w:pPr>
            <w:r w:rsidRPr="001800B7">
              <w:rPr>
                <w:szCs w:val="22"/>
              </w:rPr>
              <w:t xml:space="preserve">Adoption dans le Sud de politiques de propriété intellectuelle nationales et régionales élaborées en connaissance de cause et tenant compte du contexte </w:t>
            </w:r>
            <w:r w:rsidRPr="001800B7">
              <w:rPr>
                <w:szCs w:val="22"/>
              </w:rPr>
              <w:lastRenderedPageBreak/>
              <w:t>socioéconomique;</w:t>
            </w:r>
          </w:p>
          <w:p w:rsidR="00F30D9D" w:rsidRPr="001800B7" w:rsidRDefault="00F30D9D" w:rsidP="00F30D9D">
            <w:pPr>
              <w:spacing w:before="120" w:after="120"/>
              <w:rPr>
                <w:szCs w:val="22"/>
              </w:rPr>
            </w:pPr>
            <w:r w:rsidRPr="001800B7">
              <w:rPr>
                <w:szCs w:val="22"/>
              </w:rPr>
              <w:t>Meilleure protection des créations nationales et stimulation de l</w:t>
            </w:r>
            <w:r w:rsidR="005311D6" w:rsidRPr="001800B7">
              <w:rPr>
                <w:szCs w:val="22"/>
              </w:rPr>
              <w:t>’</w:t>
            </w:r>
            <w:r w:rsidRPr="001800B7">
              <w:rPr>
                <w:szCs w:val="22"/>
              </w:rPr>
              <w:t>innovation dans les pays en développement et les PMA;</w:t>
            </w:r>
          </w:p>
          <w:p w:rsidR="00F30D9D" w:rsidRPr="001800B7" w:rsidRDefault="00F30D9D" w:rsidP="00F30D9D">
            <w:pPr>
              <w:spacing w:before="120" w:after="120"/>
              <w:rPr>
                <w:szCs w:val="22"/>
              </w:rPr>
            </w:pPr>
            <w:r w:rsidRPr="001800B7">
              <w:rPr>
                <w:szCs w:val="22"/>
              </w:rPr>
              <w:t>Promotion du transfert et de la diffusion de la technologie;</w:t>
            </w:r>
          </w:p>
          <w:p w:rsidR="00F30D9D" w:rsidRPr="001800B7" w:rsidRDefault="00F30D9D" w:rsidP="00F30D9D">
            <w:pPr>
              <w:spacing w:before="120" w:after="120"/>
              <w:rPr>
                <w:szCs w:val="22"/>
              </w:rPr>
            </w:pPr>
            <w:r w:rsidRPr="001800B7">
              <w:rPr>
                <w:szCs w:val="22"/>
              </w:rPr>
              <w:t>Renforcement de l</w:t>
            </w:r>
            <w:r w:rsidR="005311D6" w:rsidRPr="001800B7">
              <w:rPr>
                <w:szCs w:val="22"/>
              </w:rPr>
              <w:t>’</w:t>
            </w:r>
            <w:r w:rsidRPr="001800B7">
              <w:rPr>
                <w:szCs w:val="22"/>
              </w:rPr>
              <w:t>infrastructure et des capacités des pays en développement et des PMA s</w:t>
            </w:r>
            <w:r w:rsidR="005311D6" w:rsidRPr="001800B7">
              <w:rPr>
                <w:szCs w:val="22"/>
              </w:rPr>
              <w:t>’</w:t>
            </w:r>
            <w:r w:rsidRPr="001800B7">
              <w:rPr>
                <w:szCs w:val="22"/>
              </w:rPr>
              <w:t>agissant d</w:t>
            </w:r>
            <w:r w:rsidR="005311D6" w:rsidRPr="001800B7">
              <w:rPr>
                <w:szCs w:val="22"/>
              </w:rPr>
              <w:t>’</w:t>
            </w:r>
            <w:r w:rsidRPr="001800B7">
              <w:rPr>
                <w:szCs w:val="22"/>
              </w:rPr>
              <w:t>utiliser le plus efficacement possible la propriété intellectuelle au service du développement compte tenu de leur situation socioéconomique et de leurs différents niveaux de développement;  et</w:t>
            </w:r>
          </w:p>
          <w:p w:rsidR="00F30D9D" w:rsidRPr="001800B7" w:rsidRDefault="00F30D9D" w:rsidP="00F30D9D">
            <w:pPr>
              <w:spacing w:before="120" w:after="120"/>
              <w:rPr>
                <w:szCs w:val="22"/>
              </w:rPr>
            </w:pPr>
            <w:r w:rsidRPr="001800B7">
              <w:rPr>
                <w:szCs w:val="22"/>
              </w:rPr>
              <w:t>Renforcement de la capacité des pays en développement et des PMA à partager leurs savoirs et leurs données d</w:t>
            </w:r>
            <w:r w:rsidR="005311D6" w:rsidRPr="001800B7">
              <w:rPr>
                <w:szCs w:val="22"/>
              </w:rPr>
              <w:t>’</w:t>
            </w:r>
            <w:r w:rsidRPr="001800B7">
              <w:rPr>
                <w:szCs w:val="22"/>
              </w:rPr>
              <w:t>expérience dans le domaine de la propriété intellectuelle au service du développement.</w:t>
            </w:r>
          </w:p>
        </w:tc>
        <w:tc>
          <w:tcPr>
            <w:tcW w:w="2694" w:type="dxa"/>
            <w:shd w:val="clear" w:color="auto" w:fill="auto"/>
          </w:tcPr>
          <w:p w:rsidR="00F30D9D" w:rsidRPr="001800B7" w:rsidRDefault="00F30D9D" w:rsidP="00F30D9D">
            <w:pPr>
              <w:autoSpaceDE w:val="0"/>
              <w:autoSpaceDN w:val="0"/>
              <w:adjustRightInd w:val="0"/>
              <w:spacing w:before="120" w:after="120"/>
              <w:rPr>
                <w:szCs w:val="22"/>
              </w:rPr>
            </w:pPr>
            <w:r w:rsidRPr="001800B7">
              <w:rPr>
                <w:szCs w:val="22"/>
              </w:rPr>
              <w:lastRenderedPageBreak/>
              <w:t xml:space="preserve">Incidence sur les pratiques dans les États membres, </w:t>
            </w:r>
            <w:r w:rsidR="005311D6" w:rsidRPr="001800B7">
              <w:rPr>
                <w:szCs w:val="22"/>
              </w:rPr>
              <w:t>y compris</w:t>
            </w:r>
            <w:r w:rsidRPr="001800B7">
              <w:rPr>
                <w:szCs w:val="22"/>
              </w:rPr>
              <w:t xml:space="preserve"> sur l</w:t>
            </w:r>
            <w:r w:rsidR="005311D6" w:rsidRPr="001800B7">
              <w:rPr>
                <w:szCs w:val="22"/>
              </w:rPr>
              <w:t>’</w:t>
            </w:r>
            <w:r w:rsidRPr="001800B7">
              <w:rPr>
                <w:szCs w:val="22"/>
              </w:rPr>
              <w:t>élaboration d</w:t>
            </w:r>
            <w:r w:rsidR="005311D6" w:rsidRPr="001800B7">
              <w:rPr>
                <w:szCs w:val="22"/>
              </w:rPr>
              <w:t>’</w:t>
            </w:r>
            <w:r w:rsidRPr="001800B7">
              <w:rPr>
                <w:szCs w:val="22"/>
              </w:rPr>
              <w:t>une politique et d</w:t>
            </w:r>
            <w:r w:rsidR="005311D6" w:rsidRPr="001800B7">
              <w:rPr>
                <w:szCs w:val="22"/>
              </w:rPr>
              <w:t>’</w:t>
            </w:r>
            <w:r w:rsidRPr="001800B7">
              <w:rPr>
                <w:szCs w:val="22"/>
              </w:rPr>
              <w:t>une législation nationales en matière de propriété intellectuelle et sur sa mise en œuvre, et sur l</w:t>
            </w:r>
            <w:r w:rsidR="005311D6" w:rsidRPr="001800B7">
              <w:rPr>
                <w:szCs w:val="22"/>
              </w:rPr>
              <w:t>’</w:t>
            </w:r>
            <w:r w:rsidRPr="001800B7">
              <w:rPr>
                <w:szCs w:val="22"/>
              </w:rPr>
              <w:t>utilisation des éléments de flexibilité (questionnaire d</w:t>
            </w:r>
            <w:r w:rsidR="005311D6" w:rsidRPr="001800B7">
              <w:rPr>
                <w:szCs w:val="22"/>
              </w:rPr>
              <w:t>’</w:t>
            </w:r>
            <w:r w:rsidRPr="001800B7">
              <w:rPr>
                <w:szCs w:val="22"/>
              </w:rPr>
              <w:t>enquête).</w:t>
            </w:r>
          </w:p>
          <w:p w:rsidR="00F30D9D" w:rsidRPr="001800B7" w:rsidRDefault="00F30D9D" w:rsidP="00F30D9D">
            <w:pPr>
              <w:autoSpaceDE w:val="0"/>
              <w:autoSpaceDN w:val="0"/>
              <w:adjustRightInd w:val="0"/>
              <w:spacing w:before="120" w:after="120"/>
              <w:rPr>
                <w:szCs w:val="22"/>
              </w:rPr>
            </w:pPr>
            <w:r w:rsidRPr="001800B7">
              <w:rPr>
                <w:szCs w:val="22"/>
              </w:rPr>
              <w:t>Statistiques sur l</w:t>
            </w:r>
            <w:r w:rsidR="005311D6" w:rsidRPr="001800B7">
              <w:rPr>
                <w:szCs w:val="22"/>
              </w:rPr>
              <w:t>’</w:t>
            </w:r>
            <w:r w:rsidRPr="001800B7">
              <w:rPr>
                <w:szCs w:val="22"/>
              </w:rPr>
              <w:t>utilisation du dispositif de mise en parallèle</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autoSpaceDE w:val="0"/>
              <w:autoSpaceDN w:val="0"/>
              <w:adjustRightInd w:val="0"/>
              <w:spacing w:before="120" w:after="120"/>
              <w:rPr>
                <w:szCs w:val="22"/>
              </w:rPr>
            </w:pPr>
            <w:r w:rsidRPr="001800B7">
              <w:rPr>
                <w:szCs w:val="22"/>
              </w:rPr>
              <w:t>Statistiques et retours d</w:t>
            </w:r>
            <w:r w:rsidR="005311D6" w:rsidRPr="001800B7">
              <w:rPr>
                <w:szCs w:val="22"/>
              </w:rPr>
              <w:t>’</w:t>
            </w:r>
            <w:r w:rsidRPr="001800B7">
              <w:rPr>
                <w:szCs w:val="22"/>
              </w:rPr>
              <w:t>information sur la consultation de la page Web.</w:t>
            </w:r>
            <w:r w:rsidRPr="001800B7">
              <w:rPr>
                <w:szCs w:val="22"/>
              </w:rPr>
              <w:br/>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autoSpaceDE w:val="0"/>
              <w:autoSpaceDN w:val="0"/>
              <w:adjustRightInd w:val="0"/>
              <w:spacing w:before="120" w:after="120"/>
              <w:rPr>
                <w:szCs w:val="22"/>
              </w:rPr>
            </w:pPr>
            <w:r w:rsidRPr="001800B7">
              <w:rPr>
                <w:szCs w:val="22"/>
              </w:rPr>
              <w:t>Statistiques et retours d</w:t>
            </w:r>
            <w:r w:rsidR="005311D6" w:rsidRPr="001800B7">
              <w:rPr>
                <w:szCs w:val="22"/>
              </w:rPr>
              <w:t>’</w:t>
            </w:r>
            <w:r w:rsidRPr="001800B7">
              <w:rPr>
                <w:szCs w:val="22"/>
              </w:rPr>
              <w:t>information sur l</w:t>
            </w:r>
            <w:r w:rsidR="005311D6" w:rsidRPr="001800B7">
              <w:rPr>
                <w:szCs w:val="22"/>
              </w:rPr>
              <w:t>’</w:t>
            </w:r>
            <w:r w:rsidRPr="001800B7">
              <w:rPr>
                <w:szCs w:val="22"/>
              </w:rPr>
              <w:t>utilisation du réseau virtuel.</w:t>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autoSpaceDE w:val="0"/>
              <w:autoSpaceDN w:val="0"/>
              <w:adjustRightInd w:val="0"/>
              <w:spacing w:before="120" w:after="120"/>
              <w:rPr>
                <w:szCs w:val="22"/>
              </w:rPr>
            </w:pPr>
            <w:r w:rsidRPr="001800B7">
              <w:rPr>
                <w:szCs w:val="22"/>
              </w:rPr>
              <w:t>Statistiques sur le recours à des consultants provenant de pays en développement et de PMA.</w:t>
            </w:r>
          </w:p>
        </w:tc>
        <w:tc>
          <w:tcPr>
            <w:tcW w:w="2975" w:type="dxa"/>
            <w:shd w:val="clear" w:color="auto" w:fill="auto"/>
          </w:tcPr>
          <w:p w:rsidR="00F30D9D" w:rsidRPr="001800B7" w:rsidRDefault="00F30D9D" w:rsidP="00F30D9D">
            <w:pPr>
              <w:spacing w:before="120" w:after="120"/>
              <w:rPr>
                <w:szCs w:val="22"/>
              </w:rPr>
            </w:pPr>
            <w:r w:rsidRPr="001800B7">
              <w:rPr>
                <w:szCs w:val="22"/>
              </w:rPr>
              <w:lastRenderedPageBreak/>
              <w:t>Pour l</w:t>
            </w:r>
            <w:r w:rsidR="005311D6" w:rsidRPr="001800B7">
              <w:rPr>
                <w:szCs w:val="22"/>
              </w:rPr>
              <w:t>’</w:t>
            </w:r>
            <w:r w:rsidRPr="001800B7">
              <w:rPr>
                <w:szCs w:val="22"/>
              </w:rPr>
              <w:t>évaluation détaillée des incidences, de l</w:t>
            </w:r>
            <w:r w:rsidR="005311D6" w:rsidRPr="001800B7">
              <w:rPr>
                <w:szCs w:val="22"/>
              </w:rPr>
              <w:t>’</w:t>
            </w:r>
            <w:r w:rsidRPr="001800B7">
              <w:rPr>
                <w:szCs w:val="22"/>
              </w:rPr>
              <w:t>intérêt et de l</w:t>
            </w:r>
            <w:r w:rsidR="005311D6" w:rsidRPr="001800B7">
              <w:rPr>
                <w:szCs w:val="22"/>
              </w:rPr>
              <w:t>’</w:t>
            </w:r>
            <w:r w:rsidRPr="001800B7">
              <w:rPr>
                <w:szCs w:val="22"/>
              </w:rPr>
              <w:t>efficacité du projet, voir le rapport d</w:t>
            </w:r>
            <w:r w:rsidR="005311D6" w:rsidRPr="001800B7">
              <w:rPr>
                <w:szCs w:val="22"/>
              </w:rPr>
              <w:t>’</w:t>
            </w:r>
            <w:r w:rsidRPr="001800B7">
              <w:rPr>
                <w:szCs w:val="22"/>
              </w:rPr>
              <w:t xml:space="preserve">évaluation final : </w:t>
            </w:r>
            <w:hyperlink r:id="rId53" w:history="1">
              <w:r w:rsidRPr="001800B7">
                <w:rPr>
                  <w:rStyle w:val="Hyperlink"/>
                  <w:color w:val="auto"/>
                  <w:szCs w:val="22"/>
                </w:rPr>
                <w:t>http://www.wipo.int/meetings/fr/doc_details.jsp?doc_id=268822</w:t>
              </w:r>
            </w:hyperlink>
            <w:r w:rsidRPr="001800B7">
              <w:rPr>
                <w:szCs w:val="22"/>
              </w:rPr>
              <w:t>.</w:t>
            </w:r>
            <w:r w:rsidRPr="001800B7">
              <w:rPr>
                <w:szCs w:val="22"/>
              </w:rPr>
              <w:br/>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Les statistiques voulues concernant les outils en ligne seront fournies à un stade ultérieur de la mise en œuvre du projet.</w:t>
            </w:r>
          </w:p>
        </w:tc>
        <w:tc>
          <w:tcPr>
            <w:tcW w:w="1456" w:type="dxa"/>
            <w:shd w:val="clear" w:color="auto" w:fill="auto"/>
          </w:tcPr>
          <w:p w:rsidR="00F30D9D" w:rsidRPr="001800B7" w:rsidRDefault="00F30D9D" w:rsidP="00F30D9D">
            <w:pPr>
              <w:spacing w:before="120" w:after="120"/>
              <w:rPr>
                <w:szCs w:val="22"/>
              </w:rPr>
            </w:pPr>
            <w:r w:rsidRPr="001800B7">
              <w:rPr>
                <w:szCs w:val="22"/>
              </w:rPr>
              <w:t>***</w:t>
            </w:r>
          </w:p>
        </w:tc>
      </w:tr>
    </w:tbl>
    <w:p w:rsidR="00F30D9D" w:rsidRPr="001800B7" w:rsidRDefault="00F30D9D" w:rsidP="00F30D9D">
      <w:pPr>
        <w:pStyle w:val="Endofdocument"/>
        <w:ind w:left="0"/>
        <w:jc w:val="left"/>
        <w:rPr>
          <w:rFonts w:ascii="Arial" w:hAnsi="Arial" w:cs="Arial"/>
          <w:sz w:val="22"/>
          <w:szCs w:val="22"/>
        </w:rPr>
      </w:pPr>
    </w:p>
    <w:p w:rsidR="00F30D9D" w:rsidRPr="001800B7" w:rsidRDefault="00F30D9D" w:rsidP="00F30D9D">
      <w:pPr>
        <w:pStyle w:val="Endofdocument"/>
        <w:ind w:left="0"/>
        <w:jc w:val="left"/>
        <w:rPr>
          <w:rFonts w:ascii="Arial" w:hAnsi="Arial" w:cs="Arial"/>
          <w:sz w:val="22"/>
          <w:szCs w:val="22"/>
        </w:rPr>
      </w:pPr>
    </w:p>
    <w:p w:rsidR="00F30D9D" w:rsidRPr="001800B7" w:rsidRDefault="00F30D9D" w:rsidP="00F30D9D">
      <w:pPr>
        <w:pStyle w:val="Endofdocument"/>
        <w:ind w:left="0"/>
        <w:jc w:val="left"/>
        <w:rPr>
          <w:rFonts w:ascii="Arial" w:hAnsi="Arial" w:cs="Arial"/>
          <w:sz w:val="22"/>
          <w:szCs w:val="22"/>
        </w:rPr>
      </w:pPr>
    </w:p>
    <w:p w:rsidR="00F30D9D" w:rsidRPr="001800B7" w:rsidRDefault="00F30D9D" w:rsidP="00F30D9D">
      <w:pPr>
        <w:pStyle w:val="Endofdocument-Annex"/>
        <w:rPr>
          <w:szCs w:val="22"/>
        </w:rPr>
      </w:pPr>
      <w:r w:rsidRPr="001800B7">
        <w:rPr>
          <w:szCs w:val="22"/>
        </w:rPr>
        <w:t>[L</w:t>
      </w:r>
      <w:r w:rsidR="005311D6" w:rsidRPr="001800B7">
        <w:rPr>
          <w:szCs w:val="22"/>
        </w:rPr>
        <w:t>’</w:t>
      </w:r>
      <w:r w:rsidRPr="001800B7">
        <w:rPr>
          <w:szCs w:val="22"/>
        </w:rPr>
        <w:t>annexe VI suit]</w:t>
      </w:r>
    </w:p>
    <w:p w:rsidR="00F30D9D" w:rsidRPr="001800B7" w:rsidRDefault="00F30D9D" w:rsidP="00F30D9D">
      <w:pPr>
        <w:tabs>
          <w:tab w:val="left" w:pos="3225"/>
        </w:tabs>
        <w:ind w:left="2445" w:firstLine="3225"/>
        <w:rPr>
          <w:szCs w:val="22"/>
        </w:rPr>
        <w:sectPr w:rsidR="00F30D9D" w:rsidRPr="001800B7" w:rsidSect="00F30D9D">
          <w:headerReference w:type="default" r:id="rId54"/>
          <w:headerReference w:type="first" r:id="rId55"/>
          <w:endnotePr>
            <w:numFmt w:val="decimal"/>
          </w:endnotePr>
          <w:pgSz w:w="11907" w:h="16840" w:code="9"/>
          <w:pgMar w:top="567" w:right="1134" w:bottom="1417" w:left="1417" w:header="510" w:footer="1020" w:gutter="0"/>
          <w:pgNumType w:start="1"/>
          <w:cols w:space="720"/>
          <w:titlePg/>
          <w:docGrid w:linePitch="299"/>
        </w:sect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7245"/>
      </w:tblGrid>
      <w:tr w:rsidR="001800B7" w:rsidRPr="001800B7" w:rsidTr="00F30D9D">
        <w:tc>
          <w:tcPr>
            <w:tcW w:w="9491" w:type="dxa"/>
            <w:gridSpan w:val="2"/>
            <w:shd w:val="clear" w:color="auto" w:fill="auto"/>
          </w:tcPr>
          <w:p w:rsidR="00F30D9D" w:rsidRPr="001800B7" w:rsidRDefault="00F30D9D" w:rsidP="00F30D9D">
            <w:pPr>
              <w:pStyle w:val="Heading2"/>
              <w:spacing w:before="100" w:after="100"/>
              <w:rPr>
                <w:szCs w:val="22"/>
              </w:rPr>
            </w:pPr>
            <w:r w:rsidRPr="001800B7">
              <w:rPr>
                <w:szCs w:val="22"/>
              </w:rPr>
              <w:lastRenderedPageBreak/>
              <w:t>RÉSUMÉ DU PROJET</w:t>
            </w:r>
          </w:p>
        </w:tc>
      </w:tr>
      <w:tr w:rsidR="001800B7" w:rsidRPr="001800B7" w:rsidTr="00F30D9D">
        <w:tc>
          <w:tcPr>
            <w:tcW w:w="2246" w:type="dxa"/>
            <w:shd w:val="clear" w:color="auto" w:fill="auto"/>
          </w:tcPr>
          <w:p w:rsidR="00F30D9D" w:rsidRPr="001800B7" w:rsidRDefault="00F30D9D" w:rsidP="00F30D9D">
            <w:pPr>
              <w:spacing w:before="100" w:after="100"/>
              <w:rPr>
                <w:bCs/>
                <w:szCs w:val="22"/>
                <w:u w:val="single"/>
              </w:rPr>
            </w:pPr>
            <w:r w:rsidRPr="001800B7">
              <w:rPr>
                <w:szCs w:val="22"/>
              </w:rPr>
              <w:t>Code du projet</w:t>
            </w:r>
          </w:p>
        </w:tc>
        <w:tc>
          <w:tcPr>
            <w:tcW w:w="7245" w:type="dxa"/>
            <w:shd w:val="clear" w:color="auto" w:fill="auto"/>
          </w:tcPr>
          <w:p w:rsidR="00F30D9D" w:rsidRPr="001800B7" w:rsidRDefault="00F30D9D" w:rsidP="00F30D9D">
            <w:pPr>
              <w:spacing w:before="100" w:after="100"/>
              <w:rPr>
                <w:i/>
                <w:szCs w:val="22"/>
              </w:rPr>
            </w:pPr>
            <w:r w:rsidRPr="001800B7">
              <w:rPr>
                <w:rFonts w:eastAsia="Malgun Gothic"/>
                <w:kern w:val="2"/>
                <w:szCs w:val="22"/>
                <w:lang w:eastAsia="ko-KR"/>
              </w:rPr>
              <w:t>DA_4_10_02</w:t>
            </w:r>
          </w:p>
        </w:tc>
      </w:tr>
      <w:tr w:rsidR="001800B7" w:rsidRPr="001800B7" w:rsidTr="00F30D9D">
        <w:tc>
          <w:tcPr>
            <w:tcW w:w="2246" w:type="dxa"/>
            <w:shd w:val="clear" w:color="auto" w:fill="auto"/>
          </w:tcPr>
          <w:p w:rsidR="00F30D9D" w:rsidRPr="001800B7" w:rsidRDefault="00F30D9D" w:rsidP="00F30D9D">
            <w:pPr>
              <w:spacing w:before="100" w:after="100"/>
              <w:rPr>
                <w:szCs w:val="22"/>
              </w:rPr>
            </w:pPr>
            <w:r w:rsidRPr="001800B7">
              <w:rPr>
                <w:szCs w:val="22"/>
              </w:rPr>
              <w:t>Titre</w:t>
            </w:r>
          </w:p>
        </w:tc>
        <w:tc>
          <w:tcPr>
            <w:tcW w:w="7245" w:type="dxa"/>
            <w:shd w:val="clear" w:color="auto" w:fill="auto"/>
          </w:tcPr>
          <w:p w:rsidR="00F30D9D" w:rsidRPr="001800B7" w:rsidRDefault="00F30D9D" w:rsidP="00F30D9D">
            <w:pPr>
              <w:spacing w:before="100" w:after="100"/>
              <w:rPr>
                <w:rFonts w:eastAsia="Malgun Gothic"/>
                <w:kern w:val="2"/>
                <w:szCs w:val="22"/>
                <w:lang w:eastAsia="ko-KR"/>
              </w:rPr>
            </w:pPr>
            <w:r w:rsidRPr="001800B7">
              <w:rPr>
                <w:rFonts w:eastAsia="Malgun Gothic"/>
                <w:kern w:val="2"/>
                <w:szCs w:val="22"/>
                <w:lang w:eastAsia="ko-KR"/>
              </w:rPr>
              <w:t>Projet pilote sur la propriété intellectuelle et la gestion des dessins et modèles pour le développement des entreprises dans les pays en développement et les pays les moins avancés (PMA)</w:t>
            </w:r>
          </w:p>
        </w:tc>
      </w:tr>
      <w:tr w:rsidR="001800B7" w:rsidRPr="001800B7" w:rsidTr="00F30D9D">
        <w:tc>
          <w:tcPr>
            <w:tcW w:w="2246" w:type="dxa"/>
            <w:shd w:val="clear" w:color="auto" w:fill="auto"/>
          </w:tcPr>
          <w:p w:rsidR="00F30D9D" w:rsidRPr="001800B7" w:rsidRDefault="00F30D9D" w:rsidP="00F30D9D">
            <w:pPr>
              <w:spacing w:before="100" w:after="100"/>
              <w:rPr>
                <w:szCs w:val="22"/>
              </w:rPr>
            </w:pPr>
            <w:r w:rsidRPr="001800B7">
              <w:rPr>
                <w:szCs w:val="22"/>
              </w:rPr>
              <w:t>Recommandations du Plan d</w:t>
            </w:r>
            <w:r w:rsidR="005311D6" w:rsidRPr="001800B7">
              <w:rPr>
                <w:szCs w:val="22"/>
              </w:rPr>
              <w:t>’</w:t>
            </w:r>
            <w:r w:rsidRPr="001800B7">
              <w:rPr>
                <w:szCs w:val="22"/>
              </w:rPr>
              <w:t>action pour le développement</w:t>
            </w:r>
          </w:p>
        </w:tc>
        <w:tc>
          <w:tcPr>
            <w:tcW w:w="7245" w:type="dxa"/>
            <w:shd w:val="clear" w:color="auto" w:fill="auto"/>
          </w:tcPr>
          <w:p w:rsidR="00F30D9D" w:rsidRPr="001800B7" w:rsidRDefault="00F30D9D" w:rsidP="00F30D9D">
            <w:pPr>
              <w:spacing w:before="100" w:after="100"/>
              <w:rPr>
                <w:rFonts w:eastAsia="Malgun Gothic"/>
                <w:kern w:val="2"/>
                <w:szCs w:val="22"/>
                <w:lang w:eastAsia="ko-KR"/>
              </w:rPr>
            </w:pPr>
            <w:r w:rsidRPr="001800B7">
              <w:rPr>
                <w:rFonts w:eastAsia="Malgun Gothic"/>
                <w:i/>
                <w:kern w:val="2"/>
                <w:szCs w:val="22"/>
                <w:lang w:eastAsia="ko-KR"/>
              </w:rPr>
              <w:t>Recommandation n° 4</w:t>
            </w:r>
            <w:r w:rsidRPr="001800B7">
              <w:rPr>
                <w:rFonts w:eastAsia="Malgun Gothic"/>
                <w:kern w:val="2"/>
                <w:szCs w:val="22"/>
                <w:lang w:eastAsia="ko-KR"/>
              </w:rPr>
              <w:t> </w:t>
            </w:r>
            <w:r w:rsidRPr="001800B7">
              <w:rPr>
                <w:kern w:val="2"/>
                <w:szCs w:val="22"/>
              </w:rPr>
              <w:t>:</w:t>
            </w:r>
            <w:r w:rsidRPr="001800B7">
              <w:rPr>
                <w:rFonts w:eastAsia="Malgun Gothic"/>
                <w:kern w:val="2"/>
                <w:szCs w:val="22"/>
                <w:lang w:eastAsia="ko-KR"/>
              </w:rPr>
              <w:t xml:space="preserve"> 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p w:rsidR="00F30D9D" w:rsidRPr="001800B7" w:rsidRDefault="00F30D9D" w:rsidP="00F30D9D">
            <w:pPr>
              <w:spacing w:before="100" w:after="100"/>
              <w:rPr>
                <w:rFonts w:eastAsia="Malgun Gothic"/>
                <w:kern w:val="2"/>
                <w:szCs w:val="22"/>
                <w:lang w:eastAsia="ko-KR"/>
              </w:rPr>
            </w:pPr>
            <w:r w:rsidRPr="001800B7">
              <w:rPr>
                <w:rFonts w:eastAsia="Malgun Gothic"/>
                <w:i/>
                <w:kern w:val="2"/>
                <w:szCs w:val="22"/>
                <w:lang w:eastAsia="ko-KR"/>
              </w:rPr>
              <w:t>Recommandation n° 10</w:t>
            </w:r>
            <w:r w:rsidRPr="001800B7">
              <w:rPr>
                <w:rFonts w:eastAsia="Malgun Gothic"/>
                <w:kern w:val="2"/>
                <w:szCs w:val="22"/>
                <w:lang w:eastAsia="ko-KR"/>
              </w:rPr>
              <w:t> </w:t>
            </w:r>
            <w:r w:rsidRPr="001800B7">
              <w:rPr>
                <w:kern w:val="2"/>
                <w:szCs w:val="22"/>
              </w:rPr>
              <w:t>:</w:t>
            </w:r>
            <w:r w:rsidRPr="001800B7">
              <w:rPr>
                <w:rFonts w:eastAsia="Malgun Gothic"/>
                <w:kern w:val="2"/>
                <w:szCs w:val="22"/>
                <w:lang w:eastAsia="ko-KR"/>
              </w:rPr>
              <w:t xml:space="preserve"> Aider les États membres à développer et à améliorer les capacités institutionnelles nationales en propriété intellectuelle par le développement des infrastructures et autres moyens en vue de renforcer l</w:t>
            </w:r>
            <w:r w:rsidR="005311D6" w:rsidRPr="001800B7">
              <w:rPr>
                <w:rFonts w:eastAsia="Malgun Gothic"/>
                <w:kern w:val="2"/>
                <w:szCs w:val="22"/>
                <w:lang w:eastAsia="ko-KR"/>
              </w:rPr>
              <w:t>’</w:t>
            </w:r>
            <w:r w:rsidRPr="001800B7">
              <w:rPr>
                <w:rFonts w:eastAsia="Malgun Gothic"/>
                <w:kern w:val="2"/>
                <w:szCs w:val="22"/>
                <w:lang w:eastAsia="ko-KR"/>
              </w:rPr>
              <w:t>efficacité des institutions nationales de propriété intellectuelle et de concilier protection de la propriété intellectuelle et préservation de l</w:t>
            </w:r>
            <w:r w:rsidR="005311D6" w:rsidRPr="001800B7">
              <w:rPr>
                <w:rFonts w:eastAsia="Malgun Gothic"/>
                <w:kern w:val="2"/>
                <w:szCs w:val="22"/>
                <w:lang w:eastAsia="ko-KR"/>
              </w:rPr>
              <w:t>’</w:t>
            </w:r>
            <w:r w:rsidRPr="001800B7">
              <w:rPr>
                <w:rFonts w:eastAsia="Malgun Gothic"/>
                <w:kern w:val="2"/>
                <w:szCs w:val="22"/>
                <w:lang w:eastAsia="ko-KR"/>
              </w:rPr>
              <w:t>intérêt général.  Cette assistance technique devrait également être étendue aux organisations sous</w:t>
            </w:r>
            <w:r w:rsidR="001800B7" w:rsidRPr="001800B7">
              <w:rPr>
                <w:rFonts w:eastAsia="Malgun Gothic"/>
                <w:kern w:val="2"/>
                <w:szCs w:val="22"/>
                <w:lang w:eastAsia="ko-KR"/>
              </w:rPr>
              <w:noBreakHyphen/>
            </w:r>
            <w:r w:rsidRPr="001800B7">
              <w:rPr>
                <w:rFonts w:eastAsia="Malgun Gothic"/>
                <w:kern w:val="2"/>
                <w:szCs w:val="22"/>
                <w:lang w:eastAsia="ko-KR"/>
              </w:rPr>
              <w:t>régionales et régionales œuvrant dans le domaine de la propriété intellectuelle.</w:t>
            </w:r>
          </w:p>
        </w:tc>
      </w:tr>
      <w:tr w:rsidR="001800B7" w:rsidRPr="001800B7" w:rsidTr="00F30D9D">
        <w:tc>
          <w:tcPr>
            <w:tcW w:w="2246" w:type="dxa"/>
            <w:shd w:val="clear" w:color="auto" w:fill="auto"/>
          </w:tcPr>
          <w:p w:rsidR="00F30D9D" w:rsidRPr="001800B7" w:rsidRDefault="00F30D9D" w:rsidP="00F30D9D">
            <w:pPr>
              <w:spacing w:before="100" w:after="100"/>
              <w:rPr>
                <w:szCs w:val="22"/>
              </w:rPr>
            </w:pPr>
            <w:r w:rsidRPr="001800B7">
              <w:rPr>
                <w:szCs w:val="22"/>
              </w:rPr>
              <w:t>Budget du projet</w:t>
            </w:r>
          </w:p>
        </w:tc>
        <w:tc>
          <w:tcPr>
            <w:tcW w:w="7245" w:type="dxa"/>
            <w:shd w:val="clear" w:color="auto" w:fill="auto"/>
          </w:tcPr>
          <w:p w:rsidR="00F30D9D" w:rsidRPr="001800B7" w:rsidRDefault="00F30D9D" w:rsidP="00F30D9D">
            <w:pPr>
              <w:spacing w:before="100" w:after="100"/>
              <w:rPr>
                <w:rFonts w:eastAsia="Malgun Gothic"/>
                <w:kern w:val="2"/>
                <w:szCs w:val="22"/>
                <w:lang w:eastAsia="ko-KR"/>
              </w:rPr>
            </w:pPr>
            <w:r w:rsidRPr="001800B7">
              <w:rPr>
                <w:rFonts w:eastAsia="Malgun Gothic"/>
                <w:kern w:val="2"/>
                <w:szCs w:val="22"/>
                <w:lang w:eastAsia="ko-KR"/>
              </w:rPr>
              <w:t>Dépenses autres que les dépenses de personnel : 250 000 francs suisses</w:t>
            </w:r>
          </w:p>
          <w:p w:rsidR="00F30D9D" w:rsidRPr="001800B7" w:rsidRDefault="00F30D9D" w:rsidP="00F30D9D">
            <w:pPr>
              <w:spacing w:before="100" w:after="100"/>
              <w:rPr>
                <w:rFonts w:eastAsia="Malgun Gothic"/>
                <w:kern w:val="2"/>
                <w:szCs w:val="22"/>
                <w:lang w:eastAsia="ko-KR"/>
              </w:rPr>
            </w:pPr>
            <w:r w:rsidRPr="001800B7">
              <w:rPr>
                <w:rFonts w:eastAsia="Malgun Gothic"/>
                <w:kern w:val="2"/>
                <w:szCs w:val="22"/>
                <w:lang w:eastAsia="ko-KR"/>
              </w:rPr>
              <w:t>Dépenses de personnel : 237 000 francs suisses</w:t>
            </w:r>
          </w:p>
        </w:tc>
      </w:tr>
      <w:tr w:rsidR="001800B7" w:rsidRPr="001800B7" w:rsidTr="00F30D9D">
        <w:tc>
          <w:tcPr>
            <w:tcW w:w="2246" w:type="dxa"/>
            <w:shd w:val="clear" w:color="auto" w:fill="auto"/>
          </w:tcPr>
          <w:p w:rsidR="00F30D9D" w:rsidRPr="001800B7" w:rsidRDefault="00F30D9D" w:rsidP="00F30D9D">
            <w:pPr>
              <w:spacing w:before="100" w:after="100"/>
              <w:rPr>
                <w:bCs/>
                <w:szCs w:val="22"/>
                <w:u w:val="single"/>
              </w:rPr>
            </w:pPr>
            <w:r w:rsidRPr="001800B7">
              <w:rPr>
                <w:szCs w:val="22"/>
              </w:rPr>
              <w:t>Date de début du projet</w:t>
            </w:r>
          </w:p>
        </w:tc>
        <w:tc>
          <w:tcPr>
            <w:tcW w:w="7245" w:type="dxa"/>
            <w:shd w:val="clear" w:color="auto" w:fill="auto"/>
          </w:tcPr>
          <w:p w:rsidR="00F30D9D" w:rsidRPr="001800B7" w:rsidRDefault="00F30D9D" w:rsidP="00F30D9D">
            <w:pPr>
              <w:spacing w:before="100" w:after="100"/>
              <w:rPr>
                <w:szCs w:val="22"/>
              </w:rPr>
            </w:pPr>
            <w:r w:rsidRPr="001800B7">
              <w:rPr>
                <w:szCs w:val="22"/>
              </w:rPr>
              <w:t>1</w:t>
            </w:r>
            <w:r w:rsidRPr="001800B7">
              <w:rPr>
                <w:szCs w:val="22"/>
                <w:vertAlign w:val="superscript"/>
              </w:rPr>
              <w:t>er</w:t>
            </w:r>
            <w:r w:rsidRPr="001800B7">
              <w:rPr>
                <w:szCs w:val="22"/>
              </w:rPr>
              <w:t> avril 2014</w:t>
            </w:r>
          </w:p>
        </w:tc>
      </w:tr>
      <w:tr w:rsidR="001800B7" w:rsidRPr="001800B7" w:rsidTr="00F30D9D">
        <w:tc>
          <w:tcPr>
            <w:tcW w:w="2246" w:type="dxa"/>
            <w:shd w:val="clear" w:color="auto" w:fill="auto"/>
          </w:tcPr>
          <w:p w:rsidR="00F30D9D" w:rsidRPr="001800B7" w:rsidRDefault="00F30D9D" w:rsidP="00F30D9D">
            <w:pPr>
              <w:spacing w:before="100" w:after="100"/>
              <w:rPr>
                <w:bCs/>
                <w:szCs w:val="22"/>
                <w:u w:val="single"/>
              </w:rPr>
            </w:pPr>
            <w:r w:rsidRPr="001800B7">
              <w:rPr>
                <w:szCs w:val="22"/>
              </w:rPr>
              <w:t>Durée du projet</w:t>
            </w:r>
          </w:p>
        </w:tc>
        <w:tc>
          <w:tcPr>
            <w:tcW w:w="7245" w:type="dxa"/>
            <w:shd w:val="clear" w:color="auto" w:fill="auto"/>
          </w:tcPr>
          <w:p w:rsidR="00F30D9D" w:rsidRPr="001800B7" w:rsidRDefault="00F30D9D" w:rsidP="00F30D9D">
            <w:pPr>
              <w:spacing w:before="100" w:after="100"/>
              <w:rPr>
                <w:szCs w:val="22"/>
              </w:rPr>
            </w:pPr>
            <w:r w:rsidRPr="001800B7">
              <w:rPr>
                <w:rFonts w:eastAsia="Malgun Gothic"/>
                <w:kern w:val="2"/>
                <w:szCs w:val="22"/>
                <w:lang w:eastAsia="ko-KR"/>
              </w:rPr>
              <w:t>24 mois.</w:t>
            </w:r>
          </w:p>
        </w:tc>
      </w:tr>
      <w:tr w:rsidR="001800B7" w:rsidRPr="001800B7" w:rsidTr="00F30D9D">
        <w:tc>
          <w:tcPr>
            <w:tcW w:w="2246" w:type="dxa"/>
            <w:shd w:val="clear" w:color="auto" w:fill="auto"/>
          </w:tcPr>
          <w:p w:rsidR="00F30D9D" w:rsidRPr="001800B7" w:rsidRDefault="00F30D9D" w:rsidP="00F30D9D">
            <w:pPr>
              <w:spacing w:before="100" w:after="100"/>
              <w:rPr>
                <w:szCs w:val="22"/>
              </w:rPr>
            </w:pPr>
            <w:r w:rsidRPr="001800B7">
              <w:rPr>
                <w:szCs w:val="22"/>
              </w:rPr>
              <w:t>Principaux secteurs de l</w:t>
            </w:r>
            <w:r w:rsidR="005311D6" w:rsidRPr="001800B7">
              <w:rPr>
                <w:szCs w:val="22"/>
              </w:rPr>
              <w:t>’</w:t>
            </w:r>
            <w:r w:rsidRPr="001800B7">
              <w:rPr>
                <w:szCs w:val="22"/>
              </w:rPr>
              <w:t>OMPI concernés et liens avec les programmes de l</w:t>
            </w:r>
            <w:r w:rsidR="005311D6" w:rsidRPr="001800B7">
              <w:rPr>
                <w:szCs w:val="22"/>
              </w:rPr>
              <w:t>’</w:t>
            </w:r>
            <w:r w:rsidRPr="001800B7">
              <w:rPr>
                <w:szCs w:val="22"/>
              </w:rPr>
              <w:t>OMPI</w:t>
            </w:r>
          </w:p>
        </w:tc>
        <w:tc>
          <w:tcPr>
            <w:tcW w:w="7245" w:type="dxa"/>
            <w:shd w:val="clear" w:color="auto" w:fill="auto"/>
          </w:tcPr>
          <w:p w:rsidR="00F30D9D" w:rsidRPr="001800B7" w:rsidRDefault="00F30D9D" w:rsidP="00F30D9D">
            <w:pPr>
              <w:spacing w:before="100" w:after="100"/>
              <w:rPr>
                <w:rFonts w:eastAsia="Malgun Gothic"/>
                <w:kern w:val="2"/>
                <w:szCs w:val="22"/>
                <w:lang w:eastAsia="ko-KR"/>
              </w:rPr>
            </w:pPr>
            <w:r w:rsidRPr="001800B7">
              <w:rPr>
                <w:rFonts w:eastAsia="Malgun Gothic"/>
                <w:kern w:val="2"/>
                <w:szCs w:val="22"/>
                <w:lang w:eastAsia="ko-KR"/>
              </w:rPr>
              <w:t>Programme 2</w:t>
            </w:r>
          </w:p>
          <w:p w:rsidR="00F30D9D" w:rsidRPr="001800B7" w:rsidRDefault="00F30D9D" w:rsidP="00F30D9D">
            <w:pPr>
              <w:spacing w:before="100" w:after="100"/>
              <w:rPr>
                <w:szCs w:val="22"/>
              </w:rPr>
            </w:pPr>
            <w:r w:rsidRPr="001800B7">
              <w:rPr>
                <w:rFonts w:eastAsia="Malgun Gothic"/>
                <w:kern w:val="2"/>
                <w:szCs w:val="22"/>
                <w:lang w:eastAsia="ko-KR"/>
              </w:rPr>
              <w:t>Liens avec les programmes 2, 9, 30 et 31 de l</w:t>
            </w:r>
            <w:r w:rsidR="005311D6" w:rsidRPr="001800B7">
              <w:rPr>
                <w:rFonts w:eastAsia="Malgun Gothic"/>
                <w:kern w:val="2"/>
                <w:szCs w:val="22"/>
                <w:lang w:eastAsia="ko-KR"/>
              </w:rPr>
              <w:t>’</w:t>
            </w:r>
            <w:r w:rsidRPr="001800B7">
              <w:rPr>
                <w:rFonts w:eastAsia="Malgun Gothic"/>
                <w:kern w:val="2"/>
                <w:szCs w:val="22"/>
                <w:lang w:eastAsia="ko-KR"/>
              </w:rPr>
              <w:t>OMPI.</w:t>
            </w:r>
          </w:p>
        </w:tc>
      </w:tr>
      <w:tr w:rsidR="001800B7" w:rsidRPr="001800B7" w:rsidTr="00F30D9D">
        <w:tc>
          <w:tcPr>
            <w:tcW w:w="2246" w:type="dxa"/>
            <w:shd w:val="clear" w:color="auto" w:fill="auto"/>
          </w:tcPr>
          <w:p w:rsidR="00F30D9D" w:rsidRPr="001800B7" w:rsidRDefault="00F30D9D" w:rsidP="00F30D9D">
            <w:pPr>
              <w:spacing w:before="100" w:after="100"/>
              <w:rPr>
                <w:bCs/>
                <w:szCs w:val="22"/>
                <w:u w:val="single"/>
              </w:rPr>
            </w:pPr>
            <w:r w:rsidRPr="001800B7">
              <w:rPr>
                <w:szCs w:val="22"/>
              </w:rPr>
              <w:t>Brève description du projet</w:t>
            </w:r>
          </w:p>
        </w:tc>
        <w:tc>
          <w:tcPr>
            <w:tcW w:w="7245" w:type="dxa"/>
            <w:shd w:val="clear" w:color="auto" w:fill="auto"/>
          </w:tcPr>
          <w:p w:rsidR="00F30D9D" w:rsidRPr="001800B7" w:rsidRDefault="00F30D9D" w:rsidP="00F30D9D">
            <w:pPr>
              <w:spacing w:before="100" w:after="100"/>
              <w:rPr>
                <w:rFonts w:eastAsia="Malgun Gothic"/>
                <w:kern w:val="2"/>
                <w:szCs w:val="22"/>
                <w:lang w:eastAsia="ko-KR"/>
              </w:rPr>
            </w:pPr>
            <w:r w:rsidRPr="001800B7">
              <w:rPr>
                <w:rFonts w:eastAsia="Malgun Gothic"/>
                <w:kern w:val="2"/>
                <w:szCs w:val="22"/>
                <w:lang w:eastAsia="ko-KR"/>
              </w:rPr>
              <w:t>Le projet vise à soutenir les petites et moyennes entreprises (PME) afin de créer et commercialiser des dessins et modèles activement en utilisant de manière accrue le système de la propriété intellectuelle et le développement de stratégies qui encourageront l</w:t>
            </w:r>
            <w:r w:rsidR="005311D6" w:rsidRPr="001800B7">
              <w:rPr>
                <w:rFonts w:eastAsia="Malgun Gothic"/>
                <w:kern w:val="2"/>
                <w:szCs w:val="22"/>
                <w:lang w:eastAsia="ko-KR"/>
              </w:rPr>
              <w:t>’</w:t>
            </w:r>
            <w:r w:rsidRPr="001800B7">
              <w:rPr>
                <w:rFonts w:eastAsia="Malgun Gothic"/>
                <w:kern w:val="2"/>
                <w:szCs w:val="22"/>
                <w:lang w:eastAsia="ko-KR"/>
              </w:rPr>
              <w:t>investissement dans les dessins et modèles.</w:t>
            </w:r>
          </w:p>
          <w:p w:rsidR="00F30D9D" w:rsidRPr="001800B7" w:rsidRDefault="00F30D9D" w:rsidP="00F30D9D">
            <w:pPr>
              <w:spacing w:before="100" w:after="100"/>
              <w:rPr>
                <w:rFonts w:eastAsia="Malgun Gothic"/>
                <w:kern w:val="2"/>
                <w:szCs w:val="22"/>
                <w:lang w:eastAsia="ko-KR"/>
              </w:rPr>
            </w:pPr>
            <w:r w:rsidRPr="001800B7">
              <w:rPr>
                <w:rFonts w:eastAsia="Malgun Gothic"/>
                <w:kern w:val="2"/>
                <w:szCs w:val="22"/>
                <w:lang w:eastAsia="ko-KR"/>
              </w:rPr>
              <w:t>Grâce à une coopération étroite entre des institutions pilotes des pays participants, le projet va promouvoir l</w:t>
            </w:r>
            <w:r w:rsidR="005311D6" w:rsidRPr="001800B7">
              <w:rPr>
                <w:rFonts w:eastAsia="Malgun Gothic"/>
                <w:kern w:val="2"/>
                <w:szCs w:val="22"/>
                <w:lang w:eastAsia="ko-KR"/>
              </w:rPr>
              <w:t>’</w:t>
            </w:r>
            <w:r w:rsidRPr="001800B7">
              <w:rPr>
                <w:rFonts w:eastAsia="Malgun Gothic"/>
                <w:kern w:val="2"/>
                <w:szCs w:val="22"/>
                <w:lang w:eastAsia="ko-KR"/>
              </w:rPr>
              <w:t>utilisation stratégique des droits de propriété intellectuelle, en particulier les droits sur les dessins et modèles industriels, par les PME dans ces pays, encourageant ainsi une démarche active vis</w:t>
            </w:r>
            <w:r w:rsidR="001800B7" w:rsidRPr="001800B7">
              <w:rPr>
                <w:rFonts w:eastAsia="Malgun Gothic"/>
                <w:kern w:val="2"/>
                <w:szCs w:val="22"/>
                <w:lang w:eastAsia="ko-KR"/>
              </w:rPr>
              <w:noBreakHyphen/>
            </w:r>
            <w:r w:rsidRPr="001800B7">
              <w:rPr>
                <w:rFonts w:eastAsia="Malgun Gothic"/>
                <w:kern w:val="2"/>
                <w:szCs w:val="22"/>
                <w:lang w:eastAsia="ko-KR"/>
              </w:rPr>
              <w:t>à</w:t>
            </w:r>
            <w:r w:rsidR="001800B7" w:rsidRPr="001800B7">
              <w:rPr>
                <w:rFonts w:eastAsia="Malgun Gothic"/>
                <w:kern w:val="2"/>
                <w:szCs w:val="22"/>
                <w:lang w:eastAsia="ko-KR"/>
              </w:rPr>
              <w:noBreakHyphen/>
            </w:r>
            <w:r w:rsidRPr="001800B7">
              <w:rPr>
                <w:rFonts w:eastAsia="Malgun Gothic"/>
                <w:kern w:val="2"/>
                <w:szCs w:val="22"/>
                <w:lang w:eastAsia="ko-KR"/>
              </w:rPr>
              <w:t>vis de la protection des dessins et modèles sur les marchés nationaux comme à l</w:t>
            </w:r>
            <w:r w:rsidR="005311D6" w:rsidRPr="001800B7">
              <w:rPr>
                <w:rFonts w:eastAsia="Malgun Gothic"/>
                <w:kern w:val="2"/>
                <w:szCs w:val="22"/>
                <w:lang w:eastAsia="ko-KR"/>
              </w:rPr>
              <w:t>’</w:t>
            </w:r>
            <w:r w:rsidRPr="001800B7">
              <w:rPr>
                <w:rFonts w:eastAsia="Malgun Gothic"/>
                <w:kern w:val="2"/>
                <w:szCs w:val="22"/>
                <w:lang w:eastAsia="ko-KR"/>
              </w:rPr>
              <w:t>exportation.</w:t>
            </w:r>
          </w:p>
          <w:p w:rsidR="00F30D9D" w:rsidRPr="001800B7" w:rsidRDefault="00F30D9D" w:rsidP="00F30D9D">
            <w:pPr>
              <w:spacing w:before="100" w:after="100"/>
              <w:rPr>
                <w:rFonts w:eastAsia="Malgun Gothic"/>
                <w:kern w:val="2"/>
                <w:szCs w:val="22"/>
                <w:lang w:eastAsia="ko-KR"/>
              </w:rPr>
            </w:pPr>
            <w:r w:rsidRPr="001800B7">
              <w:rPr>
                <w:rFonts w:eastAsia="Malgun Gothic"/>
                <w:kern w:val="2"/>
                <w:szCs w:val="22"/>
                <w:lang w:eastAsia="ko-KR"/>
              </w:rPr>
              <w:t xml:space="preserve">Ce projet se fonde sur la proposition présentée par la République de Corée, lors de la onzième session du CDIP (document CDIP/11/7).  </w:t>
            </w:r>
          </w:p>
        </w:tc>
      </w:tr>
    </w:tbl>
    <w:p w:rsidR="00F30D9D" w:rsidRDefault="00F30D9D" w:rsidP="00F30D9D">
      <w:pPr>
        <w:rPr>
          <w:szCs w:val="22"/>
          <w:lang w:eastAsia="ko-KR"/>
        </w:rPr>
      </w:pPr>
    </w:p>
    <w:p w:rsidR="00FC46A1" w:rsidRPr="001800B7" w:rsidRDefault="00FC46A1" w:rsidP="00F30D9D">
      <w:pPr>
        <w:rPr>
          <w:szCs w:val="22"/>
          <w:lang w:eastAsia="ko-KR"/>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7245"/>
      </w:tblGrid>
      <w:tr w:rsidR="001800B7" w:rsidRPr="001800B7" w:rsidTr="00F30D9D">
        <w:tc>
          <w:tcPr>
            <w:tcW w:w="2246" w:type="dxa"/>
            <w:shd w:val="clear" w:color="auto" w:fill="auto"/>
          </w:tcPr>
          <w:p w:rsidR="00F30D9D" w:rsidRPr="001800B7" w:rsidRDefault="00F30D9D" w:rsidP="00F30D9D">
            <w:pPr>
              <w:pStyle w:val="Heading3"/>
              <w:keepNext w:val="0"/>
              <w:spacing w:before="120" w:after="120"/>
              <w:rPr>
                <w:szCs w:val="22"/>
              </w:rPr>
            </w:pPr>
            <w:r w:rsidRPr="001800B7">
              <w:rPr>
                <w:szCs w:val="22"/>
              </w:rPr>
              <w:lastRenderedPageBreak/>
              <w:t>Chef de projet</w:t>
            </w:r>
          </w:p>
        </w:tc>
        <w:tc>
          <w:tcPr>
            <w:tcW w:w="7245" w:type="dxa"/>
            <w:shd w:val="clear" w:color="auto" w:fill="auto"/>
          </w:tcPr>
          <w:p w:rsidR="00F30D9D" w:rsidRPr="001800B7" w:rsidRDefault="00F30D9D" w:rsidP="00F30D9D">
            <w:pPr>
              <w:spacing w:before="120" w:after="120"/>
              <w:rPr>
                <w:szCs w:val="22"/>
              </w:rPr>
            </w:pPr>
            <w:r w:rsidRPr="001800B7">
              <w:rPr>
                <w:iCs/>
                <w:szCs w:val="22"/>
              </w:rPr>
              <w:t xml:space="preserve">M. Marcus </w:t>
            </w:r>
            <w:proofErr w:type="spellStart"/>
            <w:r w:rsidRPr="001800B7">
              <w:rPr>
                <w:iCs/>
                <w:szCs w:val="22"/>
              </w:rPr>
              <w:t>Höpperger</w:t>
            </w:r>
            <w:proofErr w:type="spellEnd"/>
            <w:r w:rsidRPr="001800B7">
              <w:rPr>
                <w:szCs w:val="22"/>
              </w:rPr>
              <w:t>, directeur,</w:t>
            </w:r>
            <w:r w:rsidRPr="001800B7">
              <w:rPr>
                <w:iCs/>
                <w:szCs w:val="22"/>
              </w:rPr>
              <w:t xml:space="preserve"> Division du droit et des services consultatifs en matière de législation, Secteur des marques et des dessins et modèles</w:t>
            </w:r>
          </w:p>
        </w:tc>
      </w:tr>
      <w:tr w:rsidR="001800B7" w:rsidRPr="001800B7" w:rsidTr="00F30D9D">
        <w:tc>
          <w:tcPr>
            <w:tcW w:w="2246" w:type="dxa"/>
            <w:shd w:val="clear" w:color="auto" w:fill="auto"/>
          </w:tcPr>
          <w:p w:rsidR="00F30D9D" w:rsidRPr="001800B7" w:rsidDel="00196374" w:rsidRDefault="00F30D9D" w:rsidP="00F30D9D">
            <w:pPr>
              <w:pStyle w:val="Heading3"/>
              <w:keepNext w:val="0"/>
              <w:spacing w:before="120" w:after="120"/>
              <w:rPr>
                <w:szCs w:val="22"/>
              </w:rPr>
            </w:pPr>
            <w:r w:rsidRPr="001800B7">
              <w:rPr>
                <w:szCs w:val="22"/>
              </w:rPr>
              <w:t>Liens avec les résultats escomptés dans le programme et budget pour 2012</w:t>
            </w:r>
            <w:r w:rsidR="001800B7" w:rsidRPr="001800B7">
              <w:rPr>
                <w:szCs w:val="22"/>
              </w:rPr>
              <w:noBreakHyphen/>
            </w:r>
            <w:r w:rsidRPr="001800B7">
              <w:rPr>
                <w:szCs w:val="22"/>
              </w:rPr>
              <w:t>2013</w:t>
            </w:r>
          </w:p>
        </w:tc>
        <w:tc>
          <w:tcPr>
            <w:tcW w:w="7245" w:type="dxa"/>
            <w:shd w:val="clear" w:color="auto" w:fill="auto"/>
          </w:tcPr>
          <w:p w:rsidR="00F30D9D" w:rsidRPr="001800B7" w:rsidDel="00196374" w:rsidRDefault="00F30D9D" w:rsidP="00F30D9D">
            <w:pPr>
              <w:spacing w:before="120" w:after="120"/>
              <w:rPr>
                <w:iCs/>
                <w:szCs w:val="22"/>
              </w:rPr>
            </w:pPr>
            <w:r w:rsidRPr="001800B7">
              <w:rPr>
                <w:rFonts w:eastAsia="Malgun Gothic"/>
                <w:i/>
                <w:kern w:val="2"/>
                <w:szCs w:val="22"/>
                <w:lang w:eastAsia="ko-KR"/>
              </w:rPr>
              <w:t xml:space="preserve">Résultat escompté III.2 : </w:t>
            </w:r>
            <w:r w:rsidRPr="001800B7">
              <w:rPr>
                <w:rFonts w:eastAsia="Malgun Gothic"/>
                <w:kern w:val="2"/>
                <w:szCs w:val="22"/>
                <w:lang w:eastAsia="ko-KR"/>
              </w:rPr>
              <w:t>Renforcement des capacités en matière de ressources humaines pour pouvoir répondre aux nombreuses exigences en ce qui concerne l</w:t>
            </w:r>
            <w:r w:rsidR="005311D6" w:rsidRPr="001800B7">
              <w:rPr>
                <w:rFonts w:eastAsia="Malgun Gothic"/>
                <w:kern w:val="2"/>
                <w:szCs w:val="22"/>
                <w:lang w:eastAsia="ko-KR"/>
              </w:rPr>
              <w:t>’</w:t>
            </w:r>
            <w:r w:rsidRPr="001800B7">
              <w:rPr>
                <w:rFonts w:eastAsia="Malgun Gothic"/>
                <w:kern w:val="2"/>
                <w:szCs w:val="22"/>
                <w:lang w:eastAsia="ko-KR"/>
              </w:rPr>
              <w:t>utilisation efficace de la propriété intellectuelle au service du développement dans les pays en développement, les PMA et les pays en transition.</w:t>
            </w:r>
          </w:p>
        </w:tc>
      </w:tr>
      <w:tr w:rsidR="001800B7" w:rsidRPr="001800B7" w:rsidTr="00F30D9D">
        <w:tc>
          <w:tcPr>
            <w:tcW w:w="2246" w:type="dxa"/>
            <w:shd w:val="clear" w:color="auto" w:fill="auto"/>
          </w:tcPr>
          <w:p w:rsidR="00F30D9D" w:rsidRPr="001800B7" w:rsidRDefault="00F30D9D" w:rsidP="00F30D9D">
            <w:pPr>
              <w:pStyle w:val="Heading3"/>
              <w:keepNext w:val="0"/>
              <w:spacing w:before="100" w:after="100"/>
              <w:rPr>
                <w:szCs w:val="22"/>
              </w:rPr>
            </w:pPr>
            <w:r w:rsidRPr="001800B7">
              <w:rPr>
                <w:szCs w:val="22"/>
              </w:rPr>
              <w:t>État d</w:t>
            </w:r>
            <w:r w:rsidR="005311D6" w:rsidRPr="001800B7">
              <w:rPr>
                <w:szCs w:val="22"/>
              </w:rPr>
              <w:t>’</w:t>
            </w:r>
            <w:r w:rsidRPr="001800B7">
              <w:rPr>
                <w:szCs w:val="22"/>
              </w:rPr>
              <w:t>avancement du projet</w:t>
            </w:r>
          </w:p>
        </w:tc>
        <w:tc>
          <w:tcPr>
            <w:tcW w:w="7245" w:type="dxa"/>
            <w:shd w:val="clear" w:color="auto" w:fill="auto"/>
          </w:tcPr>
          <w:p w:rsidR="00F30D9D" w:rsidRPr="001800B7" w:rsidRDefault="00F30D9D" w:rsidP="00F30D9D">
            <w:pPr>
              <w:spacing w:before="100" w:after="100"/>
              <w:rPr>
                <w:szCs w:val="22"/>
              </w:rPr>
            </w:pPr>
            <w:r w:rsidRPr="001800B7">
              <w:rPr>
                <w:szCs w:val="22"/>
              </w:rPr>
              <w:t>Les deux pays participants, l</w:t>
            </w:r>
            <w:r w:rsidR="005311D6" w:rsidRPr="001800B7">
              <w:rPr>
                <w:szCs w:val="22"/>
              </w:rPr>
              <w:t>’</w:t>
            </w:r>
            <w:r w:rsidRPr="001800B7">
              <w:rPr>
                <w:szCs w:val="22"/>
              </w:rPr>
              <w:t>Argentine et le Maroc, ont été choisis après l</w:t>
            </w:r>
            <w:r w:rsidR="005311D6" w:rsidRPr="001800B7">
              <w:rPr>
                <w:szCs w:val="22"/>
              </w:rPr>
              <w:t>’</w:t>
            </w:r>
            <w:r w:rsidRPr="001800B7">
              <w:rPr>
                <w:szCs w:val="22"/>
              </w:rPr>
              <w:t>analyse de la proposition de projet de chaque pays, sur la base des critères de sélection définis.</w:t>
            </w:r>
          </w:p>
          <w:p w:rsidR="00F30D9D" w:rsidRPr="001800B7" w:rsidRDefault="00F30D9D" w:rsidP="00F30D9D">
            <w:pPr>
              <w:spacing w:before="100" w:after="100"/>
              <w:rPr>
                <w:szCs w:val="22"/>
              </w:rPr>
            </w:pPr>
            <w:r w:rsidRPr="001800B7">
              <w:rPr>
                <w:szCs w:val="22"/>
              </w:rPr>
              <w:t>L</w:t>
            </w:r>
            <w:r w:rsidR="005311D6" w:rsidRPr="001800B7">
              <w:rPr>
                <w:szCs w:val="22"/>
              </w:rPr>
              <w:t>’</w:t>
            </w:r>
            <w:r w:rsidRPr="001800B7">
              <w:rPr>
                <w:szCs w:val="22"/>
              </w:rPr>
              <w:t>OMPI et les institutions pilotes pour les deux pays participants cherchent actuellement un accord sur l</w:t>
            </w:r>
            <w:r w:rsidR="005311D6" w:rsidRPr="001800B7">
              <w:rPr>
                <w:szCs w:val="22"/>
              </w:rPr>
              <w:t>’</w:t>
            </w:r>
            <w:r w:rsidRPr="001800B7">
              <w:rPr>
                <w:szCs w:val="22"/>
              </w:rPr>
              <w:t>énoncé du contenu du projet, ce qui impose aux parties d</w:t>
            </w:r>
            <w:r w:rsidR="005311D6" w:rsidRPr="001800B7">
              <w:rPr>
                <w:szCs w:val="22"/>
              </w:rPr>
              <w:t>’</w:t>
            </w:r>
            <w:r w:rsidRPr="001800B7">
              <w:rPr>
                <w:szCs w:val="22"/>
              </w:rPr>
              <w:t>analyser régulièrement le projet et d</w:t>
            </w:r>
            <w:r w:rsidR="005311D6" w:rsidRPr="001800B7">
              <w:rPr>
                <w:szCs w:val="22"/>
              </w:rPr>
              <w:t>’</w:t>
            </w:r>
            <w:r w:rsidRPr="001800B7">
              <w:rPr>
                <w:szCs w:val="22"/>
              </w:rPr>
              <w:t>en débattre, pour définir une vision commune et claire du contenu du projet et des objectifs partagés.  Ce processus donnera une base solide pour atteindre des résultats de façon efficace, efficiente, pertinente et durable tout au long du projet, et permet de gérer les attentes des parties prenantes et de fixer des objectifs réalistes.</w:t>
            </w:r>
          </w:p>
          <w:p w:rsidR="00F30D9D" w:rsidRPr="001800B7" w:rsidRDefault="00F30D9D" w:rsidP="00F30D9D">
            <w:pPr>
              <w:spacing w:before="100" w:after="100"/>
              <w:rPr>
                <w:szCs w:val="22"/>
              </w:rPr>
            </w:pPr>
            <w:r w:rsidRPr="001800B7">
              <w:rPr>
                <w:szCs w:val="22"/>
              </w:rPr>
              <w:t>Des calendriers et des budgets ont été établis pour les deux pays participants.</w:t>
            </w:r>
          </w:p>
          <w:p w:rsidR="00F30D9D" w:rsidRPr="001800B7" w:rsidRDefault="00F30D9D" w:rsidP="00F30D9D">
            <w:pPr>
              <w:spacing w:before="100" w:after="100"/>
              <w:rPr>
                <w:szCs w:val="22"/>
              </w:rPr>
            </w:pPr>
            <w:r w:rsidRPr="001800B7">
              <w:rPr>
                <w:szCs w:val="22"/>
              </w:rPr>
              <w:t>Compte tenu des enseignements tirés des évaluations de projets précédents du CDIP, il a été convenu de réaliser des études de faisabilité dans les deux pays.  Dans ce contexte, des questions ont été posées aux institutions pilotes et il a été demandé aux PME de répondre à une enquête sur leurs besoins, leurs attentes et leur intérêt pour le projet.</w:t>
            </w:r>
          </w:p>
          <w:p w:rsidR="00F30D9D" w:rsidRPr="001800B7" w:rsidRDefault="00F30D9D" w:rsidP="00F30D9D">
            <w:pPr>
              <w:spacing w:before="100" w:after="100"/>
              <w:rPr>
                <w:szCs w:val="22"/>
              </w:rPr>
            </w:pPr>
            <w:r w:rsidRPr="001800B7">
              <w:rPr>
                <w:szCs w:val="22"/>
              </w:rPr>
              <w:t>Les rôles et responsabilités du coordonnateur du projet au niveau national, qui est le point de contact pour la mise en œuvre du projet, ont été définis.  Une description similaire sera diffusée pour les experts nationaux.</w:t>
            </w:r>
          </w:p>
          <w:p w:rsidR="00F30D9D" w:rsidRPr="001800B7" w:rsidRDefault="00F30D9D" w:rsidP="00F30D9D">
            <w:pPr>
              <w:spacing w:before="100" w:after="100"/>
              <w:rPr>
                <w:szCs w:val="22"/>
              </w:rPr>
            </w:pPr>
            <w:r w:rsidRPr="001800B7">
              <w:rPr>
                <w:szCs w:val="22"/>
              </w:rPr>
              <w:t>Les activités de recensement et de prévention des risques ont été définies et font l</w:t>
            </w:r>
            <w:r w:rsidR="005311D6" w:rsidRPr="001800B7">
              <w:rPr>
                <w:szCs w:val="22"/>
              </w:rPr>
              <w:t>’</w:t>
            </w:r>
            <w:r w:rsidRPr="001800B7">
              <w:rPr>
                <w:szCs w:val="22"/>
              </w:rPr>
              <w:t>objet d</w:t>
            </w:r>
            <w:r w:rsidR="005311D6" w:rsidRPr="001800B7">
              <w:rPr>
                <w:szCs w:val="22"/>
              </w:rPr>
              <w:t>’</w:t>
            </w:r>
            <w:r w:rsidRPr="001800B7">
              <w:rPr>
                <w:szCs w:val="22"/>
              </w:rPr>
              <w:t>un suivi régulier.</w:t>
            </w:r>
          </w:p>
          <w:p w:rsidR="00F30D9D" w:rsidRPr="001800B7" w:rsidRDefault="00F30D9D" w:rsidP="00F30D9D">
            <w:pPr>
              <w:spacing w:before="100" w:after="100"/>
              <w:rPr>
                <w:szCs w:val="22"/>
              </w:rPr>
            </w:pPr>
            <w:r w:rsidRPr="001800B7">
              <w:rPr>
                <w:szCs w:val="22"/>
              </w:rPr>
              <w:t>Les résultats escomptés, les activités de projet, les critères qualitatifs/principaux indicateurs d</w:t>
            </w:r>
            <w:r w:rsidR="005311D6" w:rsidRPr="001800B7">
              <w:rPr>
                <w:szCs w:val="22"/>
              </w:rPr>
              <w:t>’</w:t>
            </w:r>
            <w:r w:rsidRPr="001800B7">
              <w:rPr>
                <w:szCs w:val="22"/>
              </w:rPr>
              <w:t>exécution ont été définis.</w:t>
            </w:r>
          </w:p>
          <w:p w:rsidR="00F30D9D" w:rsidRPr="001800B7" w:rsidRDefault="00F30D9D" w:rsidP="00F30D9D">
            <w:pPr>
              <w:spacing w:before="100" w:after="100"/>
              <w:rPr>
                <w:szCs w:val="22"/>
              </w:rPr>
            </w:pPr>
            <w:r w:rsidRPr="001800B7">
              <w:rPr>
                <w:szCs w:val="22"/>
              </w:rPr>
              <w:t>Dans la phase initiale du projet, on s</w:t>
            </w:r>
            <w:r w:rsidR="005311D6" w:rsidRPr="001800B7">
              <w:rPr>
                <w:szCs w:val="22"/>
              </w:rPr>
              <w:t>’</w:t>
            </w:r>
            <w:r w:rsidRPr="001800B7">
              <w:rPr>
                <w:szCs w:val="22"/>
              </w:rPr>
              <w:t>intéresse aussi à la pertinence du contenu du projet au regard des stratégies nationales de développement de la propriété intellectuelle des pays participants.  Le projet pilote contribue à la réalisation des objectifs institutionnels et des objectifs nationaux des institutions pilotes concernant le développement de la protection des dessins et modèles.  La stratégie de sortie est analysée et précisée dans la phase initiale du projet.</w:t>
            </w:r>
          </w:p>
          <w:p w:rsidR="00F30D9D" w:rsidRDefault="00F30D9D" w:rsidP="00F30D9D">
            <w:pPr>
              <w:spacing w:before="100" w:after="100"/>
              <w:rPr>
                <w:szCs w:val="22"/>
              </w:rPr>
            </w:pPr>
            <w:r w:rsidRPr="001800B7">
              <w:rPr>
                <w:szCs w:val="22"/>
              </w:rPr>
              <w:t>Un colloque international sur les dessins et modèles industriels se tiendra à Buenos Aires les 3 et 4 septembre 2014.  Ce colloque constituera une première activité de sensibilisation et marquera le lancement du projet pilote en Argentine.</w:t>
            </w:r>
          </w:p>
          <w:p w:rsidR="00FC46A1" w:rsidRDefault="00FC46A1" w:rsidP="00F30D9D">
            <w:pPr>
              <w:spacing w:before="100" w:after="100"/>
              <w:rPr>
                <w:szCs w:val="22"/>
              </w:rPr>
            </w:pPr>
          </w:p>
          <w:p w:rsidR="00FC46A1" w:rsidRPr="001800B7" w:rsidRDefault="00FC46A1" w:rsidP="00F30D9D">
            <w:pPr>
              <w:spacing w:before="100" w:after="100"/>
              <w:rPr>
                <w:szCs w:val="22"/>
              </w:rPr>
            </w:pPr>
          </w:p>
        </w:tc>
      </w:tr>
      <w:tr w:rsidR="001800B7" w:rsidRPr="001800B7" w:rsidTr="00F30D9D">
        <w:tc>
          <w:tcPr>
            <w:tcW w:w="2246" w:type="dxa"/>
            <w:shd w:val="clear" w:color="auto" w:fill="auto"/>
          </w:tcPr>
          <w:p w:rsidR="00F30D9D" w:rsidRPr="001800B7" w:rsidRDefault="00F30D9D" w:rsidP="00F30D9D">
            <w:pPr>
              <w:pStyle w:val="Heading3"/>
              <w:keepNext w:val="0"/>
              <w:spacing w:before="120" w:after="120"/>
              <w:rPr>
                <w:szCs w:val="22"/>
              </w:rPr>
            </w:pPr>
            <w:r w:rsidRPr="001800B7">
              <w:rPr>
                <w:szCs w:val="22"/>
              </w:rPr>
              <w:lastRenderedPageBreak/>
              <w:t>Exemples de succès ou d</w:t>
            </w:r>
            <w:r w:rsidR="005311D6" w:rsidRPr="001800B7">
              <w:rPr>
                <w:szCs w:val="22"/>
              </w:rPr>
              <w:t>’</w:t>
            </w:r>
            <w:r w:rsidRPr="001800B7">
              <w:rPr>
                <w:szCs w:val="22"/>
              </w:rPr>
              <w:t>effets positifs et principaux enseignements</w:t>
            </w:r>
          </w:p>
        </w:tc>
        <w:tc>
          <w:tcPr>
            <w:tcW w:w="7245" w:type="dxa"/>
            <w:shd w:val="clear" w:color="auto" w:fill="auto"/>
          </w:tcPr>
          <w:p w:rsidR="00F30D9D" w:rsidRPr="001800B7" w:rsidRDefault="00F30D9D" w:rsidP="00F30D9D">
            <w:pPr>
              <w:spacing w:before="120" w:after="120"/>
              <w:rPr>
                <w:iCs/>
                <w:szCs w:val="22"/>
              </w:rPr>
            </w:pPr>
            <w:r w:rsidRPr="001800B7">
              <w:rPr>
                <w:iCs/>
                <w:szCs w:val="22"/>
              </w:rPr>
              <w:t>Le fait de poser les bonnes questions afin de comprendre les attentes des parties prenantes et de s</w:t>
            </w:r>
            <w:r w:rsidR="005311D6" w:rsidRPr="001800B7">
              <w:rPr>
                <w:iCs/>
                <w:szCs w:val="22"/>
              </w:rPr>
              <w:t>’</w:t>
            </w:r>
            <w:r w:rsidRPr="001800B7">
              <w:rPr>
                <w:iCs/>
                <w:szCs w:val="22"/>
              </w:rPr>
              <w:t>accorder sur l</w:t>
            </w:r>
            <w:r w:rsidR="005311D6" w:rsidRPr="001800B7">
              <w:rPr>
                <w:iCs/>
                <w:szCs w:val="22"/>
              </w:rPr>
              <w:t>’</w:t>
            </w:r>
            <w:r w:rsidRPr="001800B7">
              <w:rPr>
                <w:iCs/>
                <w:szCs w:val="22"/>
              </w:rPr>
              <w:t>énoncé du contenu du projet, et notamment sur les principaux indicateurs d</w:t>
            </w:r>
            <w:r w:rsidR="005311D6" w:rsidRPr="001800B7">
              <w:rPr>
                <w:iCs/>
                <w:szCs w:val="22"/>
              </w:rPr>
              <w:t>’</w:t>
            </w:r>
            <w:r w:rsidRPr="001800B7">
              <w:rPr>
                <w:iCs/>
                <w:szCs w:val="22"/>
              </w:rPr>
              <w:t>exécution et les critères qualitatifs, permet de donner une base solide au projet et d</w:t>
            </w:r>
            <w:r w:rsidR="005311D6" w:rsidRPr="001800B7">
              <w:rPr>
                <w:iCs/>
                <w:szCs w:val="22"/>
              </w:rPr>
              <w:t>’</w:t>
            </w:r>
            <w:r w:rsidRPr="001800B7">
              <w:rPr>
                <w:iCs/>
                <w:szCs w:val="22"/>
              </w:rPr>
              <w:t>atténuer les risques.</w:t>
            </w:r>
          </w:p>
          <w:p w:rsidR="00F30D9D" w:rsidRPr="001800B7" w:rsidRDefault="00F30D9D" w:rsidP="00F30D9D">
            <w:pPr>
              <w:spacing w:before="120" w:after="120"/>
              <w:rPr>
                <w:iCs/>
                <w:szCs w:val="22"/>
              </w:rPr>
            </w:pPr>
            <w:r w:rsidRPr="001800B7">
              <w:rPr>
                <w:iCs/>
                <w:szCs w:val="22"/>
              </w:rPr>
              <w:t>Les discussions entre l</w:t>
            </w:r>
            <w:r w:rsidR="005311D6" w:rsidRPr="001800B7">
              <w:rPr>
                <w:iCs/>
                <w:szCs w:val="22"/>
              </w:rPr>
              <w:t>’</w:t>
            </w:r>
            <w:r w:rsidRPr="001800B7">
              <w:rPr>
                <w:iCs/>
                <w:szCs w:val="22"/>
              </w:rPr>
              <w:t>OMPI et les institutions pilotes des pays participants ont permis de clarifier la façon dont l</w:t>
            </w:r>
            <w:r w:rsidR="005311D6" w:rsidRPr="001800B7">
              <w:rPr>
                <w:iCs/>
                <w:szCs w:val="22"/>
              </w:rPr>
              <w:t>’</w:t>
            </w:r>
            <w:r w:rsidRPr="001800B7">
              <w:rPr>
                <w:iCs/>
                <w:szCs w:val="22"/>
              </w:rPr>
              <w:t>OMPI peut apporter une valeur ajoutée à la mise en œuvre réussie du projet, grâce à son expertise dans le domaine de la propriété intellectuelle et de la protection des dessins et modèles.</w:t>
            </w:r>
          </w:p>
          <w:p w:rsidR="00F30D9D" w:rsidRPr="001800B7" w:rsidRDefault="00F30D9D" w:rsidP="00F30D9D">
            <w:pPr>
              <w:spacing w:before="120" w:after="120"/>
              <w:rPr>
                <w:iCs/>
                <w:szCs w:val="22"/>
              </w:rPr>
            </w:pPr>
            <w:r w:rsidRPr="001800B7">
              <w:rPr>
                <w:iCs/>
                <w:szCs w:val="22"/>
              </w:rPr>
              <w:t>Grâce à l</w:t>
            </w:r>
            <w:r w:rsidR="005311D6" w:rsidRPr="001800B7">
              <w:rPr>
                <w:iCs/>
                <w:szCs w:val="22"/>
              </w:rPr>
              <w:t>’</w:t>
            </w:r>
            <w:r w:rsidRPr="001800B7">
              <w:rPr>
                <w:iCs/>
                <w:szCs w:val="22"/>
              </w:rPr>
              <w:t>utilisation d</w:t>
            </w:r>
            <w:r w:rsidR="005311D6" w:rsidRPr="001800B7">
              <w:rPr>
                <w:iCs/>
                <w:szCs w:val="22"/>
              </w:rPr>
              <w:t>’</w:t>
            </w:r>
            <w:r w:rsidRPr="001800B7">
              <w:rPr>
                <w:iCs/>
                <w:szCs w:val="22"/>
              </w:rPr>
              <w:t>une méthode, d</w:t>
            </w:r>
            <w:r w:rsidR="005311D6" w:rsidRPr="001800B7">
              <w:rPr>
                <w:iCs/>
                <w:szCs w:val="22"/>
              </w:rPr>
              <w:t>’</w:t>
            </w:r>
            <w:r w:rsidRPr="001800B7">
              <w:rPr>
                <w:iCs/>
                <w:szCs w:val="22"/>
              </w:rPr>
              <w:t>outils et de processus solides pour le projet et au travail approfondi accompli sur la phase initiale, on a pu s</w:t>
            </w:r>
            <w:r w:rsidR="005311D6" w:rsidRPr="001800B7">
              <w:rPr>
                <w:iCs/>
                <w:szCs w:val="22"/>
              </w:rPr>
              <w:t>’</w:t>
            </w:r>
            <w:r w:rsidRPr="001800B7">
              <w:rPr>
                <w:iCs/>
                <w:szCs w:val="22"/>
              </w:rPr>
              <w:t>assurer de la pertinence, de l</w:t>
            </w:r>
            <w:r w:rsidR="005311D6" w:rsidRPr="001800B7">
              <w:rPr>
                <w:iCs/>
                <w:szCs w:val="22"/>
              </w:rPr>
              <w:t>’</w:t>
            </w:r>
            <w:r w:rsidRPr="001800B7">
              <w:rPr>
                <w:iCs/>
                <w:szCs w:val="22"/>
              </w:rPr>
              <w:t>efficacité et de l</w:t>
            </w:r>
            <w:r w:rsidR="005311D6" w:rsidRPr="001800B7">
              <w:rPr>
                <w:iCs/>
                <w:szCs w:val="22"/>
              </w:rPr>
              <w:t>’</w:t>
            </w:r>
            <w:r w:rsidRPr="001800B7">
              <w:rPr>
                <w:iCs/>
                <w:szCs w:val="22"/>
              </w:rPr>
              <w:t>efficience du projet.</w:t>
            </w:r>
          </w:p>
          <w:p w:rsidR="00F30D9D" w:rsidRPr="001800B7" w:rsidRDefault="00F30D9D" w:rsidP="00F30D9D">
            <w:pPr>
              <w:spacing w:before="120" w:after="120"/>
              <w:rPr>
                <w:iCs/>
                <w:szCs w:val="22"/>
              </w:rPr>
            </w:pPr>
            <w:r w:rsidRPr="001800B7">
              <w:rPr>
                <w:iCs/>
                <w:szCs w:val="22"/>
              </w:rPr>
              <w:t>Le fait de prendre le temps nécessaire pour obtenir dès le départ un accord clair sur le contenu et la pertinence de toutes les activités de projet s</w:t>
            </w:r>
            <w:r w:rsidR="005311D6" w:rsidRPr="001800B7">
              <w:rPr>
                <w:iCs/>
                <w:szCs w:val="22"/>
              </w:rPr>
              <w:t>’</w:t>
            </w:r>
            <w:r w:rsidRPr="001800B7">
              <w:rPr>
                <w:iCs/>
                <w:szCs w:val="22"/>
              </w:rPr>
              <w:t>est révélé utile pour atténuer les risques susceptibles de mettre en péril la réussite du projet s</w:t>
            </w:r>
            <w:r w:rsidR="005311D6" w:rsidRPr="001800B7">
              <w:rPr>
                <w:iCs/>
                <w:szCs w:val="22"/>
              </w:rPr>
              <w:t>’</w:t>
            </w:r>
            <w:r w:rsidRPr="001800B7">
              <w:rPr>
                <w:iCs/>
                <w:szCs w:val="22"/>
              </w:rPr>
              <w:t>agissant des résultats effectifs, et notamment de la pérennité et de la gestion des parties prenantes.</w:t>
            </w:r>
          </w:p>
        </w:tc>
      </w:tr>
      <w:tr w:rsidR="001800B7" w:rsidRPr="001800B7" w:rsidTr="00F30D9D">
        <w:tc>
          <w:tcPr>
            <w:tcW w:w="2246" w:type="dxa"/>
            <w:shd w:val="clear" w:color="auto" w:fill="auto"/>
          </w:tcPr>
          <w:p w:rsidR="00F30D9D" w:rsidRPr="001800B7" w:rsidRDefault="00F30D9D" w:rsidP="00F30D9D">
            <w:pPr>
              <w:pStyle w:val="Heading3"/>
              <w:keepNext w:val="0"/>
              <w:spacing w:before="120" w:after="120"/>
              <w:rPr>
                <w:szCs w:val="22"/>
              </w:rPr>
            </w:pPr>
            <w:r w:rsidRPr="001800B7">
              <w:rPr>
                <w:szCs w:val="22"/>
              </w:rPr>
              <w:t>Risques et atténuation des risques</w:t>
            </w:r>
          </w:p>
        </w:tc>
        <w:tc>
          <w:tcPr>
            <w:tcW w:w="7245" w:type="dxa"/>
            <w:shd w:val="clear" w:color="auto" w:fill="auto"/>
          </w:tcPr>
          <w:p w:rsidR="00F30D9D" w:rsidRPr="001800B7" w:rsidRDefault="00F30D9D" w:rsidP="00F30D9D">
            <w:pPr>
              <w:spacing w:before="120" w:after="120"/>
              <w:rPr>
                <w:iCs/>
                <w:szCs w:val="22"/>
              </w:rPr>
            </w:pPr>
            <w:r w:rsidRPr="001800B7">
              <w:rPr>
                <w:iCs/>
                <w:szCs w:val="22"/>
              </w:rPr>
              <w:t>L</w:t>
            </w:r>
            <w:r w:rsidR="005311D6" w:rsidRPr="001800B7">
              <w:rPr>
                <w:iCs/>
                <w:szCs w:val="22"/>
              </w:rPr>
              <w:t>’</w:t>
            </w:r>
            <w:r w:rsidRPr="001800B7">
              <w:rPr>
                <w:iCs/>
                <w:szCs w:val="22"/>
              </w:rPr>
              <w:t>analyse aux fins de l</w:t>
            </w:r>
            <w:r w:rsidR="005311D6" w:rsidRPr="001800B7">
              <w:rPr>
                <w:iCs/>
                <w:szCs w:val="22"/>
              </w:rPr>
              <w:t>’</w:t>
            </w:r>
            <w:r w:rsidRPr="001800B7">
              <w:rPr>
                <w:iCs/>
                <w:szCs w:val="22"/>
              </w:rPr>
              <w:t>évaluation et de l</w:t>
            </w:r>
            <w:r w:rsidR="005311D6" w:rsidRPr="001800B7">
              <w:rPr>
                <w:iCs/>
                <w:szCs w:val="22"/>
              </w:rPr>
              <w:t>’</w:t>
            </w:r>
            <w:r w:rsidRPr="001800B7">
              <w:rPr>
                <w:iCs/>
                <w:szCs w:val="22"/>
              </w:rPr>
              <w:t>atténuation des risques a été un élément essentiel qui a permis de donner une base solide au projet.</w:t>
            </w:r>
          </w:p>
          <w:p w:rsidR="00F30D9D" w:rsidRPr="001800B7" w:rsidRDefault="00F30D9D" w:rsidP="00F30D9D">
            <w:pPr>
              <w:spacing w:before="120" w:after="120"/>
              <w:rPr>
                <w:iCs/>
                <w:szCs w:val="22"/>
              </w:rPr>
            </w:pPr>
            <w:r w:rsidRPr="001800B7">
              <w:rPr>
                <w:iCs/>
                <w:szCs w:val="22"/>
              </w:rPr>
              <w:t>Les principaux risques recensés sont les suivants :</w:t>
            </w:r>
          </w:p>
          <w:p w:rsidR="00F30D9D" w:rsidRPr="001800B7" w:rsidRDefault="00F30D9D" w:rsidP="0010628F">
            <w:pPr>
              <w:numPr>
                <w:ilvl w:val="0"/>
                <w:numId w:val="25"/>
              </w:numPr>
              <w:spacing w:before="120" w:after="120"/>
              <w:rPr>
                <w:iCs/>
                <w:szCs w:val="22"/>
              </w:rPr>
            </w:pPr>
            <w:r w:rsidRPr="001800B7">
              <w:rPr>
                <w:iCs/>
                <w:szCs w:val="22"/>
              </w:rPr>
              <w:t>facteurs externes (par exemple adaptation du cadre juridique national dans le domaine de la propriété intellectuelle aux besoins des PME ou principaux facteurs qui découragent les PME à investir dans la protection des dessins et modèles industriels);</w:t>
            </w:r>
          </w:p>
          <w:p w:rsidR="00F30D9D" w:rsidRPr="001800B7" w:rsidRDefault="00F30D9D" w:rsidP="0010628F">
            <w:pPr>
              <w:numPr>
                <w:ilvl w:val="0"/>
                <w:numId w:val="25"/>
              </w:numPr>
              <w:spacing w:before="120" w:after="120"/>
              <w:rPr>
                <w:iCs/>
                <w:szCs w:val="22"/>
              </w:rPr>
            </w:pPr>
            <w:r w:rsidRPr="001800B7">
              <w:rPr>
                <w:iCs/>
                <w:szCs w:val="22"/>
              </w:rPr>
              <w:t>portée du projet trop vaste et/ou dépassement du budget;</w:t>
            </w:r>
          </w:p>
          <w:p w:rsidR="00F30D9D" w:rsidRPr="001800B7" w:rsidRDefault="00F30D9D" w:rsidP="0010628F">
            <w:pPr>
              <w:numPr>
                <w:ilvl w:val="0"/>
                <w:numId w:val="25"/>
              </w:numPr>
              <w:spacing w:before="120" w:after="120"/>
              <w:rPr>
                <w:iCs/>
                <w:szCs w:val="22"/>
              </w:rPr>
            </w:pPr>
            <w:r w:rsidRPr="001800B7">
              <w:rPr>
                <w:iCs/>
                <w:szCs w:val="22"/>
              </w:rPr>
              <w:t>absence de coordination et d</w:t>
            </w:r>
            <w:r w:rsidR="005311D6" w:rsidRPr="001800B7">
              <w:rPr>
                <w:iCs/>
                <w:szCs w:val="22"/>
              </w:rPr>
              <w:t>’</w:t>
            </w:r>
            <w:r w:rsidRPr="001800B7">
              <w:rPr>
                <w:iCs/>
                <w:szCs w:val="22"/>
              </w:rPr>
              <w:t>un accord clair sur le contenu du projet, les rôles et les responsabilités;</w:t>
            </w:r>
          </w:p>
          <w:p w:rsidR="00F30D9D" w:rsidRPr="001800B7" w:rsidRDefault="00F30D9D" w:rsidP="0010628F">
            <w:pPr>
              <w:numPr>
                <w:ilvl w:val="0"/>
                <w:numId w:val="25"/>
              </w:numPr>
              <w:spacing w:before="120" w:after="120"/>
              <w:rPr>
                <w:iCs/>
                <w:szCs w:val="22"/>
              </w:rPr>
            </w:pPr>
            <w:r w:rsidRPr="001800B7">
              <w:rPr>
                <w:iCs/>
                <w:szCs w:val="22"/>
              </w:rPr>
              <w:t>incapacité de veiller à ce que le projet donne des résultats pérennes compte tenu de la stratégie de sortie.</w:t>
            </w:r>
          </w:p>
          <w:p w:rsidR="00F30D9D" w:rsidRPr="001800B7" w:rsidRDefault="00F30D9D" w:rsidP="00F30D9D">
            <w:pPr>
              <w:spacing w:before="120" w:after="120"/>
              <w:rPr>
                <w:iCs/>
                <w:szCs w:val="22"/>
              </w:rPr>
            </w:pPr>
            <w:r w:rsidRPr="001800B7">
              <w:rPr>
                <w:iCs/>
                <w:szCs w:val="22"/>
              </w:rPr>
              <w:t>Les risques font l</w:t>
            </w:r>
            <w:r w:rsidR="005311D6" w:rsidRPr="001800B7">
              <w:rPr>
                <w:iCs/>
                <w:szCs w:val="22"/>
              </w:rPr>
              <w:t>’</w:t>
            </w:r>
            <w:r w:rsidRPr="001800B7">
              <w:rPr>
                <w:iCs/>
                <w:szCs w:val="22"/>
              </w:rPr>
              <w:t>objet d</w:t>
            </w:r>
            <w:r w:rsidR="005311D6" w:rsidRPr="001800B7">
              <w:rPr>
                <w:iCs/>
                <w:szCs w:val="22"/>
              </w:rPr>
              <w:t>’</w:t>
            </w:r>
            <w:r w:rsidRPr="001800B7">
              <w:rPr>
                <w:iCs/>
                <w:szCs w:val="22"/>
              </w:rPr>
              <w:t>une gestion régulière et de discussions placées sous le signe d</w:t>
            </w:r>
            <w:r w:rsidR="005311D6" w:rsidRPr="001800B7">
              <w:rPr>
                <w:iCs/>
                <w:szCs w:val="22"/>
              </w:rPr>
              <w:t>’</w:t>
            </w:r>
            <w:r w:rsidRPr="001800B7">
              <w:rPr>
                <w:iCs/>
                <w:szCs w:val="22"/>
              </w:rPr>
              <w:t>une collaboration étroite, tant au sein de l</w:t>
            </w:r>
            <w:r w:rsidR="005311D6" w:rsidRPr="001800B7">
              <w:rPr>
                <w:iCs/>
                <w:szCs w:val="22"/>
              </w:rPr>
              <w:t>’</w:t>
            </w:r>
            <w:r w:rsidRPr="001800B7">
              <w:rPr>
                <w:iCs/>
                <w:szCs w:val="22"/>
              </w:rPr>
              <w:t>OMPI qu</w:t>
            </w:r>
            <w:r w:rsidR="005311D6" w:rsidRPr="001800B7">
              <w:rPr>
                <w:iCs/>
                <w:szCs w:val="22"/>
              </w:rPr>
              <w:t>’</w:t>
            </w:r>
            <w:r w:rsidRPr="001800B7">
              <w:rPr>
                <w:iCs/>
                <w:szCs w:val="22"/>
              </w:rPr>
              <w:t>entre celle</w:t>
            </w:r>
            <w:r w:rsidR="001800B7" w:rsidRPr="001800B7">
              <w:rPr>
                <w:iCs/>
                <w:szCs w:val="22"/>
              </w:rPr>
              <w:noBreakHyphen/>
            </w:r>
            <w:r w:rsidRPr="001800B7">
              <w:rPr>
                <w:iCs/>
                <w:szCs w:val="22"/>
              </w:rPr>
              <w:t>ci et les institutions pilotes dans les deux pays.</w:t>
            </w:r>
          </w:p>
        </w:tc>
      </w:tr>
      <w:tr w:rsidR="001800B7" w:rsidRPr="001800B7" w:rsidTr="00F30D9D">
        <w:tc>
          <w:tcPr>
            <w:tcW w:w="2246" w:type="dxa"/>
            <w:shd w:val="clear" w:color="auto" w:fill="auto"/>
          </w:tcPr>
          <w:p w:rsidR="00F30D9D" w:rsidRPr="001800B7" w:rsidRDefault="00F30D9D" w:rsidP="00F30D9D">
            <w:pPr>
              <w:pStyle w:val="Heading3"/>
              <w:keepNext w:val="0"/>
              <w:spacing w:before="120" w:after="120"/>
              <w:rPr>
                <w:szCs w:val="22"/>
              </w:rPr>
            </w:pPr>
            <w:r w:rsidRPr="001800B7">
              <w:rPr>
                <w:szCs w:val="22"/>
              </w:rPr>
              <w:t>Questions appelant des mesures ou une attention immédiates</w:t>
            </w:r>
          </w:p>
        </w:tc>
        <w:tc>
          <w:tcPr>
            <w:tcW w:w="7245" w:type="dxa"/>
            <w:shd w:val="clear" w:color="auto" w:fill="auto"/>
          </w:tcPr>
          <w:p w:rsidR="00F30D9D" w:rsidRPr="001800B7" w:rsidRDefault="00F30D9D" w:rsidP="00F30D9D">
            <w:pPr>
              <w:spacing w:before="120" w:after="120"/>
              <w:rPr>
                <w:iCs/>
                <w:szCs w:val="22"/>
              </w:rPr>
            </w:pPr>
            <w:r w:rsidRPr="001800B7">
              <w:rPr>
                <w:iCs/>
                <w:szCs w:val="22"/>
              </w:rPr>
              <w:t>Pour l</w:t>
            </w:r>
            <w:r w:rsidR="005311D6" w:rsidRPr="001800B7">
              <w:rPr>
                <w:iCs/>
                <w:szCs w:val="22"/>
              </w:rPr>
              <w:t>’</w:t>
            </w:r>
            <w:r w:rsidRPr="001800B7">
              <w:rPr>
                <w:iCs/>
                <w:szCs w:val="22"/>
              </w:rPr>
              <w:t>heure, aucune question n</w:t>
            </w:r>
            <w:r w:rsidR="005311D6" w:rsidRPr="001800B7">
              <w:rPr>
                <w:iCs/>
                <w:szCs w:val="22"/>
              </w:rPr>
              <w:t>’</w:t>
            </w:r>
            <w:r w:rsidRPr="001800B7">
              <w:rPr>
                <w:iCs/>
                <w:szCs w:val="22"/>
              </w:rPr>
              <w:t xml:space="preserve">appelle des mesures ou une attention </w:t>
            </w:r>
            <w:proofErr w:type="gramStart"/>
            <w:r w:rsidRPr="001800B7">
              <w:rPr>
                <w:iCs/>
                <w:szCs w:val="22"/>
              </w:rPr>
              <w:t>immédiates</w:t>
            </w:r>
            <w:proofErr w:type="gramEnd"/>
            <w:r w:rsidRPr="001800B7">
              <w:rPr>
                <w:iCs/>
                <w:szCs w:val="22"/>
              </w:rPr>
              <w:t>.</w:t>
            </w:r>
          </w:p>
        </w:tc>
      </w:tr>
      <w:tr w:rsidR="001800B7" w:rsidRPr="001800B7" w:rsidTr="00F30D9D">
        <w:tc>
          <w:tcPr>
            <w:tcW w:w="2246" w:type="dxa"/>
            <w:shd w:val="clear" w:color="auto" w:fill="auto"/>
          </w:tcPr>
          <w:p w:rsidR="00F30D9D" w:rsidRPr="001800B7" w:rsidRDefault="00F30D9D" w:rsidP="00F30D9D">
            <w:pPr>
              <w:pStyle w:val="Heading3"/>
              <w:spacing w:before="120" w:after="120"/>
              <w:rPr>
                <w:szCs w:val="22"/>
              </w:rPr>
            </w:pPr>
            <w:r w:rsidRPr="001800B7">
              <w:rPr>
                <w:szCs w:val="22"/>
              </w:rPr>
              <w:lastRenderedPageBreak/>
              <w:t>Mesures à prendre</w:t>
            </w:r>
          </w:p>
        </w:tc>
        <w:tc>
          <w:tcPr>
            <w:tcW w:w="7245" w:type="dxa"/>
            <w:shd w:val="clear" w:color="auto" w:fill="auto"/>
          </w:tcPr>
          <w:p w:rsidR="00F30D9D" w:rsidRPr="001800B7" w:rsidRDefault="00F30D9D" w:rsidP="00F30D9D">
            <w:pPr>
              <w:spacing w:before="120" w:after="120"/>
              <w:rPr>
                <w:iCs/>
                <w:szCs w:val="22"/>
              </w:rPr>
            </w:pPr>
            <w:r w:rsidRPr="001800B7">
              <w:rPr>
                <w:iCs/>
                <w:szCs w:val="22"/>
              </w:rPr>
              <w:t>Les prochaines étapes consistent en l</w:t>
            </w:r>
            <w:r w:rsidR="005311D6" w:rsidRPr="001800B7">
              <w:rPr>
                <w:iCs/>
                <w:szCs w:val="22"/>
              </w:rPr>
              <w:t>’</w:t>
            </w:r>
            <w:r w:rsidRPr="001800B7">
              <w:rPr>
                <w:iCs/>
                <w:szCs w:val="22"/>
              </w:rPr>
              <w:t>achèvement de la phase initiale du projet.  Il faut ainsi :</w:t>
            </w:r>
          </w:p>
          <w:p w:rsidR="00F30D9D" w:rsidRPr="001800B7" w:rsidRDefault="00F30D9D" w:rsidP="0010628F">
            <w:pPr>
              <w:numPr>
                <w:ilvl w:val="0"/>
                <w:numId w:val="17"/>
              </w:numPr>
              <w:spacing w:before="120" w:after="120"/>
              <w:rPr>
                <w:iCs/>
                <w:szCs w:val="22"/>
              </w:rPr>
            </w:pPr>
            <w:r w:rsidRPr="001800B7">
              <w:rPr>
                <w:iCs/>
                <w:szCs w:val="22"/>
              </w:rPr>
              <w:t>établir l</w:t>
            </w:r>
            <w:r w:rsidR="005311D6" w:rsidRPr="001800B7">
              <w:rPr>
                <w:iCs/>
                <w:szCs w:val="22"/>
              </w:rPr>
              <w:t>’</w:t>
            </w:r>
            <w:r w:rsidRPr="001800B7">
              <w:rPr>
                <w:iCs/>
                <w:szCs w:val="22"/>
              </w:rPr>
              <w:t>accord de coopération en bonne et due forme (sur la base de l</w:t>
            </w:r>
            <w:r w:rsidR="005311D6" w:rsidRPr="001800B7">
              <w:rPr>
                <w:iCs/>
                <w:szCs w:val="22"/>
              </w:rPr>
              <w:t>’</w:t>
            </w:r>
            <w:r w:rsidRPr="001800B7">
              <w:rPr>
                <w:iCs/>
                <w:szCs w:val="22"/>
              </w:rPr>
              <w:t>énoncé du contenu du projet);</w:t>
            </w:r>
          </w:p>
          <w:p w:rsidR="00F30D9D" w:rsidRPr="001800B7" w:rsidRDefault="00F30D9D" w:rsidP="0010628F">
            <w:pPr>
              <w:numPr>
                <w:ilvl w:val="0"/>
                <w:numId w:val="17"/>
              </w:numPr>
              <w:spacing w:before="120" w:after="120"/>
              <w:rPr>
                <w:iCs/>
                <w:szCs w:val="22"/>
              </w:rPr>
            </w:pPr>
            <w:r w:rsidRPr="001800B7">
              <w:rPr>
                <w:iCs/>
                <w:szCs w:val="22"/>
              </w:rPr>
              <w:t>définir la stratégie nationale de protection des dessins et modèles;</w:t>
            </w:r>
          </w:p>
          <w:p w:rsidR="00F30D9D" w:rsidRPr="001800B7" w:rsidRDefault="00F30D9D" w:rsidP="0010628F">
            <w:pPr>
              <w:numPr>
                <w:ilvl w:val="0"/>
                <w:numId w:val="17"/>
              </w:numPr>
              <w:spacing w:before="120" w:after="120"/>
              <w:rPr>
                <w:iCs/>
                <w:szCs w:val="22"/>
              </w:rPr>
            </w:pPr>
            <w:r w:rsidRPr="001800B7">
              <w:rPr>
                <w:iCs/>
                <w:szCs w:val="22"/>
              </w:rPr>
              <w:t>définir la stratégie de sensibilisation;</w:t>
            </w:r>
          </w:p>
          <w:p w:rsidR="00F30D9D" w:rsidRPr="001800B7" w:rsidRDefault="00F30D9D" w:rsidP="0010628F">
            <w:pPr>
              <w:numPr>
                <w:ilvl w:val="0"/>
                <w:numId w:val="17"/>
              </w:numPr>
              <w:spacing w:before="120" w:after="120"/>
              <w:rPr>
                <w:iCs/>
                <w:szCs w:val="22"/>
              </w:rPr>
            </w:pPr>
            <w:r w:rsidRPr="001800B7">
              <w:rPr>
                <w:iCs/>
                <w:szCs w:val="22"/>
              </w:rPr>
              <w:t>définir la stratégie de sortie.</w:t>
            </w:r>
          </w:p>
          <w:p w:rsidR="00F30D9D" w:rsidRPr="001800B7" w:rsidRDefault="00F30D9D" w:rsidP="00F30D9D">
            <w:pPr>
              <w:spacing w:before="120" w:after="120"/>
              <w:rPr>
                <w:i/>
                <w:iCs/>
                <w:szCs w:val="22"/>
              </w:rPr>
            </w:pPr>
            <w:r w:rsidRPr="001800B7">
              <w:rPr>
                <w:i/>
                <w:iCs/>
                <w:szCs w:val="22"/>
              </w:rPr>
              <w:t>Étude de faisabilité :</w:t>
            </w:r>
          </w:p>
          <w:p w:rsidR="00F30D9D" w:rsidRPr="001800B7" w:rsidRDefault="00F30D9D" w:rsidP="0010628F">
            <w:pPr>
              <w:numPr>
                <w:ilvl w:val="0"/>
                <w:numId w:val="17"/>
              </w:numPr>
              <w:spacing w:before="120" w:after="120"/>
              <w:rPr>
                <w:iCs/>
                <w:szCs w:val="22"/>
              </w:rPr>
            </w:pPr>
            <w:r w:rsidRPr="001800B7">
              <w:rPr>
                <w:iCs/>
                <w:szCs w:val="22"/>
              </w:rPr>
              <w:t>Établissement des rapports des pays par les institutions pilotes sur la base du questionnaire de l</w:t>
            </w:r>
            <w:r w:rsidR="005311D6" w:rsidRPr="001800B7">
              <w:rPr>
                <w:iCs/>
                <w:szCs w:val="22"/>
              </w:rPr>
              <w:t>’</w:t>
            </w:r>
            <w:r w:rsidRPr="001800B7">
              <w:rPr>
                <w:iCs/>
                <w:szCs w:val="22"/>
              </w:rPr>
              <w:t>OMPI</w:t>
            </w:r>
          </w:p>
          <w:p w:rsidR="00F30D9D" w:rsidRPr="001800B7" w:rsidRDefault="00F30D9D" w:rsidP="0010628F">
            <w:pPr>
              <w:numPr>
                <w:ilvl w:val="0"/>
                <w:numId w:val="17"/>
              </w:numPr>
              <w:spacing w:before="120" w:after="120"/>
              <w:rPr>
                <w:iCs/>
                <w:szCs w:val="22"/>
              </w:rPr>
            </w:pPr>
            <w:r w:rsidRPr="001800B7">
              <w:rPr>
                <w:iCs/>
                <w:szCs w:val="22"/>
              </w:rPr>
              <w:t>Envoi de l</w:t>
            </w:r>
            <w:r w:rsidR="005311D6" w:rsidRPr="001800B7">
              <w:rPr>
                <w:iCs/>
                <w:szCs w:val="22"/>
              </w:rPr>
              <w:t>’</w:t>
            </w:r>
            <w:r w:rsidRPr="001800B7">
              <w:rPr>
                <w:iCs/>
                <w:szCs w:val="22"/>
              </w:rPr>
              <w:t>enquête aux PME</w:t>
            </w:r>
          </w:p>
          <w:p w:rsidR="00F30D9D" w:rsidRPr="001800B7" w:rsidRDefault="00F30D9D" w:rsidP="00F30D9D">
            <w:pPr>
              <w:spacing w:before="120" w:after="120"/>
              <w:rPr>
                <w:i/>
                <w:iCs/>
                <w:szCs w:val="22"/>
              </w:rPr>
            </w:pPr>
            <w:r w:rsidRPr="001800B7">
              <w:rPr>
                <w:i/>
                <w:iCs/>
                <w:szCs w:val="22"/>
              </w:rPr>
              <w:t>Sélection :</w:t>
            </w:r>
          </w:p>
          <w:p w:rsidR="00F30D9D" w:rsidRPr="001800B7" w:rsidRDefault="00F30D9D" w:rsidP="0010628F">
            <w:pPr>
              <w:numPr>
                <w:ilvl w:val="0"/>
                <w:numId w:val="17"/>
              </w:numPr>
              <w:spacing w:before="120" w:after="120"/>
              <w:rPr>
                <w:iCs/>
                <w:szCs w:val="22"/>
              </w:rPr>
            </w:pPr>
            <w:r w:rsidRPr="001800B7">
              <w:rPr>
                <w:iCs/>
                <w:szCs w:val="22"/>
              </w:rPr>
              <w:t>Coordonnateur du projet au niveau national</w:t>
            </w:r>
          </w:p>
          <w:p w:rsidR="00F30D9D" w:rsidRPr="001800B7" w:rsidRDefault="00F30D9D" w:rsidP="0010628F">
            <w:pPr>
              <w:numPr>
                <w:ilvl w:val="0"/>
                <w:numId w:val="17"/>
              </w:numPr>
              <w:spacing w:before="120" w:after="120"/>
              <w:rPr>
                <w:iCs/>
                <w:szCs w:val="22"/>
              </w:rPr>
            </w:pPr>
            <w:r w:rsidRPr="001800B7">
              <w:rPr>
                <w:iCs/>
                <w:szCs w:val="22"/>
              </w:rPr>
              <w:t>Experts nationaux</w:t>
            </w:r>
          </w:p>
          <w:p w:rsidR="00F30D9D" w:rsidRPr="001800B7" w:rsidRDefault="00F30D9D" w:rsidP="00F30D9D">
            <w:pPr>
              <w:spacing w:before="120" w:after="120"/>
              <w:rPr>
                <w:iCs/>
                <w:szCs w:val="22"/>
              </w:rPr>
            </w:pPr>
            <w:r w:rsidRPr="001800B7">
              <w:rPr>
                <w:iCs/>
                <w:szCs w:val="22"/>
              </w:rPr>
              <w:t>Un colloque international sur les dessins et modèles industriels se tiendra les 3 et 4 septembre 2014.</w:t>
            </w:r>
          </w:p>
        </w:tc>
      </w:tr>
      <w:tr w:rsidR="001800B7" w:rsidRPr="001800B7" w:rsidTr="00F30D9D">
        <w:tc>
          <w:tcPr>
            <w:tcW w:w="2246" w:type="dxa"/>
            <w:shd w:val="clear" w:color="auto" w:fill="auto"/>
          </w:tcPr>
          <w:p w:rsidR="00F30D9D" w:rsidRPr="001800B7" w:rsidRDefault="00F30D9D" w:rsidP="00F30D9D">
            <w:pPr>
              <w:pStyle w:val="Heading3"/>
              <w:spacing w:before="120" w:after="120"/>
              <w:rPr>
                <w:szCs w:val="22"/>
              </w:rPr>
            </w:pPr>
            <w:r w:rsidRPr="001800B7">
              <w:rPr>
                <w:szCs w:val="22"/>
              </w:rPr>
              <w:t>Calendrier d</w:t>
            </w:r>
            <w:r w:rsidR="005311D6" w:rsidRPr="001800B7">
              <w:rPr>
                <w:szCs w:val="22"/>
              </w:rPr>
              <w:t>’</w:t>
            </w:r>
            <w:r w:rsidRPr="001800B7">
              <w:rPr>
                <w:szCs w:val="22"/>
              </w:rPr>
              <w:t>exécution (pour les prochaines étapes susmentionnées)</w:t>
            </w:r>
          </w:p>
        </w:tc>
        <w:tc>
          <w:tcPr>
            <w:tcW w:w="7245" w:type="dxa"/>
            <w:shd w:val="clear" w:color="auto" w:fill="auto"/>
          </w:tcPr>
          <w:p w:rsidR="00F30D9D" w:rsidRPr="001800B7" w:rsidRDefault="00F30D9D" w:rsidP="00F30D9D">
            <w:pPr>
              <w:spacing w:before="120" w:after="120"/>
              <w:rPr>
                <w:iCs/>
                <w:szCs w:val="22"/>
              </w:rPr>
            </w:pPr>
            <w:r w:rsidRPr="001800B7">
              <w:rPr>
                <w:iCs/>
                <w:szCs w:val="22"/>
              </w:rPr>
              <w:t>15 juillet 2014 – 31 décembre 2014</w:t>
            </w:r>
          </w:p>
        </w:tc>
      </w:tr>
      <w:tr w:rsidR="001800B7" w:rsidRPr="001800B7" w:rsidTr="00F30D9D">
        <w:tc>
          <w:tcPr>
            <w:tcW w:w="2246" w:type="dxa"/>
            <w:shd w:val="clear" w:color="auto" w:fill="auto"/>
          </w:tcPr>
          <w:p w:rsidR="00F30D9D" w:rsidRPr="001800B7" w:rsidRDefault="00F30D9D" w:rsidP="00F30D9D">
            <w:pPr>
              <w:pStyle w:val="Heading3"/>
              <w:spacing w:before="120" w:after="120"/>
              <w:rPr>
                <w:szCs w:val="22"/>
              </w:rPr>
            </w:pPr>
            <w:r w:rsidRPr="001800B7">
              <w:rPr>
                <w:szCs w:val="22"/>
              </w:rPr>
              <w:t>Taux d</w:t>
            </w:r>
            <w:r w:rsidR="005311D6" w:rsidRPr="001800B7">
              <w:rPr>
                <w:szCs w:val="22"/>
              </w:rPr>
              <w:t>’</w:t>
            </w:r>
            <w:r w:rsidRPr="001800B7">
              <w:rPr>
                <w:szCs w:val="22"/>
              </w:rPr>
              <w:t xml:space="preserve">exécution du projet </w:t>
            </w:r>
          </w:p>
        </w:tc>
        <w:tc>
          <w:tcPr>
            <w:tcW w:w="7245" w:type="dxa"/>
            <w:shd w:val="clear" w:color="auto" w:fill="auto"/>
          </w:tcPr>
          <w:p w:rsidR="00F30D9D" w:rsidRPr="001800B7" w:rsidRDefault="00F30D9D" w:rsidP="00F30D9D">
            <w:pPr>
              <w:spacing w:before="120" w:after="120"/>
              <w:rPr>
                <w:iCs/>
                <w:szCs w:val="22"/>
              </w:rPr>
            </w:pPr>
            <w:r w:rsidRPr="001800B7">
              <w:rPr>
                <w:szCs w:val="22"/>
              </w:rPr>
              <w:t>Le taux d</w:t>
            </w:r>
            <w:r w:rsidR="005311D6" w:rsidRPr="001800B7">
              <w:rPr>
                <w:szCs w:val="22"/>
              </w:rPr>
              <w:t>’</w:t>
            </w:r>
            <w:r w:rsidRPr="001800B7">
              <w:rPr>
                <w:szCs w:val="22"/>
              </w:rPr>
              <w:t>utilisation du budget à la fin du mois d</w:t>
            </w:r>
            <w:r w:rsidR="005311D6" w:rsidRPr="001800B7">
              <w:rPr>
                <w:szCs w:val="22"/>
              </w:rPr>
              <w:t>’</w:t>
            </w:r>
            <w:r w:rsidRPr="001800B7">
              <w:rPr>
                <w:szCs w:val="22"/>
              </w:rPr>
              <w:t>août 2014 s</w:t>
            </w:r>
            <w:r w:rsidR="005311D6" w:rsidRPr="001800B7">
              <w:rPr>
                <w:szCs w:val="22"/>
              </w:rPr>
              <w:t>’</w:t>
            </w:r>
            <w:r w:rsidRPr="001800B7">
              <w:rPr>
                <w:szCs w:val="22"/>
              </w:rPr>
              <w:t>élevait à 10%.</w:t>
            </w:r>
          </w:p>
        </w:tc>
      </w:tr>
      <w:tr w:rsidR="001800B7" w:rsidRPr="001800B7" w:rsidTr="00F30D9D">
        <w:tc>
          <w:tcPr>
            <w:tcW w:w="2246" w:type="dxa"/>
            <w:shd w:val="clear" w:color="auto" w:fill="auto"/>
          </w:tcPr>
          <w:p w:rsidR="00F30D9D" w:rsidRPr="001800B7" w:rsidRDefault="00F30D9D" w:rsidP="00F30D9D">
            <w:pPr>
              <w:pStyle w:val="Heading3"/>
              <w:spacing w:before="120" w:after="120"/>
              <w:rPr>
                <w:szCs w:val="22"/>
              </w:rPr>
            </w:pPr>
            <w:r w:rsidRPr="001800B7">
              <w:rPr>
                <w:szCs w:val="22"/>
              </w:rPr>
              <w:t>Rapports/documents précédents</w:t>
            </w:r>
          </w:p>
        </w:tc>
        <w:tc>
          <w:tcPr>
            <w:tcW w:w="7245" w:type="dxa"/>
            <w:shd w:val="clear" w:color="auto" w:fill="auto"/>
          </w:tcPr>
          <w:p w:rsidR="00F30D9D" w:rsidRPr="001800B7" w:rsidRDefault="00F30D9D" w:rsidP="00F30D9D">
            <w:pPr>
              <w:spacing w:before="120" w:after="120"/>
              <w:rPr>
                <w:iCs/>
                <w:szCs w:val="22"/>
              </w:rPr>
            </w:pPr>
            <w:r w:rsidRPr="001800B7">
              <w:rPr>
                <w:iCs/>
                <w:szCs w:val="22"/>
              </w:rPr>
              <w:t>Le présent rapport est le premier à être soumis au CDIP.</w:t>
            </w:r>
          </w:p>
        </w:tc>
      </w:tr>
    </w:tbl>
    <w:p w:rsidR="00F30D9D" w:rsidRPr="001800B7" w:rsidRDefault="00F30D9D" w:rsidP="00F30D9D">
      <w:pPr>
        <w:rPr>
          <w:szCs w:val="22"/>
        </w:rPr>
      </w:pPr>
    </w:p>
    <w:p w:rsidR="00F30D9D" w:rsidRPr="001800B7" w:rsidRDefault="00F30D9D" w:rsidP="00F30D9D">
      <w:pPr>
        <w:rPr>
          <w:szCs w:val="22"/>
        </w:rPr>
      </w:pPr>
    </w:p>
    <w:p w:rsidR="00F30D9D" w:rsidRPr="001800B7" w:rsidRDefault="00F30D9D" w:rsidP="00F30D9D">
      <w:pPr>
        <w:rPr>
          <w:rFonts w:eastAsia="Times New Roman"/>
          <w:szCs w:val="22"/>
          <w:lang w:eastAsia="en-US"/>
        </w:rPr>
      </w:pPr>
      <w:r w:rsidRPr="001800B7">
        <w:rPr>
          <w:rFonts w:eastAsia="Times New Roman"/>
          <w:szCs w:val="22"/>
          <w:lang w:eastAsia="en-US"/>
        </w:rPr>
        <w:br w:type="page"/>
      </w:r>
      <w:r w:rsidRPr="001800B7">
        <w:rPr>
          <w:rFonts w:eastAsia="Times New Roman"/>
          <w:szCs w:val="22"/>
          <w:lang w:eastAsia="en-US"/>
        </w:rPr>
        <w:lastRenderedPageBreak/>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F30D9D" w:rsidRPr="001800B7" w:rsidRDefault="00F30D9D" w:rsidP="00F30D9D">
      <w:pPr>
        <w:rPr>
          <w:szCs w:val="22"/>
        </w:rPr>
      </w:pPr>
    </w:p>
    <w:p w:rsidR="00F30D9D" w:rsidRPr="001800B7" w:rsidRDefault="00F30D9D" w:rsidP="00F30D9D">
      <w:pPr>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p w:rsidR="00F30D9D" w:rsidRPr="001800B7" w:rsidRDefault="00F30D9D" w:rsidP="00F30D9D">
      <w:pPr>
        <w:rPr>
          <w:rFonts w:eastAsia="Times New Roman"/>
          <w:szCs w:val="22"/>
          <w:lang w:eastAsia="en-US"/>
        </w:rPr>
      </w:pP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F30D9D">
        <w:trPr>
          <w:cantSplit/>
        </w:trPr>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NE</w:t>
            </w:r>
          </w:p>
        </w:tc>
      </w:tr>
      <w:tr w:rsidR="00F30D9D" w:rsidRPr="001800B7" w:rsidTr="00F30D9D">
        <w:trPr>
          <w:cantSplit/>
        </w:trPr>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F30D9D" w:rsidRPr="001800B7" w:rsidRDefault="00F30D9D" w:rsidP="00F30D9D">
      <w:pPr>
        <w:rPr>
          <w:szCs w:val="22"/>
        </w:rPr>
      </w:pPr>
    </w:p>
    <w:p w:rsidR="00F30D9D" w:rsidRPr="001800B7" w:rsidRDefault="00F30D9D" w:rsidP="00F30D9D">
      <w:pPr>
        <w:rPr>
          <w:szCs w:val="22"/>
        </w:rPr>
      </w:pPr>
      <w:r w:rsidRPr="001800B7">
        <w:rPr>
          <w:szCs w:val="22"/>
        </w:rPr>
        <w:t>Note : le projet ayant été lancé récemment, la plupart des indicateurs se voient attribuer le code d</w:t>
      </w:r>
      <w:r w:rsidR="005311D6" w:rsidRPr="001800B7">
        <w:rPr>
          <w:szCs w:val="22"/>
        </w:rPr>
        <w:t>’</w:t>
      </w:r>
      <w:r w:rsidRPr="001800B7">
        <w:rPr>
          <w:szCs w:val="22"/>
        </w:rPr>
        <w:t>évaluation “AP”.</w:t>
      </w:r>
    </w:p>
    <w:p w:rsidR="00F30D9D" w:rsidRPr="001800B7" w:rsidRDefault="00F30D9D" w:rsidP="00F30D9D">
      <w:pPr>
        <w:rPr>
          <w:szCs w:val="22"/>
        </w:rPr>
      </w:pPr>
    </w:p>
    <w:tbl>
      <w:tblPr>
        <w:tblW w:w="94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2694"/>
        <w:gridCol w:w="2976"/>
        <w:gridCol w:w="1455"/>
      </w:tblGrid>
      <w:tr w:rsidR="001800B7" w:rsidRPr="001800B7" w:rsidTr="006010A6">
        <w:tc>
          <w:tcPr>
            <w:tcW w:w="2366" w:type="dxa"/>
            <w:shd w:val="clear" w:color="auto" w:fill="auto"/>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Style w:val="FootnoteReference"/>
                <w:rFonts w:eastAsia="Times New Roman"/>
                <w:szCs w:val="22"/>
                <w:lang w:eastAsia="en-US"/>
              </w:rPr>
              <w:footnoteReference w:id="5"/>
            </w:r>
            <w:r w:rsidRPr="001800B7">
              <w:rPr>
                <w:rFonts w:eastAsia="Times New Roman"/>
                <w:szCs w:val="22"/>
                <w:u w:val="single"/>
                <w:lang w:eastAsia="en-US"/>
              </w:rPr>
              <w:br/>
            </w:r>
            <w:r w:rsidRPr="001800B7">
              <w:rPr>
                <w:rFonts w:eastAsia="Times New Roman"/>
                <w:szCs w:val="22"/>
                <w:lang w:eastAsia="en-US"/>
              </w:rPr>
              <w:t>(résultat escompté)</w:t>
            </w:r>
          </w:p>
        </w:tc>
        <w:tc>
          <w:tcPr>
            <w:tcW w:w="2694" w:type="dxa"/>
            <w:shd w:val="clear" w:color="auto" w:fill="auto"/>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6" w:type="dxa"/>
            <w:shd w:val="clear" w:color="auto" w:fill="auto"/>
          </w:tcPr>
          <w:p w:rsidR="00F30D9D" w:rsidRPr="001800B7" w:rsidRDefault="00F30D9D" w:rsidP="00F30D9D">
            <w:pPr>
              <w:keepNext/>
              <w:spacing w:before="120" w:after="120"/>
              <w:jc w:val="center"/>
              <w:outlineLvl w:val="2"/>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55" w:type="dxa"/>
            <w:shd w:val="clear" w:color="auto" w:fill="auto"/>
          </w:tcPr>
          <w:p w:rsidR="00F30D9D" w:rsidRPr="001800B7" w:rsidRDefault="00F30D9D" w:rsidP="00F30D9D">
            <w:pPr>
              <w:keepNext/>
              <w:spacing w:before="120" w:after="120"/>
              <w:jc w:val="center"/>
              <w:outlineLvl w:val="2"/>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6010A6">
        <w:tc>
          <w:tcPr>
            <w:tcW w:w="2366" w:type="dxa"/>
            <w:shd w:val="clear" w:color="auto" w:fill="auto"/>
          </w:tcPr>
          <w:p w:rsidR="00F30D9D" w:rsidRPr="001800B7" w:rsidRDefault="00F30D9D" w:rsidP="00F30D9D">
            <w:pPr>
              <w:spacing w:before="120" w:after="120"/>
              <w:rPr>
                <w:rFonts w:eastAsia="Malgun Gothic"/>
                <w:kern w:val="2"/>
                <w:szCs w:val="22"/>
                <w:lang w:eastAsia="ko-KR"/>
              </w:rPr>
            </w:pPr>
            <w:r w:rsidRPr="001800B7">
              <w:rPr>
                <w:rFonts w:eastAsia="Malgun Gothic"/>
                <w:kern w:val="2"/>
                <w:szCs w:val="22"/>
                <w:lang w:eastAsia="ko-KR"/>
              </w:rPr>
              <w:t>Pays participants sélectionnés</w:t>
            </w:r>
          </w:p>
          <w:p w:rsidR="00F30D9D" w:rsidRPr="001800B7" w:rsidRDefault="00F30D9D" w:rsidP="00F30D9D">
            <w:pPr>
              <w:spacing w:before="120" w:after="120"/>
              <w:rPr>
                <w:rFonts w:eastAsia="Malgun Gothic"/>
                <w:b/>
                <w:kern w:val="2"/>
                <w:szCs w:val="22"/>
                <w:lang w:eastAsia="ko-KR"/>
              </w:rPr>
            </w:pPr>
            <w:r w:rsidRPr="001800B7">
              <w:rPr>
                <w:rFonts w:eastAsia="Malgun Gothic"/>
                <w:kern w:val="2"/>
                <w:szCs w:val="22"/>
                <w:lang w:eastAsia="ko-KR"/>
              </w:rPr>
              <w:t>Mécanisme de protection des dessins et modèles par le biais de droits de la propriété intellectuelle élaboré pour les entreprises créatrices de dessins et modèles à l</w:t>
            </w:r>
            <w:r w:rsidR="005311D6" w:rsidRPr="001800B7">
              <w:rPr>
                <w:rFonts w:eastAsia="Malgun Gothic"/>
                <w:kern w:val="2"/>
                <w:szCs w:val="22"/>
                <w:lang w:eastAsia="ko-KR"/>
              </w:rPr>
              <w:t>’</w:t>
            </w:r>
            <w:r w:rsidRPr="001800B7">
              <w:rPr>
                <w:rFonts w:eastAsia="Malgun Gothic"/>
                <w:kern w:val="2"/>
                <w:szCs w:val="22"/>
                <w:lang w:eastAsia="ko-KR"/>
              </w:rPr>
              <w:t>échelon national.</w:t>
            </w:r>
          </w:p>
        </w:tc>
        <w:tc>
          <w:tcPr>
            <w:tcW w:w="2694" w:type="dxa"/>
            <w:shd w:val="clear" w:color="auto" w:fill="auto"/>
          </w:tcPr>
          <w:p w:rsidR="00F30D9D" w:rsidRPr="001800B7" w:rsidRDefault="00F30D9D" w:rsidP="00F30D9D">
            <w:pPr>
              <w:spacing w:before="120" w:after="120"/>
              <w:rPr>
                <w:rFonts w:eastAsia="Malgun Gothic"/>
                <w:kern w:val="2"/>
                <w:szCs w:val="22"/>
                <w:lang w:eastAsia="ko-KR"/>
              </w:rPr>
            </w:pPr>
            <w:r w:rsidRPr="001800B7">
              <w:rPr>
                <w:rFonts w:eastAsia="Malgun Gothic"/>
                <w:kern w:val="2"/>
                <w:szCs w:val="22"/>
                <w:lang w:eastAsia="ko-KR"/>
              </w:rPr>
              <w:t>Deux pays sélectionnés (décision fondée sur des critères de sélection).</w:t>
            </w:r>
          </w:p>
        </w:tc>
        <w:tc>
          <w:tcPr>
            <w:tcW w:w="2976" w:type="dxa"/>
            <w:shd w:val="clear" w:color="auto" w:fill="auto"/>
            <w:vAlign w:val="center"/>
          </w:tcPr>
          <w:p w:rsidR="00F30D9D" w:rsidRPr="001800B7" w:rsidRDefault="00F30D9D" w:rsidP="00F30D9D">
            <w:pPr>
              <w:spacing w:before="120" w:after="120"/>
              <w:rPr>
                <w:szCs w:val="22"/>
              </w:rPr>
            </w:pPr>
            <w:r w:rsidRPr="001800B7">
              <w:rPr>
                <w:szCs w:val="22"/>
              </w:rPr>
              <w:t>La sélection a bien été fondée sur les critères de sélection ci</w:t>
            </w:r>
            <w:r w:rsidR="001800B7" w:rsidRPr="001800B7">
              <w:rPr>
                <w:szCs w:val="22"/>
              </w:rPr>
              <w:noBreakHyphen/>
            </w:r>
            <w:r w:rsidRPr="001800B7">
              <w:rPr>
                <w:szCs w:val="22"/>
              </w:rPr>
              <w:t>après :</w:t>
            </w:r>
          </w:p>
          <w:p w:rsidR="00F30D9D" w:rsidRPr="001800B7" w:rsidRDefault="00F30D9D" w:rsidP="0010628F">
            <w:pPr>
              <w:numPr>
                <w:ilvl w:val="0"/>
                <w:numId w:val="20"/>
              </w:numPr>
              <w:spacing w:before="120" w:after="120"/>
              <w:rPr>
                <w:rFonts w:eastAsia="Malgun Gothic"/>
                <w:kern w:val="2"/>
                <w:szCs w:val="22"/>
                <w:lang w:eastAsia="ko-KR"/>
              </w:rPr>
            </w:pPr>
            <w:r w:rsidRPr="001800B7">
              <w:rPr>
                <w:rFonts w:eastAsia="Malgun Gothic"/>
                <w:kern w:val="2"/>
                <w:szCs w:val="22"/>
                <w:lang w:eastAsia="ko-KR"/>
              </w:rPr>
              <w:t>Existence de secteurs ou de fabricants dépendant des dessins et modèles dans le pays;  état des institutions, du cadre législatif et de l</w:t>
            </w:r>
            <w:r w:rsidR="005311D6" w:rsidRPr="001800B7">
              <w:rPr>
                <w:rFonts w:eastAsia="Malgun Gothic"/>
                <w:kern w:val="2"/>
                <w:szCs w:val="22"/>
                <w:lang w:eastAsia="ko-KR"/>
              </w:rPr>
              <w:t>’</w:t>
            </w:r>
            <w:r w:rsidRPr="001800B7">
              <w:rPr>
                <w:rFonts w:eastAsia="Malgun Gothic"/>
                <w:kern w:val="2"/>
                <w:szCs w:val="22"/>
                <w:lang w:eastAsia="ko-KR"/>
              </w:rPr>
              <w:t>infrastructure de protection des dessins et modèles;</w:t>
            </w:r>
          </w:p>
          <w:p w:rsidR="00F30D9D" w:rsidRPr="001800B7" w:rsidRDefault="00F30D9D" w:rsidP="0010628F">
            <w:pPr>
              <w:numPr>
                <w:ilvl w:val="0"/>
                <w:numId w:val="20"/>
              </w:numPr>
              <w:spacing w:before="120" w:after="120"/>
              <w:rPr>
                <w:rFonts w:eastAsia="Malgun Gothic"/>
                <w:kern w:val="2"/>
                <w:szCs w:val="22"/>
                <w:lang w:eastAsia="ko-KR"/>
              </w:rPr>
            </w:pPr>
            <w:r w:rsidRPr="001800B7">
              <w:rPr>
                <w:rFonts w:eastAsia="Malgun Gothic"/>
                <w:kern w:val="2"/>
                <w:szCs w:val="22"/>
                <w:lang w:eastAsia="ko-KR"/>
              </w:rPr>
              <w:t>Besoin réel d</w:t>
            </w:r>
            <w:r w:rsidR="005311D6" w:rsidRPr="001800B7">
              <w:rPr>
                <w:rFonts w:eastAsia="Malgun Gothic"/>
                <w:kern w:val="2"/>
                <w:szCs w:val="22"/>
                <w:lang w:eastAsia="ko-KR"/>
              </w:rPr>
              <w:t>’</w:t>
            </w:r>
            <w:r w:rsidRPr="001800B7">
              <w:rPr>
                <w:rFonts w:eastAsia="Malgun Gothic"/>
                <w:kern w:val="2"/>
                <w:szCs w:val="22"/>
                <w:lang w:eastAsia="ko-KR"/>
              </w:rPr>
              <w:t>aider les entreprises concernées à concevoir des stratégies de propriété intellectuelle et acquérir des droits de propriété intellectuelle garantissant la protection active de leurs modèles et dessins industriels sur les marches nationaux et internationaux;  et</w:t>
            </w:r>
          </w:p>
          <w:p w:rsidR="00F30D9D" w:rsidRPr="001800B7" w:rsidRDefault="00F30D9D" w:rsidP="0010628F">
            <w:pPr>
              <w:numPr>
                <w:ilvl w:val="0"/>
                <w:numId w:val="20"/>
              </w:numPr>
              <w:spacing w:before="120" w:after="120"/>
              <w:rPr>
                <w:rFonts w:eastAsia="Malgun Gothic"/>
                <w:kern w:val="2"/>
                <w:szCs w:val="22"/>
                <w:lang w:eastAsia="ko-KR"/>
              </w:rPr>
            </w:pPr>
            <w:r w:rsidRPr="001800B7">
              <w:rPr>
                <w:rFonts w:eastAsia="Malgun Gothic"/>
                <w:kern w:val="2"/>
                <w:szCs w:val="22"/>
                <w:lang w:eastAsia="ko-KR"/>
              </w:rPr>
              <w:t>Potentiel de reprise et de poursuite du projet une fois le projet initial terminé, et possibilités de le répliquer dans les autres États membres.</w:t>
            </w:r>
          </w:p>
          <w:p w:rsidR="00F30D9D" w:rsidRDefault="00F30D9D" w:rsidP="001800B7">
            <w:pPr>
              <w:spacing w:before="120" w:after="120"/>
              <w:rPr>
                <w:szCs w:val="22"/>
              </w:rPr>
            </w:pPr>
            <w:r w:rsidRPr="001800B7">
              <w:rPr>
                <w:szCs w:val="22"/>
              </w:rPr>
              <w:t>Réf.</w:t>
            </w:r>
            <w:r w:rsidR="001800B7" w:rsidRPr="001800B7">
              <w:rPr>
                <w:szCs w:val="22"/>
              </w:rPr>
              <w:t> </w:t>
            </w:r>
            <w:r w:rsidRPr="001800B7">
              <w:rPr>
                <w:szCs w:val="22"/>
              </w:rPr>
              <w:t>: propositions de projet des deux pays participants.</w:t>
            </w:r>
          </w:p>
          <w:p w:rsidR="00824CB9" w:rsidRPr="001800B7" w:rsidRDefault="00824CB9" w:rsidP="001800B7">
            <w:pPr>
              <w:spacing w:before="120" w:after="120"/>
              <w:rPr>
                <w:szCs w:val="22"/>
              </w:rPr>
            </w:pPr>
          </w:p>
        </w:tc>
        <w:tc>
          <w:tcPr>
            <w:tcW w:w="1455" w:type="dxa"/>
            <w:shd w:val="clear" w:color="auto" w:fill="auto"/>
          </w:tcPr>
          <w:p w:rsidR="00F30D9D" w:rsidRPr="001800B7" w:rsidRDefault="00F30D9D" w:rsidP="00F30D9D">
            <w:pPr>
              <w:spacing w:before="120" w:after="120"/>
              <w:rPr>
                <w:szCs w:val="22"/>
              </w:rPr>
            </w:pPr>
            <w:r w:rsidRPr="001800B7">
              <w:rPr>
                <w:szCs w:val="22"/>
              </w:rPr>
              <w:t>****</w:t>
            </w:r>
          </w:p>
        </w:tc>
      </w:tr>
      <w:tr w:rsidR="001800B7" w:rsidRPr="001800B7" w:rsidTr="006010A6">
        <w:tc>
          <w:tcPr>
            <w:tcW w:w="2366" w:type="dxa"/>
            <w:shd w:val="clear" w:color="auto" w:fill="auto"/>
          </w:tcPr>
          <w:p w:rsidR="00F30D9D" w:rsidRPr="001800B7" w:rsidRDefault="00F30D9D" w:rsidP="00F30D9D">
            <w:pPr>
              <w:spacing w:before="120" w:after="120"/>
              <w:rPr>
                <w:bCs/>
                <w:szCs w:val="22"/>
              </w:rPr>
            </w:pPr>
          </w:p>
        </w:tc>
        <w:tc>
          <w:tcPr>
            <w:tcW w:w="2694" w:type="dxa"/>
            <w:shd w:val="clear" w:color="auto" w:fill="auto"/>
          </w:tcPr>
          <w:p w:rsidR="00F30D9D" w:rsidRPr="001800B7" w:rsidRDefault="00F30D9D" w:rsidP="0010628F">
            <w:pPr>
              <w:numPr>
                <w:ilvl w:val="1"/>
                <w:numId w:val="18"/>
              </w:numPr>
              <w:tabs>
                <w:tab w:val="num" w:pos="567"/>
              </w:tabs>
              <w:spacing w:before="120" w:after="120"/>
              <w:ind w:left="0"/>
              <w:rPr>
                <w:rFonts w:eastAsia="Malgun Gothic"/>
                <w:kern w:val="2"/>
                <w:szCs w:val="22"/>
                <w:lang w:eastAsia="ko-KR"/>
              </w:rPr>
            </w:pPr>
            <w:r w:rsidRPr="001800B7">
              <w:rPr>
                <w:rFonts w:eastAsia="Malgun Gothic"/>
                <w:kern w:val="2"/>
                <w:szCs w:val="22"/>
                <w:lang w:eastAsia="ko-KR"/>
              </w:rPr>
              <w:t>Rédaction de la stratégie nationale de protection des dessins et modèles et commentaires de l</w:t>
            </w:r>
            <w:r w:rsidR="005311D6" w:rsidRPr="001800B7">
              <w:rPr>
                <w:rFonts w:eastAsia="Malgun Gothic"/>
                <w:kern w:val="2"/>
                <w:szCs w:val="22"/>
                <w:lang w:eastAsia="ko-KR"/>
              </w:rPr>
              <w:t>’</w:t>
            </w:r>
            <w:r w:rsidRPr="001800B7">
              <w:rPr>
                <w:rFonts w:eastAsia="Malgun Gothic"/>
                <w:kern w:val="2"/>
                <w:szCs w:val="22"/>
                <w:lang w:eastAsia="ko-KR"/>
              </w:rPr>
              <w:t>OMPI.</w:t>
            </w:r>
          </w:p>
          <w:p w:rsidR="00F30D9D" w:rsidRPr="001800B7" w:rsidRDefault="00F30D9D" w:rsidP="0010628F">
            <w:pPr>
              <w:numPr>
                <w:ilvl w:val="1"/>
                <w:numId w:val="18"/>
              </w:numPr>
              <w:tabs>
                <w:tab w:val="num" w:pos="567"/>
              </w:tabs>
              <w:spacing w:before="120" w:after="120"/>
              <w:ind w:left="0"/>
              <w:rPr>
                <w:rFonts w:eastAsia="Malgun Gothic"/>
                <w:kern w:val="2"/>
                <w:szCs w:val="22"/>
                <w:lang w:eastAsia="ko-KR"/>
              </w:rPr>
            </w:pPr>
            <w:r w:rsidRPr="001800B7">
              <w:rPr>
                <w:rFonts w:eastAsia="Malgun Gothic"/>
                <w:kern w:val="2"/>
                <w:szCs w:val="22"/>
                <w:lang w:eastAsia="ko-KR"/>
              </w:rPr>
              <w:t>Désignation des responsables du projet au niveau national et des institutions pilotes nationales selon les critères de sélection définis.</w:t>
            </w:r>
          </w:p>
          <w:p w:rsidR="00F30D9D" w:rsidRPr="001800B7" w:rsidRDefault="00F30D9D" w:rsidP="0010628F">
            <w:pPr>
              <w:numPr>
                <w:ilvl w:val="1"/>
                <w:numId w:val="18"/>
              </w:numPr>
              <w:tabs>
                <w:tab w:val="num" w:pos="567"/>
              </w:tabs>
              <w:spacing w:before="120" w:after="120"/>
              <w:ind w:left="0"/>
              <w:rPr>
                <w:rFonts w:eastAsia="Malgun Gothic"/>
                <w:kern w:val="2"/>
                <w:szCs w:val="22"/>
                <w:lang w:eastAsia="ko-KR"/>
              </w:rPr>
            </w:pPr>
            <w:r w:rsidRPr="001800B7">
              <w:rPr>
                <w:rFonts w:eastAsia="Malgun Gothic"/>
                <w:kern w:val="2"/>
                <w:szCs w:val="22"/>
                <w:lang w:eastAsia="ko-KR"/>
              </w:rPr>
              <w:t>Les experts nationaux aident, si nécessaire, au développement des différents plans définis pour la protection des dessins et modèles.</w:t>
            </w:r>
          </w:p>
        </w:tc>
        <w:tc>
          <w:tcPr>
            <w:tcW w:w="2976" w:type="dxa"/>
            <w:shd w:val="clear" w:color="auto" w:fill="auto"/>
            <w:vAlign w:val="center"/>
          </w:tcPr>
          <w:p w:rsidR="00F30D9D" w:rsidRPr="001800B7" w:rsidRDefault="00F30D9D" w:rsidP="0010628F">
            <w:pPr>
              <w:numPr>
                <w:ilvl w:val="0"/>
                <w:numId w:val="23"/>
              </w:numPr>
              <w:spacing w:before="120" w:after="120"/>
              <w:rPr>
                <w:szCs w:val="22"/>
              </w:rPr>
            </w:pPr>
            <w:r w:rsidRPr="001800B7">
              <w:rPr>
                <w:szCs w:val="22"/>
              </w:rPr>
              <w:t>La stratégie nationale de protection des dessins et modèles a été rédigée et débattue avec l</w:t>
            </w:r>
            <w:r w:rsidR="005311D6" w:rsidRPr="001800B7">
              <w:rPr>
                <w:szCs w:val="22"/>
              </w:rPr>
              <w:t>’</w:t>
            </w:r>
            <w:r w:rsidRPr="001800B7">
              <w:rPr>
                <w:szCs w:val="22"/>
              </w:rPr>
              <w:t>INPI en Argentine.  Dans le cas du Maroc, le projet décrit la stratégie nationale de développement de la protection de la propriété intellectuelle.  La stratégie nationale de protection des dessins et modèles doit encore être rédigée.</w:t>
            </w:r>
          </w:p>
          <w:p w:rsidR="00F30D9D" w:rsidRPr="001800B7" w:rsidRDefault="00F30D9D" w:rsidP="0010628F">
            <w:pPr>
              <w:numPr>
                <w:ilvl w:val="0"/>
                <w:numId w:val="23"/>
              </w:numPr>
              <w:spacing w:before="120" w:after="120"/>
              <w:rPr>
                <w:szCs w:val="22"/>
              </w:rPr>
            </w:pPr>
            <w:r w:rsidRPr="001800B7">
              <w:rPr>
                <w:szCs w:val="22"/>
              </w:rPr>
              <w:t>Les institutions pilotes nationales ont été désignées.  Les rôles et responsabilités des coordonnateurs de projet au niveau national ont été définis.  Les coordonnateurs de projet au niveau national n</w:t>
            </w:r>
            <w:r w:rsidR="005311D6" w:rsidRPr="001800B7">
              <w:rPr>
                <w:szCs w:val="22"/>
              </w:rPr>
              <w:t>’</w:t>
            </w:r>
            <w:r w:rsidRPr="001800B7">
              <w:rPr>
                <w:szCs w:val="22"/>
              </w:rPr>
              <w:t>ont pas encore été désignés.</w:t>
            </w:r>
          </w:p>
        </w:tc>
        <w:tc>
          <w:tcPr>
            <w:tcW w:w="1455" w:type="dxa"/>
            <w:shd w:val="clear" w:color="auto" w:fill="auto"/>
          </w:tcPr>
          <w:p w:rsidR="00F30D9D" w:rsidRPr="001800B7" w:rsidRDefault="00F30D9D" w:rsidP="00F30D9D">
            <w:pPr>
              <w:spacing w:before="120" w:after="120"/>
              <w:rPr>
                <w:szCs w:val="22"/>
              </w:rPr>
            </w:pPr>
            <w:r w:rsidRPr="001800B7">
              <w:rPr>
                <w:szCs w:val="22"/>
              </w:rPr>
              <w:t>a) ***</w:t>
            </w:r>
            <w:r w:rsidRPr="001800B7">
              <w:rPr>
                <w:szCs w:val="22"/>
              </w:rPr>
              <w:br/>
              <w:t>b) **</w:t>
            </w:r>
            <w:r w:rsidRPr="001800B7">
              <w:rPr>
                <w:szCs w:val="22"/>
              </w:rPr>
              <w:br/>
              <w:t>c) AP</w:t>
            </w:r>
          </w:p>
        </w:tc>
      </w:tr>
      <w:tr w:rsidR="001800B7" w:rsidRPr="001800B7" w:rsidTr="006010A6">
        <w:tc>
          <w:tcPr>
            <w:tcW w:w="2366" w:type="dxa"/>
            <w:shd w:val="clear" w:color="auto" w:fill="auto"/>
          </w:tcPr>
          <w:p w:rsidR="00F30D9D" w:rsidRPr="001800B7" w:rsidRDefault="00F30D9D" w:rsidP="00F30D9D">
            <w:pPr>
              <w:spacing w:before="120" w:after="120"/>
              <w:rPr>
                <w:rFonts w:eastAsia="Malgun Gothic"/>
                <w:kern w:val="2"/>
                <w:szCs w:val="22"/>
                <w:lang w:eastAsia="ko-KR"/>
              </w:rPr>
            </w:pPr>
            <w:r w:rsidRPr="001800B7">
              <w:rPr>
                <w:rFonts w:eastAsia="Malgun Gothic"/>
                <w:kern w:val="2"/>
                <w:szCs w:val="22"/>
                <w:lang w:eastAsia="ko-KR"/>
              </w:rPr>
              <w:t>Élaboration d</w:t>
            </w:r>
            <w:r w:rsidR="005311D6" w:rsidRPr="001800B7">
              <w:rPr>
                <w:rFonts w:eastAsia="Malgun Gothic"/>
                <w:kern w:val="2"/>
                <w:szCs w:val="22"/>
                <w:lang w:eastAsia="ko-KR"/>
              </w:rPr>
              <w:t>’</w:t>
            </w:r>
            <w:r w:rsidRPr="001800B7">
              <w:rPr>
                <w:rFonts w:eastAsia="Malgun Gothic"/>
                <w:kern w:val="2"/>
                <w:szCs w:val="22"/>
                <w:lang w:eastAsia="ko-KR"/>
              </w:rPr>
              <w:t>un plan de sensibilisation au niveau des pays</w:t>
            </w:r>
          </w:p>
        </w:tc>
        <w:tc>
          <w:tcPr>
            <w:tcW w:w="2694" w:type="dxa"/>
            <w:shd w:val="clear" w:color="auto" w:fill="auto"/>
          </w:tcPr>
          <w:p w:rsidR="00F30D9D" w:rsidRPr="001800B7" w:rsidRDefault="00F30D9D" w:rsidP="006010A6">
            <w:pPr>
              <w:numPr>
                <w:ilvl w:val="1"/>
                <w:numId w:val="21"/>
              </w:numPr>
              <w:tabs>
                <w:tab w:val="clear" w:pos="1701"/>
              </w:tabs>
              <w:spacing w:before="120" w:after="120"/>
              <w:ind w:left="0"/>
              <w:rPr>
                <w:rFonts w:eastAsia="Malgun Gothic"/>
                <w:kern w:val="2"/>
                <w:szCs w:val="22"/>
                <w:lang w:eastAsia="ko-KR"/>
              </w:rPr>
            </w:pPr>
            <w:r w:rsidRPr="001800B7">
              <w:rPr>
                <w:rFonts w:eastAsia="Malgun Gothic"/>
                <w:kern w:val="2"/>
                <w:szCs w:val="22"/>
                <w:lang w:eastAsia="ko-KR"/>
              </w:rPr>
              <w:t>Élaboration de la stratégie de sensibilisation en étroite collaboration avec les institutions pilotes.</w:t>
            </w:r>
          </w:p>
          <w:p w:rsidR="00F30D9D" w:rsidRPr="001800B7" w:rsidRDefault="00F30D9D" w:rsidP="006010A6">
            <w:pPr>
              <w:numPr>
                <w:ilvl w:val="1"/>
                <w:numId w:val="21"/>
              </w:numPr>
              <w:tabs>
                <w:tab w:val="clear" w:pos="1701"/>
              </w:tabs>
              <w:spacing w:before="120" w:after="120"/>
              <w:ind w:left="0"/>
              <w:rPr>
                <w:rFonts w:eastAsia="Malgun Gothic"/>
                <w:kern w:val="2"/>
                <w:szCs w:val="22"/>
                <w:lang w:eastAsia="ko-KR"/>
              </w:rPr>
            </w:pPr>
            <w:r w:rsidRPr="001800B7">
              <w:rPr>
                <w:rFonts w:eastAsia="Malgun Gothic"/>
                <w:kern w:val="2"/>
                <w:szCs w:val="22"/>
                <w:lang w:eastAsia="ko-KR"/>
              </w:rPr>
              <w:t>Sélection d</w:t>
            </w:r>
            <w:r w:rsidR="005311D6" w:rsidRPr="001800B7">
              <w:rPr>
                <w:rFonts w:eastAsia="Malgun Gothic"/>
                <w:kern w:val="2"/>
                <w:szCs w:val="22"/>
                <w:lang w:eastAsia="ko-KR"/>
              </w:rPr>
              <w:t>’</w:t>
            </w:r>
            <w:r w:rsidRPr="001800B7">
              <w:rPr>
                <w:rFonts w:eastAsia="Malgun Gothic"/>
                <w:kern w:val="2"/>
                <w:szCs w:val="22"/>
                <w:lang w:eastAsia="ko-KR"/>
              </w:rPr>
              <w:t xml:space="preserve">une ou plusieurs entreprises, par pays participant, créatrices de modèles ou dessins originaux (décision fondée sur des critères de sélection). </w:t>
            </w:r>
            <w:r w:rsidR="00A10E08" w:rsidRPr="001800B7">
              <w:rPr>
                <w:rFonts w:eastAsia="Malgun Gothic"/>
                <w:kern w:val="2"/>
                <w:szCs w:val="22"/>
                <w:lang w:eastAsia="ko-KR"/>
              </w:rPr>
              <w:t xml:space="preserve"> </w:t>
            </w:r>
          </w:p>
        </w:tc>
        <w:tc>
          <w:tcPr>
            <w:tcW w:w="2976" w:type="dxa"/>
            <w:shd w:val="clear" w:color="auto" w:fill="auto"/>
          </w:tcPr>
          <w:p w:rsidR="00F30D9D" w:rsidRPr="001800B7" w:rsidRDefault="00F30D9D" w:rsidP="0010628F">
            <w:pPr>
              <w:numPr>
                <w:ilvl w:val="0"/>
                <w:numId w:val="24"/>
              </w:numPr>
              <w:spacing w:before="120" w:after="120"/>
              <w:rPr>
                <w:szCs w:val="22"/>
              </w:rPr>
            </w:pPr>
            <w:r w:rsidRPr="001800B7">
              <w:rPr>
                <w:szCs w:val="22"/>
              </w:rPr>
              <w:t>La stratégie de sensibilisation fait l</w:t>
            </w:r>
            <w:r w:rsidR="005311D6" w:rsidRPr="001800B7">
              <w:rPr>
                <w:szCs w:val="22"/>
              </w:rPr>
              <w:t>’</w:t>
            </w:r>
            <w:r w:rsidRPr="001800B7">
              <w:rPr>
                <w:szCs w:val="22"/>
              </w:rPr>
              <w:t>objet de débats avec les deux institutions pilotes.</w:t>
            </w:r>
          </w:p>
        </w:tc>
        <w:tc>
          <w:tcPr>
            <w:tcW w:w="1455" w:type="dxa"/>
            <w:shd w:val="clear" w:color="auto" w:fill="auto"/>
          </w:tcPr>
          <w:p w:rsidR="00F30D9D" w:rsidRPr="001800B7" w:rsidRDefault="00F30D9D" w:rsidP="00F30D9D">
            <w:pPr>
              <w:spacing w:before="120" w:after="120"/>
              <w:rPr>
                <w:szCs w:val="22"/>
              </w:rPr>
            </w:pPr>
            <w:r w:rsidRPr="001800B7">
              <w:rPr>
                <w:szCs w:val="22"/>
              </w:rPr>
              <w:t>a) **</w:t>
            </w:r>
            <w:r w:rsidRPr="001800B7">
              <w:rPr>
                <w:szCs w:val="22"/>
              </w:rPr>
              <w:br/>
              <w:t>b) AP</w:t>
            </w:r>
          </w:p>
        </w:tc>
      </w:tr>
      <w:tr w:rsidR="001800B7" w:rsidRPr="001800B7" w:rsidTr="006010A6">
        <w:tc>
          <w:tcPr>
            <w:tcW w:w="2366" w:type="dxa"/>
            <w:shd w:val="clear" w:color="auto" w:fill="auto"/>
          </w:tcPr>
          <w:p w:rsidR="00F30D9D" w:rsidRPr="001800B7" w:rsidRDefault="00F30D9D" w:rsidP="00F30D9D">
            <w:pPr>
              <w:spacing w:before="120" w:after="120"/>
              <w:rPr>
                <w:rFonts w:eastAsia="Malgun Gothic"/>
                <w:kern w:val="2"/>
                <w:szCs w:val="22"/>
                <w:lang w:eastAsia="ko-KR"/>
              </w:rPr>
            </w:pPr>
            <w:r w:rsidRPr="001800B7">
              <w:rPr>
                <w:rFonts w:eastAsia="Malgun Gothic"/>
                <w:kern w:val="2"/>
                <w:szCs w:val="22"/>
                <w:lang w:eastAsia="ko-KR"/>
              </w:rPr>
              <w:t>Élaboration d</w:t>
            </w:r>
            <w:r w:rsidR="005311D6" w:rsidRPr="001800B7">
              <w:rPr>
                <w:rFonts w:eastAsia="Malgun Gothic"/>
                <w:kern w:val="2"/>
                <w:szCs w:val="22"/>
                <w:lang w:eastAsia="ko-KR"/>
              </w:rPr>
              <w:t>’</w:t>
            </w:r>
            <w:r w:rsidRPr="001800B7">
              <w:rPr>
                <w:rFonts w:eastAsia="Malgun Gothic"/>
                <w:kern w:val="2"/>
                <w:szCs w:val="22"/>
                <w:lang w:eastAsia="ko-KR"/>
              </w:rPr>
              <w:t>un plan de protection des modèles et dessins avec les entreprises concernées</w:t>
            </w:r>
          </w:p>
        </w:tc>
        <w:tc>
          <w:tcPr>
            <w:tcW w:w="2694" w:type="dxa"/>
            <w:shd w:val="clear" w:color="auto" w:fill="auto"/>
          </w:tcPr>
          <w:p w:rsidR="00F30D9D" w:rsidRPr="001800B7" w:rsidRDefault="00F30D9D" w:rsidP="0010628F">
            <w:pPr>
              <w:numPr>
                <w:ilvl w:val="1"/>
                <w:numId w:val="24"/>
              </w:numPr>
              <w:tabs>
                <w:tab w:val="num" w:pos="601"/>
              </w:tabs>
              <w:spacing w:before="120" w:after="120"/>
              <w:ind w:left="34"/>
              <w:rPr>
                <w:rFonts w:eastAsia="Malgun Gothic"/>
                <w:kern w:val="2"/>
                <w:szCs w:val="22"/>
                <w:lang w:eastAsia="ko-KR"/>
              </w:rPr>
            </w:pPr>
            <w:r w:rsidRPr="001800B7">
              <w:rPr>
                <w:rFonts w:eastAsia="Malgun Gothic"/>
                <w:kern w:val="2"/>
                <w:szCs w:val="22"/>
                <w:lang w:eastAsia="ko-KR"/>
              </w:rPr>
              <w:t>Élaboration du plan de protection des dessins et modèles en étroite collaboration avec l</w:t>
            </w:r>
            <w:r w:rsidR="005311D6" w:rsidRPr="001800B7">
              <w:rPr>
                <w:rFonts w:eastAsia="Malgun Gothic"/>
                <w:kern w:val="2"/>
                <w:szCs w:val="22"/>
                <w:lang w:eastAsia="ko-KR"/>
              </w:rPr>
              <w:t>’</w:t>
            </w:r>
            <w:r w:rsidRPr="001800B7">
              <w:rPr>
                <w:rFonts w:eastAsia="Malgun Gothic"/>
                <w:kern w:val="2"/>
                <w:szCs w:val="22"/>
                <w:lang w:eastAsia="ko-KR"/>
              </w:rPr>
              <w:t>entreprise ou les entreprises sélectionnée(s).</w:t>
            </w:r>
          </w:p>
          <w:p w:rsidR="00F30D9D" w:rsidRPr="001800B7" w:rsidRDefault="00F30D9D" w:rsidP="0010628F">
            <w:pPr>
              <w:numPr>
                <w:ilvl w:val="1"/>
                <w:numId w:val="24"/>
              </w:numPr>
              <w:tabs>
                <w:tab w:val="num" w:pos="601"/>
              </w:tabs>
              <w:spacing w:before="120" w:after="120"/>
              <w:ind w:left="34"/>
              <w:rPr>
                <w:rFonts w:eastAsia="Malgun Gothic"/>
                <w:kern w:val="2"/>
                <w:szCs w:val="22"/>
                <w:lang w:eastAsia="ko-KR"/>
              </w:rPr>
            </w:pPr>
            <w:r w:rsidRPr="001800B7">
              <w:rPr>
                <w:rFonts w:eastAsia="Malgun Gothic"/>
                <w:kern w:val="2"/>
                <w:szCs w:val="22"/>
                <w:lang w:eastAsia="ko-KR"/>
              </w:rPr>
              <w:t>Nombre et pertinence des dessins et modèles par entreprise susceptibles de faire l</w:t>
            </w:r>
            <w:r w:rsidR="005311D6" w:rsidRPr="001800B7">
              <w:rPr>
                <w:rFonts w:eastAsia="Malgun Gothic"/>
                <w:kern w:val="2"/>
                <w:szCs w:val="22"/>
                <w:lang w:eastAsia="ko-KR"/>
              </w:rPr>
              <w:t>’</w:t>
            </w:r>
            <w:r w:rsidRPr="001800B7">
              <w:rPr>
                <w:rFonts w:eastAsia="Malgun Gothic"/>
                <w:kern w:val="2"/>
                <w:szCs w:val="22"/>
                <w:lang w:eastAsia="ko-KR"/>
              </w:rPr>
              <w:t>objet d</w:t>
            </w:r>
            <w:r w:rsidR="005311D6" w:rsidRPr="001800B7">
              <w:rPr>
                <w:rFonts w:eastAsia="Malgun Gothic"/>
                <w:kern w:val="2"/>
                <w:szCs w:val="22"/>
                <w:lang w:eastAsia="ko-KR"/>
              </w:rPr>
              <w:t>’</w:t>
            </w:r>
            <w:r w:rsidRPr="001800B7">
              <w:rPr>
                <w:rFonts w:eastAsia="Malgun Gothic"/>
                <w:kern w:val="2"/>
                <w:szCs w:val="22"/>
                <w:lang w:eastAsia="ko-KR"/>
              </w:rPr>
              <w:t>une stratégie de protection en la matière (sélection avec l</w:t>
            </w:r>
            <w:r w:rsidR="005311D6" w:rsidRPr="001800B7">
              <w:rPr>
                <w:rFonts w:eastAsia="Malgun Gothic"/>
                <w:kern w:val="2"/>
                <w:szCs w:val="22"/>
                <w:lang w:eastAsia="ko-KR"/>
              </w:rPr>
              <w:t>’</w:t>
            </w:r>
            <w:r w:rsidRPr="001800B7">
              <w:rPr>
                <w:rFonts w:eastAsia="Malgun Gothic"/>
                <w:kern w:val="2"/>
                <w:szCs w:val="22"/>
                <w:lang w:eastAsia="ko-KR"/>
              </w:rPr>
              <w:t>aide d</w:t>
            </w:r>
            <w:r w:rsidR="005311D6" w:rsidRPr="001800B7">
              <w:rPr>
                <w:rFonts w:eastAsia="Malgun Gothic"/>
                <w:kern w:val="2"/>
                <w:szCs w:val="22"/>
                <w:lang w:eastAsia="ko-KR"/>
              </w:rPr>
              <w:t>’</w:t>
            </w:r>
            <w:r w:rsidRPr="001800B7">
              <w:rPr>
                <w:rFonts w:eastAsia="Malgun Gothic"/>
                <w:kern w:val="2"/>
                <w:szCs w:val="22"/>
                <w:lang w:eastAsia="ko-KR"/>
              </w:rPr>
              <w:t xml:space="preserve">un ou plusieurs experts des </w:t>
            </w:r>
            <w:r w:rsidRPr="001800B7">
              <w:rPr>
                <w:rFonts w:eastAsia="Malgun Gothic"/>
                <w:kern w:val="2"/>
                <w:szCs w:val="22"/>
                <w:lang w:eastAsia="ko-KR"/>
              </w:rPr>
              <w:lastRenderedPageBreak/>
              <w:t>pays concernés).</w:t>
            </w:r>
          </w:p>
        </w:tc>
        <w:tc>
          <w:tcPr>
            <w:tcW w:w="2976" w:type="dxa"/>
            <w:shd w:val="clear" w:color="auto" w:fill="auto"/>
            <w:vAlign w:val="center"/>
          </w:tcPr>
          <w:p w:rsidR="00F30D9D" w:rsidRPr="001800B7" w:rsidRDefault="00F30D9D" w:rsidP="00F30D9D">
            <w:pPr>
              <w:spacing w:before="120" w:after="120"/>
              <w:rPr>
                <w:szCs w:val="22"/>
              </w:rPr>
            </w:pPr>
          </w:p>
        </w:tc>
        <w:tc>
          <w:tcPr>
            <w:tcW w:w="1455" w:type="dxa"/>
            <w:shd w:val="clear" w:color="auto" w:fill="auto"/>
          </w:tcPr>
          <w:p w:rsidR="00F30D9D" w:rsidRPr="001800B7" w:rsidRDefault="00F30D9D" w:rsidP="00F30D9D">
            <w:pPr>
              <w:spacing w:before="120" w:after="120"/>
              <w:rPr>
                <w:szCs w:val="22"/>
              </w:rPr>
            </w:pPr>
            <w:r w:rsidRPr="001800B7">
              <w:rPr>
                <w:szCs w:val="22"/>
              </w:rPr>
              <w:t>AP</w:t>
            </w:r>
          </w:p>
        </w:tc>
      </w:tr>
      <w:tr w:rsidR="001800B7" w:rsidRPr="001800B7" w:rsidTr="006010A6">
        <w:tc>
          <w:tcPr>
            <w:tcW w:w="2366" w:type="dxa"/>
            <w:shd w:val="clear" w:color="auto" w:fill="auto"/>
          </w:tcPr>
          <w:p w:rsidR="00F30D9D" w:rsidRPr="001800B7" w:rsidRDefault="00F30D9D" w:rsidP="00F30D9D">
            <w:pPr>
              <w:spacing w:before="120" w:after="120"/>
              <w:rPr>
                <w:rFonts w:eastAsia="Malgun Gothic"/>
                <w:kern w:val="2"/>
                <w:szCs w:val="22"/>
                <w:lang w:eastAsia="ko-KR"/>
              </w:rPr>
            </w:pPr>
            <w:r w:rsidRPr="001800B7">
              <w:rPr>
                <w:rFonts w:eastAsia="Malgun Gothic"/>
                <w:kern w:val="2"/>
                <w:szCs w:val="22"/>
                <w:lang w:eastAsia="ko-KR"/>
              </w:rPr>
              <w:lastRenderedPageBreak/>
              <w:t>Mise en œuvre d</w:t>
            </w:r>
            <w:r w:rsidR="005311D6" w:rsidRPr="001800B7">
              <w:rPr>
                <w:rFonts w:eastAsia="Malgun Gothic"/>
                <w:kern w:val="2"/>
                <w:szCs w:val="22"/>
                <w:lang w:eastAsia="ko-KR"/>
              </w:rPr>
              <w:t>’</w:t>
            </w:r>
            <w:r w:rsidRPr="001800B7">
              <w:rPr>
                <w:rFonts w:eastAsia="Malgun Gothic"/>
                <w:kern w:val="2"/>
                <w:szCs w:val="22"/>
                <w:lang w:eastAsia="ko-KR"/>
              </w:rPr>
              <w:t>une protection active des dessins et modèles par le biais de mécanismes de protection appropriés sur les marchés nationaux et, si nécessaire, au niveau international.</w:t>
            </w:r>
          </w:p>
        </w:tc>
        <w:tc>
          <w:tcPr>
            <w:tcW w:w="2694" w:type="dxa"/>
            <w:shd w:val="clear" w:color="auto" w:fill="auto"/>
          </w:tcPr>
          <w:p w:rsidR="00F30D9D" w:rsidRPr="001800B7" w:rsidRDefault="00F30D9D" w:rsidP="0010628F">
            <w:pPr>
              <w:numPr>
                <w:ilvl w:val="1"/>
                <w:numId w:val="24"/>
              </w:numPr>
              <w:tabs>
                <w:tab w:val="num" w:pos="601"/>
              </w:tabs>
              <w:spacing w:before="120" w:after="120"/>
              <w:ind w:left="34"/>
              <w:rPr>
                <w:rFonts w:eastAsia="Malgun Gothic"/>
                <w:kern w:val="2"/>
                <w:szCs w:val="22"/>
                <w:lang w:eastAsia="ko-KR"/>
              </w:rPr>
            </w:pPr>
            <w:r w:rsidRPr="001800B7">
              <w:rPr>
                <w:rFonts w:eastAsia="Malgun Gothic"/>
                <w:kern w:val="2"/>
                <w:szCs w:val="22"/>
                <w:lang w:eastAsia="ko-KR"/>
              </w:rPr>
              <w:t>Nombre de demandes d</w:t>
            </w:r>
            <w:r w:rsidR="005311D6" w:rsidRPr="001800B7">
              <w:rPr>
                <w:rFonts w:eastAsia="Malgun Gothic"/>
                <w:kern w:val="2"/>
                <w:szCs w:val="22"/>
                <w:lang w:eastAsia="ko-KR"/>
              </w:rPr>
              <w:t>’</w:t>
            </w:r>
            <w:r w:rsidRPr="001800B7">
              <w:rPr>
                <w:rFonts w:eastAsia="Malgun Gothic"/>
                <w:kern w:val="2"/>
                <w:szCs w:val="22"/>
                <w:lang w:eastAsia="ko-KR"/>
              </w:rPr>
              <w:t>enregistrements de dessins et modèles engagées et/ou déposées et/ou nombre d</w:t>
            </w:r>
            <w:r w:rsidR="005311D6" w:rsidRPr="001800B7">
              <w:rPr>
                <w:rFonts w:eastAsia="Malgun Gothic"/>
                <w:kern w:val="2"/>
                <w:szCs w:val="22"/>
                <w:lang w:eastAsia="ko-KR"/>
              </w:rPr>
              <w:t>’</w:t>
            </w:r>
            <w:r w:rsidRPr="001800B7">
              <w:rPr>
                <w:rFonts w:eastAsia="Malgun Gothic"/>
                <w:kern w:val="2"/>
                <w:szCs w:val="22"/>
                <w:lang w:eastAsia="ko-KR"/>
              </w:rPr>
              <w:t>autres titres de protection acquis;</w:t>
            </w:r>
          </w:p>
        </w:tc>
        <w:tc>
          <w:tcPr>
            <w:tcW w:w="2976" w:type="dxa"/>
            <w:shd w:val="clear" w:color="auto" w:fill="auto"/>
            <w:vAlign w:val="center"/>
          </w:tcPr>
          <w:p w:rsidR="00F30D9D" w:rsidRPr="001800B7" w:rsidRDefault="00F30D9D" w:rsidP="00F30D9D">
            <w:pPr>
              <w:spacing w:before="120" w:after="120"/>
              <w:rPr>
                <w:szCs w:val="22"/>
              </w:rPr>
            </w:pPr>
          </w:p>
        </w:tc>
        <w:tc>
          <w:tcPr>
            <w:tcW w:w="1455" w:type="dxa"/>
            <w:shd w:val="clear" w:color="auto" w:fill="auto"/>
          </w:tcPr>
          <w:p w:rsidR="00F30D9D" w:rsidRPr="001800B7" w:rsidRDefault="00F30D9D" w:rsidP="00F30D9D">
            <w:pPr>
              <w:spacing w:before="120" w:after="120"/>
              <w:rPr>
                <w:szCs w:val="22"/>
              </w:rPr>
            </w:pPr>
            <w:r w:rsidRPr="001800B7">
              <w:rPr>
                <w:szCs w:val="22"/>
              </w:rPr>
              <w:t>AP</w:t>
            </w:r>
          </w:p>
        </w:tc>
      </w:tr>
      <w:tr w:rsidR="001800B7" w:rsidRPr="001800B7" w:rsidTr="006010A6">
        <w:tc>
          <w:tcPr>
            <w:tcW w:w="2366" w:type="dxa"/>
            <w:shd w:val="clear" w:color="auto" w:fill="auto"/>
          </w:tcPr>
          <w:p w:rsidR="00F30D9D" w:rsidRPr="001800B7" w:rsidRDefault="00F30D9D" w:rsidP="00F30D9D">
            <w:pPr>
              <w:spacing w:before="120" w:after="120"/>
              <w:rPr>
                <w:rFonts w:eastAsia="Malgun Gothic"/>
                <w:kern w:val="2"/>
                <w:szCs w:val="22"/>
                <w:lang w:eastAsia="ko-KR"/>
              </w:rPr>
            </w:pPr>
            <w:r w:rsidRPr="001800B7">
              <w:rPr>
                <w:rFonts w:eastAsia="Malgun Gothic"/>
                <w:kern w:val="2"/>
                <w:szCs w:val="22"/>
                <w:lang w:eastAsia="ko-KR"/>
              </w:rPr>
              <w:t>Application sur les marchés nationaux et internationaux concernés.</w:t>
            </w:r>
          </w:p>
        </w:tc>
        <w:tc>
          <w:tcPr>
            <w:tcW w:w="2694" w:type="dxa"/>
            <w:shd w:val="clear" w:color="auto" w:fill="auto"/>
          </w:tcPr>
          <w:p w:rsidR="00F30D9D" w:rsidRPr="001800B7" w:rsidRDefault="00F30D9D" w:rsidP="0010628F">
            <w:pPr>
              <w:numPr>
                <w:ilvl w:val="1"/>
                <w:numId w:val="24"/>
              </w:numPr>
              <w:tabs>
                <w:tab w:val="num" w:pos="601"/>
              </w:tabs>
              <w:spacing w:before="120" w:after="120"/>
              <w:ind w:left="34"/>
              <w:rPr>
                <w:rFonts w:eastAsia="Malgun Gothic"/>
                <w:kern w:val="2"/>
                <w:szCs w:val="22"/>
                <w:lang w:eastAsia="ko-KR"/>
              </w:rPr>
            </w:pPr>
            <w:r w:rsidRPr="001800B7">
              <w:rPr>
                <w:rFonts w:eastAsia="Malgun Gothic"/>
                <w:kern w:val="2"/>
                <w:szCs w:val="22"/>
                <w:lang w:eastAsia="ko-KR"/>
              </w:rPr>
              <w:t>Présence des entreprises participantes dans les salons spécialisés nationaux ou internationaux (autres filières de promotion à définir).</w:t>
            </w:r>
          </w:p>
        </w:tc>
        <w:tc>
          <w:tcPr>
            <w:tcW w:w="2976" w:type="dxa"/>
            <w:shd w:val="clear" w:color="auto" w:fill="auto"/>
            <w:vAlign w:val="center"/>
          </w:tcPr>
          <w:p w:rsidR="00F30D9D" w:rsidRPr="001800B7" w:rsidRDefault="00F30D9D" w:rsidP="00F30D9D">
            <w:pPr>
              <w:spacing w:before="120" w:after="120"/>
              <w:rPr>
                <w:szCs w:val="22"/>
              </w:rPr>
            </w:pPr>
          </w:p>
        </w:tc>
        <w:tc>
          <w:tcPr>
            <w:tcW w:w="1455" w:type="dxa"/>
            <w:shd w:val="clear" w:color="auto" w:fill="auto"/>
          </w:tcPr>
          <w:p w:rsidR="00F30D9D" w:rsidRPr="001800B7" w:rsidRDefault="00F30D9D" w:rsidP="00F30D9D">
            <w:pPr>
              <w:spacing w:before="120" w:after="120"/>
              <w:rPr>
                <w:szCs w:val="22"/>
              </w:rPr>
            </w:pPr>
            <w:r w:rsidRPr="001800B7">
              <w:rPr>
                <w:szCs w:val="22"/>
              </w:rPr>
              <w:t>AP</w:t>
            </w:r>
          </w:p>
        </w:tc>
      </w:tr>
    </w:tbl>
    <w:p w:rsidR="00F30D9D" w:rsidRPr="001800B7" w:rsidRDefault="00F30D9D" w:rsidP="00F30D9D">
      <w:pPr>
        <w:rPr>
          <w:rFonts w:eastAsia="Times New Roman"/>
          <w:szCs w:val="22"/>
          <w:lang w:eastAsia="en-US"/>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5"/>
        <w:gridCol w:w="2694"/>
        <w:gridCol w:w="2976"/>
        <w:gridCol w:w="1456"/>
      </w:tblGrid>
      <w:tr w:rsidR="001800B7" w:rsidRPr="001800B7" w:rsidTr="006010A6">
        <w:trPr>
          <w:trHeight w:val="616"/>
        </w:trPr>
        <w:tc>
          <w:tcPr>
            <w:tcW w:w="2366" w:type="dxa"/>
            <w:shd w:val="clear" w:color="auto" w:fill="auto"/>
            <w:vAlign w:val="center"/>
          </w:tcPr>
          <w:p w:rsidR="00F30D9D" w:rsidRPr="001800B7" w:rsidRDefault="00F30D9D" w:rsidP="00F30D9D">
            <w:pPr>
              <w:spacing w:before="120" w:after="120"/>
              <w:jc w:val="center"/>
              <w:rPr>
                <w:szCs w:val="22"/>
                <w:u w:val="single"/>
              </w:rPr>
            </w:pPr>
            <w:r w:rsidRPr="001800B7">
              <w:rPr>
                <w:szCs w:val="22"/>
                <w:u w:val="single"/>
              </w:rPr>
              <w:t xml:space="preserve">Objectifs </w:t>
            </w:r>
            <w:r w:rsidRPr="001800B7">
              <w:rPr>
                <w:szCs w:val="22"/>
                <w:u w:val="single"/>
              </w:rPr>
              <w:br/>
              <w:t>du projet</w:t>
            </w:r>
          </w:p>
        </w:tc>
        <w:tc>
          <w:tcPr>
            <w:tcW w:w="2694" w:type="dxa"/>
            <w:shd w:val="clear" w:color="auto" w:fill="auto"/>
            <w:vAlign w:val="center"/>
          </w:tcPr>
          <w:p w:rsidR="00F30D9D" w:rsidRPr="001800B7" w:rsidRDefault="00F30D9D" w:rsidP="00F30D9D">
            <w:pPr>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shd w:val="clear" w:color="auto" w:fill="auto"/>
            <w:vAlign w:val="center"/>
          </w:tcPr>
          <w:p w:rsidR="00F30D9D" w:rsidRPr="001800B7" w:rsidRDefault="00F30D9D" w:rsidP="00F30D9D">
            <w:pPr>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shd w:val="clear" w:color="auto" w:fill="auto"/>
            <w:vAlign w:val="center"/>
          </w:tcPr>
          <w:p w:rsidR="00F30D9D" w:rsidRPr="001800B7" w:rsidRDefault="00F30D9D" w:rsidP="00F30D9D">
            <w:pPr>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F3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0"/>
        </w:trPr>
        <w:tc>
          <w:tcPr>
            <w:tcW w:w="2366" w:type="dxa"/>
            <w:shd w:val="clear" w:color="auto" w:fill="auto"/>
          </w:tcPr>
          <w:p w:rsidR="00F30D9D" w:rsidRPr="001800B7" w:rsidRDefault="00F30D9D" w:rsidP="00F30D9D">
            <w:pPr>
              <w:spacing w:before="120" w:after="120"/>
              <w:rPr>
                <w:bCs/>
                <w:szCs w:val="22"/>
              </w:rPr>
            </w:pPr>
            <w:r w:rsidRPr="001800B7">
              <w:rPr>
                <w:bCs/>
                <w:szCs w:val="22"/>
              </w:rPr>
              <w:t xml:space="preserve">Contribuer au développement commercial des PME des pays participants en </w:t>
            </w:r>
            <w:r w:rsidRPr="001800B7">
              <w:rPr>
                <w:bCs/>
                <w:i/>
                <w:szCs w:val="22"/>
              </w:rPr>
              <w:t>favorisant l</w:t>
            </w:r>
            <w:r w:rsidR="005311D6" w:rsidRPr="001800B7">
              <w:rPr>
                <w:bCs/>
                <w:i/>
                <w:szCs w:val="22"/>
              </w:rPr>
              <w:t>’</w:t>
            </w:r>
            <w:r w:rsidRPr="001800B7">
              <w:rPr>
                <w:bCs/>
                <w:i/>
                <w:szCs w:val="22"/>
              </w:rPr>
              <w:t>investissement dans les dessins et modèles industriels grâce à une utilisation stratégique des droits de la propriété intellectuelle.</w:t>
            </w:r>
            <w:r w:rsidRPr="001800B7">
              <w:rPr>
                <w:i/>
                <w:szCs w:val="22"/>
              </w:rPr>
              <w:t xml:space="preserve">  </w:t>
            </w:r>
            <w:r w:rsidRPr="001800B7">
              <w:rPr>
                <w:bCs/>
                <w:szCs w:val="22"/>
              </w:rPr>
              <w:t>En particulier, mettre en place un recours proactif aux mécanismes de protection appropriés des dessins et modèles négligés jusqu</w:t>
            </w:r>
            <w:r w:rsidR="005311D6" w:rsidRPr="001800B7">
              <w:rPr>
                <w:bCs/>
                <w:szCs w:val="22"/>
              </w:rPr>
              <w:t>’</w:t>
            </w:r>
            <w:r w:rsidRPr="001800B7">
              <w:rPr>
                <w:bCs/>
                <w:szCs w:val="22"/>
              </w:rPr>
              <w:t>à ce jour.</w:t>
            </w:r>
          </w:p>
        </w:tc>
        <w:tc>
          <w:tcPr>
            <w:tcW w:w="2694" w:type="dxa"/>
            <w:shd w:val="clear" w:color="auto" w:fill="auto"/>
          </w:tcPr>
          <w:p w:rsidR="00F30D9D" w:rsidRPr="001800B7" w:rsidRDefault="00F30D9D" w:rsidP="00F30D9D">
            <w:pPr>
              <w:spacing w:before="120" w:after="120"/>
              <w:rPr>
                <w:rFonts w:eastAsia="Malgun Gothic"/>
                <w:kern w:val="2"/>
                <w:szCs w:val="22"/>
                <w:lang w:eastAsia="ko-KR"/>
              </w:rPr>
            </w:pPr>
            <w:r w:rsidRPr="001800B7">
              <w:rPr>
                <w:rFonts w:eastAsia="Malgun Gothic"/>
                <w:kern w:val="2"/>
                <w:szCs w:val="22"/>
                <w:lang w:eastAsia="ko-KR"/>
              </w:rPr>
              <w:t>a)</w:t>
            </w:r>
            <w:r w:rsidRPr="001800B7">
              <w:rPr>
                <w:rFonts w:eastAsia="Malgun Gothic"/>
                <w:kern w:val="2"/>
                <w:szCs w:val="22"/>
                <w:lang w:eastAsia="ko-KR"/>
              </w:rPr>
              <w:tab/>
              <w:t>Nombre de modèles ou dessins protégés (par enregistrement ou autre modalité) par entreprise (</w:t>
            </w:r>
            <w:r w:rsidRPr="001800B7">
              <w:rPr>
                <w:rFonts w:eastAsia="Malgun Gothic"/>
                <w:i/>
                <w:kern w:val="2"/>
                <w:szCs w:val="22"/>
                <w:lang w:eastAsia="ko-KR"/>
              </w:rPr>
              <w:t>parfois à mesurer une fois le projet terminé</w:t>
            </w:r>
            <w:r w:rsidRPr="001800B7">
              <w:rPr>
                <w:rFonts w:eastAsia="Malgun Gothic"/>
                <w:kern w:val="2"/>
                <w:szCs w:val="22"/>
                <w:lang w:eastAsia="ko-KR"/>
              </w:rPr>
              <w:t>)</w:t>
            </w:r>
          </w:p>
          <w:p w:rsidR="00F30D9D" w:rsidRPr="001800B7" w:rsidRDefault="00F30D9D" w:rsidP="00F30D9D">
            <w:pPr>
              <w:spacing w:before="120" w:after="120"/>
              <w:ind w:left="34"/>
              <w:rPr>
                <w:rFonts w:eastAsia="Malgun Gothic"/>
                <w:kern w:val="2"/>
                <w:szCs w:val="22"/>
                <w:lang w:eastAsia="ko-KR"/>
              </w:rPr>
            </w:pPr>
            <w:r w:rsidRPr="001800B7">
              <w:rPr>
                <w:rFonts w:eastAsia="Malgun Gothic"/>
                <w:kern w:val="2"/>
                <w:szCs w:val="22"/>
                <w:lang w:eastAsia="ko-KR"/>
              </w:rPr>
              <w:t xml:space="preserve">b) </w:t>
            </w:r>
            <w:r w:rsidRPr="001800B7">
              <w:rPr>
                <w:rFonts w:eastAsia="Malgun Gothic"/>
                <w:kern w:val="2"/>
                <w:szCs w:val="22"/>
                <w:lang w:eastAsia="ko-KR"/>
              </w:rPr>
              <w:tab/>
              <w:t>Chiffres d</w:t>
            </w:r>
            <w:r w:rsidR="005311D6" w:rsidRPr="001800B7">
              <w:rPr>
                <w:rFonts w:eastAsia="Malgun Gothic"/>
                <w:kern w:val="2"/>
                <w:szCs w:val="22"/>
                <w:lang w:eastAsia="ko-KR"/>
              </w:rPr>
              <w:t>’</w:t>
            </w:r>
            <w:r w:rsidRPr="001800B7">
              <w:rPr>
                <w:rFonts w:eastAsia="Malgun Gothic"/>
                <w:kern w:val="2"/>
                <w:szCs w:val="22"/>
                <w:lang w:eastAsia="ko-KR"/>
              </w:rPr>
              <w:t xml:space="preserve">affaires des PME utilisant la protection des modèles et dessins avant et après le projet </w:t>
            </w:r>
            <w:r w:rsidRPr="001800B7">
              <w:rPr>
                <w:rFonts w:eastAsia="Malgun Gothic"/>
                <w:i/>
                <w:kern w:val="2"/>
                <w:szCs w:val="22"/>
                <w:lang w:eastAsia="ko-KR"/>
              </w:rPr>
              <w:t>(parfois à mesurer une fois le projet terminé).</w:t>
            </w:r>
          </w:p>
          <w:p w:rsidR="00F30D9D" w:rsidRPr="001800B7" w:rsidRDefault="00F30D9D" w:rsidP="00F30D9D">
            <w:pPr>
              <w:spacing w:before="120" w:after="120"/>
              <w:rPr>
                <w:szCs w:val="22"/>
              </w:rPr>
            </w:pPr>
            <w:r w:rsidRPr="001800B7">
              <w:rPr>
                <w:szCs w:val="22"/>
              </w:rPr>
              <w:t xml:space="preserve">c) </w:t>
            </w:r>
            <w:r w:rsidRPr="001800B7">
              <w:rPr>
                <w:szCs w:val="22"/>
              </w:rPr>
              <w:tab/>
              <w:t>Niveau de satisfaction des entreprises participantes vis</w:t>
            </w:r>
            <w:r w:rsidR="001800B7" w:rsidRPr="001800B7">
              <w:rPr>
                <w:szCs w:val="22"/>
              </w:rPr>
              <w:noBreakHyphen/>
            </w:r>
            <w:r w:rsidRPr="001800B7">
              <w:rPr>
                <w:szCs w:val="22"/>
              </w:rPr>
              <w:t>à</w:t>
            </w:r>
            <w:r w:rsidR="001800B7" w:rsidRPr="001800B7">
              <w:rPr>
                <w:szCs w:val="22"/>
              </w:rPr>
              <w:noBreakHyphen/>
            </w:r>
            <w:r w:rsidRPr="001800B7">
              <w:rPr>
                <w:szCs w:val="22"/>
              </w:rPr>
              <w:t>vis de la mise en œuvre du programme de protection des modèles ou dessins.</w:t>
            </w:r>
          </w:p>
        </w:tc>
        <w:tc>
          <w:tcPr>
            <w:tcW w:w="2976" w:type="dxa"/>
            <w:shd w:val="clear" w:color="auto" w:fill="auto"/>
          </w:tcPr>
          <w:p w:rsidR="00F30D9D" w:rsidRPr="001800B7" w:rsidRDefault="00F30D9D" w:rsidP="00F30D9D">
            <w:pPr>
              <w:spacing w:before="120" w:after="120"/>
              <w:rPr>
                <w:szCs w:val="22"/>
              </w:rPr>
            </w:pPr>
          </w:p>
        </w:tc>
        <w:tc>
          <w:tcPr>
            <w:tcW w:w="1455" w:type="dxa"/>
            <w:shd w:val="clear" w:color="auto" w:fill="auto"/>
          </w:tcPr>
          <w:p w:rsidR="00F30D9D" w:rsidRPr="001800B7" w:rsidRDefault="00F30D9D" w:rsidP="00F30D9D">
            <w:pPr>
              <w:spacing w:before="120" w:after="120"/>
              <w:rPr>
                <w:szCs w:val="22"/>
              </w:rPr>
            </w:pPr>
            <w:r w:rsidRPr="001800B7">
              <w:rPr>
                <w:szCs w:val="22"/>
              </w:rPr>
              <w:t>AP</w:t>
            </w:r>
          </w:p>
        </w:tc>
      </w:tr>
      <w:tr w:rsidR="001800B7" w:rsidRPr="001800B7" w:rsidTr="00F3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9"/>
        </w:trPr>
        <w:tc>
          <w:tcPr>
            <w:tcW w:w="2366" w:type="dxa"/>
            <w:shd w:val="clear" w:color="auto" w:fill="auto"/>
          </w:tcPr>
          <w:p w:rsidR="00F30D9D" w:rsidRPr="001800B7" w:rsidRDefault="00F30D9D" w:rsidP="00F30D9D">
            <w:pPr>
              <w:spacing w:before="120" w:after="120"/>
              <w:rPr>
                <w:rFonts w:eastAsia="Malgun Gothic"/>
                <w:bCs/>
                <w:kern w:val="2"/>
                <w:szCs w:val="22"/>
                <w:lang w:eastAsia="ko-KR"/>
              </w:rPr>
            </w:pPr>
            <w:r w:rsidRPr="001800B7">
              <w:rPr>
                <w:rFonts w:eastAsia="Malgun Gothic"/>
                <w:bCs/>
                <w:i/>
                <w:kern w:val="2"/>
                <w:szCs w:val="22"/>
                <w:lang w:eastAsia="ko-KR"/>
              </w:rPr>
              <w:lastRenderedPageBreak/>
              <w:t xml:space="preserve">Améliorer les capacités des institutions de dessins et modèles nationales, </w:t>
            </w:r>
            <w:r w:rsidR="005311D6" w:rsidRPr="001800B7">
              <w:rPr>
                <w:rFonts w:eastAsia="Malgun Gothic"/>
                <w:bCs/>
                <w:i/>
                <w:kern w:val="2"/>
                <w:szCs w:val="22"/>
                <w:lang w:eastAsia="ko-KR"/>
              </w:rPr>
              <w:t>y compris</w:t>
            </w:r>
            <w:r w:rsidRPr="001800B7">
              <w:rPr>
                <w:rFonts w:eastAsia="Malgun Gothic"/>
                <w:bCs/>
                <w:i/>
                <w:kern w:val="2"/>
                <w:szCs w:val="22"/>
                <w:lang w:eastAsia="ko-KR"/>
              </w:rPr>
              <w:t xml:space="preserve"> des offices de propriété intellectuelle, </w:t>
            </w:r>
            <w:r w:rsidRPr="001800B7">
              <w:rPr>
                <w:rFonts w:eastAsia="Malgun Gothic"/>
                <w:bCs/>
                <w:kern w:val="2"/>
                <w:szCs w:val="22"/>
                <w:lang w:eastAsia="ko-KR"/>
              </w:rPr>
              <w:t>afin d</w:t>
            </w:r>
            <w:r w:rsidR="005311D6" w:rsidRPr="001800B7">
              <w:rPr>
                <w:rFonts w:eastAsia="Malgun Gothic"/>
                <w:bCs/>
                <w:kern w:val="2"/>
                <w:szCs w:val="22"/>
                <w:lang w:eastAsia="ko-KR"/>
              </w:rPr>
              <w:t>’</w:t>
            </w:r>
            <w:r w:rsidRPr="001800B7">
              <w:rPr>
                <w:rFonts w:eastAsia="Malgun Gothic"/>
                <w:bCs/>
                <w:kern w:val="2"/>
                <w:szCs w:val="22"/>
                <w:lang w:eastAsia="ko-KR"/>
              </w:rPr>
              <w:t>encourager l</w:t>
            </w:r>
            <w:r w:rsidR="005311D6" w:rsidRPr="001800B7">
              <w:rPr>
                <w:rFonts w:eastAsia="Malgun Gothic"/>
                <w:bCs/>
                <w:kern w:val="2"/>
                <w:szCs w:val="22"/>
                <w:lang w:eastAsia="ko-KR"/>
              </w:rPr>
              <w:t>’</w:t>
            </w:r>
            <w:r w:rsidRPr="001800B7">
              <w:rPr>
                <w:rFonts w:eastAsia="Malgun Gothic"/>
                <w:bCs/>
                <w:kern w:val="2"/>
                <w:szCs w:val="22"/>
                <w:lang w:eastAsia="ko-KR"/>
              </w:rPr>
              <w:t>utilisation stratégique du système de propriété intellectuelle pour les entreprises créatrices de dessins et modèles, ce qui devrait promouvoir l</w:t>
            </w:r>
            <w:r w:rsidR="005311D6" w:rsidRPr="001800B7">
              <w:rPr>
                <w:rFonts w:eastAsia="Malgun Gothic"/>
                <w:bCs/>
                <w:kern w:val="2"/>
                <w:szCs w:val="22"/>
                <w:lang w:eastAsia="ko-KR"/>
              </w:rPr>
              <w:t>’</w:t>
            </w:r>
            <w:r w:rsidRPr="001800B7">
              <w:rPr>
                <w:rFonts w:eastAsia="Malgun Gothic"/>
                <w:bCs/>
                <w:kern w:val="2"/>
                <w:szCs w:val="22"/>
                <w:lang w:eastAsia="ko-KR"/>
              </w:rPr>
              <w:t>utilisation de mécanismes appropriés de protection des dessins et modèles.</w:t>
            </w:r>
          </w:p>
        </w:tc>
        <w:tc>
          <w:tcPr>
            <w:tcW w:w="2694" w:type="dxa"/>
            <w:shd w:val="clear" w:color="auto" w:fill="auto"/>
          </w:tcPr>
          <w:p w:rsidR="00F30D9D" w:rsidRPr="001800B7" w:rsidRDefault="00F30D9D" w:rsidP="0010628F">
            <w:pPr>
              <w:numPr>
                <w:ilvl w:val="1"/>
                <w:numId w:val="19"/>
              </w:numPr>
              <w:tabs>
                <w:tab w:val="clear" w:pos="1701"/>
              </w:tabs>
              <w:spacing w:before="120" w:after="120"/>
              <w:ind w:left="0"/>
              <w:rPr>
                <w:rFonts w:eastAsia="Malgun Gothic"/>
                <w:kern w:val="2"/>
                <w:szCs w:val="22"/>
                <w:lang w:eastAsia="ko-KR"/>
              </w:rPr>
            </w:pPr>
            <w:r w:rsidRPr="001800B7">
              <w:rPr>
                <w:rFonts w:eastAsia="Malgun Gothic"/>
                <w:kern w:val="2"/>
                <w:szCs w:val="22"/>
                <w:lang w:eastAsia="ko-KR"/>
              </w:rPr>
              <w:t>Nombre et types d</w:t>
            </w:r>
            <w:r w:rsidR="005311D6" w:rsidRPr="001800B7">
              <w:rPr>
                <w:rFonts w:eastAsia="Malgun Gothic"/>
                <w:kern w:val="2"/>
                <w:szCs w:val="22"/>
                <w:lang w:eastAsia="ko-KR"/>
              </w:rPr>
              <w:t>’</w:t>
            </w:r>
            <w:r w:rsidRPr="001800B7">
              <w:rPr>
                <w:rFonts w:eastAsia="Malgun Gothic"/>
                <w:kern w:val="2"/>
                <w:szCs w:val="22"/>
                <w:lang w:eastAsia="ko-KR"/>
              </w:rPr>
              <w:t>activités visant à renforcer les capacités des entreprises créatrices de modèles et dessins, mises en œuvre par l</w:t>
            </w:r>
            <w:r w:rsidR="005311D6" w:rsidRPr="001800B7">
              <w:rPr>
                <w:rFonts w:eastAsia="Malgun Gothic"/>
                <w:kern w:val="2"/>
                <w:szCs w:val="22"/>
                <w:lang w:eastAsia="ko-KR"/>
              </w:rPr>
              <w:t>’</w:t>
            </w:r>
            <w:r w:rsidRPr="001800B7">
              <w:rPr>
                <w:rFonts w:eastAsia="Malgun Gothic"/>
                <w:kern w:val="2"/>
                <w:szCs w:val="22"/>
                <w:lang w:eastAsia="ko-KR"/>
              </w:rPr>
              <w:t>institution nationale de dessins et modèles industriels.</w:t>
            </w:r>
          </w:p>
          <w:p w:rsidR="00F30D9D" w:rsidRPr="001800B7" w:rsidRDefault="00F30D9D" w:rsidP="006010A6">
            <w:pPr>
              <w:numPr>
                <w:ilvl w:val="1"/>
                <w:numId w:val="19"/>
              </w:numPr>
              <w:tabs>
                <w:tab w:val="clear" w:pos="1701"/>
              </w:tabs>
              <w:spacing w:before="120" w:after="120"/>
              <w:ind w:left="0"/>
              <w:rPr>
                <w:rFonts w:eastAsia="Malgun Gothic"/>
                <w:kern w:val="2"/>
                <w:szCs w:val="22"/>
                <w:lang w:eastAsia="ko-KR"/>
              </w:rPr>
            </w:pPr>
            <w:r w:rsidRPr="001800B7">
              <w:rPr>
                <w:rFonts w:eastAsia="Malgun Gothic"/>
                <w:kern w:val="2"/>
                <w:szCs w:val="22"/>
                <w:lang w:eastAsia="ko-KR"/>
              </w:rPr>
              <w:t>Nombre et types d</w:t>
            </w:r>
            <w:r w:rsidR="005311D6" w:rsidRPr="001800B7">
              <w:rPr>
                <w:rFonts w:eastAsia="Malgun Gothic"/>
                <w:kern w:val="2"/>
                <w:szCs w:val="22"/>
                <w:lang w:eastAsia="ko-KR"/>
              </w:rPr>
              <w:t>’</w:t>
            </w:r>
            <w:r w:rsidRPr="001800B7">
              <w:rPr>
                <w:rFonts w:eastAsia="Malgun Gothic"/>
                <w:kern w:val="2"/>
                <w:szCs w:val="22"/>
                <w:lang w:eastAsia="ko-KR"/>
              </w:rPr>
              <w:t>activités de promotion mises en place par l</w:t>
            </w:r>
            <w:r w:rsidR="005311D6" w:rsidRPr="001800B7">
              <w:rPr>
                <w:rFonts w:eastAsia="Malgun Gothic"/>
                <w:kern w:val="2"/>
                <w:szCs w:val="22"/>
                <w:lang w:eastAsia="ko-KR"/>
              </w:rPr>
              <w:t>’</w:t>
            </w:r>
            <w:r w:rsidRPr="001800B7">
              <w:rPr>
                <w:rFonts w:eastAsia="Malgun Gothic"/>
                <w:kern w:val="2"/>
                <w:szCs w:val="22"/>
                <w:lang w:eastAsia="ko-KR"/>
              </w:rPr>
              <w:t>institution nationale de dessins et modèles industriels.</w:t>
            </w:r>
            <w:r w:rsidRPr="001800B7">
              <w:rPr>
                <w:kern w:val="2"/>
                <w:szCs w:val="22"/>
              </w:rPr>
              <w:t xml:space="preserve">  </w:t>
            </w:r>
          </w:p>
        </w:tc>
        <w:tc>
          <w:tcPr>
            <w:tcW w:w="2976" w:type="dxa"/>
            <w:shd w:val="clear" w:color="auto" w:fill="auto"/>
          </w:tcPr>
          <w:p w:rsidR="00F30D9D" w:rsidRPr="001800B7" w:rsidRDefault="00F30D9D" w:rsidP="0010628F">
            <w:pPr>
              <w:numPr>
                <w:ilvl w:val="0"/>
                <w:numId w:val="22"/>
              </w:numPr>
              <w:spacing w:before="120" w:after="120"/>
              <w:rPr>
                <w:szCs w:val="22"/>
              </w:rPr>
            </w:pPr>
            <w:r w:rsidRPr="001800B7">
              <w:rPr>
                <w:szCs w:val="22"/>
              </w:rPr>
              <w:t>Une enquête en ligne a été élaborée.  Elle sera envoyée à 150 PME en Argentine pour évaluer leurs besoins précis.</w:t>
            </w:r>
          </w:p>
          <w:p w:rsidR="00F30D9D" w:rsidRPr="001800B7" w:rsidRDefault="00F30D9D" w:rsidP="0010628F">
            <w:pPr>
              <w:numPr>
                <w:ilvl w:val="0"/>
                <w:numId w:val="22"/>
              </w:numPr>
              <w:spacing w:before="120" w:after="120"/>
              <w:rPr>
                <w:szCs w:val="22"/>
              </w:rPr>
            </w:pPr>
            <w:r w:rsidRPr="001800B7">
              <w:rPr>
                <w:szCs w:val="22"/>
              </w:rPr>
              <w:t>Un colloque international se tiendra à Buenos Aires les 3 et 4 septembre 2014.  Les sujets des exposés et les orateurs au profil national et international ont été choisis compte tenu des besoins prédéfinis.</w:t>
            </w:r>
          </w:p>
        </w:tc>
        <w:tc>
          <w:tcPr>
            <w:tcW w:w="1455" w:type="dxa"/>
            <w:shd w:val="clear" w:color="auto" w:fill="auto"/>
          </w:tcPr>
          <w:p w:rsidR="00F30D9D" w:rsidRPr="001800B7" w:rsidRDefault="00F30D9D" w:rsidP="00F30D9D">
            <w:pPr>
              <w:spacing w:before="120" w:after="120"/>
              <w:rPr>
                <w:szCs w:val="22"/>
              </w:rPr>
            </w:pPr>
            <w:r w:rsidRPr="001800B7">
              <w:rPr>
                <w:szCs w:val="22"/>
              </w:rPr>
              <w:t>a) AP</w:t>
            </w:r>
            <w:r w:rsidRPr="001800B7">
              <w:rPr>
                <w:szCs w:val="22"/>
              </w:rPr>
              <w:br/>
              <w:t>b) ***</w:t>
            </w:r>
          </w:p>
        </w:tc>
      </w:tr>
    </w:tbl>
    <w:p w:rsidR="00F30D9D" w:rsidRPr="001800B7" w:rsidRDefault="00F30D9D" w:rsidP="00F30D9D">
      <w:pPr>
        <w:rPr>
          <w:szCs w:val="22"/>
        </w:rPr>
      </w:pPr>
    </w:p>
    <w:p w:rsidR="00F30D9D" w:rsidRPr="001800B7" w:rsidRDefault="00F30D9D" w:rsidP="00F30D9D">
      <w:pPr>
        <w:rPr>
          <w:szCs w:val="22"/>
        </w:rPr>
      </w:pPr>
    </w:p>
    <w:p w:rsidR="00F30D9D" w:rsidRPr="001800B7" w:rsidRDefault="00F30D9D" w:rsidP="00F30D9D">
      <w:pPr>
        <w:rPr>
          <w:szCs w:val="22"/>
        </w:rPr>
      </w:pPr>
    </w:p>
    <w:p w:rsidR="00F30D9D" w:rsidRPr="001800B7" w:rsidRDefault="00F30D9D" w:rsidP="00F30D9D">
      <w:pPr>
        <w:pStyle w:val="Endofdocument-Annex"/>
        <w:rPr>
          <w:szCs w:val="22"/>
        </w:rPr>
        <w:sectPr w:rsidR="00F30D9D" w:rsidRPr="001800B7" w:rsidSect="00F30D9D">
          <w:headerReference w:type="default" r:id="rId56"/>
          <w:headerReference w:type="first" r:id="rId57"/>
          <w:endnotePr>
            <w:numFmt w:val="decimal"/>
          </w:endnotePr>
          <w:pgSz w:w="11907" w:h="16840" w:code="9"/>
          <w:pgMar w:top="567" w:right="1134" w:bottom="1417" w:left="1417" w:header="510" w:footer="1020" w:gutter="0"/>
          <w:pgNumType w:start="1"/>
          <w:cols w:space="720"/>
          <w:titlePg/>
          <w:docGrid w:linePitch="299"/>
        </w:sectPr>
      </w:pPr>
      <w:r w:rsidRPr="001800B7">
        <w:rPr>
          <w:szCs w:val="22"/>
        </w:rPr>
        <w:t>[L</w:t>
      </w:r>
      <w:r w:rsidR="005311D6" w:rsidRPr="001800B7">
        <w:rPr>
          <w:szCs w:val="22"/>
        </w:rPr>
        <w:t>’</w:t>
      </w:r>
      <w:r w:rsidRPr="001800B7">
        <w:rPr>
          <w:szCs w:val="22"/>
        </w:rPr>
        <w:t>annexe VII suit]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260"/>
      </w:tblGrid>
      <w:tr w:rsidR="001800B7" w:rsidRPr="001800B7" w:rsidTr="00F30D9D">
        <w:tc>
          <w:tcPr>
            <w:tcW w:w="9495" w:type="dxa"/>
            <w:gridSpan w:val="2"/>
            <w:shd w:val="clear" w:color="auto" w:fill="auto"/>
          </w:tcPr>
          <w:p w:rsidR="00F30D9D" w:rsidRPr="001800B7" w:rsidRDefault="00F30D9D" w:rsidP="00F30D9D">
            <w:pPr>
              <w:pStyle w:val="Heading2"/>
              <w:spacing w:before="120" w:after="120"/>
              <w:rPr>
                <w:szCs w:val="22"/>
              </w:rPr>
            </w:pPr>
            <w:r w:rsidRPr="001800B7">
              <w:rPr>
                <w:szCs w:val="22"/>
              </w:rPr>
              <w:lastRenderedPageBreak/>
              <w:t>RÉSUMÉ DU PROJET</w:t>
            </w:r>
          </w:p>
        </w:tc>
      </w:tr>
      <w:tr w:rsidR="001800B7" w:rsidRPr="001800B7" w:rsidTr="00F30D9D">
        <w:tc>
          <w:tcPr>
            <w:tcW w:w="2235" w:type="dxa"/>
            <w:shd w:val="clear" w:color="auto" w:fill="auto"/>
          </w:tcPr>
          <w:p w:rsidR="00F30D9D" w:rsidRPr="001800B7" w:rsidRDefault="00F30D9D" w:rsidP="00F30D9D">
            <w:pPr>
              <w:spacing w:before="120" w:after="120"/>
              <w:rPr>
                <w:bCs/>
                <w:szCs w:val="22"/>
                <w:u w:val="single"/>
              </w:rPr>
            </w:pPr>
            <w:r w:rsidRPr="001800B7">
              <w:rPr>
                <w:szCs w:val="22"/>
              </w:rPr>
              <w:t>Code du projet</w:t>
            </w:r>
          </w:p>
        </w:tc>
        <w:tc>
          <w:tcPr>
            <w:tcW w:w="7260" w:type="dxa"/>
            <w:shd w:val="clear" w:color="auto" w:fill="auto"/>
          </w:tcPr>
          <w:p w:rsidR="00F30D9D" w:rsidRPr="001800B7" w:rsidRDefault="00F30D9D" w:rsidP="00F30D9D">
            <w:pPr>
              <w:spacing w:before="120" w:after="120"/>
              <w:rPr>
                <w:szCs w:val="22"/>
              </w:rPr>
            </w:pPr>
            <w:r w:rsidRPr="001800B7">
              <w:rPr>
                <w:szCs w:val="22"/>
              </w:rPr>
              <w:t>DA_19_30_31_03</w:t>
            </w:r>
          </w:p>
        </w:tc>
      </w:tr>
      <w:tr w:rsidR="001800B7" w:rsidRPr="001800B7" w:rsidTr="00F30D9D">
        <w:tc>
          <w:tcPr>
            <w:tcW w:w="2235" w:type="dxa"/>
            <w:shd w:val="clear" w:color="auto" w:fill="auto"/>
          </w:tcPr>
          <w:p w:rsidR="00F30D9D" w:rsidRPr="001800B7" w:rsidRDefault="00F30D9D" w:rsidP="00F30D9D">
            <w:pPr>
              <w:spacing w:before="120" w:after="120"/>
              <w:rPr>
                <w:szCs w:val="22"/>
              </w:rPr>
            </w:pPr>
            <w:r w:rsidRPr="001800B7">
              <w:rPr>
                <w:szCs w:val="22"/>
              </w:rPr>
              <w:t>Titre</w:t>
            </w:r>
          </w:p>
        </w:tc>
        <w:tc>
          <w:tcPr>
            <w:tcW w:w="7260" w:type="dxa"/>
            <w:shd w:val="clear" w:color="auto" w:fill="auto"/>
          </w:tcPr>
          <w:p w:rsidR="00F30D9D" w:rsidRPr="001800B7" w:rsidRDefault="00F30D9D" w:rsidP="00F30D9D">
            <w:pPr>
              <w:spacing w:before="120" w:after="120"/>
              <w:rPr>
                <w:iCs/>
                <w:szCs w:val="22"/>
              </w:rPr>
            </w:pPr>
            <w:r w:rsidRPr="001800B7">
              <w:rPr>
                <w:iCs/>
                <w:szCs w:val="22"/>
              </w:rPr>
              <w:t>Renforcement des capacités d</w:t>
            </w:r>
            <w:r w:rsidR="005311D6" w:rsidRPr="001800B7">
              <w:rPr>
                <w:iCs/>
                <w:szCs w:val="22"/>
              </w:rPr>
              <w:t>’</w:t>
            </w:r>
            <w:r w:rsidRPr="001800B7">
              <w:rPr>
                <w:iCs/>
                <w:szCs w:val="22"/>
              </w:rPr>
              <w:t>utilisation des projets technologiques appropriés</w:t>
            </w:r>
          </w:p>
          <w:p w:rsidR="00F30D9D" w:rsidRPr="001800B7" w:rsidRDefault="00F30D9D" w:rsidP="00F30D9D">
            <w:pPr>
              <w:spacing w:before="120" w:after="120"/>
              <w:rPr>
                <w:rFonts w:eastAsia="Malgun Gothic"/>
                <w:kern w:val="2"/>
                <w:szCs w:val="22"/>
                <w:lang w:eastAsia="ko-KR"/>
              </w:rPr>
            </w:pPr>
            <w:r w:rsidRPr="001800B7">
              <w:rPr>
                <w:iCs/>
                <w:szCs w:val="22"/>
              </w:rPr>
              <w:t>Renforcement des capacités d</w:t>
            </w:r>
            <w:r w:rsidR="005311D6" w:rsidRPr="001800B7">
              <w:rPr>
                <w:iCs/>
                <w:szCs w:val="22"/>
              </w:rPr>
              <w:t>’</w:t>
            </w:r>
            <w:r w:rsidRPr="001800B7">
              <w:rPr>
                <w:iCs/>
                <w:szCs w:val="22"/>
              </w:rPr>
              <w:t>utilisation de l</w:t>
            </w:r>
            <w:r w:rsidR="005311D6" w:rsidRPr="001800B7">
              <w:rPr>
                <w:iCs/>
                <w:szCs w:val="22"/>
              </w:rPr>
              <w:t>’</w:t>
            </w:r>
            <w:r w:rsidRPr="001800B7">
              <w:rPr>
                <w:iCs/>
                <w:szCs w:val="22"/>
              </w:rPr>
              <w:t>information technique et scientifique axée sur les technologies appropriées pour répondre à certains enjeux de développement – phase II</w:t>
            </w:r>
          </w:p>
        </w:tc>
      </w:tr>
      <w:tr w:rsidR="001800B7" w:rsidRPr="001800B7" w:rsidTr="00F30D9D">
        <w:tc>
          <w:tcPr>
            <w:tcW w:w="2235" w:type="dxa"/>
            <w:shd w:val="clear" w:color="auto" w:fill="auto"/>
          </w:tcPr>
          <w:p w:rsidR="00F30D9D" w:rsidRPr="001800B7" w:rsidRDefault="00F30D9D" w:rsidP="00F30D9D">
            <w:pPr>
              <w:spacing w:before="120" w:after="120"/>
              <w:rPr>
                <w:szCs w:val="22"/>
              </w:rPr>
            </w:pPr>
            <w:r w:rsidRPr="001800B7">
              <w:rPr>
                <w:szCs w:val="22"/>
              </w:rPr>
              <w:t>Recommandations du Plan d</w:t>
            </w:r>
            <w:r w:rsidR="005311D6" w:rsidRPr="001800B7">
              <w:rPr>
                <w:szCs w:val="22"/>
              </w:rPr>
              <w:t>’</w:t>
            </w:r>
            <w:r w:rsidRPr="001800B7">
              <w:rPr>
                <w:szCs w:val="22"/>
              </w:rPr>
              <w:t>action pour le développement</w:t>
            </w:r>
          </w:p>
        </w:tc>
        <w:tc>
          <w:tcPr>
            <w:tcW w:w="7260" w:type="dxa"/>
            <w:shd w:val="clear" w:color="auto" w:fill="auto"/>
          </w:tcPr>
          <w:p w:rsidR="00F30D9D" w:rsidRPr="001800B7" w:rsidRDefault="00F30D9D" w:rsidP="00F30D9D">
            <w:pPr>
              <w:spacing w:before="120" w:after="120"/>
              <w:rPr>
                <w:iCs/>
                <w:szCs w:val="22"/>
              </w:rPr>
            </w:pPr>
            <w:r w:rsidRPr="001800B7">
              <w:rPr>
                <w:i/>
                <w:iCs/>
                <w:szCs w:val="22"/>
              </w:rPr>
              <w:t>Recommandation n° 19 :</w:t>
            </w:r>
            <w:r w:rsidRPr="001800B7">
              <w:rPr>
                <w:iCs/>
                <w:szCs w:val="22"/>
              </w:rPr>
              <w:t xml:space="preserve"> Engager les discussions sur les moyens à mettre en œuvre, dans le cadre du mandat de l</w:t>
            </w:r>
            <w:r w:rsidR="005311D6" w:rsidRPr="001800B7">
              <w:rPr>
                <w:iCs/>
                <w:szCs w:val="22"/>
              </w:rPr>
              <w:t>’</w:t>
            </w:r>
            <w:r w:rsidRPr="001800B7">
              <w:rPr>
                <w:iCs/>
                <w:szCs w:val="22"/>
              </w:rPr>
              <w:t>OMPI, pour faciliter davantage l</w:t>
            </w:r>
            <w:r w:rsidR="005311D6" w:rsidRPr="001800B7">
              <w:rPr>
                <w:iCs/>
                <w:szCs w:val="22"/>
              </w:rPr>
              <w:t>’</w:t>
            </w:r>
            <w:r w:rsidRPr="001800B7">
              <w:rPr>
                <w:iCs/>
                <w:szCs w:val="22"/>
              </w:rPr>
              <w:t>accès des pays en développement et des pays les moins avancés (PMA) aux savoirs et à la technologie afin de stimuler la créativité et l</w:t>
            </w:r>
            <w:r w:rsidR="005311D6" w:rsidRPr="001800B7">
              <w:rPr>
                <w:iCs/>
                <w:szCs w:val="22"/>
              </w:rPr>
              <w:t>’</w:t>
            </w:r>
            <w:r w:rsidRPr="001800B7">
              <w:rPr>
                <w:iCs/>
                <w:szCs w:val="22"/>
              </w:rPr>
              <w:t>innovation et renforcer les activités déjà entreprises dans ce domaine au sein de l</w:t>
            </w:r>
            <w:r w:rsidR="005311D6" w:rsidRPr="001800B7">
              <w:rPr>
                <w:iCs/>
                <w:szCs w:val="22"/>
              </w:rPr>
              <w:t>’</w:t>
            </w:r>
            <w:r w:rsidRPr="001800B7">
              <w:rPr>
                <w:iCs/>
                <w:szCs w:val="22"/>
              </w:rPr>
              <w:t>OMPI.</w:t>
            </w:r>
          </w:p>
          <w:p w:rsidR="00F30D9D" w:rsidRPr="001800B7" w:rsidRDefault="00F30D9D" w:rsidP="00F30D9D">
            <w:pPr>
              <w:spacing w:before="120" w:after="120"/>
              <w:rPr>
                <w:iCs/>
                <w:szCs w:val="22"/>
              </w:rPr>
            </w:pPr>
            <w:r w:rsidRPr="001800B7">
              <w:rPr>
                <w:i/>
                <w:iCs/>
                <w:szCs w:val="22"/>
              </w:rPr>
              <w:t>Recommandation n° 30 :</w:t>
            </w:r>
            <w:r w:rsidRPr="001800B7">
              <w:rPr>
                <w:iCs/>
                <w:szCs w:val="22"/>
              </w:rPr>
              <w:t xml:space="preserve"> L</w:t>
            </w:r>
            <w:r w:rsidR="005311D6" w:rsidRPr="001800B7">
              <w:rPr>
                <w:iCs/>
                <w:szCs w:val="22"/>
              </w:rPr>
              <w:t>’</w:t>
            </w:r>
            <w:r w:rsidRPr="001800B7">
              <w:rPr>
                <w:iCs/>
                <w:szCs w:val="22"/>
              </w:rPr>
              <w:t>OMPI devrait coopérer avec d</w:t>
            </w:r>
            <w:r w:rsidR="005311D6" w:rsidRPr="001800B7">
              <w:rPr>
                <w:iCs/>
                <w:szCs w:val="22"/>
              </w:rPr>
              <w:t>’</w:t>
            </w:r>
            <w:r w:rsidRPr="001800B7">
              <w:rPr>
                <w:iCs/>
                <w:szCs w:val="22"/>
              </w:rPr>
              <w:t xml:space="preserve">autres organisations intergouvernementales pour fournir aux pays en développement, </w:t>
            </w:r>
            <w:r w:rsidR="005311D6" w:rsidRPr="001800B7">
              <w:rPr>
                <w:iCs/>
                <w:szCs w:val="22"/>
              </w:rPr>
              <w:t>y compris</w:t>
            </w:r>
            <w:r w:rsidRPr="001800B7">
              <w:rPr>
                <w:iCs/>
                <w:szCs w:val="22"/>
              </w:rPr>
              <w:t xml:space="preserve"> les PMA, sur demande, des conseils sur les moyens d</w:t>
            </w:r>
            <w:r w:rsidR="005311D6" w:rsidRPr="001800B7">
              <w:rPr>
                <w:iCs/>
                <w:szCs w:val="22"/>
              </w:rPr>
              <w:t>’</w:t>
            </w:r>
            <w:r w:rsidRPr="001800B7">
              <w:rPr>
                <w:iCs/>
                <w:szCs w:val="22"/>
              </w:rPr>
              <w:t>accéder à l</w:t>
            </w:r>
            <w:r w:rsidR="005311D6" w:rsidRPr="001800B7">
              <w:rPr>
                <w:iCs/>
                <w:szCs w:val="22"/>
              </w:rPr>
              <w:t>’</w:t>
            </w:r>
            <w:r w:rsidRPr="001800B7">
              <w:rPr>
                <w:iCs/>
                <w:szCs w:val="22"/>
              </w:rPr>
              <w:t>information technologique en rapport avec la propriété intellectuelle et d</w:t>
            </w:r>
            <w:r w:rsidR="005311D6" w:rsidRPr="001800B7">
              <w:rPr>
                <w:iCs/>
                <w:szCs w:val="22"/>
              </w:rPr>
              <w:t>’</w:t>
            </w:r>
            <w:r w:rsidRPr="001800B7">
              <w:rPr>
                <w:iCs/>
                <w:szCs w:val="22"/>
              </w:rPr>
              <w:t>en faire usage, notamment dans les domaines présentant un intérêt particulier pour les demandeurs.</w:t>
            </w:r>
          </w:p>
          <w:p w:rsidR="00F30D9D" w:rsidRPr="001800B7" w:rsidRDefault="00F30D9D" w:rsidP="00F30D9D">
            <w:pPr>
              <w:spacing w:before="120" w:after="120"/>
              <w:rPr>
                <w:rFonts w:eastAsia="Malgun Gothic"/>
                <w:kern w:val="2"/>
                <w:szCs w:val="22"/>
                <w:lang w:eastAsia="ko-KR"/>
              </w:rPr>
            </w:pPr>
            <w:r w:rsidRPr="001800B7">
              <w:rPr>
                <w:i/>
                <w:iCs/>
                <w:szCs w:val="22"/>
              </w:rPr>
              <w:t>Recommandation n° 31 :</w:t>
            </w:r>
            <w:r w:rsidRPr="001800B7">
              <w:rPr>
                <w:iCs/>
                <w:szCs w:val="22"/>
              </w:rPr>
              <w:t xml:space="preserve"> Mettre en œuvre des initiatives arrêtées par les États membres qui contribuent au transfert de technologie en faveur des pays en développement, s</w:t>
            </w:r>
            <w:r w:rsidR="005311D6" w:rsidRPr="001800B7">
              <w:rPr>
                <w:iCs/>
                <w:szCs w:val="22"/>
              </w:rPr>
              <w:t>’</w:t>
            </w:r>
            <w:r w:rsidRPr="001800B7">
              <w:rPr>
                <w:iCs/>
                <w:szCs w:val="22"/>
              </w:rPr>
              <w:t>agissant par exemple de demander à l</w:t>
            </w:r>
            <w:r w:rsidR="005311D6" w:rsidRPr="001800B7">
              <w:rPr>
                <w:iCs/>
                <w:szCs w:val="22"/>
              </w:rPr>
              <w:t>’</w:t>
            </w:r>
            <w:r w:rsidRPr="001800B7">
              <w:rPr>
                <w:iCs/>
                <w:szCs w:val="22"/>
              </w:rPr>
              <w:t>OMPI de faciliter l</w:t>
            </w:r>
            <w:r w:rsidR="005311D6" w:rsidRPr="001800B7">
              <w:rPr>
                <w:iCs/>
                <w:szCs w:val="22"/>
              </w:rPr>
              <w:t>’</w:t>
            </w:r>
            <w:r w:rsidRPr="001800B7">
              <w:rPr>
                <w:iCs/>
                <w:szCs w:val="22"/>
              </w:rPr>
              <w:t>accès à l</w:t>
            </w:r>
            <w:r w:rsidR="005311D6" w:rsidRPr="001800B7">
              <w:rPr>
                <w:iCs/>
                <w:szCs w:val="22"/>
              </w:rPr>
              <w:t>’</w:t>
            </w:r>
            <w:r w:rsidRPr="001800B7">
              <w:rPr>
                <w:iCs/>
                <w:szCs w:val="22"/>
              </w:rPr>
              <w:t>information en matière de brevets accessible au public.</w:t>
            </w:r>
          </w:p>
        </w:tc>
      </w:tr>
      <w:tr w:rsidR="001800B7" w:rsidRPr="001800B7" w:rsidTr="00F30D9D">
        <w:tc>
          <w:tcPr>
            <w:tcW w:w="2235" w:type="dxa"/>
            <w:shd w:val="clear" w:color="auto" w:fill="auto"/>
          </w:tcPr>
          <w:p w:rsidR="00F30D9D" w:rsidRPr="001800B7" w:rsidRDefault="00F30D9D" w:rsidP="00F30D9D">
            <w:pPr>
              <w:spacing w:before="120" w:after="120"/>
              <w:rPr>
                <w:szCs w:val="22"/>
              </w:rPr>
            </w:pPr>
            <w:r w:rsidRPr="001800B7">
              <w:rPr>
                <w:szCs w:val="22"/>
              </w:rPr>
              <w:t>Budget du projet</w:t>
            </w:r>
          </w:p>
        </w:tc>
        <w:tc>
          <w:tcPr>
            <w:tcW w:w="7260" w:type="dxa"/>
            <w:shd w:val="clear" w:color="auto" w:fill="auto"/>
          </w:tcPr>
          <w:p w:rsidR="00F30D9D" w:rsidRPr="001800B7" w:rsidRDefault="00F30D9D" w:rsidP="00F30D9D">
            <w:pPr>
              <w:spacing w:before="120" w:after="120"/>
              <w:rPr>
                <w:szCs w:val="22"/>
              </w:rPr>
            </w:pPr>
            <w:r w:rsidRPr="001800B7">
              <w:rPr>
                <w:szCs w:val="22"/>
              </w:rPr>
              <w:t>Dépenses autres que les dépenses de personnel : 200 000 francs suisses</w:t>
            </w:r>
          </w:p>
          <w:p w:rsidR="00F30D9D" w:rsidRPr="001800B7" w:rsidRDefault="00F30D9D" w:rsidP="00F30D9D">
            <w:pPr>
              <w:spacing w:before="120" w:after="120"/>
              <w:rPr>
                <w:rFonts w:eastAsia="Malgun Gothic"/>
                <w:kern w:val="2"/>
                <w:szCs w:val="22"/>
                <w:lang w:eastAsia="ko-KR"/>
              </w:rPr>
            </w:pPr>
            <w:r w:rsidRPr="001800B7">
              <w:rPr>
                <w:szCs w:val="22"/>
              </w:rPr>
              <w:t>Dépenses de personnel : 267 792 francs suisses</w:t>
            </w:r>
          </w:p>
        </w:tc>
      </w:tr>
      <w:tr w:rsidR="001800B7" w:rsidRPr="001800B7" w:rsidTr="00F30D9D">
        <w:tc>
          <w:tcPr>
            <w:tcW w:w="2235" w:type="dxa"/>
            <w:shd w:val="clear" w:color="auto" w:fill="auto"/>
          </w:tcPr>
          <w:p w:rsidR="00F30D9D" w:rsidRPr="001800B7" w:rsidRDefault="00F30D9D" w:rsidP="00F30D9D">
            <w:pPr>
              <w:spacing w:before="120" w:after="120"/>
              <w:rPr>
                <w:bCs/>
                <w:szCs w:val="22"/>
                <w:u w:val="single"/>
              </w:rPr>
            </w:pPr>
            <w:r w:rsidRPr="001800B7">
              <w:rPr>
                <w:szCs w:val="22"/>
              </w:rPr>
              <w:t>Date de début du projet</w:t>
            </w:r>
          </w:p>
        </w:tc>
        <w:tc>
          <w:tcPr>
            <w:tcW w:w="7260" w:type="dxa"/>
            <w:shd w:val="clear" w:color="auto" w:fill="auto"/>
          </w:tcPr>
          <w:p w:rsidR="00F30D9D" w:rsidRPr="001800B7" w:rsidRDefault="00F30D9D" w:rsidP="00F30D9D">
            <w:pPr>
              <w:spacing w:before="120" w:after="120"/>
              <w:rPr>
                <w:szCs w:val="22"/>
              </w:rPr>
            </w:pPr>
            <w:r w:rsidRPr="001800B7">
              <w:rPr>
                <w:szCs w:val="22"/>
              </w:rPr>
              <w:t>Juillet 2014</w:t>
            </w:r>
          </w:p>
        </w:tc>
      </w:tr>
      <w:tr w:rsidR="001800B7" w:rsidRPr="001800B7" w:rsidTr="00F30D9D">
        <w:tc>
          <w:tcPr>
            <w:tcW w:w="2235" w:type="dxa"/>
            <w:shd w:val="clear" w:color="auto" w:fill="auto"/>
          </w:tcPr>
          <w:p w:rsidR="00F30D9D" w:rsidRPr="001800B7" w:rsidRDefault="00F30D9D" w:rsidP="00F30D9D">
            <w:pPr>
              <w:spacing w:before="120" w:after="120"/>
              <w:rPr>
                <w:bCs/>
                <w:szCs w:val="22"/>
                <w:u w:val="single"/>
              </w:rPr>
            </w:pPr>
            <w:r w:rsidRPr="001800B7">
              <w:rPr>
                <w:szCs w:val="22"/>
              </w:rPr>
              <w:t>Durée du projet</w:t>
            </w:r>
          </w:p>
        </w:tc>
        <w:tc>
          <w:tcPr>
            <w:tcW w:w="7260" w:type="dxa"/>
            <w:shd w:val="clear" w:color="auto" w:fill="auto"/>
          </w:tcPr>
          <w:p w:rsidR="00F30D9D" w:rsidRPr="001800B7" w:rsidRDefault="00F30D9D" w:rsidP="00F30D9D">
            <w:pPr>
              <w:spacing w:before="120" w:after="120"/>
              <w:rPr>
                <w:szCs w:val="22"/>
              </w:rPr>
            </w:pPr>
            <w:r w:rsidRPr="001800B7">
              <w:rPr>
                <w:szCs w:val="22"/>
              </w:rPr>
              <w:t>36 mois</w:t>
            </w:r>
          </w:p>
        </w:tc>
      </w:tr>
      <w:tr w:rsidR="001800B7" w:rsidRPr="001800B7" w:rsidTr="00F30D9D">
        <w:tc>
          <w:tcPr>
            <w:tcW w:w="2235" w:type="dxa"/>
            <w:shd w:val="clear" w:color="auto" w:fill="auto"/>
          </w:tcPr>
          <w:p w:rsidR="00F30D9D" w:rsidRPr="001800B7" w:rsidRDefault="00F30D9D" w:rsidP="00F30D9D">
            <w:pPr>
              <w:spacing w:before="120" w:after="120"/>
              <w:rPr>
                <w:bCs/>
                <w:szCs w:val="22"/>
                <w:u w:val="single"/>
              </w:rPr>
            </w:pPr>
            <w:r w:rsidRPr="001800B7">
              <w:rPr>
                <w:szCs w:val="22"/>
              </w:rPr>
              <w:t>Principaux secteurs de l</w:t>
            </w:r>
            <w:r w:rsidR="005311D6" w:rsidRPr="001800B7">
              <w:rPr>
                <w:szCs w:val="22"/>
              </w:rPr>
              <w:t>’</w:t>
            </w:r>
            <w:r w:rsidRPr="001800B7">
              <w:rPr>
                <w:szCs w:val="22"/>
              </w:rPr>
              <w:t>OMPI concernés et liens avec les programmes de l</w:t>
            </w:r>
            <w:r w:rsidR="005311D6" w:rsidRPr="001800B7">
              <w:rPr>
                <w:szCs w:val="22"/>
              </w:rPr>
              <w:t>’</w:t>
            </w:r>
            <w:r w:rsidRPr="001800B7">
              <w:rPr>
                <w:szCs w:val="22"/>
              </w:rPr>
              <w:t>OMPI</w:t>
            </w:r>
          </w:p>
        </w:tc>
        <w:tc>
          <w:tcPr>
            <w:tcW w:w="7260" w:type="dxa"/>
            <w:shd w:val="clear" w:color="auto" w:fill="auto"/>
          </w:tcPr>
          <w:p w:rsidR="00F30D9D" w:rsidRPr="001800B7" w:rsidRDefault="00F30D9D" w:rsidP="00F30D9D">
            <w:pPr>
              <w:spacing w:before="120" w:after="120"/>
              <w:rPr>
                <w:szCs w:val="22"/>
              </w:rPr>
            </w:pPr>
            <w:r w:rsidRPr="001800B7">
              <w:rPr>
                <w:szCs w:val="22"/>
              </w:rPr>
              <w:t>Secteur de l</w:t>
            </w:r>
            <w:r w:rsidR="005311D6" w:rsidRPr="001800B7">
              <w:rPr>
                <w:szCs w:val="22"/>
              </w:rPr>
              <w:t>’</w:t>
            </w:r>
            <w:r w:rsidRPr="001800B7">
              <w:rPr>
                <w:szCs w:val="22"/>
              </w:rPr>
              <w:t>innovation et de la technologie et Secteur des questions mondiales.</w:t>
            </w:r>
          </w:p>
          <w:p w:rsidR="00F30D9D" w:rsidRPr="001800B7" w:rsidRDefault="00F30D9D" w:rsidP="00F30D9D">
            <w:pPr>
              <w:spacing w:before="120" w:after="120"/>
              <w:rPr>
                <w:szCs w:val="22"/>
              </w:rPr>
            </w:pPr>
            <w:r w:rsidRPr="001800B7">
              <w:rPr>
                <w:szCs w:val="22"/>
              </w:rPr>
              <w:t xml:space="preserve">Liens avec </w:t>
            </w:r>
            <w:proofErr w:type="gramStart"/>
            <w:r w:rsidRPr="001800B7">
              <w:rPr>
                <w:szCs w:val="22"/>
              </w:rPr>
              <w:t>les programmes 1, 9, 14 et 18 de l</w:t>
            </w:r>
            <w:r w:rsidR="005311D6" w:rsidRPr="001800B7">
              <w:rPr>
                <w:szCs w:val="22"/>
              </w:rPr>
              <w:t>’</w:t>
            </w:r>
            <w:r w:rsidRPr="001800B7">
              <w:rPr>
                <w:szCs w:val="22"/>
              </w:rPr>
              <w:t>OMPI</w:t>
            </w:r>
            <w:proofErr w:type="gramEnd"/>
            <w:r w:rsidRPr="001800B7">
              <w:rPr>
                <w:szCs w:val="22"/>
              </w:rPr>
              <w:t>.</w:t>
            </w:r>
          </w:p>
        </w:tc>
      </w:tr>
      <w:tr w:rsidR="00F30D9D" w:rsidRPr="001800B7" w:rsidTr="00F30D9D">
        <w:tc>
          <w:tcPr>
            <w:tcW w:w="2235" w:type="dxa"/>
            <w:shd w:val="clear" w:color="auto" w:fill="auto"/>
          </w:tcPr>
          <w:p w:rsidR="00F30D9D" w:rsidRPr="001800B7" w:rsidRDefault="00F30D9D" w:rsidP="00F30D9D">
            <w:pPr>
              <w:pStyle w:val="ONUME"/>
              <w:numPr>
                <w:ilvl w:val="0"/>
                <w:numId w:val="0"/>
              </w:numPr>
              <w:spacing w:before="120" w:after="120"/>
              <w:rPr>
                <w:rFonts w:eastAsia="Malgun Gothic"/>
                <w:kern w:val="2"/>
                <w:szCs w:val="22"/>
                <w:lang w:eastAsia="ko-KR"/>
              </w:rPr>
            </w:pPr>
            <w:r w:rsidRPr="001800B7">
              <w:rPr>
                <w:szCs w:val="22"/>
              </w:rPr>
              <w:t>Brève description du projet</w:t>
            </w:r>
          </w:p>
        </w:tc>
        <w:tc>
          <w:tcPr>
            <w:tcW w:w="7260" w:type="dxa"/>
            <w:shd w:val="clear" w:color="auto" w:fill="auto"/>
          </w:tcPr>
          <w:p w:rsidR="00F30D9D" w:rsidRPr="001800B7" w:rsidRDefault="00F30D9D" w:rsidP="00F30D9D">
            <w:pPr>
              <w:pStyle w:val="ONUME"/>
              <w:numPr>
                <w:ilvl w:val="0"/>
                <w:numId w:val="0"/>
              </w:numPr>
              <w:spacing w:before="120" w:after="120"/>
              <w:rPr>
                <w:szCs w:val="22"/>
              </w:rPr>
            </w:pPr>
            <w:r w:rsidRPr="001800B7">
              <w:rPr>
                <w:szCs w:val="22"/>
              </w:rPr>
              <w:t>Conformément aux objectifs de la phase I du projet, l</w:t>
            </w:r>
            <w:r w:rsidR="005311D6" w:rsidRPr="001800B7">
              <w:rPr>
                <w:szCs w:val="22"/>
              </w:rPr>
              <w:t>’</w:t>
            </w:r>
            <w:r w:rsidRPr="001800B7">
              <w:rPr>
                <w:szCs w:val="22"/>
              </w:rPr>
              <w:t>objectif général de la phase II en cours est de contribuer au développement économique, social, culturel et technologique des pays bénéficiaires et, au final, d</w:t>
            </w:r>
            <w:r w:rsidR="005311D6" w:rsidRPr="001800B7">
              <w:rPr>
                <w:szCs w:val="22"/>
              </w:rPr>
              <w:t>’</w:t>
            </w:r>
            <w:r w:rsidRPr="001800B7">
              <w:rPr>
                <w:szCs w:val="22"/>
              </w:rPr>
              <w:t>atténuer la pauvreté.</w:t>
            </w:r>
          </w:p>
          <w:p w:rsidR="00F30D9D" w:rsidRPr="001800B7" w:rsidRDefault="00F30D9D" w:rsidP="00F30D9D">
            <w:pPr>
              <w:pStyle w:val="ONUME"/>
              <w:numPr>
                <w:ilvl w:val="0"/>
                <w:numId w:val="0"/>
              </w:numPr>
              <w:spacing w:before="120" w:after="120"/>
              <w:rPr>
                <w:szCs w:val="22"/>
              </w:rPr>
            </w:pPr>
            <w:r w:rsidRPr="001800B7">
              <w:rPr>
                <w:szCs w:val="22"/>
              </w:rPr>
              <w:t>Les objectifs spécifiques du projet sont les suivants :</w:t>
            </w:r>
          </w:p>
          <w:p w:rsidR="00F30D9D" w:rsidRPr="001800B7" w:rsidRDefault="00F30D9D" w:rsidP="0010628F">
            <w:pPr>
              <w:pStyle w:val="ONUME"/>
              <w:numPr>
                <w:ilvl w:val="0"/>
                <w:numId w:val="29"/>
              </w:numPr>
              <w:spacing w:before="120" w:after="120"/>
              <w:ind w:left="567" w:firstLine="0"/>
              <w:rPr>
                <w:szCs w:val="22"/>
              </w:rPr>
            </w:pPr>
            <w:r w:rsidRPr="001800B7">
              <w:rPr>
                <w:szCs w:val="22"/>
              </w:rPr>
              <w:t>favoriser une utilisation accrue de l</w:t>
            </w:r>
            <w:r w:rsidR="005311D6" w:rsidRPr="001800B7">
              <w:rPr>
                <w:szCs w:val="22"/>
              </w:rPr>
              <w:t>’</w:t>
            </w:r>
            <w:r w:rsidRPr="001800B7">
              <w:rPr>
                <w:szCs w:val="22"/>
              </w:rPr>
              <w:t>information technique et scientifique appropriée pour répondre aux besoins recensés au niveau national en vue de réaliser les objectifs de développement;</w:t>
            </w:r>
          </w:p>
          <w:p w:rsidR="00F30D9D" w:rsidRPr="001800B7" w:rsidRDefault="00F30D9D" w:rsidP="0010628F">
            <w:pPr>
              <w:pStyle w:val="ONUME"/>
              <w:numPr>
                <w:ilvl w:val="0"/>
                <w:numId w:val="29"/>
              </w:numPr>
              <w:spacing w:before="120" w:after="120"/>
              <w:ind w:left="567" w:firstLine="0"/>
              <w:rPr>
                <w:szCs w:val="22"/>
              </w:rPr>
            </w:pPr>
            <w:r w:rsidRPr="001800B7">
              <w:rPr>
                <w:szCs w:val="22"/>
              </w:rPr>
              <w:lastRenderedPageBreak/>
              <w:t>renforcer les capacités des institutions nationales d</w:t>
            </w:r>
            <w:r w:rsidR="005311D6" w:rsidRPr="001800B7">
              <w:rPr>
                <w:szCs w:val="22"/>
              </w:rPr>
              <w:t>’</w:t>
            </w:r>
            <w:r w:rsidRPr="001800B7">
              <w:rPr>
                <w:szCs w:val="22"/>
              </w:rPr>
              <w:t>utiliser l</w:t>
            </w:r>
            <w:r w:rsidR="005311D6" w:rsidRPr="001800B7">
              <w:rPr>
                <w:szCs w:val="22"/>
              </w:rPr>
              <w:t>’</w:t>
            </w:r>
            <w:r w:rsidRPr="001800B7">
              <w:rPr>
                <w:szCs w:val="22"/>
              </w:rPr>
              <w:t>information technique et scientifique pour répondre aux besoins recensés;  et</w:t>
            </w:r>
          </w:p>
          <w:p w:rsidR="00F30D9D" w:rsidRPr="001800B7" w:rsidRDefault="00F30D9D" w:rsidP="0010628F">
            <w:pPr>
              <w:pStyle w:val="ONUME"/>
              <w:numPr>
                <w:ilvl w:val="0"/>
                <w:numId w:val="29"/>
              </w:numPr>
              <w:spacing w:before="120" w:after="120"/>
              <w:ind w:left="567" w:firstLine="0"/>
              <w:rPr>
                <w:rFonts w:eastAsia="Malgun Gothic"/>
                <w:kern w:val="2"/>
                <w:szCs w:val="22"/>
                <w:lang w:eastAsia="ko-KR"/>
              </w:rPr>
            </w:pPr>
            <w:r w:rsidRPr="001800B7">
              <w:rPr>
                <w:rFonts w:eastAsia="Malgun Gothic"/>
                <w:kern w:val="2"/>
                <w:szCs w:val="22"/>
                <w:lang w:eastAsia="ko-KR"/>
              </w:rPr>
              <w:t>coordonner la recherche de l</w:t>
            </w:r>
            <w:r w:rsidR="005311D6" w:rsidRPr="001800B7">
              <w:rPr>
                <w:rFonts w:eastAsia="Malgun Gothic"/>
                <w:kern w:val="2"/>
                <w:szCs w:val="22"/>
                <w:lang w:eastAsia="ko-KR"/>
              </w:rPr>
              <w:t>’</w:t>
            </w:r>
            <w:r w:rsidRPr="001800B7">
              <w:rPr>
                <w:rFonts w:eastAsia="Malgun Gothic"/>
                <w:kern w:val="2"/>
                <w:szCs w:val="22"/>
                <w:lang w:eastAsia="ko-KR"/>
              </w:rPr>
              <w:t>information technique et scientifique appropriée et mettre à la disposition des domaines techniques concernés le savoir</w:t>
            </w:r>
            <w:r w:rsidR="001800B7" w:rsidRPr="001800B7">
              <w:rPr>
                <w:rFonts w:eastAsia="Malgun Gothic"/>
                <w:kern w:val="2"/>
                <w:szCs w:val="22"/>
                <w:lang w:eastAsia="ko-KR"/>
              </w:rPr>
              <w:noBreakHyphen/>
            </w:r>
            <w:r w:rsidRPr="001800B7">
              <w:rPr>
                <w:rFonts w:eastAsia="Malgun Gothic"/>
                <w:kern w:val="2"/>
                <w:szCs w:val="22"/>
                <w:lang w:eastAsia="ko-KR"/>
              </w:rPr>
              <w:t>faire nécessaire pour appliquer ces technologies de manière pratique et efficace.</w:t>
            </w:r>
          </w:p>
          <w:p w:rsidR="00F30D9D" w:rsidRPr="001800B7" w:rsidRDefault="00F30D9D" w:rsidP="00F30D9D">
            <w:pPr>
              <w:pStyle w:val="ONUME"/>
              <w:numPr>
                <w:ilvl w:val="0"/>
                <w:numId w:val="0"/>
              </w:numPr>
              <w:spacing w:before="120" w:after="120"/>
              <w:rPr>
                <w:szCs w:val="22"/>
              </w:rPr>
            </w:pPr>
            <w:r w:rsidRPr="001800B7">
              <w:rPr>
                <w:szCs w:val="22"/>
              </w:rPr>
              <w:t>Comme le présent projet examine les problèmes de développement des pays les moins avancés sur la base de certains domaines où il existe des besoins, en conformité avec le plan de développement national, la stratégie de mise en œuvre tient compte des initiatives déployées par tous les partenaires du projet.  Le projet s</w:t>
            </w:r>
            <w:r w:rsidR="005311D6" w:rsidRPr="001800B7">
              <w:rPr>
                <w:szCs w:val="22"/>
              </w:rPr>
              <w:t>’</w:t>
            </w:r>
            <w:r w:rsidRPr="001800B7">
              <w:rPr>
                <w:szCs w:val="22"/>
              </w:rPr>
              <w:t>efforcera de résoudre le problème de développement, compte tenu du plan de développement national et des valeurs institutionnelles, tout en contribuant à réduire la pauvreté.</w:t>
            </w:r>
          </w:p>
          <w:p w:rsidR="00F30D9D" w:rsidRPr="001800B7" w:rsidRDefault="00F30D9D" w:rsidP="00F30D9D">
            <w:pPr>
              <w:pStyle w:val="ONUME"/>
              <w:numPr>
                <w:ilvl w:val="0"/>
                <w:numId w:val="0"/>
              </w:numPr>
              <w:spacing w:before="120" w:after="120"/>
              <w:rPr>
                <w:szCs w:val="22"/>
              </w:rPr>
            </w:pPr>
            <w:r w:rsidRPr="001800B7">
              <w:rPr>
                <w:szCs w:val="22"/>
              </w:rPr>
              <w:t>Il est proposé une série d</w:t>
            </w:r>
            <w:r w:rsidR="005311D6" w:rsidRPr="001800B7">
              <w:rPr>
                <w:szCs w:val="22"/>
              </w:rPr>
              <w:t>’</w:t>
            </w:r>
            <w:r w:rsidRPr="001800B7">
              <w:rPr>
                <w:szCs w:val="22"/>
              </w:rPr>
              <w:t>étapes pour la mise en œuvre du projet dans le descriptif, qui fait l</w:t>
            </w:r>
            <w:r w:rsidR="005311D6" w:rsidRPr="001800B7">
              <w:rPr>
                <w:szCs w:val="22"/>
              </w:rPr>
              <w:t>’</w:t>
            </w:r>
            <w:r w:rsidRPr="001800B7">
              <w:rPr>
                <w:szCs w:val="22"/>
              </w:rPr>
              <w:t>objet du document CDIP/13/9, que le CDIP a approuvé à sa treizième session, en mai 2014.  Le projet sera mis en œuvre comme suit :</w:t>
            </w:r>
          </w:p>
          <w:p w:rsidR="00F30D9D" w:rsidRPr="001800B7" w:rsidRDefault="00F30D9D" w:rsidP="00F30D9D">
            <w:pPr>
              <w:pStyle w:val="ONUME"/>
              <w:numPr>
                <w:ilvl w:val="0"/>
                <w:numId w:val="0"/>
              </w:numPr>
              <w:spacing w:before="120" w:after="120"/>
              <w:rPr>
                <w:bCs/>
                <w:szCs w:val="22"/>
              </w:rPr>
            </w:pPr>
            <w:r w:rsidRPr="001800B7">
              <w:rPr>
                <w:bCs/>
                <w:szCs w:val="22"/>
              </w:rPr>
              <w:t>1.</w:t>
            </w:r>
            <w:r w:rsidRPr="001800B7">
              <w:rPr>
                <w:bCs/>
                <w:szCs w:val="22"/>
              </w:rPr>
              <w:tab/>
            </w:r>
            <w:r w:rsidRPr="001800B7">
              <w:rPr>
                <w:bCs/>
                <w:szCs w:val="22"/>
                <w:u w:val="single"/>
              </w:rPr>
              <w:t>Candidature</w:t>
            </w:r>
            <w:r w:rsidRPr="001800B7">
              <w:rPr>
                <w:bCs/>
                <w:szCs w:val="22"/>
              </w:rPr>
              <w:t> : un pays parmi les moins avancés prépare une candidature indiquant qu</w:t>
            </w:r>
            <w:r w:rsidR="005311D6" w:rsidRPr="001800B7">
              <w:rPr>
                <w:bCs/>
                <w:szCs w:val="22"/>
              </w:rPr>
              <w:t>’</w:t>
            </w:r>
            <w:r w:rsidRPr="001800B7">
              <w:rPr>
                <w:bCs/>
                <w:szCs w:val="22"/>
              </w:rPr>
              <w:t>il souhaite participer au projet et la soumet au Secrétariat de l</w:t>
            </w:r>
            <w:r w:rsidR="005311D6" w:rsidRPr="001800B7">
              <w:rPr>
                <w:bCs/>
                <w:szCs w:val="22"/>
              </w:rPr>
              <w:t>’</w:t>
            </w:r>
            <w:r w:rsidRPr="001800B7">
              <w:rPr>
                <w:bCs/>
                <w:szCs w:val="22"/>
              </w:rPr>
              <w:t>OMPI.</w:t>
            </w:r>
          </w:p>
          <w:p w:rsidR="00F30D9D" w:rsidRPr="001800B7" w:rsidRDefault="00F30D9D" w:rsidP="00F30D9D">
            <w:pPr>
              <w:pStyle w:val="ONUME"/>
              <w:numPr>
                <w:ilvl w:val="0"/>
                <w:numId w:val="0"/>
              </w:numPr>
              <w:spacing w:before="120" w:after="120"/>
              <w:rPr>
                <w:bCs/>
                <w:szCs w:val="22"/>
              </w:rPr>
            </w:pPr>
            <w:r w:rsidRPr="001800B7">
              <w:rPr>
                <w:bCs/>
                <w:szCs w:val="22"/>
              </w:rPr>
              <w:t>2.</w:t>
            </w:r>
            <w:r w:rsidRPr="001800B7">
              <w:rPr>
                <w:bCs/>
                <w:szCs w:val="22"/>
              </w:rPr>
              <w:tab/>
            </w:r>
            <w:r w:rsidRPr="001800B7">
              <w:rPr>
                <w:bCs/>
                <w:szCs w:val="22"/>
                <w:u w:val="single"/>
              </w:rPr>
              <w:t>Examen de la candidature</w:t>
            </w:r>
            <w:r w:rsidRPr="001800B7">
              <w:rPr>
                <w:bCs/>
                <w:szCs w:val="22"/>
              </w:rPr>
              <w:t> : l</w:t>
            </w:r>
            <w:r w:rsidR="005311D6" w:rsidRPr="001800B7">
              <w:rPr>
                <w:bCs/>
                <w:szCs w:val="22"/>
              </w:rPr>
              <w:t>’</w:t>
            </w:r>
            <w:r w:rsidRPr="001800B7">
              <w:rPr>
                <w:bCs/>
                <w:szCs w:val="22"/>
              </w:rPr>
              <w:t>OMPI examine la candidature et décide ou non de l</w:t>
            </w:r>
            <w:r w:rsidR="005311D6" w:rsidRPr="001800B7">
              <w:rPr>
                <w:bCs/>
                <w:szCs w:val="22"/>
              </w:rPr>
              <w:t>’</w:t>
            </w:r>
            <w:r w:rsidRPr="001800B7">
              <w:rPr>
                <w:bCs/>
                <w:szCs w:val="22"/>
              </w:rPr>
              <w:t>approuver.</w:t>
            </w:r>
            <w:r w:rsidRPr="001800B7">
              <w:rPr>
                <w:szCs w:val="22"/>
              </w:rPr>
              <w:t xml:space="preserve">  </w:t>
            </w:r>
            <w:r w:rsidRPr="001800B7">
              <w:rPr>
                <w:bCs/>
                <w:szCs w:val="22"/>
              </w:rPr>
              <w:t>En cas de refus, l</w:t>
            </w:r>
            <w:r w:rsidR="005311D6" w:rsidRPr="001800B7">
              <w:rPr>
                <w:bCs/>
                <w:szCs w:val="22"/>
              </w:rPr>
              <w:t>’</w:t>
            </w:r>
            <w:r w:rsidRPr="001800B7">
              <w:rPr>
                <w:bCs/>
                <w:szCs w:val="22"/>
              </w:rPr>
              <w:t>OMPI précise les domaines qui devraient être améliorés par le pays concerné.</w:t>
            </w:r>
          </w:p>
          <w:p w:rsidR="00F30D9D" w:rsidRPr="001800B7" w:rsidRDefault="00F30D9D" w:rsidP="00F30D9D">
            <w:pPr>
              <w:pStyle w:val="ONUME"/>
              <w:numPr>
                <w:ilvl w:val="0"/>
                <w:numId w:val="0"/>
              </w:numPr>
              <w:spacing w:before="120" w:after="120"/>
              <w:rPr>
                <w:bCs/>
                <w:szCs w:val="22"/>
              </w:rPr>
            </w:pPr>
            <w:r w:rsidRPr="001800B7">
              <w:rPr>
                <w:bCs/>
                <w:szCs w:val="22"/>
              </w:rPr>
              <w:t>3.</w:t>
            </w:r>
            <w:r w:rsidRPr="001800B7">
              <w:rPr>
                <w:bCs/>
                <w:szCs w:val="22"/>
              </w:rPr>
              <w:tab/>
            </w:r>
            <w:r w:rsidRPr="001800B7">
              <w:rPr>
                <w:bCs/>
                <w:szCs w:val="22"/>
                <w:u w:val="single"/>
              </w:rPr>
              <w:t>Accord de participation</w:t>
            </w:r>
            <w:r w:rsidRPr="001800B7">
              <w:rPr>
                <w:bCs/>
                <w:szCs w:val="22"/>
              </w:rPr>
              <w:t> : si la candidature est acceptée, le pays concerné et l</w:t>
            </w:r>
            <w:r w:rsidR="005311D6" w:rsidRPr="001800B7">
              <w:rPr>
                <w:bCs/>
                <w:szCs w:val="22"/>
              </w:rPr>
              <w:t>’</w:t>
            </w:r>
            <w:r w:rsidRPr="001800B7">
              <w:rPr>
                <w:bCs/>
                <w:szCs w:val="22"/>
              </w:rPr>
              <w:t>OMPI signeront un accord de participation précisant les obligations de chaque partie.</w:t>
            </w:r>
          </w:p>
          <w:p w:rsidR="00F30D9D" w:rsidRPr="001800B7" w:rsidRDefault="00F30D9D" w:rsidP="00F30D9D">
            <w:pPr>
              <w:pStyle w:val="ONUME"/>
              <w:numPr>
                <w:ilvl w:val="0"/>
                <w:numId w:val="0"/>
              </w:numPr>
              <w:spacing w:before="120" w:after="120"/>
              <w:rPr>
                <w:bCs/>
                <w:szCs w:val="22"/>
              </w:rPr>
            </w:pPr>
            <w:r w:rsidRPr="001800B7">
              <w:rPr>
                <w:bCs/>
                <w:szCs w:val="22"/>
              </w:rPr>
              <w:t>4.</w:t>
            </w:r>
            <w:r w:rsidRPr="001800B7">
              <w:rPr>
                <w:bCs/>
                <w:szCs w:val="22"/>
              </w:rPr>
              <w:tab/>
            </w:r>
            <w:r w:rsidRPr="001800B7">
              <w:rPr>
                <w:bCs/>
                <w:szCs w:val="22"/>
                <w:u w:val="single"/>
              </w:rPr>
              <w:t>Création d</w:t>
            </w:r>
            <w:r w:rsidR="005311D6" w:rsidRPr="001800B7">
              <w:rPr>
                <w:bCs/>
                <w:szCs w:val="22"/>
                <w:u w:val="single"/>
              </w:rPr>
              <w:t>’</w:t>
            </w:r>
            <w:r w:rsidRPr="001800B7">
              <w:rPr>
                <w:bCs/>
                <w:szCs w:val="22"/>
                <w:u w:val="single"/>
              </w:rPr>
              <w:t>un groupe d</w:t>
            </w:r>
            <w:r w:rsidR="005311D6" w:rsidRPr="001800B7">
              <w:rPr>
                <w:bCs/>
                <w:szCs w:val="22"/>
                <w:u w:val="single"/>
              </w:rPr>
              <w:t>’</w:t>
            </w:r>
            <w:r w:rsidRPr="001800B7">
              <w:rPr>
                <w:bCs/>
                <w:szCs w:val="22"/>
                <w:u w:val="single"/>
              </w:rPr>
              <w:t>experts nationaux</w:t>
            </w:r>
            <w:r w:rsidRPr="001800B7">
              <w:rPr>
                <w:bCs/>
                <w:szCs w:val="22"/>
              </w:rPr>
              <w:t> : l</w:t>
            </w:r>
            <w:r w:rsidR="005311D6" w:rsidRPr="001800B7">
              <w:rPr>
                <w:bCs/>
                <w:szCs w:val="22"/>
              </w:rPr>
              <w:t>’</w:t>
            </w:r>
            <w:r w:rsidRPr="001800B7">
              <w:rPr>
                <w:bCs/>
                <w:szCs w:val="22"/>
              </w:rPr>
              <w:t>OMPI coordonnera la création d</w:t>
            </w:r>
            <w:r w:rsidR="005311D6" w:rsidRPr="001800B7">
              <w:rPr>
                <w:bCs/>
                <w:szCs w:val="22"/>
              </w:rPr>
              <w:t>’</w:t>
            </w:r>
            <w:r w:rsidRPr="001800B7">
              <w:rPr>
                <w:bCs/>
                <w:szCs w:val="22"/>
              </w:rPr>
              <w:t>un groupe multipartite d</w:t>
            </w:r>
            <w:r w:rsidR="005311D6" w:rsidRPr="001800B7">
              <w:rPr>
                <w:bCs/>
                <w:szCs w:val="22"/>
              </w:rPr>
              <w:t>’</w:t>
            </w:r>
            <w:r w:rsidRPr="001800B7">
              <w:rPr>
                <w:bCs/>
                <w:szCs w:val="22"/>
              </w:rPr>
              <w:t>experts nationaux, composé de représentants du gouvernement, du secteur privé, des secteurs industriels, du milieu universitaire, d</w:t>
            </w:r>
            <w:r w:rsidR="005311D6" w:rsidRPr="001800B7">
              <w:rPr>
                <w:bCs/>
                <w:szCs w:val="22"/>
              </w:rPr>
              <w:t>’</w:t>
            </w:r>
            <w:r w:rsidRPr="001800B7">
              <w:rPr>
                <w:bCs/>
                <w:szCs w:val="22"/>
              </w:rPr>
              <w:t>organisations intergouvernementales compétentes, d</w:t>
            </w:r>
            <w:r w:rsidR="005311D6" w:rsidRPr="001800B7">
              <w:rPr>
                <w:bCs/>
                <w:szCs w:val="22"/>
              </w:rPr>
              <w:t>’</w:t>
            </w:r>
            <w:r w:rsidRPr="001800B7">
              <w:rPr>
                <w:bCs/>
                <w:szCs w:val="22"/>
              </w:rPr>
              <w:t>organisations non gouvernementales, d</w:t>
            </w:r>
            <w:r w:rsidR="005311D6" w:rsidRPr="001800B7">
              <w:rPr>
                <w:bCs/>
                <w:szCs w:val="22"/>
              </w:rPr>
              <w:t>’</w:t>
            </w:r>
            <w:r w:rsidRPr="001800B7">
              <w:rPr>
                <w:bCs/>
                <w:szCs w:val="22"/>
              </w:rPr>
              <w:t>organismes de recherche</w:t>
            </w:r>
            <w:r w:rsidR="001800B7" w:rsidRPr="001800B7">
              <w:rPr>
                <w:bCs/>
                <w:szCs w:val="22"/>
              </w:rPr>
              <w:noBreakHyphen/>
            </w:r>
            <w:r w:rsidRPr="001800B7">
              <w:rPr>
                <w:bCs/>
                <w:szCs w:val="22"/>
              </w:rPr>
              <w:t>développement, afin de coordonner la mise en œuvre du projet.</w:t>
            </w:r>
          </w:p>
          <w:p w:rsidR="00F30D9D" w:rsidRPr="001800B7" w:rsidRDefault="00F30D9D" w:rsidP="00F30D9D">
            <w:pPr>
              <w:pStyle w:val="ONUME"/>
              <w:numPr>
                <w:ilvl w:val="0"/>
                <w:numId w:val="0"/>
              </w:numPr>
              <w:spacing w:before="120" w:after="120"/>
              <w:rPr>
                <w:bCs/>
                <w:szCs w:val="22"/>
              </w:rPr>
            </w:pPr>
            <w:r w:rsidRPr="001800B7">
              <w:rPr>
                <w:bCs/>
                <w:szCs w:val="22"/>
              </w:rPr>
              <w:t>5.</w:t>
            </w:r>
            <w:r w:rsidRPr="001800B7">
              <w:rPr>
                <w:bCs/>
                <w:szCs w:val="22"/>
              </w:rPr>
              <w:tab/>
            </w:r>
            <w:r w:rsidRPr="001800B7">
              <w:rPr>
                <w:bCs/>
                <w:szCs w:val="22"/>
                <w:u w:val="single"/>
              </w:rPr>
              <w:t>Présidence du groupe d</w:t>
            </w:r>
            <w:r w:rsidR="005311D6" w:rsidRPr="001800B7">
              <w:rPr>
                <w:bCs/>
                <w:szCs w:val="22"/>
                <w:u w:val="single"/>
              </w:rPr>
              <w:t>’</w:t>
            </w:r>
            <w:r w:rsidRPr="001800B7">
              <w:rPr>
                <w:bCs/>
                <w:szCs w:val="22"/>
                <w:u w:val="single"/>
              </w:rPr>
              <w:t>experts nationaux</w:t>
            </w:r>
            <w:r w:rsidRPr="001800B7">
              <w:rPr>
                <w:bCs/>
                <w:szCs w:val="22"/>
              </w:rPr>
              <w:t> : nomination du président du groupe multipartite d</w:t>
            </w:r>
            <w:r w:rsidR="005311D6" w:rsidRPr="001800B7">
              <w:rPr>
                <w:bCs/>
                <w:szCs w:val="22"/>
              </w:rPr>
              <w:t>’</w:t>
            </w:r>
            <w:r w:rsidRPr="001800B7">
              <w:rPr>
                <w:bCs/>
                <w:szCs w:val="22"/>
              </w:rPr>
              <w:t>experts nationaux parmi les membres.</w:t>
            </w:r>
          </w:p>
          <w:p w:rsidR="00F30D9D" w:rsidRPr="001800B7" w:rsidRDefault="00F30D9D" w:rsidP="00F30D9D">
            <w:pPr>
              <w:pStyle w:val="ONUME"/>
              <w:numPr>
                <w:ilvl w:val="0"/>
                <w:numId w:val="0"/>
              </w:numPr>
              <w:spacing w:before="120" w:after="120"/>
              <w:rPr>
                <w:bCs/>
                <w:szCs w:val="22"/>
              </w:rPr>
            </w:pPr>
            <w:r w:rsidRPr="001800B7">
              <w:rPr>
                <w:bCs/>
                <w:szCs w:val="22"/>
              </w:rPr>
              <w:t>6.</w:t>
            </w:r>
            <w:r w:rsidRPr="001800B7">
              <w:rPr>
                <w:bCs/>
                <w:szCs w:val="22"/>
              </w:rPr>
              <w:tab/>
            </w:r>
            <w:r w:rsidRPr="001800B7">
              <w:rPr>
                <w:bCs/>
                <w:szCs w:val="22"/>
                <w:u w:val="single"/>
              </w:rPr>
              <w:t>Experts nationaux et internationaux</w:t>
            </w:r>
            <w:r w:rsidRPr="001800B7">
              <w:rPr>
                <w:bCs/>
                <w:szCs w:val="22"/>
              </w:rPr>
              <w:t> : nomination d</w:t>
            </w:r>
            <w:r w:rsidR="005311D6" w:rsidRPr="001800B7">
              <w:rPr>
                <w:bCs/>
                <w:szCs w:val="22"/>
              </w:rPr>
              <w:t>’</w:t>
            </w:r>
            <w:r w:rsidRPr="001800B7">
              <w:rPr>
                <w:bCs/>
                <w:szCs w:val="22"/>
              </w:rPr>
              <w:t>experts nationaux et internationaux qui dirigeront la mise en œuvre du projet au quotidien.</w:t>
            </w:r>
          </w:p>
          <w:p w:rsidR="00F30D9D" w:rsidRPr="001800B7" w:rsidRDefault="00F30D9D" w:rsidP="00F30D9D">
            <w:pPr>
              <w:pStyle w:val="ONUME"/>
              <w:numPr>
                <w:ilvl w:val="0"/>
                <w:numId w:val="0"/>
              </w:numPr>
              <w:spacing w:before="120" w:after="120"/>
              <w:rPr>
                <w:bCs/>
                <w:szCs w:val="22"/>
              </w:rPr>
            </w:pPr>
            <w:r w:rsidRPr="001800B7">
              <w:rPr>
                <w:bCs/>
                <w:szCs w:val="22"/>
              </w:rPr>
              <w:t>7.</w:t>
            </w:r>
            <w:r w:rsidRPr="001800B7">
              <w:rPr>
                <w:bCs/>
                <w:szCs w:val="22"/>
              </w:rPr>
              <w:tab/>
            </w:r>
            <w:r w:rsidRPr="001800B7">
              <w:rPr>
                <w:bCs/>
                <w:szCs w:val="22"/>
                <w:u w:val="single"/>
              </w:rPr>
              <w:t>Domaines où il existe des besoins</w:t>
            </w:r>
            <w:r w:rsidRPr="001800B7">
              <w:rPr>
                <w:bCs/>
                <w:szCs w:val="22"/>
              </w:rPr>
              <w:t> : l</w:t>
            </w:r>
            <w:r w:rsidR="005311D6" w:rsidRPr="001800B7">
              <w:rPr>
                <w:bCs/>
                <w:szCs w:val="22"/>
              </w:rPr>
              <w:t>’</w:t>
            </w:r>
            <w:r w:rsidRPr="001800B7">
              <w:rPr>
                <w:bCs/>
                <w:szCs w:val="22"/>
              </w:rPr>
              <w:t>OMPI aidera chaque groupe d</w:t>
            </w:r>
            <w:r w:rsidR="005311D6" w:rsidRPr="001800B7">
              <w:rPr>
                <w:bCs/>
                <w:szCs w:val="22"/>
              </w:rPr>
              <w:t>’</w:t>
            </w:r>
            <w:r w:rsidRPr="001800B7">
              <w:rPr>
                <w:bCs/>
                <w:szCs w:val="22"/>
              </w:rPr>
              <w:t>experts nationaux à recenser plusieurs domaines où il existe des besoins et à attribuer un rang de priorité à un ou deux de ces domaines.</w:t>
            </w:r>
          </w:p>
          <w:p w:rsidR="00F30D9D" w:rsidRPr="001800B7" w:rsidRDefault="00F30D9D" w:rsidP="00F30D9D">
            <w:pPr>
              <w:pStyle w:val="ONUME"/>
              <w:numPr>
                <w:ilvl w:val="0"/>
                <w:numId w:val="0"/>
              </w:numPr>
              <w:spacing w:before="120" w:after="120"/>
              <w:rPr>
                <w:bCs/>
                <w:szCs w:val="22"/>
              </w:rPr>
            </w:pPr>
            <w:r w:rsidRPr="001800B7">
              <w:rPr>
                <w:bCs/>
                <w:szCs w:val="22"/>
              </w:rPr>
              <w:t>8.</w:t>
            </w:r>
            <w:r w:rsidRPr="001800B7">
              <w:rPr>
                <w:bCs/>
                <w:szCs w:val="22"/>
              </w:rPr>
              <w:tab/>
            </w:r>
            <w:r w:rsidRPr="001800B7">
              <w:rPr>
                <w:bCs/>
                <w:szCs w:val="22"/>
                <w:u w:val="single"/>
              </w:rPr>
              <w:t>Préparation des demandes de recherche</w:t>
            </w:r>
            <w:r w:rsidRPr="001800B7">
              <w:rPr>
                <w:bCs/>
                <w:szCs w:val="22"/>
              </w:rPr>
              <w:t> : élaborer un rapport susceptible de donner des précisions sur la technologie requise.</w:t>
            </w:r>
          </w:p>
          <w:p w:rsidR="00F30D9D" w:rsidRDefault="00F30D9D" w:rsidP="00F30D9D">
            <w:pPr>
              <w:pStyle w:val="ONUME"/>
              <w:numPr>
                <w:ilvl w:val="0"/>
                <w:numId w:val="0"/>
              </w:numPr>
              <w:spacing w:before="120" w:after="120"/>
              <w:rPr>
                <w:bCs/>
                <w:szCs w:val="22"/>
              </w:rPr>
            </w:pPr>
            <w:r w:rsidRPr="001800B7">
              <w:rPr>
                <w:bCs/>
                <w:szCs w:val="22"/>
              </w:rPr>
              <w:t>Il devrait être établi de telle sorte que toute personne lisant la demande puisse fournir les informations pertinentes demandées.</w:t>
            </w:r>
          </w:p>
          <w:p w:rsidR="00F10337" w:rsidRPr="001800B7" w:rsidRDefault="00F10337" w:rsidP="00F30D9D">
            <w:pPr>
              <w:pStyle w:val="ONUME"/>
              <w:numPr>
                <w:ilvl w:val="0"/>
                <w:numId w:val="0"/>
              </w:numPr>
              <w:spacing w:before="120" w:after="120"/>
              <w:rPr>
                <w:bCs/>
                <w:szCs w:val="22"/>
              </w:rPr>
            </w:pPr>
          </w:p>
          <w:p w:rsidR="00F30D9D" w:rsidRPr="001800B7" w:rsidRDefault="00F30D9D" w:rsidP="00F30D9D">
            <w:pPr>
              <w:pStyle w:val="ONUME"/>
              <w:numPr>
                <w:ilvl w:val="0"/>
                <w:numId w:val="0"/>
              </w:numPr>
              <w:spacing w:before="120" w:after="120"/>
              <w:rPr>
                <w:bCs/>
                <w:szCs w:val="22"/>
              </w:rPr>
            </w:pPr>
            <w:r w:rsidRPr="001800B7">
              <w:rPr>
                <w:bCs/>
                <w:szCs w:val="22"/>
              </w:rPr>
              <w:lastRenderedPageBreak/>
              <w:t>9.</w:t>
            </w:r>
            <w:r w:rsidRPr="001800B7">
              <w:rPr>
                <w:bCs/>
                <w:szCs w:val="22"/>
              </w:rPr>
              <w:tab/>
            </w:r>
            <w:r w:rsidRPr="001800B7">
              <w:rPr>
                <w:bCs/>
                <w:szCs w:val="22"/>
                <w:u w:val="single"/>
              </w:rPr>
              <w:t>Élaboration d</w:t>
            </w:r>
            <w:r w:rsidR="005311D6" w:rsidRPr="001800B7">
              <w:rPr>
                <w:bCs/>
                <w:szCs w:val="22"/>
                <w:u w:val="single"/>
              </w:rPr>
              <w:t>’</w:t>
            </w:r>
            <w:r w:rsidRPr="001800B7">
              <w:rPr>
                <w:bCs/>
                <w:szCs w:val="22"/>
                <w:u w:val="single"/>
              </w:rPr>
              <w:t>un rapport de recherche</w:t>
            </w:r>
            <w:r w:rsidRPr="001800B7">
              <w:rPr>
                <w:bCs/>
                <w:szCs w:val="22"/>
              </w:rPr>
              <w:t> : préparer les conclusions de la recherche d</w:t>
            </w:r>
            <w:r w:rsidR="005311D6" w:rsidRPr="001800B7">
              <w:rPr>
                <w:bCs/>
                <w:szCs w:val="22"/>
              </w:rPr>
              <w:t>’</w:t>
            </w:r>
            <w:r w:rsidRPr="001800B7">
              <w:rPr>
                <w:bCs/>
                <w:szCs w:val="22"/>
              </w:rPr>
              <w:t>informations en matière de brevets menée pour un projet déterminé.</w:t>
            </w:r>
          </w:p>
          <w:p w:rsidR="00F30D9D" w:rsidRPr="001800B7" w:rsidRDefault="00F30D9D" w:rsidP="00F30D9D">
            <w:pPr>
              <w:pStyle w:val="ONUME"/>
              <w:numPr>
                <w:ilvl w:val="0"/>
                <w:numId w:val="0"/>
              </w:numPr>
              <w:spacing w:before="120" w:after="120"/>
              <w:rPr>
                <w:bCs/>
                <w:szCs w:val="22"/>
              </w:rPr>
            </w:pPr>
            <w:r w:rsidRPr="001800B7">
              <w:rPr>
                <w:bCs/>
                <w:szCs w:val="22"/>
              </w:rPr>
              <w:t>10.</w:t>
            </w:r>
            <w:r w:rsidRPr="001800B7">
              <w:rPr>
                <w:bCs/>
                <w:szCs w:val="22"/>
              </w:rPr>
              <w:tab/>
            </w:r>
            <w:r w:rsidRPr="001800B7">
              <w:rPr>
                <w:bCs/>
                <w:szCs w:val="22"/>
                <w:u w:val="single"/>
              </w:rPr>
              <w:t>Élaboration d</w:t>
            </w:r>
            <w:r w:rsidR="005311D6" w:rsidRPr="001800B7">
              <w:rPr>
                <w:bCs/>
                <w:szCs w:val="22"/>
                <w:u w:val="single"/>
              </w:rPr>
              <w:t>’</w:t>
            </w:r>
            <w:r w:rsidRPr="001800B7">
              <w:rPr>
                <w:bCs/>
                <w:szCs w:val="22"/>
                <w:u w:val="single"/>
              </w:rPr>
              <w:t>un cahier de charges relatif à un rapport panoramique sur les technologies</w:t>
            </w:r>
            <w:r w:rsidRPr="001800B7">
              <w:rPr>
                <w:bCs/>
                <w:szCs w:val="22"/>
              </w:rPr>
              <w:t> : chaque groupe d</w:t>
            </w:r>
            <w:r w:rsidR="005311D6" w:rsidRPr="001800B7">
              <w:rPr>
                <w:bCs/>
                <w:szCs w:val="22"/>
              </w:rPr>
              <w:t>’</w:t>
            </w:r>
            <w:r w:rsidRPr="001800B7">
              <w:rPr>
                <w:bCs/>
                <w:szCs w:val="22"/>
              </w:rPr>
              <w:t>experts nationaux recevra le soutien de l</w:t>
            </w:r>
            <w:r w:rsidR="005311D6" w:rsidRPr="001800B7">
              <w:rPr>
                <w:bCs/>
                <w:szCs w:val="22"/>
              </w:rPr>
              <w:t>’</w:t>
            </w:r>
            <w:r w:rsidRPr="001800B7">
              <w:rPr>
                <w:bCs/>
                <w:szCs w:val="22"/>
              </w:rPr>
              <w:t>OMPI pour élaborer un cahier des charges relatif à l</w:t>
            </w:r>
            <w:r w:rsidR="005311D6" w:rsidRPr="001800B7">
              <w:rPr>
                <w:bCs/>
                <w:szCs w:val="22"/>
              </w:rPr>
              <w:t>’</w:t>
            </w:r>
            <w:r w:rsidRPr="001800B7">
              <w:rPr>
                <w:bCs/>
                <w:szCs w:val="22"/>
              </w:rPr>
              <w:t>établissement d</w:t>
            </w:r>
            <w:r w:rsidR="005311D6" w:rsidRPr="001800B7">
              <w:rPr>
                <w:bCs/>
                <w:szCs w:val="22"/>
              </w:rPr>
              <w:t>’</w:t>
            </w:r>
            <w:r w:rsidRPr="001800B7">
              <w:rPr>
                <w:bCs/>
                <w:szCs w:val="22"/>
              </w:rPr>
              <w:t>un rapport panoramique sur les technologies appropriées.</w:t>
            </w:r>
          </w:p>
          <w:p w:rsidR="00F30D9D" w:rsidRPr="001800B7" w:rsidRDefault="00F30D9D" w:rsidP="00F30D9D">
            <w:pPr>
              <w:pStyle w:val="ONUME"/>
              <w:numPr>
                <w:ilvl w:val="0"/>
                <w:numId w:val="0"/>
              </w:numPr>
              <w:spacing w:before="120" w:after="120"/>
              <w:rPr>
                <w:bCs/>
                <w:szCs w:val="22"/>
              </w:rPr>
            </w:pPr>
            <w:r w:rsidRPr="001800B7">
              <w:rPr>
                <w:bCs/>
                <w:szCs w:val="22"/>
              </w:rPr>
              <w:t>11.</w:t>
            </w:r>
            <w:r w:rsidRPr="001800B7">
              <w:rPr>
                <w:bCs/>
                <w:szCs w:val="22"/>
              </w:rPr>
              <w:tab/>
            </w:r>
            <w:r w:rsidRPr="001800B7">
              <w:rPr>
                <w:bCs/>
                <w:szCs w:val="22"/>
                <w:u w:val="single"/>
              </w:rPr>
              <w:t>Élaboration d</w:t>
            </w:r>
            <w:r w:rsidR="005311D6" w:rsidRPr="001800B7">
              <w:rPr>
                <w:bCs/>
                <w:szCs w:val="22"/>
                <w:u w:val="single"/>
              </w:rPr>
              <w:t>’</w:t>
            </w:r>
            <w:r w:rsidRPr="001800B7">
              <w:rPr>
                <w:bCs/>
                <w:szCs w:val="22"/>
                <w:u w:val="single"/>
              </w:rPr>
              <w:t>un rapport panoramique sur les technologies</w:t>
            </w:r>
            <w:r w:rsidRPr="001800B7">
              <w:rPr>
                <w:bCs/>
                <w:szCs w:val="22"/>
              </w:rPr>
              <w:t> : élaborer un rapport panoramique sur les technologies en utilisant l</w:t>
            </w:r>
            <w:r w:rsidR="005311D6" w:rsidRPr="001800B7">
              <w:rPr>
                <w:bCs/>
                <w:szCs w:val="22"/>
              </w:rPr>
              <w:t>’</w:t>
            </w:r>
            <w:r w:rsidRPr="001800B7">
              <w:rPr>
                <w:bCs/>
                <w:szCs w:val="22"/>
              </w:rPr>
              <w:t>information en matière de brevets et d</w:t>
            </w:r>
            <w:r w:rsidR="005311D6" w:rsidRPr="001800B7">
              <w:rPr>
                <w:bCs/>
                <w:szCs w:val="22"/>
              </w:rPr>
              <w:t>’</w:t>
            </w:r>
            <w:r w:rsidRPr="001800B7">
              <w:rPr>
                <w:bCs/>
                <w:szCs w:val="22"/>
              </w:rPr>
              <w:t>autres informations scientifiques et techniques présentées dans le rapport de recherche afin de déterminer les technologies les plus appropriées, compte tenu des besoins recensés, et toute autre information obtenue auprès d</w:t>
            </w:r>
            <w:r w:rsidR="005311D6" w:rsidRPr="001800B7">
              <w:rPr>
                <w:bCs/>
                <w:szCs w:val="22"/>
              </w:rPr>
              <w:t>’</w:t>
            </w:r>
            <w:r w:rsidRPr="001800B7">
              <w:rPr>
                <w:bCs/>
                <w:szCs w:val="22"/>
              </w:rPr>
              <w:t>organismes, d</w:t>
            </w:r>
            <w:r w:rsidR="005311D6" w:rsidRPr="001800B7">
              <w:rPr>
                <w:bCs/>
                <w:szCs w:val="22"/>
              </w:rPr>
              <w:t>’</w:t>
            </w:r>
            <w:r w:rsidRPr="001800B7">
              <w:rPr>
                <w:bCs/>
                <w:szCs w:val="22"/>
              </w:rPr>
              <w:t>institutions et d</w:t>
            </w:r>
            <w:r w:rsidR="005311D6" w:rsidRPr="001800B7">
              <w:rPr>
                <w:bCs/>
                <w:szCs w:val="22"/>
              </w:rPr>
              <w:t>’</w:t>
            </w:r>
            <w:r w:rsidRPr="001800B7">
              <w:rPr>
                <w:bCs/>
                <w:szCs w:val="22"/>
              </w:rPr>
              <w:t>administrations œuvrant dans les domaines de développement visés.</w:t>
            </w:r>
          </w:p>
          <w:p w:rsidR="00F30D9D" w:rsidRPr="001800B7" w:rsidRDefault="00F30D9D" w:rsidP="00F30D9D">
            <w:pPr>
              <w:pStyle w:val="ONUME"/>
              <w:numPr>
                <w:ilvl w:val="0"/>
                <w:numId w:val="0"/>
              </w:numPr>
              <w:spacing w:before="120" w:after="120"/>
              <w:rPr>
                <w:bCs/>
                <w:szCs w:val="22"/>
              </w:rPr>
            </w:pPr>
            <w:r w:rsidRPr="001800B7">
              <w:rPr>
                <w:bCs/>
                <w:szCs w:val="22"/>
              </w:rPr>
              <w:t>12.</w:t>
            </w:r>
            <w:r w:rsidRPr="001800B7">
              <w:rPr>
                <w:bCs/>
                <w:szCs w:val="22"/>
              </w:rPr>
              <w:tab/>
            </w:r>
            <w:r w:rsidRPr="001800B7">
              <w:rPr>
                <w:bCs/>
                <w:szCs w:val="22"/>
                <w:u w:val="single"/>
              </w:rPr>
              <w:t>Approbation du rapport panoramique sur les technologies</w:t>
            </w:r>
            <w:r w:rsidRPr="001800B7">
              <w:rPr>
                <w:bCs/>
                <w:szCs w:val="22"/>
              </w:rPr>
              <w:t> : présenter le rapport panoramique sur les technologies établi, et le soumettre à un forum multipartite pour examen et approbation.</w:t>
            </w:r>
          </w:p>
          <w:p w:rsidR="00F30D9D" w:rsidRPr="001800B7" w:rsidRDefault="00F30D9D" w:rsidP="00F30D9D">
            <w:pPr>
              <w:pStyle w:val="ONUME"/>
              <w:numPr>
                <w:ilvl w:val="0"/>
                <w:numId w:val="0"/>
              </w:numPr>
              <w:spacing w:before="120" w:after="120"/>
              <w:rPr>
                <w:bCs/>
                <w:szCs w:val="22"/>
              </w:rPr>
            </w:pPr>
            <w:r w:rsidRPr="001800B7">
              <w:rPr>
                <w:bCs/>
                <w:szCs w:val="22"/>
              </w:rPr>
              <w:t>13.</w:t>
            </w:r>
            <w:r w:rsidRPr="001800B7">
              <w:rPr>
                <w:bCs/>
                <w:szCs w:val="22"/>
              </w:rPr>
              <w:tab/>
            </w:r>
            <w:r w:rsidRPr="001800B7">
              <w:rPr>
                <w:bCs/>
                <w:szCs w:val="22"/>
                <w:u w:val="single"/>
              </w:rPr>
              <w:t>Plan d</w:t>
            </w:r>
            <w:r w:rsidR="005311D6" w:rsidRPr="001800B7">
              <w:rPr>
                <w:bCs/>
                <w:szCs w:val="22"/>
                <w:u w:val="single"/>
              </w:rPr>
              <w:t>’</w:t>
            </w:r>
            <w:r w:rsidRPr="001800B7">
              <w:rPr>
                <w:bCs/>
                <w:szCs w:val="22"/>
                <w:u w:val="single"/>
              </w:rPr>
              <w:t>action</w:t>
            </w:r>
            <w:r w:rsidRPr="001800B7">
              <w:rPr>
                <w:bCs/>
                <w:szCs w:val="22"/>
              </w:rPr>
              <w:t> : élaborer un plan d</w:t>
            </w:r>
            <w:r w:rsidR="005311D6" w:rsidRPr="001800B7">
              <w:rPr>
                <w:bCs/>
                <w:szCs w:val="22"/>
              </w:rPr>
              <w:t>’</w:t>
            </w:r>
            <w:r w:rsidRPr="001800B7">
              <w:rPr>
                <w:bCs/>
                <w:szCs w:val="22"/>
              </w:rPr>
              <w:t>action pour la mise en œuvre des technologies appropriées qui auront été identifiées dans le rapport panoramique sur les technologies et la commercialisation de la technologie.</w:t>
            </w:r>
          </w:p>
          <w:p w:rsidR="00F30D9D" w:rsidRPr="001800B7" w:rsidRDefault="00F30D9D" w:rsidP="00F30D9D">
            <w:pPr>
              <w:pStyle w:val="ONUME"/>
              <w:numPr>
                <w:ilvl w:val="0"/>
                <w:numId w:val="0"/>
              </w:numPr>
              <w:spacing w:before="120" w:after="120"/>
              <w:rPr>
                <w:bCs/>
                <w:szCs w:val="22"/>
              </w:rPr>
            </w:pPr>
            <w:r w:rsidRPr="001800B7">
              <w:rPr>
                <w:bCs/>
                <w:szCs w:val="22"/>
              </w:rPr>
              <w:t>14.</w:t>
            </w:r>
            <w:r w:rsidRPr="001800B7">
              <w:rPr>
                <w:bCs/>
                <w:szCs w:val="22"/>
              </w:rPr>
              <w:tab/>
            </w:r>
            <w:r w:rsidRPr="001800B7">
              <w:rPr>
                <w:bCs/>
                <w:szCs w:val="22"/>
                <w:u w:val="single"/>
              </w:rPr>
              <w:t>Programme de sensibilisation</w:t>
            </w:r>
            <w:r w:rsidRPr="001800B7">
              <w:rPr>
                <w:bCs/>
                <w:szCs w:val="22"/>
              </w:rPr>
              <w:t> : mettre au point et organiser un programme national de sensibilisation dans le cadre du plan d</w:t>
            </w:r>
            <w:r w:rsidR="005311D6" w:rsidRPr="001800B7">
              <w:rPr>
                <w:bCs/>
                <w:szCs w:val="22"/>
              </w:rPr>
              <w:t>’</w:t>
            </w:r>
            <w:r w:rsidRPr="001800B7">
              <w:rPr>
                <w:bCs/>
                <w:szCs w:val="22"/>
              </w:rPr>
              <w:t>action.</w:t>
            </w:r>
          </w:p>
          <w:p w:rsidR="00F30D9D" w:rsidRPr="001800B7" w:rsidRDefault="00F30D9D" w:rsidP="00F30D9D">
            <w:pPr>
              <w:pStyle w:val="ONUME"/>
              <w:numPr>
                <w:ilvl w:val="0"/>
                <w:numId w:val="0"/>
              </w:numPr>
              <w:spacing w:before="120" w:after="120"/>
              <w:rPr>
                <w:rFonts w:eastAsia="Malgun Gothic"/>
                <w:kern w:val="2"/>
                <w:szCs w:val="22"/>
                <w:lang w:eastAsia="ko-KR"/>
              </w:rPr>
            </w:pPr>
            <w:r w:rsidRPr="001800B7">
              <w:rPr>
                <w:bCs/>
                <w:szCs w:val="22"/>
              </w:rPr>
              <w:t>15.</w:t>
            </w:r>
            <w:r w:rsidRPr="001800B7">
              <w:rPr>
                <w:bCs/>
                <w:szCs w:val="22"/>
              </w:rPr>
              <w:tab/>
            </w:r>
            <w:r w:rsidRPr="001800B7">
              <w:rPr>
                <w:bCs/>
                <w:szCs w:val="22"/>
                <w:u w:val="single"/>
              </w:rPr>
              <w:t>Évaluation externe</w:t>
            </w:r>
            <w:r w:rsidRPr="001800B7">
              <w:rPr>
                <w:bCs/>
                <w:szCs w:val="22"/>
              </w:rPr>
              <w:t> : au terme du projet, une évaluation indépendante analysera les réalisations, les enseignements tirés et la durabilité du projet.</w:t>
            </w:r>
          </w:p>
        </w:tc>
      </w:tr>
    </w:tbl>
    <w:p w:rsidR="00F30D9D" w:rsidRPr="001800B7" w:rsidRDefault="00F30D9D" w:rsidP="00F30D9D">
      <w:pPr>
        <w:rPr>
          <w:vanish/>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F30D9D">
        <w:tc>
          <w:tcPr>
            <w:tcW w:w="2235" w:type="dxa"/>
            <w:tcBorders>
              <w:top w:val="single" w:sz="4" w:space="0" w:color="auto"/>
              <w:right w:val="single" w:sz="6" w:space="0" w:color="auto"/>
            </w:tcBorders>
            <w:shd w:val="clear" w:color="auto" w:fill="auto"/>
          </w:tcPr>
          <w:p w:rsidR="00F30D9D" w:rsidRPr="001800B7" w:rsidRDefault="00F30D9D" w:rsidP="00F30D9D">
            <w:pPr>
              <w:spacing w:before="120" w:after="120"/>
              <w:outlineLvl w:val="2"/>
              <w:rPr>
                <w:bCs/>
                <w:szCs w:val="22"/>
                <w:u w:val="single"/>
                <w:lang w:eastAsia="en-US"/>
              </w:rPr>
            </w:pPr>
            <w:r w:rsidRPr="001800B7">
              <w:rPr>
                <w:bCs/>
                <w:szCs w:val="22"/>
                <w:u w:val="single"/>
                <w:lang w:eastAsia="en-US"/>
              </w:rPr>
              <w:t>Chef de projet</w:t>
            </w:r>
          </w:p>
        </w:tc>
        <w:tc>
          <w:tcPr>
            <w:tcW w:w="7266" w:type="dxa"/>
            <w:tcBorders>
              <w:top w:val="single" w:sz="4" w:space="0" w:color="auto"/>
              <w:left w:val="single" w:sz="6" w:space="0" w:color="auto"/>
            </w:tcBorders>
            <w:vAlign w:val="center"/>
          </w:tcPr>
          <w:p w:rsidR="00F30D9D" w:rsidRPr="001800B7" w:rsidRDefault="00F30D9D" w:rsidP="00F30D9D">
            <w:pPr>
              <w:spacing w:before="120" w:after="120"/>
              <w:rPr>
                <w:rFonts w:eastAsia="Times New Roman"/>
                <w:iCs/>
                <w:szCs w:val="22"/>
                <w:lang w:eastAsia="en-US"/>
              </w:rPr>
            </w:pPr>
            <w:r w:rsidRPr="001800B7">
              <w:rPr>
                <w:rFonts w:eastAsia="Times New Roman"/>
                <w:szCs w:val="22"/>
                <w:lang w:eastAsia="en-US"/>
              </w:rPr>
              <w:t xml:space="preserve">M. Alejandro Roca </w:t>
            </w:r>
            <w:proofErr w:type="spellStart"/>
            <w:r w:rsidRPr="001800B7">
              <w:rPr>
                <w:rFonts w:eastAsia="Times New Roman"/>
                <w:szCs w:val="22"/>
                <w:lang w:eastAsia="en-US"/>
              </w:rPr>
              <w:t>Campaña</w:t>
            </w:r>
            <w:proofErr w:type="spellEnd"/>
          </w:p>
        </w:tc>
      </w:tr>
      <w:tr w:rsidR="001800B7" w:rsidRPr="001800B7" w:rsidTr="00F30D9D">
        <w:tc>
          <w:tcPr>
            <w:tcW w:w="2235" w:type="dxa"/>
            <w:shd w:val="clear" w:color="auto" w:fill="auto"/>
          </w:tcPr>
          <w:p w:rsidR="00F30D9D" w:rsidRPr="001800B7" w:rsidDel="00196374" w:rsidRDefault="00F30D9D" w:rsidP="00F30D9D">
            <w:pPr>
              <w:pStyle w:val="Heading3"/>
              <w:keepNext w:val="0"/>
              <w:spacing w:before="120" w:after="120"/>
              <w:rPr>
                <w:szCs w:val="22"/>
              </w:rPr>
            </w:pPr>
            <w:r w:rsidRPr="001800B7">
              <w:rPr>
                <w:szCs w:val="22"/>
              </w:rPr>
              <w:t>Liens avec les résultats escomptés dans le programme et budget pour 2012</w:t>
            </w:r>
            <w:r w:rsidR="001800B7" w:rsidRPr="001800B7">
              <w:rPr>
                <w:szCs w:val="22"/>
              </w:rPr>
              <w:noBreakHyphen/>
            </w:r>
            <w:r w:rsidRPr="001800B7">
              <w:rPr>
                <w:szCs w:val="22"/>
              </w:rPr>
              <w:t>2013</w:t>
            </w:r>
          </w:p>
        </w:tc>
        <w:tc>
          <w:tcPr>
            <w:tcW w:w="7266" w:type="dxa"/>
          </w:tcPr>
          <w:p w:rsidR="00F30D9D" w:rsidRPr="001800B7" w:rsidRDefault="00F30D9D" w:rsidP="00F30D9D">
            <w:pPr>
              <w:spacing w:before="120" w:after="120"/>
              <w:rPr>
                <w:i/>
                <w:szCs w:val="22"/>
              </w:rPr>
            </w:pPr>
            <w:r w:rsidRPr="001800B7">
              <w:rPr>
                <w:i/>
                <w:szCs w:val="22"/>
              </w:rPr>
              <w:t>Objectif stratégique III, programme 9 :</w:t>
            </w:r>
          </w:p>
          <w:p w:rsidR="00F30D9D" w:rsidRPr="001800B7" w:rsidDel="00196374" w:rsidRDefault="00F30D9D" w:rsidP="00F30D9D">
            <w:pPr>
              <w:spacing w:before="120" w:after="120"/>
              <w:rPr>
                <w:iCs/>
                <w:szCs w:val="22"/>
              </w:rPr>
            </w:pPr>
            <w:r w:rsidRPr="001800B7">
              <w:rPr>
                <w:i/>
                <w:iCs/>
                <w:szCs w:val="22"/>
              </w:rPr>
              <w:t>Résultat escompté III.2</w:t>
            </w:r>
            <w:r w:rsidRPr="001800B7">
              <w:rPr>
                <w:iCs/>
                <w:szCs w:val="22"/>
              </w:rPr>
              <w:t> : Renforcement des capacités en matière de ressources humaines pour pouvoir répondre aux nombreuses exigences en ce qui concerne l</w:t>
            </w:r>
            <w:r w:rsidR="005311D6" w:rsidRPr="001800B7">
              <w:rPr>
                <w:iCs/>
                <w:szCs w:val="22"/>
              </w:rPr>
              <w:t>’</w:t>
            </w:r>
            <w:r w:rsidRPr="001800B7">
              <w:rPr>
                <w:iCs/>
                <w:szCs w:val="22"/>
              </w:rPr>
              <w:t>utilisation efficace de la propriété intellectuelle au service du développement dans les pays en développement, les PMA et les pays en transition.</w:t>
            </w:r>
          </w:p>
        </w:tc>
      </w:tr>
      <w:tr w:rsidR="001800B7" w:rsidRPr="001800B7" w:rsidTr="00F30D9D">
        <w:tc>
          <w:tcPr>
            <w:tcW w:w="2235" w:type="dxa"/>
            <w:shd w:val="clear" w:color="auto" w:fill="auto"/>
          </w:tcPr>
          <w:p w:rsidR="00F30D9D" w:rsidRPr="001800B7" w:rsidRDefault="00F30D9D" w:rsidP="00F30D9D">
            <w:pPr>
              <w:pStyle w:val="Heading3"/>
              <w:spacing w:before="120" w:after="120"/>
              <w:rPr>
                <w:szCs w:val="22"/>
              </w:rPr>
            </w:pPr>
            <w:r w:rsidRPr="001800B7">
              <w:rPr>
                <w:szCs w:val="22"/>
              </w:rPr>
              <w:lastRenderedPageBreak/>
              <w:t>État d</w:t>
            </w:r>
            <w:r w:rsidR="005311D6" w:rsidRPr="001800B7">
              <w:rPr>
                <w:szCs w:val="22"/>
              </w:rPr>
              <w:t>’</w:t>
            </w:r>
            <w:r w:rsidRPr="001800B7">
              <w:rPr>
                <w:szCs w:val="22"/>
              </w:rPr>
              <w:t>avancement du projet</w:t>
            </w:r>
          </w:p>
        </w:tc>
        <w:tc>
          <w:tcPr>
            <w:tcW w:w="7266" w:type="dxa"/>
          </w:tcPr>
          <w:p w:rsidR="00F30D9D" w:rsidRPr="001800B7" w:rsidRDefault="00F30D9D" w:rsidP="00F30D9D">
            <w:pPr>
              <w:spacing w:before="120" w:after="120"/>
              <w:rPr>
                <w:szCs w:val="22"/>
              </w:rPr>
            </w:pPr>
            <w:r w:rsidRPr="001800B7">
              <w:rPr>
                <w:szCs w:val="22"/>
              </w:rPr>
              <w:t>Le CDIP a approuvé la phase II du projet à sa treizième session, en mai 2014.  Le processus de consultation pour la mise en œuvre du projet a déjà été lancé avec les pays qui ont fait part de leur intérêt marqué.  Cela étant, la mise en œuvre de la phase II du projet nécessite un engagement des pays bénéficiaires et l</w:t>
            </w:r>
            <w:r w:rsidR="005311D6" w:rsidRPr="001800B7">
              <w:rPr>
                <w:szCs w:val="22"/>
              </w:rPr>
              <w:t>’</w:t>
            </w:r>
            <w:r w:rsidRPr="001800B7">
              <w:rPr>
                <w:szCs w:val="22"/>
              </w:rPr>
              <w:t>exercice de responsabilités supplémentaires par l</w:t>
            </w:r>
            <w:r w:rsidR="005311D6" w:rsidRPr="001800B7">
              <w:rPr>
                <w:szCs w:val="22"/>
              </w:rPr>
              <w:t>’</w:t>
            </w:r>
            <w:r w:rsidRPr="001800B7">
              <w:rPr>
                <w:szCs w:val="22"/>
              </w:rPr>
              <w:t>Organisation.</w:t>
            </w:r>
          </w:p>
          <w:p w:rsidR="00F30D9D" w:rsidRPr="001800B7" w:rsidRDefault="00F30D9D" w:rsidP="00F30D9D">
            <w:pPr>
              <w:spacing w:before="120" w:after="120"/>
              <w:rPr>
                <w:szCs w:val="22"/>
              </w:rPr>
            </w:pPr>
            <w:r w:rsidRPr="001800B7">
              <w:rPr>
                <w:szCs w:val="22"/>
              </w:rPr>
              <w:t>Lors de la phase initiale du projet, il n</w:t>
            </w:r>
            <w:r w:rsidR="005311D6" w:rsidRPr="001800B7">
              <w:rPr>
                <w:szCs w:val="22"/>
              </w:rPr>
              <w:t>’</w:t>
            </w:r>
            <w:r w:rsidRPr="001800B7">
              <w:rPr>
                <w:szCs w:val="22"/>
              </w:rPr>
              <w:t>a été négocié et signé aucun accord ni aucun mémorandum d</w:t>
            </w:r>
            <w:r w:rsidR="005311D6" w:rsidRPr="001800B7">
              <w:rPr>
                <w:szCs w:val="22"/>
              </w:rPr>
              <w:t>’</w:t>
            </w:r>
            <w:r w:rsidRPr="001800B7">
              <w:rPr>
                <w:szCs w:val="22"/>
              </w:rPr>
              <w:t>accord qui aurait clarifié les rôles et responsabilités de chacun des pays bénéficiaires et de l</w:t>
            </w:r>
            <w:r w:rsidR="005311D6" w:rsidRPr="001800B7">
              <w:rPr>
                <w:szCs w:val="22"/>
              </w:rPr>
              <w:t>’</w:t>
            </w:r>
            <w:r w:rsidRPr="001800B7">
              <w:rPr>
                <w:szCs w:val="22"/>
              </w:rPr>
              <w:t>OMPI.  La sélection des pays bénéficiaires doit s</w:t>
            </w:r>
            <w:r w:rsidR="005311D6" w:rsidRPr="001800B7">
              <w:rPr>
                <w:szCs w:val="22"/>
              </w:rPr>
              <w:t>’</w:t>
            </w:r>
            <w:r w:rsidRPr="001800B7">
              <w:rPr>
                <w:szCs w:val="22"/>
              </w:rPr>
              <w:t>appuyer sur les critères de sélection tels que le recensement de certains domaines où il existe des besoins et sur la pertinence de ceux</w:t>
            </w:r>
            <w:r w:rsidR="001800B7" w:rsidRPr="001800B7">
              <w:rPr>
                <w:szCs w:val="22"/>
              </w:rPr>
              <w:noBreakHyphen/>
            </w:r>
            <w:r w:rsidRPr="001800B7">
              <w:rPr>
                <w:szCs w:val="22"/>
              </w:rPr>
              <w:t>ci par rapport au plan national de développement du pays, à l</w:t>
            </w:r>
            <w:r w:rsidR="005311D6" w:rsidRPr="001800B7">
              <w:rPr>
                <w:szCs w:val="22"/>
              </w:rPr>
              <w:t>’</w:t>
            </w:r>
            <w:r w:rsidRPr="001800B7">
              <w:rPr>
                <w:szCs w:val="22"/>
              </w:rPr>
              <w:t>ensemble de priorités en question, à la demande et à la notion de pérennité.</w:t>
            </w:r>
          </w:p>
          <w:p w:rsidR="00F30D9D" w:rsidRPr="001800B7" w:rsidRDefault="00F30D9D" w:rsidP="00F30D9D">
            <w:pPr>
              <w:spacing w:before="120" w:after="120"/>
              <w:rPr>
                <w:szCs w:val="22"/>
              </w:rPr>
            </w:pPr>
            <w:r w:rsidRPr="001800B7">
              <w:rPr>
                <w:szCs w:val="22"/>
              </w:rPr>
              <w:t>La phase II du projet contribue au renforcement des capacités qu</w:t>
            </w:r>
            <w:r w:rsidR="005311D6" w:rsidRPr="001800B7">
              <w:rPr>
                <w:szCs w:val="22"/>
              </w:rPr>
              <w:t>’</w:t>
            </w:r>
            <w:r w:rsidRPr="001800B7">
              <w:rPr>
                <w:szCs w:val="22"/>
              </w:rPr>
              <w:t>ont les pays à utiliser des informations techniques et scientifiques appropriées en tant que technologies appropriées pour répondre aux enjeux de développement qui ont été recensés pour les PMA bénéficiaires, mais elle permet aussi d</w:t>
            </w:r>
            <w:r w:rsidR="005311D6" w:rsidRPr="001800B7">
              <w:rPr>
                <w:szCs w:val="22"/>
              </w:rPr>
              <w:t>’</w:t>
            </w:r>
            <w:r w:rsidRPr="001800B7">
              <w:rPr>
                <w:szCs w:val="22"/>
              </w:rPr>
              <w:t>étudier les pistes pour fournir les technologies appropriées aux personnes et aux communautés, ce qui nécessite un engagement fort des pays bénéficiaires et une coopération avec les organisations régionales, interrégionales et internationales compétentes.</w:t>
            </w:r>
          </w:p>
          <w:p w:rsidR="00F30D9D" w:rsidRPr="001800B7" w:rsidRDefault="00F30D9D" w:rsidP="00F30D9D">
            <w:pPr>
              <w:spacing w:before="120" w:after="120"/>
              <w:rPr>
                <w:szCs w:val="22"/>
              </w:rPr>
            </w:pPr>
            <w:r w:rsidRPr="001800B7">
              <w:rPr>
                <w:szCs w:val="22"/>
              </w:rPr>
              <w:t>La sélection des pays participants suit actuellement son cours conformément au calendrier défini.  Plusieurs pays se sont dits très intéressés par le projet.</w:t>
            </w:r>
          </w:p>
        </w:tc>
      </w:tr>
      <w:tr w:rsidR="001800B7" w:rsidRPr="001800B7" w:rsidTr="00F30D9D">
        <w:tc>
          <w:tcPr>
            <w:tcW w:w="2235" w:type="dxa"/>
            <w:shd w:val="clear" w:color="auto" w:fill="auto"/>
          </w:tcPr>
          <w:p w:rsidR="00F30D9D" w:rsidRPr="001800B7" w:rsidRDefault="00F30D9D" w:rsidP="00F30D9D">
            <w:pPr>
              <w:pStyle w:val="Heading3"/>
              <w:spacing w:before="120" w:after="120"/>
              <w:rPr>
                <w:szCs w:val="22"/>
              </w:rPr>
            </w:pPr>
            <w:r w:rsidRPr="001800B7">
              <w:rPr>
                <w:szCs w:val="22"/>
              </w:rPr>
              <w:t>Exemples de succès ou d</w:t>
            </w:r>
            <w:r w:rsidR="005311D6" w:rsidRPr="001800B7">
              <w:rPr>
                <w:szCs w:val="22"/>
              </w:rPr>
              <w:t>’</w:t>
            </w:r>
            <w:r w:rsidRPr="001800B7">
              <w:rPr>
                <w:szCs w:val="22"/>
              </w:rPr>
              <w:t>effets positifs et principaux enseignements</w:t>
            </w:r>
          </w:p>
        </w:tc>
        <w:tc>
          <w:tcPr>
            <w:tcW w:w="7266" w:type="dxa"/>
          </w:tcPr>
          <w:p w:rsidR="00F30D9D" w:rsidRPr="001800B7" w:rsidRDefault="00F30D9D" w:rsidP="00F30D9D">
            <w:pPr>
              <w:spacing w:before="120" w:after="120"/>
              <w:rPr>
                <w:iCs/>
                <w:szCs w:val="22"/>
              </w:rPr>
            </w:pPr>
            <w:r w:rsidRPr="001800B7">
              <w:rPr>
                <w:iCs/>
                <w:szCs w:val="22"/>
              </w:rPr>
              <w:t>N.D.</w:t>
            </w:r>
          </w:p>
        </w:tc>
      </w:tr>
      <w:tr w:rsidR="001800B7" w:rsidRPr="001800B7" w:rsidTr="00F30D9D">
        <w:tc>
          <w:tcPr>
            <w:tcW w:w="2235" w:type="dxa"/>
            <w:shd w:val="clear" w:color="auto" w:fill="auto"/>
          </w:tcPr>
          <w:p w:rsidR="00F30D9D" w:rsidRPr="001800B7" w:rsidRDefault="00F30D9D" w:rsidP="00F30D9D">
            <w:pPr>
              <w:pStyle w:val="Heading3"/>
              <w:spacing w:before="120" w:after="120"/>
              <w:rPr>
                <w:szCs w:val="22"/>
              </w:rPr>
            </w:pPr>
            <w:r w:rsidRPr="001800B7">
              <w:rPr>
                <w:szCs w:val="22"/>
              </w:rPr>
              <w:t>Risques et atténuation des risques</w:t>
            </w:r>
          </w:p>
        </w:tc>
        <w:tc>
          <w:tcPr>
            <w:tcW w:w="7266" w:type="dxa"/>
          </w:tcPr>
          <w:p w:rsidR="00F30D9D" w:rsidRPr="001800B7" w:rsidRDefault="00F30D9D" w:rsidP="00F30D9D">
            <w:pPr>
              <w:spacing w:before="120" w:after="120"/>
              <w:rPr>
                <w:iCs/>
                <w:szCs w:val="22"/>
              </w:rPr>
            </w:pPr>
            <w:r w:rsidRPr="001800B7">
              <w:rPr>
                <w:bCs/>
                <w:szCs w:val="22"/>
              </w:rPr>
              <w:t>La phase II du projet sur les technologies appropriées pour les pays les moins avancés implique toute une série d</w:t>
            </w:r>
            <w:r w:rsidR="005311D6" w:rsidRPr="001800B7">
              <w:rPr>
                <w:bCs/>
                <w:szCs w:val="22"/>
              </w:rPr>
              <w:t>’</w:t>
            </w:r>
            <w:r w:rsidRPr="001800B7">
              <w:rPr>
                <w:bCs/>
                <w:szCs w:val="22"/>
              </w:rPr>
              <w:t>activités dont le but est de résoudre les problèmes de développement en transférant des technologies appropriées pour répondre aux besoins recensés, dans un délai donné et dans un lieu spécifique.</w:t>
            </w:r>
            <w:r w:rsidRPr="001800B7">
              <w:rPr>
                <w:szCs w:val="22"/>
              </w:rPr>
              <w:t xml:space="preserve">  </w:t>
            </w:r>
            <w:r w:rsidRPr="001800B7">
              <w:rPr>
                <w:bCs/>
                <w:szCs w:val="22"/>
              </w:rPr>
              <w:t>Vu depuis l</w:t>
            </w:r>
            <w:r w:rsidR="005311D6" w:rsidRPr="001800B7">
              <w:rPr>
                <w:bCs/>
                <w:szCs w:val="22"/>
              </w:rPr>
              <w:t>’</w:t>
            </w:r>
            <w:r w:rsidRPr="001800B7">
              <w:rPr>
                <w:bCs/>
                <w:szCs w:val="22"/>
              </w:rPr>
              <w:t>angle de ce programme de partenariat, il s</w:t>
            </w:r>
            <w:r w:rsidR="005311D6" w:rsidRPr="001800B7">
              <w:rPr>
                <w:bCs/>
                <w:szCs w:val="22"/>
              </w:rPr>
              <w:t>’</w:t>
            </w:r>
            <w:r w:rsidRPr="001800B7">
              <w:rPr>
                <w:bCs/>
                <w:szCs w:val="22"/>
              </w:rPr>
              <w:t>agit d</w:t>
            </w:r>
            <w:r w:rsidR="005311D6" w:rsidRPr="001800B7">
              <w:rPr>
                <w:bCs/>
                <w:szCs w:val="22"/>
              </w:rPr>
              <w:t>’</w:t>
            </w:r>
            <w:r w:rsidRPr="001800B7">
              <w:rPr>
                <w:bCs/>
                <w:szCs w:val="22"/>
              </w:rPr>
              <w:t>un investissement dont l</w:t>
            </w:r>
            <w:r w:rsidR="005311D6" w:rsidRPr="001800B7">
              <w:rPr>
                <w:bCs/>
                <w:szCs w:val="22"/>
              </w:rPr>
              <w:t>’</w:t>
            </w:r>
            <w:r w:rsidRPr="001800B7">
              <w:rPr>
                <w:bCs/>
                <w:szCs w:val="22"/>
              </w:rPr>
              <w:t>horizon est le moyen ou long terme.  L</w:t>
            </w:r>
            <w:r w:rsidR="005311D6" w:rsidRPr="001800B7">
              <w:rPr>
                <w:bCs/>
                <w:szCs w:val="22"/>
              </w:rPr>
              <w:t>’</w:t>
            </w:r>
            <w:r w:rsidRPr="001800B7">
              <w:rPr>
                <w:bCs/>
                <w:szCs w:val="22"/>
              </w:rPr>
              <w:t>investissement comprend une aide financière, un calendrier précis et des ressources humaines et matérielles.  Comme le processus engage plusieurs étapes, il nécessite une gestion et un suivi attentifs à chaque étape afin d</w:t>
            </w:r>
            <w:r w:rsidR="005311D6" w:rsidRPr="001800B7">
              <w:rPr>
                <w:bCs/>
                <w:szCs w:val="22"/>
              </w:rPr>
              <w:t>’</w:t>
            </w:r>
            <w:r w:rsidRPr="001800B7">
              <w:rPr>
                <w:bCs/>
                <w:szCs w:val="22"/>
              </w:rPr>
              <w:t>éviter tout risque.</w:t>
            </w:r>
            <w:r w:rsidRPr="001800B7">
              <w:rPr>
                <w:szCs w:val="22"/>
              </w:rPr>
              <w:t xml:space="preserve">  </w:t>
            </w:r>
          </w:p>
        </w:tc>
      </w:tr>
      <w:tr w:rsidR="001800B7" w:rsidRPr="001800B7" w:rsidTr="00F30D9D">
        <w:tc>
          <w:tcPr>
            <w:tcW w:w="2235" w:type="dxa"/>
            <w:shd w:val="clear" w:color="auto" w:fill="auto"/>
          </w:tcPr>
          <w:p w:rsidR="00F30D9D" w:rsidRPr="001800B7" w:rsidRDefault="00F30D9D" w:rsidP="00F30D9D">
            <w:pPr>
              <w:pStyle w:val="Heading3"/>
              <w:spacing w:before="120" w:after="120"/>
              <w:rPr>
                <w:szCs w:val="22"/>
              </w:rPr>
            </w:pPr>
            <w:r w:rsidRPr="001800B7">
              <w:rPr>
                <w:szCs w:val="22"/>
              </w:rPr>
              <w:t>Questions appelant des mesures ou une attention immédiates</w:t>
            </w:r>
          </w:p>
        </w:tc>
        <w:tc>
          <w:tcPr>
            <w:tcW w:w="7266" w:type="dxa"/>
          </w:tcPr>
          <w:p w:rsidR="00F30D9D" w:rsidRPr="001800B7" w:rsidRDefault="00F30D9D" w:rsidP="00F30D9D">
            <w:pPr>
              <w:spacing w:before="120" w:after="120"/>
              <w:rPr>
                <w:iCs/>
                <w:szCs w:val="22"/>
              </w:rPr>
            </w:pPr>
            <w:r w:rsidRPr="001800B7">
              <w:rPr>
                <w:iCs/>
                <w:szCs w:val="22"/>
              </w:rPr>
              <w:t>N.D.</w:t>
            </w:r>
          </w:p>
        </w:tc>
      </w:tr>
      <w:tr w:rsidR="001800B7" w:rsidRPr="001800B7" w:rsidTr="00F30D9D">
        <w:tc>
          <w:tcPr>
            <w:tcW w:w="2235" w:type="dxa"/>
            <w:shd w:val="clear" w:color="auto" w:fill="auto"/>
          </w:tcPr>
          <w:p w:rsidR="00F30D9D" w:rsidRPr="001800B7" w:rsidRDefault="00F30D9D" w:rsidP="00F30D9D">
            <w:pPr>
              <w:pStyle w:val="Heading3"/>
              <w:spacing w:before="120" w:after="120"/>
              <w:rPr>
                <w:szCs w:val="22"/>
              </w:rPr>
            </w:pPr>
            <w:r w:rsidRPr="001800B7">
              <w:rPr>
                <w:szCs w:val="22"/>
              </w:rPr>
              <w:t>Mesures à prendre</w:t>
            </w:r>
          </w:p>
        </w:tc>
        <w:tc>
          <w:tcPr>
            <w:tcW w:w="7266" w:type="dxa"/>
          </w:tcPr>
          <w:p w:rsidR="00F30D9D" w:rsidRPr="001800B7" w:rsidRDefault="00F30D9D" w:rsidP="00F30D9D">
            <w:pPr>
              <w:spacing w:before="120" w:after="120"/>
              <w:rPr>
                <w:iCs/>
                <w:szCs w:val="22"/>
              </w:rPr>
            </w:pPr>
            <w:r w:rsidRPr="001800B7">
              <w:rPr>
                <w:iCs/>
                <w:szCs w:val="22"/>
              </w:rPr>
              <w:t>Le projet sera mis en œuvre conformément au calendrier approuvé.</w:t>
            </w:r>
          </w:p>
        </w:tc>
      </w:tr>
      <w:tr w:rsidR="001800B7" w:rsidRPr="001800B7" w:rsidTr="00F30D9D">
        <w:trPr>
          <w:cantSplit/>
        </w:trPr>
        <w:tc>
          <w:tcPr>
            <w:tcW w:w="2235" w:type="dxa"/>
            <w:shd w:val="clear" w:color="auto" w:fill="auto"/>
          </w:tcPr>
          <w:p w:rsidR="00F30D9D" w:rsidRPr="001800B7" w:rsidRDefault="00F30D9D" w:rsidP="00F30D9D">
            <w:pPr>
              <w:pStyle w:val="Heading3"/>
              <w:spacing w:before="120" w:after="120"/>
              <w:rPr>
                <w:szCs w:val="22"/>
              </w:rPr>
            </w:pPr>
            <w:r w:rsidRPr="001800B7">
              <w:rPr>
                <w:szCs w:val="22"/>
              </w:rPr>
              <w:lastRenderedPageBreak/>
              <w:t>Calendrier d</w:t>
            </w:r>
            <w:r w:rsidR="005311D6" w:rsidRPr="001800B7">
              <w:rPr>
                <w:szCs w:val="22"/>
              </w:rPr>
              <w:t>’</w:t>
            </w:r>
            <w:r w:rsidRPr="001800B7">
              <w:rPr>
                <w:szCs w:val="22"/>
              </w:rPr>
              <w:t>exécution (pour les prochaines étapes susmentionnées)</w:t>
            </w:r>
          </w:p>
        </w:tc>
        <w:tc>
          <w:tcPr>
            <w:tcW w:w="7266" w:type="dxa"/>
          </w:tcPr>
          <w:p w:rsidR="00F30D9D" w:rsidRPr="001800B7" w:rsidRDefault="00F30D9D" w:rsidP="00F30D9D">
            <w:pPr>
              <w:keepNext/>
              <w:spacing w:before="120" w:after="120"/>
              <w:rPr>
                <w:iCs/>
                <w:szCs w:val="22"/>
              </w:rPr>
            </w:pPr>
            <w:r w:rsidRPr="001800B7">
              <w:rPr>
                <w:iCs/>
                <w:szCs w:val="22"/>
              </w:rPr>
              <w:t>Juillet 2014 – juillet 2015</w:t>
            </w:r>
          </w:p>
        </w:tc>
      </w:tr>
      <w:tr w:rsidR="001800B7" w:rsidRPr="001800B7" w:rsidTr="00F30D9D">
        <w:tc>
          <w:tcPr>
            <w:tcW w:w="2235" w:type="dxa"/>
            <w:shd w:val="clear" w:color="auto" w:fill="auto"/>
          </w:tcPr>
          <w:p w:rsidR="00F30D9D" w:rsidRPr="001800B7" w:rsidRDefault="00F30D9D" w:rsidP="00F30D9D">
            <w:pPr>
              <w:pStyle w:val="Heading3"/>
              <w:spacing w:before="120" w:after="120"/>
              <w:rPr>
                <w:szCs w:val="22"/>
              </w:rPr>
            </w:pPr>
            <w:r w:rsidRPr="001800B7">
              <w:rPr>
                <w:szCs w:val="22"/>
              </w:rPr>
              <w:t>Taux d</w:t>
            </w:r>
            <w:r w:rsidR="005311D6" w:rsidRPr="001800B7">
              <w:rPr>
                <w:szCs w:val="22"/>
              </w:rPr>
              <w:t>’</w:t>
            </w:r>
            <w:r w:rsidRPr="001800B7">
              <w:rPr>
                <w:szCs w:val="22"/>
              </w:rPr>
              <w:t xml:space="preserve">exécution du projet </w:t>
            </w:r>
          </w:p>
        </w:tc>
        <w:tc>
          <w:tcPr>
            <w:tcW w:w="7266" w:type="dxa"/>
          </w:tcPr>
          <w:p w:rsidR="00F30D9D" w:rsidRPr="001800B7" w:rsidRDefault="00F30D9D" w:rsidP="00F30D9D">
            <w:pPr>
              <w:spacing w:before="120" w:after="120"/>
              <w:rPr>
                <w:iCs/>
                <w:szCs w:val="22"/>
              </w:rPr>
            </w:pPr>
            <w:r w:rsidRPr="001800B7">
              <w:rPr>
                <w:iCs/>
                <w:szCs w:val="22"/>
              </w:rPr>
              <w:t>N.D.</w:t>
            </w:r>
          </w:p>
        </w:tc>
      </w:tr>
      <w:tr w:rsidR="00F30D9D" w:rsidRPr="001800B7" w:rsidTr="00F30D9D">
        <w:tc>
          <w:tcPr>
            <w:tcW w:w="2235" w:type="dxa"/>
            <w:shd w:val="clear" w:color="auto" w:fill="auto"/>
          </w:tcPr>
          <w:p w:rsidR="00F30D9D" w:rsidRPr="001800B7" w:rsidRDefault="00F30D9D" w:rsidP="00F30D9D">
            <w:pPr>
              <w:pStyle w:val="Heading3"/>
              <w:spacing w:before="120" w:after="120"/>
              <w:rPr>
                <w:szCs w:val="22"/>
              </w:rPr>
            </w:pPr>
            <w:r w:rsidRPr="001800B7">
              <w:rPr>
                <w:szCs w:val="22"/>
              </w:rPr>
              <w:t>Rapports/ documents précédents</w:t>
            </w:r>
          </w:p>
        </w:tc>
        <w:tc>
          <w:tcPr>
            <w:tcW w:w="7266" w:type="dxa"/>
          </w:tcPr>
          <w:p w:rsidR="00F30D9D" w:rsidRPr="001800B7" w:rsidRDefault="00F30D9D" w:rsidP="00F30D9D">
            <w:pPr>
              <w:spacing w:before="120" w:after="120"/>
              <w:rPr>
                <w:iCs/>
                <w:szCs w:val="22"/>
              </w:rPr>
            </w:pPr>
            <w:r w:rsidRPr="001800B7">
              <w:rPr>
                <w:iCs/>
                <w:szCs w:val="22"/>
              </w:rPr>
              <w:t>Le présent rapport est le premier à être soumis au CDIP.</w:t>
            </w:r>
          </w:p>
        </w:tc>
      </w:tr>
    </w:tbl>
    <w:p w:rsidR="00F30D9D" w:rsidRPr="001800B7" w:rsidRDefault="00F30D9D" w:rsidP="00F30D9D">
      <w:pPr>
        <w:rPr>
          <w:szCs w:val="22"/>
        </w:rPr>
      </w:pPr>
    </w:p>
    <w:p w:rsidR="00F30D9D" w:rsidRPr="001800B7" w:rsidRDefault="00F30D9D" w:rsidP="00F30D9D">
      <w:pPr>
        <w:rPr>
          <w:szCs w:val="22"/>
        </w:rPr>
      </w:pPr>
    </w:p>
    <w:p w:rsidR="00F30D9D" w:rsidRPr="001800B7" w:rsidRDefault="00F30D9D" w:rsidP="00F30D9D">
      <w:pPr>
        <w:rPr>
          <w:rFonts w:eastAsia="Times New Roman"/>
          <w:szCs w:val="22"/>
          <w:lang w:eastAsia="en-US"/>
        </w:rPr>
      </w:pPr>
      <w:r w:rsidRPr="001800B7">
        <w:rPr>
          <w:rFonts w:eastAsia="Times New Roman"/>
          <w:szCs w:val="22"/>
          <w:lang w:eastAsia="en-US"/>
        </w:rPr>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F30D9D" w:rsidRPr="001800B7" w:rsidRDefault="00F30D9D" w:rsidP="00F30D9D">
      <w:pPr>
        <w:rPr>
          <w:szCs w:val="22"/>
        </w:rPr>
      </w:pPr>
    </w:p>
    <w:p w:rsidR="00F30D9D" w:rsidRPr="001800B7" w:rsidRDefault="00F30D9D" w:rsidP="00F30D9D">
      <w:pPr>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p w:rsidR="00F30D9D" w:rsidRPr="001800B7" w:rsidRDefault="00F30D9D" w:rsidP="00F30D9D">
      <w:pPr>
        <w:rPr>
          <w:rFonts w:eastAsia="Times New Roman"/>
          <w:szCs w:val="22"/>
          <w:lang w:eastAsia="en-US"/>
        </w:rPr>
      </w:pP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F30D9D">
        <w:trPr>
          <w:cantSplit/>
        </w:trPr>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NE</w:t>
            </w:r>
          </w:p>
        </w:tc>
      </w:tr>
      <w:tr w:rsidR="00F30D9D" w:rsidRPr="001800B7" w:rsidTr="00F30D9D">
        <w:trPr>
          <w:cantSplit/>
        </w:trPr>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F30D9D" w:rsidRPr="001800B7" w:rsidRDefault="00F30D9D" w:rsidP="00F30D9D">
      <w:pPr>
        <w:rPr>
          <w:szCs w:val="22"/>
          <w:lang w:eastAsia="en-US"/>
        </w:rPr>
      </w:pPr>
    </w:p>
    <w:tbl>
      <w:tblPr>
        <w:tblW w:w="94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2694"/>
        <w:gridCol w:w="2976"/>
        <w:gridCol w:w="1455"/>
      </w:tblGrid>
      <w:tr w:rsidR="001800B7" w:rsidRPr="001800B7" w:rsidTr="00F30D9D">
        <w:tc>
          <w:tcPr>
            <w:tcW w:w="2366" w:type="dxa"/>
            <w:shd w:val="clear" w:color="auto" w:fill="auto"/>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Style w:val="FootnoteReference"/>
                <w:rFonts w:eastAsia="Times New Roman"/>
                <w:szCs w:val="22"/>
                <w:lang w:eastAsia="en-US"/>
              </w:rPr>
              <w:footnoteReference w:id="6"/>
            </w:r>
            <w:r w:rsidRPr="001800B7">
              <w:rPr>
                <w:rFonts w:eastAsia="Times New Roman"/>
                <w:szCs w:val="22"/>
                <w:u w:val="single"/>
                <w:lang w:eastAsia="en-US"/>
              </w:rPr>
              <w:br/>
            </w:r>
            <w:r w:rsidRPr="001800B7">
              <w:rPr>
                <w:rFonts w:eastAsia="Times New Roman"/>
                <w:szCs w:val="22"/>
                <w:lang w:eastAsia="en-US"/>
              </w:rPr>
              <w:t>(résultat escompté)</w:t>
            </w:r>
          </w:p>
        </w:tc>
        <w:tc>
          <w:tcPr>
            <w:tcW w:w="2694" w:type="dxa"/>
            <w:shd w:val="clear" w:color="auto" w:fill="auto"/>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6" w:type="dxa"/>
            <w:shd w:val="clear" w:color="auto" w:fill="auto"/>
          </w:tcPr>
          <w:p w:rsidR="00F30D9D" w:rsidRPr="001800B7" w:rsidRDefault="00F30D9D" w:rsidP="00F30D9D">
            <w:pPr>
              <w:keepNext/>
              <w:spacing w:before="120" w:after="120"/>
              <w:jc w:val="center"/>
              <w:outlineLvl w:val="2"/>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55" w:type="dxa"/>
            <w:shd w:val="clear" w:color="auto" w:fill="auto"/>
          </w:tcPr>
          <w:p w:rsidR="00F30D9D" w:rsidRPr="001800B7" w:rsidRDefault="00F30D9D" w:rsidP="00F30D9D">
            <w:pPr>
              <w:keepNext/>
              <w:spacing w:before="120" w:after="120"/>
              <w:jc w:val="center"/>
              <w:outlineLvl w:val="2"/>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F30D9D">
        <w:tc>
          <w:tcPr>
            <w:tcW w:w="2366" w:type="dxa"/>
            <w:shd w:val="clear" w:color="auto" w:fill="auto"/>
          </w:tcPr>
          <w:p w:rsidR="00F30D9D" w:rsidRPr="001800B7" w:rsidRDefault="00F30D9D" w:rsidP="00F30D9D">
            <w:pPr>
              <w:spacing w:before="120" w:after="120"/>
              <w:rPr>
                <w:szCs w:val="22"/>
              </w:rPr>
            </w:pPr>
            <w:r w:rsidRPr="001800B7">
              <w:rPr>
                <w:szCs w:val="22"/>
              </w:rPr>
              <w:t>Groupe d</w:t>
            </w:r>
            <w:r w:rsidR="005311D6" w:rsidRPr="001800B7">
              <w:rPr>
                <w:szCs w:val="22"/>
              </w:rPr>
              <w:t>’</w:t>
            </w:r>
            <w:r w:rsidRPr="001800B7">
              <w:rPr>
                <w:szCs w:val="22"/>
              </w:rPr>
              <w:t xml:space="preserve">experts nationaux </w:t>
            </w:r>
          </w:p>
        </w:tc>
        <w:tc>
          <w:tcPr>
            <w:tcW w:w="2694" w:type="dxa"/>
            <w:shd w:val="clear" w:color="auto" w:fill="auto"/>
          </w:tcPr>
          <w:p w:rsidR="00F30D9D" w:rsidRPr="001800B7" w:rsidRDefault="00F30D9D" w:rsidP="00F30D9D">
            <w:pPr>
              <w:spacing w:before="120" w:after="120"/>
              <w:rPr>
                <w:rFonts w:eastAsia="Malgun Gothic"/>
                <w:kern w:val="2"/>
                <w:szCs w:val="22"/>
                <w:lang w:eastAsia="ko-KR"/>
              </w:rPr>
            </w:pPr>
            <w:r w:rsidRPr="001800B7">
              <w:rPr>
                <w:rFonts w:eastAsia="Malgun Gothic"/>
                <w:kern w:val="2"/>
                <w:szCs w:val="22"/>
                <w:lang w:eastAsia="ko-KR"/>
              </w:rPr>
              <w:t>Groupe d</w:t>
            </w:r>
            <w:r w:rsidR="005311D6" w:rsidRPr="001800B7">
              <w:rPr>
                <w:rFonts w:eastAsia="Malgun Gothic"/>
                <w:kern w:val="2"/>
                <w:szCs w:val="22"/>
                <w:lang w:eastAsia="ko-KR"/>
              </w:rPr>
              <w:t>’</w:t>
            </w:r>
            <w:r w:rsidRPr="001800B7">
              <w:rPr>
                <w:rFonts w:eastAsia="Malgun Gothic"/>
                <w:kern w:val="2"/>
                <w:szCs w:val="22"/>
                <w:lang w:eastAsia="ko-KR"/>
              </w:rPr>
              <w:t>experts établi dans les trois pays sélectionnés dans les 30 jours à compter de la date de début du projet.</w:t>
            </w:r>
          </w:p>
        </w:tc>
        <w:tc>
          <w:tcPr>
            <w:tcW w:w="2976" w:type="dxa"/>
            <w:shd w:val="clear" w:color="auto" w:fill="auto"/>
          </w:tcPr>
          <w:p w:rsidR="00F30D9D" w:rsidRPr="001800B7" w:rsidRDefault="00F30D9D" w:rsidP="00F30D9D">
            <w:pPr>
              <w:spacing w:before="120" w:after="120"/>
              <w:rPr>
                <w:szCs w:val="22"/>
              </w:rPr>
            </w:pPr>
            <w:r w:rsidRPr="001800B7">
              <w:rPr>
                <w:szCs w:val="22"/>
              </w:rPr>
              <w:t>N.D.</w:t>
            </w:r>
          </w:p>
        </w:tc>
        <w:tc>
          <w:tcPr>
            <w:tcW w:w="1455" w:type="dxa"/>
            <w:shd w:val="clear" w:color="auto" w:fill="auto"/>
          </w:tcPr>
          <w:p w:rsidR="00F30D9D" w:rsidRPr="001800B7" w:rsidRDefault="00F30D9D" w:rsidP="00F30D9D">
            <w:pPr>
              <w:spacing w:before="120" w:after="120"/>
              <w:rPr>
                <w:szCs w:val="22"/>
              </w:rPr>
            </w:pPr>
            <w:r w:rsidRPr="001800B7">
              <w:rPr>
                <w:szCs w:val="22"/>
              </w:rPr>
              <w:t>N.D.</w:t>
            </w:r>
          </w:p>
        </w:tc>
      </w:tr>
      <w:tr w:rsidR="001800B7" w:rsidRPr="001800B7" w:rsidTr="00F30D9D">
        <w:tc>
          <w:tcPr>
            <w:tcW w:w="2366" w:type="dxa"/>
            <w:shd w:val="clear" w:color="auto" w:fill="auto"/>
          </w:tcPr>
          <w:p w:rsidR="00F30D9D" w:rsidRPr="001800B7" w:rsidRDefault="00F30D9D" w:rsidP="00F30D9D">
            <w:pPr>
              <w:spacing w:before="120" w:after="120"/>
              <w:rPr>
                <w:szCs w:val="22"/>
              </w:rPr>
            </w:pPr>
            <w:r w:rsidRPr="001800B7">
              <w:rPr>
                <w:szCs w:val="22"/>
              </w:rPr>
              <w:t xml:space="preserve">Rapport panoramique sur les technologies appropriées </w:t>
            </w:r>
          </w:p>
        </w:tc>
        <w:tc>
          <w:tcPr>
            <w:tcW w:w="2694" w:type="dxa"/>
            <w:shd w:val="clear" w:color="auto" w:fill="auto"/>
          </w:tcPr>
          <w:p w:rsidR="00F30D9D" w:rsidRPr="001800B7" w:rsidRDefault="00F30D9D" w:rsidP="00F30D9D">
            <w:pPr>
              <w:spacing w:before="120" w:after="120"/>
              <w:rPr>
                <w:rFonts w:eastAsia="Malgun Gothic"/>
                <w:kern w:val="2"/>
                <w:szCs w:val="22"/>
                <w:lang w:eastAsia="ko-KR"/>
              </w:rPr>
            </w:pPr>
            <w:r w:rsidRPr="001800B7">
              <w:rPr>
                <w:szCs w:val="22"/>
              </w:rPr>
              <w:t>Rapport panoramique sur les technologies appropriées fourni au gouvernement et à l</w:t>
            </w:r>
            <w:r w:rsidR="005311D6" w:rsidRPr="001800B7">
              <w:rPr>
                <w:szCs w:val="22"/>
              </w:rPr>
              <w:t>’</w:t>
            </w:r>
            <w:r w:rsidRPr="001800B7">
              <w:rPr>
                <w:szCs w:val="22"/>
              </w:rPr>
              <w:t>OMPI.</w:t>
            </w:r>
          </w:p>
        </w:tc>
        <w:tc>
          <w:tcPr>
            <w:tcW w:w="2976" w:type="dxa"/>
            <w:shd w:val="clear" w:color="auto" w:fill="auto"/>
          </w:tcPr>
          <w:p w:rsidR="00F30D9D" w:rsidRPr="001800B7" w:rsidRDefault="00F30D9D" w:rsidP="00F30D9D">
            <w:pPr>
              <w:spacing w:before="120" w:after="120"/>
              <w:rPr>
                <w:szCs w:val="22"/>
              </w:rPr>
            </w:pPr>
            <w:r w:rsidRPr="001800B7">
              <w:rPr>
                <w:szCs w:val="22"/>
              </w:rPr>
              <w:t>N.D.</w:t>
            </w:r>
          </w:p>
        </w:tc>
        <w:tc>
          <w:tcPr>
            <w:tcW w:w="1455" w:type="dxa"/>
            <w:shd w:val="clear" w:color="auto" w:fill="auto"/>
          </w:tcPr>
          <w:p w:rsidR="00F30D9D" w:rsidRPr="001800B7" w:rsidRDefault="00F30D9D" w:rsidP="00F30D9D">
            <w:pPr>
              <w:spacing w:before="120" w:after="120"/>
              <w:rPr>
                <w:szCs w:val="22"/>
              </w:rPr>
            </w:pPr>
            <w:r w:rsidRPr="001800B7">
              <w:rPr>
                <w:szCs w:val="22"/>
              </w:rPr>
              <w:t>N.D.</w:t>
            </w:r>
          </w:p>
        </w:tc>
      </w:tr>
      <w:tr w:rsidR="001800B7" w:rsidRPr="001800B7" w:rsidTr="00F30D9D">
        <w:tc>
          <w:tcPr>
            <w:tcW w:w="2366" w:type="dxa"/>
            <w:shd w:val="clear" w:color="auto" w:fill="auto"/>
          </w:tcPr>
          <w:p w:rsidR="00F30D9D" w:rsidRPr="001800B7" w:rsidRDefault="00F30D9D" w:rsidP="00F30D9D">
            <w:pPr>
              <w:spacing w:before="120" w:after="120"/>
              <w:rPr>
                <w:szCs w:val="22"/>
              </w:rPr>
            </w:pPr>
            <w:r w:rsidRPr="001800B7">
              <w:rPr>
                <w:szCs w:val="22"/>
              </w:rPr>
              <w:t>Plan d</w:t>
            </w:r>
            <w:r w:rsidR="005311D6" w:rsidRPr="001800B7">
              <w:rPr>
                <w:szCs w:val="22"/>
              </w:rPr>
              <w:t>’</w:t>
            </w:r>
            <w:r w:rsidRPr="001800B7">
              <w:rPr>
                <w:szCs w:val="22"/>
              </w:rPr>
              <w:t>action pour mettre en œuvre les technologies appropriées sélectionnées</w:t>
            </w:r>
          </w:p>
        </w:tc>
        <w:tc>
          <w:tcPr>
            <w:tcW w:w="2694" w:type="dxa"/>
            <w:shd w:val="clear" w:color="auto" w:fill="auto"/>
          </w:tcPr>
          <w:p w:rsidR="00F30D9D" w:rsidRPr="001800B7" w:rsidRDefault="00F30D9D" w:rsidP="00F30D9D">
            <w:pPr>
              <w:spacing w:before="120" w:after="120"/>
              <w:rPr>
                <w:szCs w:val="22"/>
              </w:rPr>
            </w:pPr>
            <w:r w:rsidRPr="001800B7">
              <w:rPr>
                <w:szCs w:val="22"/>
              </w:rPr>
              <w:t>Une ou plusieurs technologies appropriées ont été sélectionnées pour être mises en œuvre et un plan d</w:t>
            </w:r>
            <w:r w:rsidR="005311D6" w:rsidRPr="001800B7">
              <w:rPr>
                <w:szCs w:val="22"/>
              </w:rPr>
              <w:t>’</w:t>
            </w:r>
            <w:r w:rsidRPr="001800B7">
              <w:rPr>
                <w:szCs w:val="22"/>
              </w:rPr>
              <w:t>action a été établi pour mettre en œuvre concrètement le projet dans les six mois à compter du début du projet.</w:t>
            </w:r>
          </w:p>
          <w:p w:rsidR="00F30D9D" w:rsidRPr="001800B7" w:rsidRDefault="00F30D9D" w:rsidP="00F30D9D">
            <w:pPr>
              <w:spacing w:before="120" w:after="120"/>
              <w:rPr>
                <w:rFonts w:eastAsia="Malgun Gothic"/>
                <w:kern w:val="2"/>
                <w:szCs w:val="22"/>
                <w:lang w:eastAsia="ko-KR"/>
              </w:rPr>
            </w:pPr>
            <w:r w:rsidRPr="001800B7">
              <w:rPr>
                <w:szCs w:val="22"/>
              </w:rPr>
              <w:lastRenderedPageBreak/>
              <w:t>Plans d</w:t>
            </w:r>
            <w:r w:rsidR="005311D6" w:rsidRPr="001800B7">
              <w:rPr>
                <w:szCs w:val="22"/>
              </w:rPr>
              <w:t>’</w:t>
            </w:r>
            <w:r w:rsidRPr="001800B7">
              <w:rPr>
                <w:szCs w:val="22"/>
              </w:rPr>
              <w:t>action mis en œuvre.</w:t>
            </w:r>
          </w:p>
        </w:tc>
        <w:tc>
          <w:tcPr>
            <w:tcW w:w="2976" w:type="dxa"/>
            <w:shd w:val="clear" w:color="auto" w:fill="auto"/>
          </w:tcPr>
          <w:p w:rsidR="00F30D9D" w:rsidRPr="001800B7" w:rsidRDefault="00F30D9D" w:rsidP="00F30D9D">
            <w:pPr>
              <w:spacing w:before="120" w:after="120"/>
              <w:rPr>
                <w:szCs w:val="22"/>
              </w:rPr>
            </w:pPr>
            <w:r w:rsidRPr="001800B7">
              <w:rPr>
                <w:szCs w:val="22"/>
              </w:rPr>
              <w:lastRenderedPageBreak/>
              <w:t>N.D.</w:t>
            </w:r>
          </w:p>
        </w:tc>
        <w:tc>
          <w:tcPr>
            <w:tcW w:w="1455" w:type="dxa"/>
            <w:shd w:val="clear" w:color="auto" w:fill="auto"/>
          </w:tcPr>
          <w:p w:rsidR="00F30D9D" w:rsidRPr="001800B7" w:rsidRDefault="00F30D9D" w:rsidP="00F30D9D">
            <w:pPr>
              <w:spacing w:before="120" w:after="120"/>
              <w:rPr>
                <w:szCs w:val="22"/>
              </w:rPr>
            </w:pPr>
          </w:p>
          <w:p w:rsidR="00F30D9D" w:rsidRPr="001800B7" w:rsidRDefault="00F30D9D" w:rsidP="00F30D9D">
            <w:pPr>
              <w:spacing w:before="120" w:after="120"/>
              <w:rPr>
                <w:szCs w:val="22"/>
              </w:rPr>
            </w:pPr>
            <w:r w:rsidRPr="001800B7">
              <w:rPr>
                <w:szCs w:val="22"/>
              </w:rPr>
              <w:t>N.D.</w:t>
            </w:r>
          </w:p>
        </w:tc>
      </w:tr>
      <w:tr w:rsidR="001800B7" w:rsidRPr="001800B7" w:rsidTr="00F30D9D">
        <w:tc>
          <w:tcPr>
            <w:tcW w:w="2366" w:type="dxa"/>
            <w:shd w:val="clear" w:color="auto" w:fill="auto"/>
          </w:tcPr>
          <w:p w:rsidR="00F30D9D" w:rsidRPr="001800B7" w:rsidRDefault="00F30D9D" w:rsidP="00F30D9D">
            <w:pPr>
              <w:spacing w:before="120" w:after="120"/>
              <w:rPr>
                <w:rFonts w:eastAsia="Malgun Gothic"/>
                <w:kern w:val="2"/>
                <w:szCs w:val="22"/>
                <w:lang w:eastAsia="ko-KR"/>
              </w:rPr>
            </w:pPr>
            <w:r w:rsidRPr="001800B7">
              <w:rPr>
                <w:rFonts w:eastAsia="Malgun Gothic"/>
                <w:kern w:val="2"/>
                <w:szCs w:val="22"/>
                <w:lang w:eastAsia="ko-KR"/>
              </w:rPr>
              <w:lastRenderedPageBreak/>
              <w:t>Programme de sensibilisation</w:t>
            </w:r>
          </w:p>
        </w:tc>
        <w:tc>
          <w:tcPr>
            <w:tcW w:w="2694" w:type="dxa"/>
            <w:shd w:val="clear" w:color="auto" w:fill="auto"/>
          </w:tcPr>
          <w:p w:rsidR="00F30D9D" w:rsidRPr="001800B7" w:rsidRDefault="00F30D9D" w:rsidP="00F30D9D">
            <w:pPr>
              <w:spacing w:before="120" w:after="120"/>
              <w:rPr>
                <w:szCs w:val="22"/>
              </w:rPr>
            </w:pPr>
            <w:r w:rsidRPr="001800B7">
              <w:rPr>
                <w:szCs w:val="22"/>
              </w:rPr>
              <w:t>Programme de sensibilisation axé sur les secteurs concernés terminé dans un délai de 24 mois à compter du début du projet.</w:t>
            </w:r>
          </w:p>
        </w:tc>
        <w:tc>
          <w:tcPr>
            <w:tcW w:w="2976" w:type="dxa"/>
            <w:shd w:val="clear" w:color="auto" w:fill="auto"/>
          </w:tcPr>
          <w:p w:rsidR="00F30D9D" w:rsidRPr="001800B7" w:rsidRDefault="00F30D9D" w:rsidP="00F30D9D">
            <w:pPr>
              <w:spacing w:before="120" w:after="120"/>
              <w:rPr>
                <w:szCs w:val="22"/>
              </w:rPr>
            </w:pPr>
            <w:r w:rsidRPr="001800B7">
              <w:rPr>
                <w:szCs w:val="22"/>
              </w:rPr>
              <w:t>N.D.</w:t>
            </w:r>
          </w:p>
        </w:tc>
        <w:tc>
          <w:tcPr>
            <w:tcW w:w="1455" w:type="dxa"/>
            <w:shd w:val="clear" w:color="auto" w:fill="auto"/>
          </w:tcPr>
          <w:p w:rsidR="00F30D9D" w:rsidRPr="001800B7" w:rsidRDefault="00F30D9D" w:rsidP="00F30D9D">
            <w:pPr>
              <w:spacing w:before="120" w:after="120"/>
              <w:rPr>
                <w:szCs w:val="22"/>
              </w:rPr>
            </w:pPr>
            <w:r w:rsidRPr="001800B7">
              <w:rPr>
                <w:szCs w:val="22"/>
              </w:rPr>
              <w:t>N.D.</w:t>
            </w:r>
          </w:p>
        </w:tc>
      </w:tr>
    </w:tbl>
    <w:p w:rsidR="00F30D9D" w:rsidRPr="001800B7" w:rsidRDefault="00F30D9D" w:rsidP="00F30D9D">
      <w:pPr>
        <w:rPr>
          <w:szCs w:val="22"/>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6"/>
        <w:gridCol w:w="2688"/>
        <w:gridCol w:w="6"/>
        <w:gridCol w:w="2975"/>
        <w:gridCol w:w="1456"/>
      </w:tblGrid>
      <w:tr w:rsidR="001800B7" w:rsidRPr="001800B7" w:rsidTr="00F30D9D">
        <w:trPr>
          <w:cantSplit/>
        </w:trPr>
        <w:tc>
          <w:tcPr>
            <w:tcW w:w="2366" w:type="dxa"/>
            <w:shd w:val="clear" w:color="auto" w:fill="auto"/>
            <w:vAlign w:val="center"/>
          </w:tcPr>
          <w:p w:rsidR="00F30D9D" w:rsidRPr="001800B7" w:rsidRDefault="00F30D9D" w:rsidP="00F30D9D">
            <w:pPr>
              <w:keepNext/>
              <w:spacing w:before="120" w:after="120"/>
              <w:jc w:val="center"/>
              <w:rPr>
                <w:szCs w:val="22"/>
                <w:u w:val="single"/>
              </w:rPr>
            </w:pPr>
            <w:r w:rsidRPr="001800B7">
              <w:rPr>
                <w:szCs w:val="22"/>
                <w:u w:val="single"/>
              </w:rPr>
              <w:t xml:space="preserve">Objectifs </w:t>
            </w:r>
            <w:r w:rsidRPr="001800B7">
              <w:rPr>
                <w:szCs w:val="22"/>
                <w:u w:val="single"/>
              </w:rPr>
              <w:br/>
              <w:t>du projet</w:t>
            </w:r>
          </w:p>
        </w:tc>
        <w:tc>
          <w:tcPr>
            <w:tcW w:w="2694" w:type="dxa"/>
            <w:gridSpan w:val="2"/>
            <w:shd w:val="clear" w:color="auto" w:fill="auto"/>
            <w:vAlign w:val="center"/>
          </w:tcPr>
          <w:p w:rsidR="00F30D9D" w:rsidRPr="001800B7" w:rsidRDefault="00F30D9D" w:rsidP="00F30D9D">
            <w:pPr>
              <w:keepNext/>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shd w:val="clear" w:color="auto" w:fill="auto"/>
            <w:vAlign w:val="center"/>
          </w:tcPr>
          <w:p w:rsidR="00F30D9D" w:rsidRPr="001800B7" w:rsidRDefault="00F30D9D" w:rsidP="00F30D9D">
            <w:pPr>
              <w:keepNext/>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shd w:val="clear" w:color="auto" w:fill="auto"/>
            <w:vAlign w:val="center"/>
          </w:tcPr>
          <w:p w:rsidR="00F30D9D" w:rsidRPr="001800B7" w:rsidRDefault="00F30D9D" w:rsidP="00F30D9D">
            <w:pPr>
              <w:keepNext/>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F3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6" w:type="dxa"/>
            <w:shd w:val="clear" w:color="auto" w:fill="auto"/>
          </w:tcPr>
          <w:p w:rsidR="00F30D9D" w:rsidRPr="001800B7" w:rsidRDefault="00F30D9D" w:rsidP="00F30D9D">
            <w:pPr>
              <w:spacing w:before="120" w:after="120"/>
              <w:rPr>
                <w:bCs/>
                <w:szCs w:val="22"/>
              </w:rPr>
            </w:pPr>
            <w:r w:rsidRPr="001800B7">
              <w:rPr>
                <w:szCs w:val="22"/>
              </w:rPr>
              <w:t>Renforcement des capacités nationales des pays les moins avancés d</w:t>
            </w:r>
            <w:r w:rsidR="005311D6" w:rsidRPr="001800B7">
              <w:rPr>
                <w:szCs w:val="22"/>
              </w:rPr>
              <w:t>’</w:t>
            </w:r>
            <w:r w:rsidRPr="001800B7">
              <w:rPr>
                <w:szCs w:val="22"/>
              </w:rPr>
              <w:t>utiliser des solutions techniques appropriées pour répondre aux principaux enjeux de développement au niveau national</w:t>
            </w:r>
          </w:p>
        </w:tc>
        <w:tc>
          <w:tcPr>
            <w:tcW w:w="2688" w:type="dxa"/>
            <w:shd w:val="clear" w:color="auto" w:fill="auto"/>
          </w:tcPr>
          <w:p w:rsidR="00F30D9D" w:rsidRPr="001800B7" w:rsidRDefault="00F30D9D" w:rsidP="0010628F">
            <w:pPr>
              <w:numPr>
                <w:ilvl w:val="0"/>
                <w:numId w:val="27"/>
              </w:numPr>
              <w:tabs>
                <w:tab w:val="left" w:pos="425"/>
              </w:tabs>
              <w:spacing w:before="120" w:after="120"/>
              <w:ind w:left="-12" w:firstLine="12"/>
              <w:rPr>
                <w:szCs w:val="22"/>
              </w:rPr>
            </w:pPr>
            <w:r w:rsidRPr="001800B7">
              <w:rPr>
                <w:szCs w:val="22"/>
              </w:rPr>
              <w:t>Les personnes qui ont reçu une formation utilisent les compétences et les connaissances acquises;</w:t>
            </w:r>
          </w:p>
          <w:p w:rsidR="00F30D9D" w:rsidRPr="001800B7" w:rsidRDefault="00F30D9D" w:rsidP="0010628F">
            <w:pPr>
              <w:numPr>
                <w:ilvl w:val="0"/>
                <w:numId w:val="27"/>
              </w:numPr>
              <w:tabs>
                <w:tab w:val="left" w:pos="470"/>
              </w:tabs>
              <w:spacing w:before="120" w:after="120"/>
              <w:ind w:left="-12" w:firstLine="12"/>
              <w:rPr>
                <w:szCs w:val="22"/>
              </w:rPr>
            </w:pPr>
            <w:r w:rsidRPr="001800B7">
              <w:rPr>
                <w:szCs w:val="22"/>
              </w:rPr>
              <w:t>Les programmes nationaux de renforcement des capacités continuent d</w:t>
            </w:r>
            <w:r w:rsidR="005311D6" w:rsidRPr="001800B7">
              <w:rPr>
                <w:szCs w:val="22"/>
              </w:rPr>
              <w:t>’</w:t>
            </w:r>
            <w:r w:rsidRPr="001800B7">
              <w:rPr>
                <w:szCs w:val="22"/>
              </w:rPr>
              <w:t>être mis en œuvre et développés grâce à l</w:t>
            </w:r>
            <w:r w:rsidR="005311D6" w:rsidRPr="001800B7">
              <w:rPr>
                <w:szCs w:val="22"/>
              </w:rPr>
              <w:t>’</w:t>
            </w:r>
            <w:r w:rsidRPr="001800B7">
              <w:rPr>
                <w:szCs w:val="22"/>
              </w:rPr>
              <w:t>appui du gouvernement et d</w:t>
            </w:r>
            <w:r w:rsidR="005311D6" w:rsidRPr="001800B7">
              <w:rPr>
                <w:szCs w:val="22"/>
              </w:rPr>
              <w:t>’</w:t>
            </w:r>
            <w:r w:rsidRPr="001800B7">
              <w:rPr>
                <w:szCs w:val="22"/>
              </w:rPr>
              <w:t>autres parties prenantes nationales;</w:t>
            </w:r>
          </w:p>
          <w:p w:rsidR="00F30D9D" w:rsidRPr="001800B7" w:rsidRDefault="00F30D9D" w:rsidP="0010628F">
            <w:pPr>
              <w:numPr>
                <w:ilvl w:val="0"/>
                <w:numId w:val="27"/>
              </w:numPr>
              <w:tabs>
                <w:tab w:val="left" w:pos="470"/>
              </w:tabs>
              <w:spacing w:before="120" w:after="120"/>
              <w:ind w:left="-12" w:firstLine="12"/>
              <w:rPr>
                <w:szCs w:val="22"/>
              </w:rPr>
            </w:pPr>
            <w:r w:rsidRPr="001800B7">
              <w:rPr>
                <w:szCs w:val="22"/>
              </w:rPr>
              <w:t>Des institutions ont été établies afin de poursuivre les travaux sur les technologies appropriées;  et</w:t>
            </w:r>
          </w:p>
          <w:p w:rsidR="00F30D9D" w:rsidRPr="001800B7" w:rsidRDefault="00F30D9D" w:rsidP="0010628F">
            <w:pPr>
              <w:numPr>
                <w:ilvl w:val="0"/>
                <w:numId w:val="27"/>
              </w:numPr>
              <w:tabs>
                <w:tab w:val="left" w:pos="425"/>
              </w:tabs>
              <w:spacing w:before="120" w:after="120"/>
              <w:ind w:left="-12" w:firstLine="12"/>
              <w:rPr>
                <w:szCs w:val="22"/>
              </w:rPr>
            </w:pPr>
            <w:r w:rsidRPr="001800B7">
              <w:rPr>
                <w:szCs w:val="22"/>
              </w:rPr>
              <w:t>Le groupe d</w:t>
            </w:r>
            <w:r w:rsidR="005311D6" w:rsidRPr="001800B7">
              <w:rPr>
                <w:szCs w:val="22"/>
              </w:rPr>
              <w:t>’</w:t>
            </w:r>
            <w:r w:rsidRPr="001800B7">
              <w:rPr>
                <w:szCs w:val="22"/>
              </w:rPr>
              <w:t>experts nationaux est devenu une instance permanente afin de promouvoir les activités concernant les technologies appropriées.</w:t>
            </w:r>
          </w:p>
        </w:tc>
        <w:tc>
          <w:tcPr>
            <w:tcW w:w="2981" w:type="dxa"/>
            <w:gridSpan w:val="2"/>
            <w:shd w:val="clear" w:color="auto" w:fill="auto"/>
          </w:tcPr>
          <w:p w:rsidR="00F30D9D" w:rsidRPr="001800B7" w:rsidRDefault="00F30D9D" w:rsidP="00F30D9D">
            <w:pPr>
              <w:spacing w:before="120" w:after="120"/>
              <w:rPr>
                <w:szCs w:val="22"/>
              </w:rPr>
            </w:pPr>
            <w:r w:rsidRPr="001800B7">
              <w:rPr>
                <w:szCs w:val="22"/>
              </w:rPr>
              <w:t>N.D.</w:t>
            </w:r>
          </w:p>
        </w:tc>
        <w:tc>
          <w:tcPr>
            <w:tcW w:w="1456" w:type="dxa"/>
            <w:shd w:val="clear" w:color="auto" w:fill="auto"/>
          </w:tcPr>
          <w:p w:rsidR="00F30D9D" w:rsidRPr="001800B7" w:rsidRDefault="00F30D9D" w:rsidP="00F30D9D">
            <w:pPr>
              <w:spacing w:before="120" w:after="120"/>
              <w:rPr>
                <w:szCs w:val="22"/>
              </w:rPr>
            </w:pPr>
            <w:r w:rsidRPr="001800B7">
              <w:rPr>
                <w:szCs w:val="22"/>
              </w:rPr>
              <w:t>N.D.</w:t>
            </w:r>
          </w:p>
        </w:tc>
      </w:tr>
      <w:tr w:rsidR="001800B7" w:rsidRPr="001800B7" w:rsidTr="00F3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6" w:type="dxa"/>
            <w:shd w:val="clear" w:color="auto" w:fill="auto"/>
          </w:tcPr>
          <w:p w:rsidR="00F30D9D" w:rsidRPr="001800B7" w:rsidRDefault="00F30D9D" w:rsidP="00F30D9D">
            <w:pPr>
              <w:spacing w:before="120" w:after="120"/>
              <w:rPr>
                <w:rFonts w:eastAsia="Malgun Gothic"/>
                <w:bCs/>
                <w:kern w:val="2"/>
                <w:szCs w:val="22"/>
                <w:lang w:eastAsia="ko-KR"/>
              </w:rPr>
            </w:pPr>
            <w:r w:rsidRPr="001800B7">
              <w:rPr>
                <w:rFonts w:eastAsia="Malgun Gothic"/>
                <w:bCs/>
                <w:kern w:val="2"/>
                <w:szCs w:val="22"/>
                <w:lang w:eastAsia="ko-KR"/>
              </w:rPr>
              <w:lastRenderedPageBreak/>
              <w:t>Compréhension accrue concernant l</w:t>
            </w:r>
            <w:r w:rsidR="005311D6" w:rsidRPr="001800B7">
              <w:rPr>
                <w:rFonts w:eastAsia="Malgun Gothic"/>
                <w:bCs/>
                <w:kern w:val="2"/>
                <w:szCs w:val="22"/>
                <w:lang w:eastAsia="ko-KR"/>
              </w:rPr>
              <w:t>’</w:t>
            </w:r>
            <w:r w:rsidRPr="001800B7">
              <w:rPr>
                <w:rFonts w:eastAsia="Malgun Gothic"/>
                <w:bCs/>
                <w:kern w:val="2"/>
                <w:szCs w:val="22"/>
                <w:lang w:eastAsia="ko-KR"/>
              </w:rPr>
              <w:t>utilisation de l</w:t>
            </w:r>
            <w:r w:rsidR="005311D6" w:rsidRPr="001800B7">
              <w:rPr>
                <w:rFonts w:eastAsia="Malgun Gothic"/>
                <w:bCs/>
                <w:kern w:val="2"/>
                <w:szCs w:val="22"/>
                <w:lang w:eastAsia="ko-KR"/>
              </w:rPr>
              <w:t>’</w:t>
            </w:r>
            <w:r w:rsidRPr="001800B7">
              <w:rPr>
                <w:rFonts w:eastAsia="Malgun Gothic"/>
                <w:bCs/>
                <w:kern w:val="2"/>
                <w:szCs w:val="22"/>
                <w:lang w:eastAsia="ko-KR"/>
              </w:rPr>
              <w:t>information technique et de l</w:t>
            </w:r>
            <w:r w:rsidR="005311D6" w:rsidRPr="001800B7">
              <w:rPr>
                <w:rFonts w:eastAsia="Malgun Gothic"/>
                <w:bCs/>
                <w:kern w:val="2"/>
                <w:szCs w:val="22"/>
                <w:lang w:eastAsia="ko-KR"/>
              </w:rPr>
              <w:t>’</w:t>
            </w:r>
            <w:r w:rsidRPr="001800B7">
              <w:rPr>
                <w:rFonts w:eastAsia="Malgun Gothic"/>
                <w:bCs/>
                <w:kern w:val="2"/>
                <w:szCs w:val="22"/>
                <w:lang w:eastAsia="ko-KR"/>
              </w:rPr>
              <w:t>information en matière de brevets aux fins du renforcement des capacités en matière d</w:t>
            </w:r>
            <w:r w:rsidR="005311D6" w:rsidRPr="001800B7">
              <w:rPr>
                <w:rFonts w:eastAsia="Malgun Gothic"/>
                <w:bCs/>
                <w:kern w:val="2"/>
                <w:szCs w:val="22"/>
                <w:lang w:eastAsia="ko-KR"/>
              </w:rPr>
              <w:t>’</w:t>
            </w:r>
            <w:r w:rsidRPr="001800B7">
              <w:rPr>
                <w:rFonts w:eastAsia="Malgun Gothic"/>
                <w:bCs/>
                <w:kern w:val="2"/>
                <w:szCs w:val="22"/>
                <w:lang w:eastAsia="ko-KR"/>
              </w:rPr>
              <w:t>innovation et de technologie au niveau national</w:t>
            </w:r>
          </w:p>
        </w:tc>
        <w:tc>
          <w:tcPr>
            <w:tcW w:w="2688" w:type="dxa"/>
            <w:shd w:val="clear" w:color="auto" w:fill="auto"/>
          </w:tcPr>
          <w:p w:rsidR="00F30D9D" w:rsidRPr="001800B7" w:rsidRDefault="00F30D9D" w:rsidP="0010628F">
            <w:pPr>
              <w:numPr>
                <w:ilvl w:val="0"/>
                <w:numId w:val="28"/>
              </w:numPr>
              <w:tabs>
                <w:tab w:val="left" w:pos="425"/>
              </w:tabs>
              <w:spacing w:before="120" w:after="120"/>
              <w:ind w:left="34" w:firstLine="0"/>
              <w:rPr>
                <w:bCs/>
                <w:szCs w:val="22"/>
              </w:rPr>
            </w:pPr>
            <w:r w:rsidRPr="001800B7">
              <w:rPr>
                <w:bCs/>
                <w:szCs w:val="22"/>
              </w:rPr>
              <w:t>Utilisation d</w:t>
            </w:r>
            <w:r w:rsidR="005311D6" w:rsidRPr="001800B7">
              <w:rPr>
                <w:bCs/>
                <w:szCs w:val="22"/>
              </w:rPr>
              <w:t>’</w:t>
            </w:r>
            <w:r w:rsidRPr="001800B7">
              <w:rPr>
                <w:bCs/>
                <w:szCs w:val="22"/>
              </w:rPr>
              <w:t>informations en matière de technologies appropriées aux fins du développement;</w:t>
            </w:r>
          </w:p>
          <w:p w:rsidR="00F30D9D" w:rsidRPr="001800B7" w:rsidRDefault="00F30D9D" w:rsidP="00F30D9D">
            <w:pPr>
              <w:tabs>
                <w:tab w:val="left" w:pos="425"/>
              </w:tabs>
              <w:spacing w:before="120" w:after="120"/>
              <w:ind w:left="34"/>
              <w:rPr>
                <w:szCs w:val="22"/>
              </w:rPr>
            </w:pPr>
            <w:r w:rsidRPr="001800B7">
              <w:rPr>
                <w:szCs w:val="22"/>
              </w:rPr>
              <w:t>2.</w:t>
            </w:r>
            <w:r w:rsidRPr="001800B7">
              <w:rPr>
                <w:szCs w:val="22"/>
              </w:rPr>
              <w:tab/>
              <w:t>Projet reproduit ou en cours de reproduction dans d</w:t>
            </w:r>
            <w:r w:rsidR="005311D6" w:rsidRPr="001800B7">
              <w:rPr>
                <w:szCs w:val="22"/>
              </w:rPr>
              <w:t>’</w:t>
            </w:r>
            <w:r w:rsidRPr="001800B7">
              <w:rPr>
                <w:szCs w:val="22"/>
              </w:rPr>
              <w:t>autres domaines avec un appui minimum de l</w:t>
            </w:r>
            <w:r w:rsidR="005311D6" w:rsidRPr="001800B7">
              <w:rPr>
                <w:szCs w:val="22"/>
              </w:rPr>
              <w:t>’</w:t>
            </w:r>
            <w:r w:rsidRPr="001800B7">
              <w:rPr>
                <w:szCs w:val="22"/>
              </w:rPr>
              <w:t>OMPI;  et</w:t>
            </w:r>
          </w:p>
          <w:p w:rsidR="00F30D9D" w:rsidRPr="001800B7" w:rsidRDefault="00F30D9D" w:rsidP="00F30D9D">
            <w:pPr>
              <w:tabs>
                <w:tab w:val="left" w:pos="425"/>
              </w:tabs>
              <w:spacing w:before="120" w:after="120"/>
              <w:ind w:left="34"/>
              <w:rPr>
                <w:rFonts w:eastAsia="Malgun Gothic"/>
                <w:kern w:val="2"/>
                <w:szCs w:val="22"/>
                <w:lang w:eastAsia="ko-KR"/>
              </w:rPr>
            </w:pPr>
            <w:r w:rsidRPr="001800B7">
              <w:rPr>
                <w:szCs w:val="22"/>
              </w:rPr>
              <w:t>3.</w:t>
            </w:r>
            <w:r w:rsidRPr="001800B7">
              <w:rPr>
                <w:szCs w:val="22"/>
              </w:rPr>
              <w:tab/>
              <w:t xml:space="preserve">Utilisation des technologies appropriées au service du développement économique, </w:t>
            </w:r>
            <w:r w:rsidR="005311D6" w:rsidRPr="001800B7">
              <w:rPr>
                <w:szCs w:val="22"/>
              </w:rPr>
              <w:t>y compris</w:t>
            </w:r>
            <w:r w:rsidRPr="001800B7">
              <w:rPr>
                <w:szCs w:val="22"/>
              </w:rPr>
              <w:t xml:space="preserve"> dans les politiques et stratégies nationales concernant la propriété intellectuelle.</w:t>
            </w:r>
          </w:p>
        </w:tc>
        <w:tc>
          <w:tcPr>
            <w:tcW w:w="2981" w:type="dxa"/>
            <w:gridSpan w:val="2"/>
            <w:shd w:val="clear" w:color="auto" w:fill="auto"/>
          </w:tcPr>
          <w:p w:rsidR="00F30D9D" w:rsidRPr="001800B7" w:rsidRDefault="00F30D9D" w:rsidP="00F30D9D">
            <w:pPr>
              <w:spacing w:before="120" w:after="120"/>
              <w:rPr>
                <w:szCs w:val="22"/>
              </w:rPr>
            </w:pPr>
            <w:r w:rsidRPr="001800B7">
              <w:rPr>
                <w:szCs w:val="22"/>
              </w:rPr>
              <w:t>N.D.</w:t>
            </w:r>
          </w:p>
        </w:tc>
        <w:tc>
          <w:tcPr>
            <w:tcW w:w="1456" w:type="dxa"/>
            <w:shd w:val="clear" w:color="auto" w:fill="auto"/>
          </w:tcPr>
          <w:p w:rsidR="00F30D9D" w:rsidRPr="001800B7" w:rsidRDefault="00F30D9D" w:rsidP="00F30D9D">
            <w:pPr>
              <w:spacing w:before="120" w:after="120"/>
              <w:rPr>
                <w:szCs w:val="22"/>
              </w:rPr>
            </w:pPr>
            <w:r w:rsidRPr="001800B7">
              <w:rPr>
                <w:szCs w:val="22"/>
              </w:rPr>
              <w:t>N.D.</w:t>
            </w:r>
          </w:p>
        </w:tc>
      </w:tr>
      <w:tr w:rsidR="001800B7" w:rsidRPr="001800B7" w:rsidTr="00F30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6" w:type="dxa"/>
            <w:shd w:val="clear" w:color="auto" w:fill="auto"/>
          </w:tcPr>
          <w:p w:rsidR="00F30D9D" w:rsidRPr="001800B7" w:rsidRDefault="00F30D9D" w:rsidP="00F30D9D">
            <w:pPr>
              <w:spacing w:before="120" w:after="120"/>
              <w:rPr>
                <w:bCs/>
                <w:szCs w:val="22"/>
              </w:rPr>
            </w:pPr>
            <w:r w:rsidRPr="001800B7">
              <w:rPr>
                <w:bCs/>
                <w:szCs w:val="22"/>
              </w:rPr>
              <w:t>Exploitation de l</w:t>
            </w:r>
            <w:r w:rsidR="005311D6" w:rsidRPr="001800B7">
              <w:rPr>
                <w:bCs/>
                <w:szCs w:val="22"/>
              </w:rPr>
              <w:t>’</w:t>
            </w:r>
            <w:r w:rsidRPr="001800B7">
              <w:rPr>
                <w:bCs/>
                <w:szCs w:val="22"/>
              </w:rPr>
              <w:t>information technique et de l</w:t>
            </w:r>
            <w:r w:rsidR="005311D6" w:rsidRPr="001800B7">
              <w:rPr>
                <w:bCs/>
                <w:szCs w:val="22"/>
              </w:rPr>
              <w:t>’</w:t>
            </w:r>
            <w:r w:rsidRPr="001800B7">
              <w:rPr>
                <w:bCs/>
                <w:szCs w:val="22"/>
              </w:rPr>
              <w:t>information en matière de brevets dans le but d</w:t>
            </w:r>
            <w:r w:rsidR="005311D6" w:rsidRPr="001800B7">
              <w:rPr>
                <w:bCs/>
                <w:szCs w:val="22"/>
              </w:rPr>
              <w:t>’</w:t>
            </w:r>
            <w:r w:rsidRPr="001800B7">
              <w:rPr>
                <w:bCs/>
                <w:szCs w:val="22"/>
              </w:rPr>
              <w:t>atteindre des objectifs de développement</w:t>
            </w:r>
          </w:p>
        </w:tc>
        <w:tc>
          <w:tcPr>
            <w:tcW w:w="2688" w:type="dxa"/>
            <w:shd w:val="clear" w:color="auto" w:fill="auto"/>
          </w:tcPr>
          <w:p w:rsidR="00F30D9D" w:rsidRPr="001800B7" w:rsidRDefault="00F30D9D" w:rsidP="00F30D9D">
            <w:pPr>
              <w:tabs>
                <w:tab w:val="left" w:pos="425"/>
              </w:tabs>
              <w:spacing w:before="120" w:after="120"/>
              <w:rPr>
                <w:bCs/>
                <w:szCs w:val="22"/>
              </w:rPr>
            </w:pPr>
            <w:r w:rsidRPr="001800B7">
              <w:rPr>
                <w:bCs/>
                <w:szCs w:val="22"/>
              </w:rPr>
              <w:t>Résolution de problèmes recensés sur la base des besoins.</w:t>
            </w:r>
          </w:p>
        </w:tc>
        <w:tc>
          <w:tcPr>
            <w:tcW w:w="2981" w:type="dxa"/>
            <w:gridSpan w:val="2"/>
            <w:shd w:val="clear" w:color="auto" w:fill="auto"/>
          </w:tcPr>
          <w:p w:rsidR="00F30D9D" w:rsidRPr="001800B7" w:rsidRDefault="00F30D9D" w:rsidP="00F30D9D">
            <w:pPr>
              <w:spacing w:before="120" w:after="120"/>
              <w:rPr>
                <w:szCs w:val="22"/>
              </w:rPr>
            </w:pPr>
            <w:r w:rsidRPr="001800B7">
              <w:rPr>
                <w:szCs w:val="22"/>
              </w:rPr>
              <w:t>N.D.</w:t>
            </w:r>
          </w:p>
        </w:tc>
        <w:tc>
          <w:tcPr>
            <w:tcW w:w="1456" w:type="dxa"/>
            <w:shd w:val="clear" w:color="auto" w:fill="auto"/>
          </w:tcPr>
          <w:p w:rsidR="00F30D9D" w:rsidRPr="001800B7" w:rsidRDefault="00F30D9D" w:rsidP="00F30D9D">
            <w:pPr>
              <w:spacing w:before="120" w:after="120"/>
              <w:rPr>
                <w:szCs w:val="22"/>
              </w:rPr>
            </w:pPr>
            <w:r w:rsidRPr="001800B7">
              <w:rPr>
                <w:szCs w:val="22"/>
              </w:rPr>
              <w:t>N.D.</w:t>
            </w:r>
          </w:p>
        </w:tc>
      </w:tr>
    </w:tbl>
    <w:p w:rsidR="00F30D9D" w:rsidRPr="001800B7" w:rsidRDefault="00F30D9D" w:rsidP="00F30D9D">
      <w:pPr>
        <w:rPr>
          <w:szCs w:val="22"/>
        </w:rPr>
      </w:pPr>
    </w:p>
    <w:p w:rsidR="00F30D9D" w:rsidRPr="001800B7" w:rsidRDefault="00F30D9D" w:rsidP="00F30D9D">
      <w:pPr>
        <w:rPr>
          <w:szCs w:val="22"/>
        </w:rPr>
      </w:pPr>
    </w:p>
    <w:p w:rsidR="00F30D9D" w:rsidRPr="001800B7" w:rsidRDefault="00F30D9D" w:rsidP="00F30D9D">
      <w:pPr>
        <w:rPr>
          <w:szCs w:val="22"/>
        </w:rPr>
      </w:pPr>
    </w:p>
    <w:p w:rsidR="00F30D9D" w:rsidRPr="001800B7" w:rsidRDefault="00F30D9D" w:rsidP="00F30D9D">
      <w:pPr>
        <w:pStyle w:val="Endofdocument-Annex"/>
        <w:rPr>
          <w:szCs w:val="22"/>
        </w:rPr>
        <w:sectPr w:rsidR="00F30D9D" w:rsidRPr="001800B7" w:rsidSect="00F30D9D">
          <w:headerReference w:type="default" r:id="rId58"/>
          <w:headerReference w:type="first" r:id="rId59"/>
          <w:endnotePr>
            <w:numFmt w:val="decimal"/>
          </w:endnotePr>
          <w:pgSz w:w="11907" w:h="16840" w:code="9"/>
          <w:pgMar w:top="567" w:right="1134" w:bottom="1417" w:left="1417" w:header="510" w:footer="1020" w:gutter="0"/>
          <w:pgNumType w:start="1"/>
          <w:cols w:space="720"/>
          <w:titlePg/>
          <w:docGrid w:linePitch="299"/>
        </w:sectPr>
      </w:pPr>
      <w:r w:rsidRPr="001800B7">
        <w:rPr>
          <w:szCs w:val="22"/>
        </w:rPr>
        <w:t>[L</w:t>
      </w:r>
      <w:r w:rsidR="005311D6" w:rsidRPr="001800B7">
        <w:rPr>
          <w:szCs w:val="22"/>
        </w:rPr>
        <w:t>’</w:t>
      </w:r>
      <w:r w:rsidRPr="001800B7">
        <w:rPr>
          <w:szCs w:val="22"/>
        </w:rPr>
        <w:t>annexe VIII suit]</w:t>
      </w:r>
    </w:p>
    <w:p w:rsidR="00F30D9D" w:rsidRPr="001800B7" w:rsidRDefault="00F30D9D" w:rsidP="00F30D9D">
      <w:pPr>
        <w:tabs>
          <w:tab w:val="left" w:pos="3225"/>
        </w:tabs>
        <w:rPr>
          <w:bCs/>
          <w:szCs w:val="22"/>
        </w:rPr>
      </w:pPr>
      <w:r w:rsidRPr="001800B7">
        <w:rPr>
          <w:szCs w:val="22"/>
        </w:rPr>
        <w:lastRenderedPageBreak/>
        <w:t>RAPPORT RELATIF À L</w:t>
      </w:r>
      <w:r w:rsidR="005311D6" w:rsidRPr="001800B7">
        <w:rPr>
          <w:szCs w:val="22"/>
        </w:rPr>
        <w:t>’</w:t>
      </w:r>
      <w:r w:rsidRPr="001800B7">
        <w:rPr>
          <w:szCs w:val="22"/>
        </w:rPr>
        <w:t>ACHÈVEMENT ET À L</w:t>
      </w:r>
      <w:r w:rsidR="005311D6" w:rsidRPr="001800B7">
        <w:rPr>
          <w:szCs w:val="22"/>
        </w:rPr>
        <w:t>’</w:t>
      </w:r>
      <w:r w:rsidRPr="001800B7">
        <w:rPr>
          <w:szCs w:val="22"/>
        </w:rPr>
        <w:t>AUTO</w:t>
      </w:r>
      <w:r w:rsidR="001800B7" w:rsidRPr="001800B7">
        <w:rPr>
          <w:szCs w:val="22"/>
        </w:rPr>
        <w:noBreakHyphen/>
      </w:r>
      <w:r w:rsidRPr="001800B7">
        <w:rPr>
          <w:szCs w:val="22"/>
        </w:rPr>
        <w:t>ÉVALUATION DU PROJET INTITULÉ “ACCÈS À DES BASES DE DONNÉES SPÉCIALISÉES ET APPUI – PHASE II”</w:t>
      </w:r>
    </w:p>
    <w:p w:rsidR="00F30D9D" w:rsidRPr="001800B7" w:rsidRDefault="00F30D9D" w:rsidP="00F30D9D">
      <w:pPr>
        <w:rPr>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F30D9D">
        <w:tc>
          <w:tcPr>
            <w:tcW w:w="9501" w:type="dxa"/>
            <w:gridSpan w:val="2"/>
            <w:tcBorders>
              <w:top w:val="single" w:sz="4" w:space="0" w:color="auto"/>
              <w:left w:val="single" w:sz="4" w:space="0" w:color="auto"/>
              <w:bottom w:val="single" w:sz="4" w:space="0" w:color="auto"/>
              <w:right w:val="single" w:sz="4" w:space="0" w:color="auto"/>
            </w:tcBorders>
            <w:vAlign w:val="center"/>
            <w:hideMark/>
          </w:tcPr>
          <w:p w:rsidR="00F30D9D" w:rsidRPr="001800B7" w:rsidRDefault="00F30D9D" w:rsidP="00F30D9D">
            <w:pPr>
              <w:spacing w:before="120" w:after="120"/>
              <w:rPr>
                <w:szCs w:val="22"/>
              </w:rPr>
            </w:pPr>
            <w:r w:rsidRPr="001800B7">
              <w:rPr>
                <w:szCs w:val="22"/>
              </w:rPr>
              <w:t>RÉSUMÉ DU PROJET</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vAlign w:val="center"/>
            <w:hideMark/>
          </w:tcPr>
          <w:p w:rsidR="00F30D9D" w:rsidRPr="001800B7" w:rsidRDefault="00F30D9D" w:rsidP="00F30D9D">
            <w:pPr>
              <w:spacing w:before="120" w:after="120"/>
              <w:rPr>
                <w:szCs w:val="22"/>
              </w:rPr>
            </w:pPr>
            <w:r w:rsidRPr="001800B7">
              <w:rPr>
                <w:szCs w:val="22"/>
              </w:rPr>
              <w:t>Code du projet</w:t>
            </w:r>
          </w:p>
        </w:tc>
        <w:tc>
          <w:tcPr>
            <w:tcW w:w="7266" w:type="dxa"/>
            <w:tcBorders>
              <w:top w:val="single" w:sz="4" w:space="0" w:color="auto"/>
              <w:left w:val="single" w:sz="4" w:space="0" w:color="auto"/>
              <w:bottom w:val="single" w:sz="4" w:space="0" w:color="auto"/>
              <w:right w:val="single" w:sz="4" w:space="0" w:color="auto"/>
            </w:tcBorders>
            <w:vAlign w:val="center"/>
            <w:hideMark/>
          </w:tcPr>
          <w:p w:rsidR="00F30D9D" w:rsidRPr="001800B7" w:rsidRDefault="00F30D9D" w:rsidP="00F30D9D">
            <w:pPr>
              <w:spacing w:before="120" w:after="120"/>
              <w:rPr>
                <w:szCs w:val="22"/>
              </w:rPr>
            </w:pPr>
            <w:r w:rsidRPr="001800B7">
              <w:rPr>
                <w:szCs w:val="22"/>
              </w:rPr>
              <w:t>DA_08_02</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vAlign w:val="center"/>
            <w:hideMark/>
          </w:tcPr>
          <w:p w:rsidR="00F30D9D" w:rsidRPr="001800B7" w:rsidRDefault="00F30D9D" w:rsidP="00F30D9D">
            <w:pPr>
              <w:spacing w:before="120" w:after="120"/>
              <w:rPr>
                <w:szCs w:val="22"/>
              </w:rPr>
            </w:pPr>
            <w:r w:rsidRPr="001800B7">
              <w:rPr>
                <w:szCs w:val="22"/>
              </w:rPr>
              <w:t>Titre</w:t>
            </w:r>
          </w:p>
        </w:tc>
        <w:tc>
          <w:tcPr>
            <w:tcW w:w="7266" w:type="dxa"/>
            <w:tcBorders>
              <w:top w:val="single" w:sz="4" w:space="0" w:color="auto"/>
              <w:left w:val="single" w:sz="4" w:space="0" w:color="auto"/>
              <w:bottom w:val="single" w:sz="4" w:space="0" w:color="auto"/>
              <w:right w:val="single" w:sz="4" w:space="0" w:color="auto"/>
            </w:tcBorders>
            <w:vAlign w:val="center"/>
          </w:tcPr>
          <w:p w:rsidR="00F30D9D" w:rsidRPr="001800B7" w:rsidRDefault="00F30D9D" w:rsidP="00F30D9D">
            <w:pPr>
              <w:spacing w:before="120" w:after="120"/>
              <w:rPr>
                <w:szCs w:val="22"/>
              </w:rPr>
            </w:pPr>
            <w:r w:rsidRPr="001800B7">
              <w:rPr>
                <w:szCs w:val="22"/>
              </w:rPr>
              <w:t>Accès à des bases de données spécialisées et appui – phase II</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Recommandations du Plan d</w:t>
            </w:r>
            <w:r w:rsidR="005311D6" w:rsidRPr="001800B7">
              <w:rPr>
                <w:szCs w:val="22"/>
              </w:rPr>
              <w:t>’</w:t>
            </w:r>
            <w:r w:rsidRPr="001800B7">
              <w:rPr>
                <w:szCs w:val="22"/>
              </w:rPr>
              <w:t>action pour le développement</w:t>
            </w:r>
          </w:p>
        </w:tc>
        <w:tc>
          <w:tcPr>
            <w:tcW w:w="7266"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i/>
                <w:szCs w:val="22"/>
              </w:rPr>
            </w:pPr>
            <w:r w:rsidRPr="001800B7">
              <w:rPr>
                <w:i/>
                <w:szCs w:val="22"/>
              </w:rPr>
              <w:t>Recommandation n° 8</w:t>
            </w:r>
            <w:r w:rsidRPr="001800B7">
              <w:rPr>
                <w:szCs w:val="22"/>
              </w:rPr>
              <w:t> : demander à l</w:t>
            </w:r>
            <w:r w:rsidR="005311D6" w:rsidRPr="001800B7">
              <w:rPr>
                <w:szCs w:val="22"/>
              </w:rPr>
              <w:t>’</w:t>
            </w:r>
            <w:r w:rsidRPr="001800B7">
              <w:rPr>
                <w:szCs w:val="22"/>
              </w:rPr>
              <w:t>OMPI de conclure des accords avec des instituts de recherche et des entreprises privées afin de permettre aux offices nationaux des pays en développement, en particulier des pays les moins avancés (PMA), ainsi qu</w:t>
            </w:r>
            <w:r w:rsidR="005311D6" w:rsidRPr="001800B7">
              <w:rPr>
                <w:szCs w:val="22"/>
              </w:rPr>
              <w:t>’</w:t>
            </w:r>
            <w:r w:rsidRPr="001800B7">
              <w:rPr>
                <w:szCs w:val="22"/>
              </w:rPr>
              <w:t xml:space="preserve">à leurs organismes régionaux et </w:t>
            </w:r>
            <w:proofErr w:type="spellStart"/>
            <w:r w:rsidRPr="001800B7">
              <w:rPr>
                <w:szCs w:val="22"/>
              </w:rPr>
              <w:t>sous</w:t>
            </w:r>
            <w:r w:rsidR="001800B7" w:rsidRPr="001800B7">
              <w:rPr>
                <w:szCs w:val="22"/>
              </w:rPr>
              <w:noBreakHyphen/>
            </w:r>
            <w:r w:rsidRPr="001800B7">
              <w:rPr>
                <w:szCs w:val="22"/>
              </w:rPr>
              <w:t>régionaux</w:t>
            </w:r>
            <w:proofErr w:type="spellEnd"/>
            <w:r w:rsidRPr="001800B7">
              <w:rPr>
                <w:szCs w:val="22"/>
              </w:rPr>
              <w:t xml:space="preserve"> chargés de la propriété intellectuelle, d</w:t>
            </w:r>
            <w:r w:rsidR="005311D6" w:rsidRPr="001800B7">
              <w:rPr>
                <w:szCs w:val="22"/>
              </w:rPr>
              <w:t>’</w:t>
            </w:r>
            <w:r w:rsidRPr="001800B7">
              <w:rPr>
                <w:szCs w:val="22"/>
              </w:rPr>
              <w:t>accéder à des bases de données spécialisées aux fins de la recherche en matière de brevets.</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Budget du projet</w:t>
            </w:r>
          </w:p>
        </w:tc>
        <w:tc>
          <w:tcPr>
            <w:tcW w:w="7266"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Ressources autres que les ressources en personnel : 600 000 francs suisses</w:t>
            </w:r>
          </w:p>
          <w:p w:rsidR="00F30D9D" w:rsidRPr="001800B7" w:rsidRDefault="00F30D9D" w:rsidP="00F30D9D">
            <w:pPr>
              <w:spacing w:before="120" w:after="120"/>
              <w:rPr>
                <w:szCs w:val="22"/>
              </w:rPr>
            </w:pPr>
            <w:r w:rsidRPr="001800B7">
              <w:rPr>
                <w:szCs w:val="22"/>
              </w:rPr>
              <w:t>Ressources en personnel : 1 006 400 francs suisses</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Durée du projet</w:t>
            </w:r>
          </w:p>
        </w:tc>
        <w:tc>
          <w:tcPr>
            <w:tcW w:w="7266"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20 mois</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Principaux secteurs de l</w:t>
            </w:r>
            <w:r w:rsidR="005311D6" w:rsidRPr="001800B7">
              <w:rPr>
                <w:szCs w:val="22"/>
              </w:rPr>
              <w:t>’</w:t>
            </w:r>
            <w:r w:rsidRPr="001800B7">
              <w:rPr>
                <w:szCs w:val="22"/>
              </w:rPr>
              <w:t>OMPI concernés et liens avec les programmes de l</w:t>
            </w:r>
            <w:r w:rsidR="005311D6" w:rsidRPr="001800B7">
              <w:rPr>
                <w:szCs w:val="22"/>
              </w:rPr>
              <w:t>’</w:t>
            </w:r>
            <w:r w:rsidRPr="001800B7">
              <w:rPr>
                <w:szCs w:val="22"/>
              </w:rPr>
              <w:t>OMPI</w:t>
            </w:r>
          </w:p>
        </w:tc>
        <w:tc>
          <w:tcPr>
            <w:tcW w:w="7266"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Le Secteur de l</w:t>
            </w:r>
            <w:r w:rsidR="005311D6" w:rsidRPr="001800B7">
              <w:rPr>
                <w:szCs w:val="22"/>
              </w:rPr>
              <w:t>’</w:t>
            </w:r>
            <w:r w:rsidRPr="001800B7">
              <w:rPr>
                <w:szCs w:val="22"/>
              </w:rPr>
              <w:t>infrastructure mondiale en collaboration avec le Secteur de l</w:t>
            </w:r>
            <w:r w:rsidR="005311D6" w:rsidRPr="001800B7">
              <w:rPr>
                <w:szCs w:val="22"/>
              </w:rPr>
              <w:t>’</w:t>
            </w:r>
            <w:r w:rsidRPr="001800B7">
              <w:rPr>
                <w:szCs w:val="22"/>
              </w:rPr>
              <w:t>innovation et de la technologie et le Secteur du développement.</w:t>
            </w:r>
          </w:p>
          <w:p w:rsidR="00F30D9D" w:rsidRPr="001800B7" w:rsidRDefault="00F30D9D" w:rsidP="00F30D9D">
            <w:pPr>
              <w:spacing w:before="120" w:after="120"/>
              <w:rPr>
                <w:szCs w:val="22"/>
              </w:rPr>
            </w:pPr>
            <w:r w:rsidRPr="001800B7">
              <w:rPr>
                <w:szCs w:val="22"/>
              </w:rPr>
              <w:t xml:space="preserve">Liens avec </w:t>
            </w:r>
            <w:proofErr w:type="gramStart"/>
            <w:r w:rsidRPr="001800B7">
              <w:rPr>
                <w:szCs w:val="22"/>
              </w:rPr>
              <w:t>les programmes</w:t>
            </w:r>
            <w:proofErr w:type="gramEnd"/>
            <w:r w:rsidRPr="001800B7">
              <w:rPr>
                <w:szCs w:val="22"/>
              </w:rPr>
              <w:t xml:space="preserve"> 1, 8, 9, 10, 11 et 14 de l</w:t>
            </w:r>
            <w:r w:rsidR="005311D6" w:rsidRPr="001800B7">
              <w:rPr>
                <w:szCs w:val="22"/>
              </w:rPr>
              <w:t>’</w:t>
            </w:r>
            <w:r w:rsidRPr="001800B7">
              <w:rPr>
                <w:szCs w:val="22"/>
              </w:rPr>
              <w:t>OMPI.</w:t>
            </w:r>
          </w:p>
        </w:tc>
      </w:tr>
      <w:tr w:rsidR="00F30D9D" w:rsidRPr="001800B7" w:rsidTr="00F30D9D">
        <w:tc>
          <w:tcPr>
            <w:tcW w:w="2235"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Brève description du projet</w:t>
            </w:r>
          </w:p>
        </w:tc>
        <w:tc>
          <w:tcPr>
            <w:tcW w:w="7266"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Le projet visait à stimuler l</w:t>
            </w:r>
            <w:r w:rsidR="005311D6" w:rsidRPr="001800B7">
              <w:rPr>
                <w:szCs w:val="22"/>
              </w:rPr>
              <w:t>’</w:t>
            </w:r>
            <w:r w:rsidRPr="001800B7">
              <w:rPr>
                <w:szCs w:val="22"/>
              </w:rPr>
              <w:t>innovation et la croissance économique en facilitant l</w:t>
            </w:r>
            <w:r w:rsidR="005311D6" w:rsidRPr="001800B7">
              <w:rPr>
                <w:szCs w:val="22"/>
              </w:rPr>
              <w:t>’</w:t>
            </w:r>
            <w:r w:rsidRPr="001800B7">
              <w:rPr>
                <w:szCs w:val="22"/>
              </w:rPr>
              <w:t>accès aux informations techniques dans les pays les moins avancés et les pays en développement et en renforçant la capacité des pays à exploiter ces informations avec efficacité.  Dans le cadre de ce projet, l</w:t>
            </w:r>
            <w:r w:rsidR="005311D6" w:rsidRPr="001800B7">
              <w:rPr>
                <w:szCs w:val="22"/>
              </w:rPr>
              <w:t>’</w:t>
            </w:r>
            <w:r w:rsidRPr="001800B7">
              <w:rPr>
                <w:szCs w:val="22"/>
              </w:rPr>
              <w:t>OMPI appuyait la création et le développement de centres d</w:t>
            </w:r>
            <w:r w:rsidR="005311D6" w:rsidRPr="001800B7">
              <w:rPr>
                <w:szCs w:val="22"/>
              </w:rPr>
              <w:t>’</w:t>
            </w:r>
            <w:r w:rsidRPr="001800B7">
              <w:rPr>
                <w:szCs w:val="22"/>
              </w:rPr>
              <w:t>appui à la technologie et à l</w:t>
            </w:r>
            <w:r w:rsidR="005311D6" w:rsidRPr="001800B7">
              <w:rPr>
                <w:szCs w:val="22"/>
              </w:rPr>
              <w:t>’</w:t>
            </w:r>
            <w:r w:rsidRPr="001800B7">
              <w:rPr>
                <w:szCs w:val="22"/>
              </w:rPr>
              <w:t>innovation (CATI) et de réseaux connexes à l</w:t>
            </w:r>
            <w:r w:rsidR="005311D6" w:rsidRPr="001800B7">
              <w:rPr>
                <w:szCs w:val="22"/>
              </w:rPr>
              <w:t>’</w:t>
            </w:r>
            <w:r w:rsidRPr="001800B7">
              <w:rPr>
                <w:szCs w:val="22"/>
              </w:rPr>
              <w:t>échelle nationale, régionale et internationale.</w:t>
            </w:r>
          </w:p>
          <w:p w:rsidR="00F30D9D" w:rsidRPr="001800B7" w:rsidRDefault="00F30D9D" w:rsidP="00F30D9D">
            <w:pPr>
              <w:spacing w:before="120" w:after="120"/>
              <w:rPr>
                <w:szCs w:val="22"/>
              </w:rPr>
            </w:pPr>
            <w:r w:rsidRPr="001800B7">
              <w:rPr>
                <w:szCs w:val="22"/>
              </w:rPr>
              <w:t>Le principal objectif de la phase II du projet était d</w:t>
            </w:r>
            <w:r w:rsidR="005311D6" w:rsidRPr="001800B7">
              <w:rPr>
                <w:szCs w:val="22"/>
              </w:rPr>
              <w:t>’</w:t>
            </w:r>
            <w:r w:rsidRPr="001800B7">
              <w:rPr>
                <w:szCs w:val="22"/>
              </w:rPr>
              <w:t>assurer la durabilité à long terme des CATI et leur capacité à fournir des services d</w:t>
            </w:r>
            <w:r w:rsidR="005311D6" w:rsidRPr="001800B7">
              <w:rPr>
                <w:szCs w:val="22"/>
              </w:rPr>
              <w:t>’</w:t>
            </w:r>
            <w:r w:rsidRPr="001800B7">
              <w:rPr>
                <w:szCs w:val="22"/>
              </w:rPr>
              <w:t>appui à la technologie et à l</w:t>
            </w:r>
            <w:r w:rsidR="005311D6" w:rsidRPr="001800B7">
              <w:rPr>
                <w:szCs w:val="22"/>
              </w:rPr>
              <w:t>’</w:t>
            </w:r>
            <w:r w:rsidRPr="001800B7">
              <w:rPr>
                <w:szCs w:val="22"/>
              </w:rPr>
              <w:t>innovation qui soient utiles et de qualité.</w:t>
            </w:r>
          </w:p>
          <w:p w:rsidR="00F30D9D" w:rsidRPr="001800B7" w:rsidRDefault="00F30D9D" w:rsidP="00F30D9D">
            <w:pPr>
              <w:spacing w:before="120" w:after="120"/>
              <w:rPr>
                <w:szCs w:val="22"/>
              </w:rPr>
            </w:pPr>
            <w:r w:rsidRPr="001800B7">
              <w:rPr>
                <w:szCs w:val="22"/>
              </w:rPr>
              <w:t>On réaliserait cet objectif en réalisant les sous</w:t>
            </w:r>
            <w:r w:rsidR="001800B7" w:rsidRPr="001800B7">
              <w:rPr>
                <w:szCs w:val="22"/>
              </w:rPr>
              <w:noBreakHyphen/>
            </w:r>
            <w:r w:rsidRPr="001800B7">
              <w:rPr>
                <w:szCs w:val="22"/>
              </w:rPr>
              <w:t>objectifs ci</w:t>
            </w:r>
            <w:r w:rsidR="001800B7" w:rsidRPr="001800B7">
              <w:rPr>
                <w:szCs w:val="22"/>
              </w:rPr>
              <w:noBreakHyphen/>
            </w:r>
            <w:r w:rsidRPr="001800B7">
              <w:rPr>
                <w:szCs w:val="22"/>
              </w:rPr>
              <w:t>après :</w:t>
            </w:r>
          </w:p>
          <w:p w:rsidR="00F30D9D" w:rsidRPr="001800B7" w:rsidRDefault="00F30D9D" w:rsidP="0010628F">
            <w:pPr>
              <w:numPr>
                <w:ilvl w:val="0"/>
                <w:numId w:val="9"/>
              </w:numPr>
              <w:spacing w:before="120" w:after="120"/>
              <w:ind w:left="581" w:hanging="14"/>
              <w:rPr>
                <w:szCs w:val="22"/>
              </w:rPr>
            </w:pPr>
            <w:r w:rsidRPr="001800B7">
              <w:rPr>
                <w:szCs w:val="22"/>
              </w:rPr>
              <w:t>assurer la pérennité du programme de formation mis en place pour la création des CATI, notamment les cours de formation sur le terrain et d</w:t>
            </w:r>
            <w:r w:rsidR="005311D6" w:rsidRPr="001800B7">
              <w:rPr>
                <w:szCs w:val="22"/>
              </w:rPr>
              <w:t>’</w:t>
            </w:r>
            <w:r w:rsidRPr="001800B7">
              <w:rPr>
                <w:szCs w:val="22"/>
              </w:rPr>
              <w:t>enseignement à distance;</w:t>
            </w:r>
          </w:p>
          <w:p w:rsidR="00F30D9D" w:rsidRPr="001800B7" w:rsidRDefault="00F30D9D" w:rsidP="0010628F">
            <w:pPr>
              <w:numPr>
                <w:ilvl w:val="0"/>
                <w:numId w:val="9"/>
              </w:numPr>
              <w:spacing w:before="120" w:after="120"/>
              <w:ind w:left="581" w:hanging="14"/>
              <w:rPr>
                <w:szCs w:val="22"/>
              </w:rPr>
            </w:pPr>
            <w:r w:rsidRPr="001800B7">
              <w:rPr>
                <w:szCs w:val="22"/>
              </w:rPr>
              <w:t>améliorer l</w:t>
            </w:r>
            <w:r w:rsidR="005311D6" w:rsidRPr="001800B7">
              <w:rPr>
                <w:szCs w:val="22"/>
              </w:rPr>
              <w:t>’</w:t>
            </w:r>
            <w:r w:rsidRPr="001800B7">
              <w:rPr>
                <w:szCs w:val="22"/>
              </w:rPr>
              <w:t>utilisation et faciliter l</w:t>
            </w:r>
            <w:r w:rsidR="005311D6" w:rsidRPr="001800B7">
              <w:rPr>
                <w:szCs w:val="22"/>
              </w:rPr>
              <w:t>’</w:t>
            </w:r>
            <w:r w:rsidRPr="001800B7">
              <w:rPr>
                <w:szCs w:val="22"/>
              </w:rPr>
              <w:t>accès aux bases de données spécialisées sur les brevets et la littérature non</w:t>
            </w:r>
            <w:r w:rsidR="001800B7" w:rsidRPr="001800B7">
              <w:rPr>
                <w:szCs w:val="22"/>
              </w:rPr>
              <w:noBreakHyphen/>
            </w:r>
            <w:r w:rsidRPr="001800B7">
              <w:rPr>
                <w:szCs w:val="22"/>
              </w:rPr>
              <w:t>brevet par l</w:t>
            </w:r>
            <w:r w:rsidR="005311D6" w:rsidRPr="001800B7">
              <w:rPr>
                <w:szCs w:val="22"/>
              </w:rPr>
              <w:t>’</w:t>
            </w:r>
            <w:r w:rsidRPr="001800B7">
              <w:rPr>
                <w:szCs w:val="22"/>
              </w:rPr>
              <w:t>entremise des programmes d</w:t>
            </w:r>
            <w:r w:rsidR="005311D6" w:rsidRPr="001800B7">
              <w:rPr>
                <w:szCs w:val="22"/>
              </w:rPr>
              <w:t>’</w:t>
            </w:r>
            <w:r w:rsidRPr="001800B7">
              <w:rPr>
                <w:szCs w:val="22"/>
              </w:rPr>
              <w:t>accès à l</w:t>
            </w:r>
            <w:r w:rsidR="005311D6" w:rsidRPr="001800B7">
              <w:rPr>
                <w:szCs w:val="22"/>
              </w:rPr>
              <w:t>’</w:t>
            </w:r>
            <w:r w:rsidRPr="001800B7">
              <w:rPr>
                <w:szCs w:val="22"/>
              </w:rPr>
              <w:t>information spécialisée en matière de brevets (ASPI) et d</w:t>
            </w:r>
            <w:r w:rsidR="005311D6" w:rsidRPr="001800B7">
              <w:rPr>
                <w:szCs w:val="22"/>
              </w:rPr>
              <w:t>’</w:t>
            </w:r>
            <w:r w:rsidRPr="001800B7">
              <w:rPr>
                <w:szCs w:val="22"/>
              </w:rPr>
              <w:t>accès à la recherche pour le développement et l</w:t>
            </w:r>
            <w:r w:rsidR="005311D6" w:rsidRPr="001800B7">
              <w:rPr>
                <w:szCs w:val="22"/>
              </w:rPr>
              <w:t>’</w:t>
            </w:r>
            <w:r w:rsidRPr="001800B7">
              <w:rPr>
                <w:szCs w:val="22"/>
              </w:rPr>
              <w:t>innovation (ARDI);  et</w:t>
            </w:r>
          </w:p>
          <w:p w:rsidR="00F30D9D" w:rsidRPr="001800B7" w:rsidRDefault="00F30D9D" w:rsidP="0010628F">
            <w:pPr>
              <w:numPr>
                <w:ilvl w:val="0"/>
                <w:numId w:val="9"/>
              </w:numPr>
              <w:spacing w:before="120" w:after="120"/>
              <w:ind w:left="581" w:hanging="14"/>
              <w:rPr>
                <w:szCs w:val="22"/>
              </w:rPr>
            </w:pPr>
            <w:r w:rsidRPr="001800B7">
              <w:rPr>
                <w:szCs w:val="22"/>
              </w:rPr>
              <w:t>établir une nouvelle plate</w:t>
            </w:r>
            <w:r w:rsidR="001800B7" w:rsidRPr="001800B7">
              <w:rPr>
                <w:szCs w:val="22"/>
              </w:rPr>
              <w:noBreakHyphen/>
            </w:r>
            <w:r w:rsidRPr="001800B7">
              <w:rPr>
                <w:szCs w:val="22"/>
              </w:rPr>
              <w:t>forme de gestion des savoirs des CATI pour faciliter les échanges entre les CATI à l</w:t>
            </w:r>
            <w:r w:rsidR="005311D6" w:rsidRPr="001800B7">
              <w:rPr>
                <w:szCs w:val="22"/>
              </w:rPr>
              <w:t>’</w:t>
            </w:r>
            <w:r w:rsidRPr="001800B7">
              <w:rPr>
                <w:szCs w:val="22"/>
              </w:rPr>
              <w:t xml:space="preserve">échelle nationale, régionale et internationale, dispenser une formation </w:t>
            </w:r>
            <w:r w:rsidRPr="001800B7">
              <w:rPr>
                <w:szCs w:val="22"/>
              </w:rPr>
              <w:lastRenderedPageBreak/>
              <w:t>complémentaire aux CATI et diffuser des documents d</w:t>
            </w:r>
            <w:r w:rsidR="005311D6" w:rsidRPr="001800B7">
              <w:rPr>
                <w:szCs w:val="22"/>
              </w:rPr>
              <w:t>’</w:t>
            </w:r>
            <w:r w:rsidRPr="001800B7">
              <w:rPr>
                <w:szCs w:val="22"/>
              </w:rPr>
              <w:t>information aux CATI et au public.</w:t>
            </w:r>
          </w:p>
          <w:p w:rsidR="00F30D9D" w:rsidRPr="001800B7" w:rsidRDefault="00F30D9D" w:rsidP="00F30D9D">
            <w:pPr>
              <w:spacing w:before="120" w:after="120"/>
              <w:rPr>
                <w:szCs w:val="22"/>
              </w:rPr>
            </w:pPr>
            <w:r w:rsidRPr="001800B7">
              <w:rPr>
                <w:szCs w:val="22"/>
              </w:rPr>
              <w:t>L</w:t>
            </w:r>
            <w:r w:rsidR="005311D6" w:rsidRPr="001800B7">
              <w:rPr>
                <w:szCs w:val="22"/>
              </w:rPr>
              <w:t>’</w:t>
            </w:r>
            <w:r w:rsidRPr="001800B7">
              <w:rPr>
                <w:szCs w:val="22"/>
              </w:rPr>
              <w:t>un des objectifs secondaires du projet était de poursuivre la formation initiale de la phase I pour les nombreux pays qui ont déjà signé ou se sont engagés à signer des accords de niveau de services afin de constituer des réseaux nationaux de CATI, mais qui n</w:t>
            </w:r>
            <w:r w:rsidR="005311D6" w:rsidRPr="001800B7">
              <w:rPr>
                <w:szCs w:val="22"/>
              </w:rPr>
              <w:t>’</w:t>
            </w:r>
            <w:r w:rsidRPr="001800B7">
              <w:rPr>
                <w:szCs w:val="22"/>
              </w:rPr>
              <w:t>ont pas encore suivi cette formation.</w:t>
            </w:r>
          </w:p>
        </w:tc>
      </w:tr>
    </w:tbl>
    <w:p w:rsidR="00F30D9D" w:rsidRPr="001800B7" w:rsidRDefault="00F30D9D" w:rsidP="00F30D9D">
      <w:pPr>
        <w:rPr>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7C1A09" w:rsidTr="00F30D9D">
        <w:tc>
          <w:tcPr>
            <w:tcW w:w="2235" w:type="dxa"/>
            <w:tcBorders>
              <w:top w:val="single" w:sz="4" w:space="0" w:color="auto"/>
              <w:right w:val="single" w:sz="6" w:space="0" w:color="auto"/>
            </w:tcBorders>
            <w:shd w:val="clear" w:color="auto" w:fill="auto"/>
          </w:tcPr>
          <w:p w:rsidR="00F30D9D" w:rsidRPr="001800B7" w:rsidRDefault="00F30D9D" w:rsidP="00F30D9D">
            <w:pPr>
              <w:spacing w:before="120" w:after="120"/>
              <w:outlineLvl w:val="2"/>
              <w:rPr>
                <w:bCs/>
                <w:szCs w:val="22"/>
                <w:u w:val="single"/>
                <w:lang w:eastAsia="en-US"/>
              </w:rPr>
            </w:pPr>
            <w:r w:rsidRPr="001800B7">
              <w:rPr>
                <w:bCs/>
                <w:szCs w:val="22"/>
                <w:u w:val="single"/>
                <w:lang w:eastAsia="en-US"/>
              </w:rPr>
              <w:t>Chef de projet</w:t>
            </w:r>
          </w:p>
        </w:tc>
        <w:tc>
          <w:tcPr>
            <w:tcW w:w="7266" w:type="dxa"/>
            <w:tcBorders>
              <w:top w:val="single" w:sz="4" w:space="0" w:color="auto"/>
              <w:left w:val="single" w:sz="6" w:space="0" w:color="auto"/>
            </w:tcBorders>
            <w:vAlign w:val="center"/>
          </w:tcPr>
          <w:p w:rsidR="00F30D9D" w:rsidRPr="007C1A09" w:rsidRDefault="00F30D9D" w:rsidP="00F30D9D">
            <w:pPr>
              <w:spacing w:before="120" w:after="120"/>
              <w:rPr>
                <w:rFonts w:eastAsia="Times New Roman"/>
                <w:iCs/>
                <w:szCs w:val="22"/>
                <w:lang w:val="es-ES_tradnl" w:eastAsia="en-US"/>
              </w:rPr>
            </w:pPr>
            <w:r w:rsidRPr="007C1A09">
              <w:rPr>
                <w:szCs w:val="22"/>
                <w:lang w:val="es-ES_tradnl"/>
              </w:rPr>
              <w:t>MM. Alejandro Roca Campaña et Andrew Czajkowski</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F30D9D" w:rsidRPr="001800B7" w:rsidRDefault="00F30D9D" w:rsidP="00F30D9D">
            <w:pPr>
              <w:spacing w:before="120" w:after="120"/>
              <w:rPr>
                <w:szCs w:val="22"/>
              </w:rPr>
            </w:pPr>
            <w:r w:rsidRPr="001800B7">
              <w:rPr>
                <w:szCs w:val="22"/>
                <w:u w:val="single"/>
              </w:rPr>
              <w:t>Liens avec les résultats escomptés dans le programme et budget pour 2012</w:t>
            </w:r>
            <w:r w:rsidR="001800B7" w:rsidRPr="001800B7">
              <w:rPr>
                <w:szCs w:val="22"/>
                <w:u w:val="single"/>
              </w:rPr>
              <w:noBreakHyphen/>
            </w:r>
            <w:r w:rsidRPr="001800B7">
              <w:rPr>
                <w:szCs w:val="22"/>
                <w:u w:val="single"/>
              </w:rPr>
              <w:t>2013</w:t>
            </w:r>
            <w:r w:rsidRPr="001800B7">
              <w:rPr>
                <w:szCs w:val="22"/>
              </w:rPr>
              <w:t xml:space="preserve"> </w:t>
            </w:r>
          </w:p>
        </w:tc>
        <w:tc>
          <w:tcPr>
            <w:tcW w:w="7266" w:type="dxa"/>
            <w:tcBorders>
              <w:top w:val="single" w:sz="4" w:space="0" w:color="auto"/>
              <w:left w:val="single" w:sz="4" w:space="0" w:color="auto"/>
              <w:bottom w:val="single" w:sz="4" w:space="0" w:color="auto"/>
              <w:right w:val="single" w:sz="4" w:space="0" w:color="auto"/>
            </w:tcBorders>
            <w:vAlign w:val="center"/>
          </w:tcPr>
          <w:p w:rsidR="00F30D9D" w:rsidRPr="001800B7" w:rsidRDefault="00F30D9D" w:rsidP="00F30D9D">
            <w:pPr>
              <w:autoSpaceDE w:val="0"/>
              <w:autoSpaceDN w:val="0"/>
              <w:adjustRightInd w:val="0"/>
              <w:spacing w:before="120" w:after="120"/>
              <w:rPr>
                <w:szCs w:val="22"/>
              </w:rPr>
            </w:pPr>
            <w:r w:rsidRPr="001800B7">
              <w:rPr>
                <w:i/>
                <w:szCs w:val="22"/>
              </w:rPr>
              <w:t>Objectif stratégique IV :</w:t>
            </w:r>
            <w:r w:rsidRPr="001800B7">
              <w:rPr>
                <w:szCs w:val="22"/>
              </w:rPr>
              <w:t xml:space="preserve"> Coordination et développement de l</w:t>
            </w:r>
            <w:r w:rsidR="005311D6" w:rsidRPr="001800B7">
              <w:rPr>
                <w:szCs w:val="22"/>
              </w:rPr>
              <w:t>’</w:t>
            </w:r>
            <w:r w:rsidRPr="001800B7">
              <w:rPr>
                <w:szCs w:val="22"/>
              </w:rPr>
              <w:t>infrastructure mondiale en matière de propriété intellectuelle.</w:t>
            </w:r>
          </w:p>
          <w:p w:rsidR="00F30D9D" w:rsidRPr="001800B7" w:rsidRDefault="00F30D9D" w:rsidP="00F30D9D">
            <w:pPr>
              <w:autoSpaceDE w:val="0"/>
              <w:autoSpaceDN w:val="0"/>
              <w:adjustRightInd w:val="0"/>
              <w:spacing w:before="120" w:after="120"/>
              <w:rPr>
                <w:i/>
                <w:szCs w:val="22"/>
              </w:rPr>
            </w:pPr>
            <w:r w:rsidRPr="001800B7">
              <w:rPr>
                <w:i/>
                <w:szCs w:val="22"/>
              </w:rPr>
              <w:t>Programme 14</w:t>
            </w:r>
            <w:r w:rsidR="001800B7" w:rsidRPr="001800B7">
              <w:rPr>
                <w:i/>
                <w:szCs w:val="22"/>
              </w:rPr>
              <w:t xml:space="preserve"> : </w:t>
            </w:r>
            <w:r w:rsidRPr="001800B7">
              <w:rPr>
                <w:szCs w:val="22"/>
              </w:rPr>
              <w:t>Services d‏</w:t>
            </w:r>
            <w:r w:rsidR="005311D6" w:rsidRPr="001800B7">
              <w:rPr>
                <w:szCs w:val="22"/>
              </w:rPr>
              <w:t>’</w:t>
            </w:r>
            <w:r w:rsidRPr="001800B7">
              <w:rPr>
                <w:szCs w:val="22"/>
              </w:rPr>
              <w:t xml:space="preserve">‎accès à </w:t>
            </w:r>
            <w:proofErr w:type="spellStart"/>
            <w:r w:rsidRPr="001800B7">
              <w:rPr>
                <w:szCs w:val="22"/>
              </w:rPr>
              <w:t>l</w:t>
            </w:r>
            <w:proofErr w:type="spellEnd"/>
            <w:r w:rsidRPr="001800B7">
              <w:rPr>
                <w:szCs w:val="22"/>
              </w:rPr>
              <w:t>‏</w:t>
            </w:r>
            <w:r w:rsidR="005311D6" w:rsidRPr="001800B7">
              <w:rPr>
                <w:szCs w:val="22"/>
              </w:rPr>
              <w:t>’</w:t>
            </w:r>
            <w:r w:rsidRPr="001800B7">
              <w:rPr>
                <w:szCs w:val="22"/>
              </w:rPr>
              <w:t>‎information et aux savoirs.</w:t>
            </w:r>
          </w:p>
          <w:p w:rsidR="00F30D9D" w:rsidRPr="001800B7" w:rsidRDefault="00F30D9D" w:rsidP="00F30D9D">
            <w:pPr>
              <w:spacing w:before="120" w:after="120"/>
              <w:rPr>
                <w:i/>
                <w:szCs w:val="22"/>
              </w:rPr>
            </w:pPr>
            <w:r w:rsidRPr="001800B7">
              <w:rPr>
                <w:i/>
                <w:szCs w:val="22"/>
              </w:rPr>
              <w:t>Résultat escompté IV.2</w:t>
            </w:r>
            <w:r w:rsidRPr="001800B7">
              <w:rPr>
                <w:szCs w:val="22"/>
              </w:rPr>
              <w:t> : amélioration de l</w:t>
            </w:r>
            <w:r w:rsidR="005311D6" w:rsidRPr="001800B7">
              <w:rPr>
                <w:szCs w:val="22"/>
              </w:rPr>
              <w:t>’</w:t>
            </w:r>
            <w:r w:rsidRPr="001800B7">
              <w:rPr>
                <w:szCs w:val="22"/>
              </w:rPr>
              <w:t>accès aux informations et au savoir en matière de propriété intellectuelle et leur utilisation par les institutions de propriété intellectuelle et le public au service de l</w:t>
            </w:r>
            <w:r w:rsidR="005311D6" w:rsidRPr="001800B7">
              <w:rPr>
                <w:szCs w:val="22"/>
              </w:rPr>
              <w:t>’</w:t>
            </w:r>
            <w:r w:rsidRPr="001800B7">
              <w:rPr>
                <w:szCs w:val="22"/>
              </w:rPr>
              <w:t>innovation, et facilité d</w:t>
            </w:r>
            <w:r w:rsidR="005311D6" w:rsidRPr="001800B7">
              <w:rPr>
                <w:szCs w:val="22"/>
              </w:rPr>
              <w:t>’</w:t>
            </w:r>
            <w:r w:rsidRPr="001800B7">
              <w:rPr>
                <w:szCs w:val="22"/>
              </w:rPr>
              <w:t>accès aux œuvres créatives et aux œuvres créatives tombées dans le domaine public.</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shd w:val="clear" w:color="auto" w:fill="auto"/>
          </w:tcPr>
          <w:p w:rsidR="00F30D9D" w:rsidRPr="001800B7" w:rsidRDefault="00F30D9D" w:rsidP="00F30D9D">
            <w:pPr>
              <w:spacing w:before="120" w:after="120"/>
              <w:rPr>
                <w:szCs w:val="22"/>
              </w:rPr>
            </w:pPr>
            <w:r w:rsidRPr="001800B7">
              <w:rPr>
                <w:szCs w:val="22"/>
              </w:rPr>
              <w:t>État d</w:t>
            </w:r>
            <w:r w:rsidR="005311D6" w:rsidRPr="001800B7">
              <w:rPr>
                <w:szCs w:val="22"/>
              </w:rPr>
              <w:t>’</w:t>
            </w:r>
            <w:r w:rsidRPr="001800B7">
              <w:rPr>
                <w:szCs w:val="22"/>
              </w:rPr>
              <w:t>avancement du projet</w:t>
            </w:r>
          </w:p>
        </w:tc>
        <w:tc>
          <w:tcPr>
            <w:tcW w:w="7266"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bCs/>
                <w:iCs/>
                <w:szCs w:val="22"/>
                <w:lang w:bidi="th-TH"/>
              </w:rPr>
            </w:pPr>
            <w:r w:rsidRPr="001800B7">
              <w:rPr>
                <w:bCs/>
                <w:iCs/>
                <w:szCs w:val="22"/>
                <w:lang w:bidi="th-TH"/>
              </w:rPr>
              <w:t>1.</w:t>
            </w:r>
            <w:r w:rsidRPr="001800B7">
              <w:rPr>
                <w:bCs/>
                <w:iCs/>
                <w:szCs w:val="22"/>
                <w:lang w:bidi="th-TH"/>
              </w:rPr>
              <w:tab/>
              <w:t>Assurer la pérennité du programme de formation mis en place pour la création des CATI, notamment les cours de formation sur le terrain et d</w:t>
            </w:r>
            <w:r w:rsidR="005311D6" w:rsidRPr="001800B7">
              <w:rPr>
                <w:bCs/>
                <w:iCs/>
                <w:szCs w:val="22"/>
                <w:lang w:bidi="th-TH"/>
              </w:rPr>
              <w:t>’</w:t>
            </w:r>
            <w:r w:rsidRPr="001800B7">
              <w:rPr>
                <w:bCs/>
                <w:iCs/>
                <w:szCs w:val="22"/>
                <w:lang w:bidi="th-TH"/>
              </w:rPr>
              <w:t>enseignement à distance;</w:t>
            </w:r>
          </w:p>
          <w:p w:rsidR="00F30D9D" w:rsidRPr="001800B7" w:rsidRDefault="00F30D9D" w:rsidP="00F30D9D">
            <w:pPr>
              <w:spacing w:before="120" w:after="120"/>
              <w:rPr>
                <w:bCs/>
                <w:iCs/>
                <w:szCs w:val="22"/>
                <w:lang w:bidi="th-TH"/>
              </w:rPr>
            </w:pPr>
            <w:r w:rsidRPr="001800B7">
              <w:rPr>
                <w:bCs/>
                <w:iCs/>
                <w:szCs w:val="22"/>
                <w:lang w:bidi="th-TH"/>
              </w:rPr>
              <w:t>2.</w:t>
            </w:r>
            <w:r w:rsidRPr="001800B7">
              <w:rPr>
                <w:bCs/>
                <w:iCs/>
                <w:szCs w:val="22"/>
                <w:lang w:bidi="th-TH"/>
              </w:rPr>
              <w:tab/>
              <w:t>améliorer l</w:t>
            </w:r>
            <w:r w:rsidR="005311D6" w:rsidRPr="001800B7">
              <w:rPr>
                <w:bCs/>
                <w:iCs/>
                <w:szCs w:val="22"/>
                <w:lang w:bidi="th-TH"/>
              </w:rPr>
              <w:t>’</w:t>
            </w:r>
            <w:r w:rsidRPr="001800B7">
              <w:rPr>
                <w:bCs/>
                <w:iCs/>
                <w:szCs w:val="22"/>
                <w:lang w:bidi="th-TH"/>
              </w:rPr>
              <w:t>utilisation et faciliter l</w:t>
            </w:r>
            <w:r w:rsidR="005311D6" w:rsidRPr="001800B7">
              <w:rPr>
                <w:bCs/>
                <w:iCs/>
                <w:szCs w:val="22"/>
                <w:lang w:bidi="th-TH"/>
              </w:rPr>
              <w:t>’</w:t>
            </w:r>
            <w:r w:rsidRPr="001800B7">
              <w:rPr>
                <w:bCs/>
                <w:iCs/>
                <w:szCs w:val="22"/>
                <w:lang w:bidi="th-TH"/>
              </w:rPr>
              <w:t>accès aux bases de données spécialisées sur les brevets et la littérature non</w:t>
            </w:r>
            <w:r w:rsidR="001800B7" w:rsidRPr="001800B7">
              <w:rPr>
                <w:bCs/>
                <w:iCs/>
                <w:szCs w:val="22"/>
                <w:lang w:bidi="th-TH"/>
              </w:rPr>
              <w:noBreakHyphen/>
            </w:r>
            <w:r w:rsidRPr="001800B7">
              <w:rPr>
                <w:bCs/>
                <w:iCs/>
                <w:szCs w:val="22"/>
                <w:lang w:bidi="th-TH"/>
              </w:rPr>
              <w:t>brevet par l</w:t>
            </w:r>
            <w:r w:rsidR="005311D6" w:rsidRPr="001800B7">
              <w:rPr>
                <w:bCs/>
                <w:iCs/>
                <w:szCs w:val="22"/>
                <w:lang w:bidi="th-TH"/>
              </w:rPr>
              <w:t>’</w:t>
            </w:r>
            <w:r w:rsidRPr="001800B7">
              <w:rPr>
                <w:bCs/>
                <w:iCs/>
                <w:szCs w:val="22"/>
                <w:lang w:bidi="th-TH"/>
              </w:rPr>
              <w:t>entremise des programmes d</w:t>
            </w:r>
            <w:r w:rsidR="005311D6" w:rsidRPr="001800B7">
              <w:rPr>
                <w:bCs/>
                <w:iCs/>
                <w:szCs w:val="22"/>
                <w:lang w:bidi="th-TH"/>
              </w:rPr>
              <w:t>’</w:t>
            </w:r>
            <w:r w:rsidRPr="001800B7">
              <w:rPr>
                <w:bCs/>
                <w:iCs/>
                <w:szCs w:val="22"/>
                <w:lang w:bidi="th-TH"/>
              </w:rPr>
              <w:t>accès à l</w:t>
            </w:r>
            <w:r w:rsidR="005311D6" w:rsidRPr="001800B7">
              <w:rPr>
                <w:bCs/>
                <w:iCs/>
                <w:szCs w:val="22"/>
                <w:lang w:bidi="th-TH"/>
              </w:rPr>
              <w:t>’</w:t>
            </w:r>
            <w:r w:rsidRPr="001800B7">
              <w:rPr>
                <w:bCs/>
                <w:iCs/>
                <w:szCs w:val="22"/>
                <w:lang w:bidi="th-TH"/>
              </w:rPr>
              <w:t>information spécialisée en matière de brevets (ASPI) et d</w:t>
            </w:r>
            <w:r w:rsidR="005311D6" w:rsidRPr="001800B7">
              <w:rPr>
                <w:bCs/>
                <w:iCs/>
                <w:szCs w:val="22"/>
                <w:lang w:bidi="th-TH"/>
              </w:rPr>
              <w:t>’</w:t>
            </w:r>
            <w:r w:rsidRPr="001800B7">
              <w:rPr>
                <w:bCs/>
                <w:iCs/>
                <w:szCs w:val="22"/>
                <w:lang w:bidi="th-TH"/>
              </w:rPr>
              <w:t>accès à la recherche pour le développement et l</w:t>
            </w:r>
            <w:r w:rsidR="005311D6" w:rsidRPr="001800B7">
              <w:rPr>
                <w:bCs/>
                <w:iCs/>
                <w:szCs w:val="22"/>
                <w:lang w:bidi="th-TH"/>
              </w:rPr>
              <w:t>’</w:t>
            </w:r>
            <w:r w:rsidRPr="001800B7">
              <w:rPr>
                <w:bCs/>
                <w:iCs/>
                <w:szCs w:val="22"/>
                <w:lang w:bidi="th-TH"/>
              </w:rPr>
              <w:t>innovation (ARDI);  et</w:t>
            </w:r>
          </w:p>
          <w:p w:rsidR="00F30D9D" w:rsidRPr="001800B7" w:rsidRDefault="00F30D9D" w:rsidP="00F30D9D">
            <w:pPr>
              <w:spacing w:before="120" w:after="120"/>
              <w:rPr>
                <w:bCs/>
                <w:iCs/>
                <w:szCs w:val="22"/>
                <w:lang w:bidi="th-TH"/>
              </w:rPr>
            </w:pPr>
            <w:r w:rsidRPr="001800B7">
              <w:rPr>
                <w:bCs/>
                <w:iCs/>
                <w:szCs w:val="22"/>
                <w:lang w:bidi="th-TH"/>
              </w:rPr>
              <w:t>3.</w:t>
            </w:r>
            <w:r w:rsidRPr="001800B7">
              <w:rPr>
                <w:bCs/>
                <w:iCs/>
                <w:szCs w:val="22"/>
                <w:lang w:bidi="th-TH"/>
              </w:rPr>
              <w:tab/>
              <w:t>établir une nouvelle plate</w:t>
            </w:r>
            <w:r w:rsidR="001800B7" w:rsidRPr="001800B7">
              <w:rPr>
                <w:bCs/>
                <w:iCs/>
                <w:szCs w:val="22"/>
                <w:lang w:bidi="th-TH"/>
              </w:rPr>
              <w:noBreakHyphen/>
            </w:r>
            <w:r w:rsidRPr="001800B7">
              <w:rPr>
                <w:bCs/>
                <w:iCs/>
                <w:szCs w:val="22"/>
                <w:lang w:bidi="th-TH"/>
              </w:rPr>
              <w:t>forme de gestion des savoirs des CATI pour faciliter les échanges entre les CATI à l</w:t>
            </w:r>
            <w:r w:rsidR="005311D6" w:rsidRPr="001800B7">
              <w:rPr>
                <w:bCs/>
                <w:iCs/>
                <w:szCs w:val="22"/>
                <w:lang w:bidi="th-TH"/>
              </w:rPr>
              <w:t>’</w:t>
            </w:r>
            <w:r w:rsidRPr="001800B7">
              <w:rPr>
                <w:bCs/>
                <w:iCs/>
                <w:szCs w:val="22"/>
                <w:lang w:bidi="th-TH"/>
              </w:rPr>
              <w:t>échelle nationale, régionale et internationale, dispenser une formation complémentaire aux CATI et diffuser des documents d</w:t>
            </w:r>
            <w:r w:rsidR="005311D6" w:rsidRPr="001800B7">
              <w:rPr>
                <w:bCs/>
                <w:iCs/>
                <w:szCs w:val="22"/>
                <w:lang w:bidi="th-TH"/>
              </w:rPr>
              <w:t>’</w:t>
            </w:r>
            <w:r w:rsidRPr="001800B7">
              <w:rPr>
                <w:bCs/>
                <w:iCs/>
                <w:szCs w:val="22"/>
                <w:lang w:bidi="th-TH"/>
              </w:rPr>
              <w:t>information aux CATI et au public.</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F30D9D" w:rsidRPr="001800B7" w:rsidRDefault="00F30D9D" w:rsidP="00F30D9D">
            <w:pPr>
              <w:spacing w:before="120" w:after="120"/>
              <w:rPr>
                <w:szCs w:val="22"/>
              </w:rPr>
            </w:pPr>
            <w:r w:rsidRPr="001800B7">
              <w:rPr>
                <w:szCs w:val="22"/>
              </w:rPr>
              <w:t>Exemples de succès ou d</w:t>
            </w:r>
            <w:r w:rsidR="005311D6" w:rsidRPr="001800B7">
              <w:rPr>
                <w:szCs w:val="22"/>
              </w:rPr>
              <w:t>’</w:t>
            </w:r>
            <w:r w:rsidRPr="001800B7">
              <w:rPr>
                <w:szCs w:val="22"/>
              </w:rPr>
              <w:t>effets positifs et principaux enseignements</w:t>
            </w:r>
          </w:p>
        </w:tc>
        <w:tc>
          <w:tcPr>
            <w:tcW w:w="7266" w:type="dxa"/>
            <w:tcBorders>
              <w:top w:val="single" w:sz="4" w:space="0" w:color="auto"/>
              <w:left w:val="single" w:sz="4" w:space="0" w:color="auto"/>
              <w:bottom w:val="single" w:sz="4" w:space="0" w:color="auto"/>
              <w:right w:val="single" w:sz="4" w:space="0" w:color="auto"/>
            </w:tcBorders>
          </w:tcPr>
          <w:p w:rsidR="00F30D9D" w:rsidRPr="001800B7" w:rsidRDefault="00F30D9D" w:rsidP="0010628F">
            <w:pPr>
              <w:pStyle w:val="ListParagraph"/>
              <w:numPr>
                <w:ilvl w:val="3"/>
                <w:numId w:val="4"/>
              </w:numPr>
              <w:spacing w:before="100" w:after="100"/>
              <w:ind w:left="0" w:firstLine="0"/>
              <w:contextualSpacing w:val="0"/>
              <w:rPr>
                <w:i/>
                <w:szCs w:val="22"/>
              </w:rPr>
            </w:pPr>
            <w:r w:rsidRPr="001800B7">
              <w:rPr>
                <w:i/>
                <w:szCs w:val="22"/>
              </w:rPr>
              <w:t>Programme de formation</w:t>
            </w:r>
          </w:p>
          <w:p w:rsidR="00F30D9D" w:rsidRPr="001800B7" w:rsidRDefault="00F30D9D" w:rsidP="002325F0">
            <w:pPr>
              <w:spacing w:before="100" w:after="100"/>
              <w:rPr>
                <w:szCs w:val="22"/>
              </w:rPr>
            </w:pPr>
            <w:r w:rsidRPr="001800B7">
              <w:rPr>
                <w:szCs w:val="22"/>
              </w:rPr>
              <w:t>La formation sur le terrain dans le cadre de la phase II a continué pour les États membres qui ont demandé à participer au projet CATI ou qui ont signé un accord sur le niveau de services.</w:t>
            </w:r>
          </w:p>
          <w:p w:rsidR="00F30D9D" w:rsidRPr="001800B7" w:rsidRDefault="00F30D9D" w:rsidP="002325F0">
            <w:pPr>
              <w:tabs>
                <w:tab w:val="num" w:pos="927"/>
              </w:tabs>
              <w:spacing w:before="100" w:after="100"/>
              <w:rPr>
                <w:szCs w:val="22"/>
              </w:rPr>
            </w:pPr>
            <w:r w:rsidRPr="001800B7">
              <w:rPr>
                <w:szCs w:val="22"/>
              </w:rPr>
              <w:t>Pendant la phase II, 56 ateliers de formation nationaux et 8 séminaires régionaux ont été organisés.</w:t>
            </w:r>
          </w:p>
          <w:p w:rsidR="00F30D9D" w:rsidRPr="001800B7" w:rsidRDefault="00F30D9D" w:rsidP="002325F0">
            <w:pPr>
              <w:spacing w:before="100" w:after="100"/>
              <w:rPr>
                <w:szCs w:val="22"/>
              </w:rPr>
            </w:pPr>
            <w:r w:rsidRPr="001800B7">
              <w:rPr>
                <w:szCs w:val="22"/>
              </w:rPr>
              <w:t>À ce jour, les activités de formation sur le terrain concernant le projet CATI depuis son lancement en 2009 (</w:t>
            </w:r>
            <w:r w:rsidR="005311D6" w:rsidRPr="001800B7">
              <w:rPr>
                <w:szCs w:val="22"/>
              </w:rPr>
              <w:t>y compris</w:t>
            </w:r>
            <w:r w:rsidRPr="001800B7">
              <w:rPr>
                <w:szCs w:val="22"/>
              </w:rPr>
              <w:t xml:space="preserve"> celles de la phase I) sont réparties comme suit :</w:t>
            </w:r>
          </w:p>
          <w:p w:rsidR="00F30D9D" w:rsidRPr="001800B7" w:rsidRDefault="00F30D9D" w:rsidP="0010628F">
            <w:pPr>
              <w:numPr>
                <w:ilvl w:val="0"/>
                <w:numId w:val="10"/>
              </w:numPr>
              <w:spacing w:before="120" w:after="120"/>
              <w:rPr>
                <w:szCs w:val="22"/>
              </w:rPr>
            </w:pPr>
            <w:r w:rsidRPr="001800B7">
              <w:rPr>
                <w:szCs w:val="22"/>
              </w:rPr>
              <w:t>48 ateliers de formation initiale (axée sur les bases de données gratuites concernant les brevets, telles que PATENTSCOPE);</w:t>
            </w:r>
          </w:p>
          <w:p w:rsidR="00F30D9D" w:rsidRPr="001800B7" w:rsidRDefault="00F30D9D" w:rsidP="0010628F">
            <w:pPr>
              <w:numPr>
                <w:ilvl w:val="0"/>
                <w:numId w:val="10"/>
              </w:numPr>
              <w:spacing w:before="120" w:after="120"/>
              <w:rPr>
                <w:szCs w:val="22"/>
              </w:rPr>
            </w:pPr>
            <w:r w:rsidRPr="001800B7">
              <w:rPr>
                <w:szCs w:val="22"/>
              </w:rPr>
              <w:t>23 ateliers de formation intermédiaire (axée sur les différentes méthodes de recherche de brevets, par exemple l</w:t>
            </w:r>
            <w:r w:rsidR="005311D6" w:rsidRPr="001800B7">
              <w:rPr>
                <w:szCs w:val="22"/>
              </w:rPr>
              <w:t>’</w:t>
            </w:r>
            <w:r w:rsidRPr="001800B7">
              <w:rPr>
                <w:szCs w:val="22"/>
              </w:rPr>
              <w:t>état de la technique ou la brevetabilité, et sur l</w:t>
            </w:r>
            <w:r w:rsidR="005311D6" w:rsidRPr="001800B7">
              <w:rPr>
                <w:szCs w:val="22"/>
              </w:rPr>
              <w:t>’</w:t>
            </w:r>
            <w:r w:rsidRPr="001800B7">
              <w:rPr>
                <w:szCs w:val="22"/>
              </w:rPr>
              <w:t>accès aux programmes Research4Life, notamment le programme ARDI);</w:t>
            </w:r>
          </w:p>
          <w:p w:rsidR="00F30D9D" w:rsidRPr="001800B7" w:rsidRDefault="00F30D9D" w:rsidP="0010628F">
            <w:pPr>
              <w:numPr>
                <w:ilvl w:val="0"/>
                <w:numId w:val="10"/>
              </w:numPr>
              <w:spacing w:before="120" w:after="120"/>
              <w:rPr>
                <w:szCs w:val="22"/>
              </w:rPr>
            </w:pPr>
            <w:r w:rsidRPr="001800B7">
              <w:rPr>
                <w:szCs w:val="22"/>
              </w:rPr>
              <w:t xml:space="preserve">10 ateliers de formation avancée (axée sur les bases de données commerciales concernant les brevets accessibles par </w:t>
            </w:r>
            <w:r w:rsidRPr="001800B7">
              <w:rPr>
                <w:szCs w:val="22"/>
              </w:rPr>
              <w:lastRenderedPageBreak/>
              <w:t>le programme ASPI et sur le développement de la clientèle (entreprises/particuliers));</w:t>
            </w:r>
          </w:p>
          <w:p w:rsidR="00F30D9D" w:rsidRPr="001800B7" w:rsidRDefault="00F30D9D" w:rsidP="00F30D9D">
            <w:pPr>
              <w:spacing w:before="120" w:after="120"/>
              <w:ind w:left="744"/>
              <w:rPr>
                <w:szCs w:val="22"/>
              </w:rPr>
            </w:pPr>
            <w:r w:rsidRPr="001800B7">
              <w:rPr>
                <w:szCs w:val="22"/>
              </w:rPr>
              <w:t>soit un total de 81 ateliers de formation nationaux, ainsi que</w:t>
            </w:r>
          </w:p>
          <w:p w:rsidR="00F30D9D" w:rsidRPr="001800B7" w:rsidRDefault="00F30D9D" w:rsidP="0010628F">
            <w:pPr>
              <w:numPr>
                <w:ilvl w:val="0"/>
                <w:numId w:val="10"/>
              </w:numPr>
              <w:spacing w:before="120" w:after="120"/>
              <w:rPr>
                <w:szCs w:val="22"/>
              </w:rPr>
            </w:pPr>
            <w:r w:rsidRPr="001800B7">
              <w:rPr>
                <w:szCs w:val="22"/>
              </w:rPr>
              <w:t>12 conférences régionales (promotion et formation de base).</w:t>
            </w:r>
          </w:p>
          <w:p w:rsidR="00F30D9D" w:rsidRPr="001800B7" w:rsidRDefault="00F30D9D" w:rsidP="00F30D9D">
            <w:pPr>
              <w:spacing w:before="120" w:after="120"/>
              <w:rPr>
                <w:szCs w:val="22"/>
              </w:rPr>
            </w:pPr>
            <w:r w:rsidRPr="001800B7">
              <w:rPr>
                <w:szCs w:val="22"/>
              </w:rPr>
              <w:t>Sur cette période, un total de 39 réseaux de CATI ont été créés;  on entend par là ceux qui ont signé un accord sur le niveau de services et ceux qui ont suivi au moins un premier atelier de formation.</w:t>
            </w:r>
          </w:p>
          <w:p w:rsidR="00F30D9D" w:rsidRPr="001800B7" w:rsidRDefault="00F30D9D" w:rsidP="00F30D9D">
            <w:pPr>
              <w:spacing w:before="120" w:after="120"/>
              <w:rPr>
                <w:szCs w:val="22"/>
              </w:rPr>
            </w:pPr>
            <w:r w:rsidRPr="001800B7">
              <w:rPr>
                <w:szCs w:val="22"/>
              </w:rPr>
              <w:t>On estime à plus de 5000 le nombre de participants qui ont été formés pendant ces ateliers et conférences.</w:t>
            </w:r>
          </w:p>
          <w:p w:rsidR="00F30D9D" w:rsidRPr="001800B7" w:rsidRDefault="00F30D9D" w:rsidP="00F30D9D">
            <w:pPr>
              <w:spacing w:before="120" w:after="120"/>
              <w:rPr>
                <w:szCs w:val="22"/>
              </w:rPr>
            </w:pPr>
            <w:r w:rsidRPr="001800B7">
              <w:rPr>
                <w:szCs w:val="22"/>
              </w:rPr>
              <w:t>Par ailleurs, on a, en étroite coopération avec l</w:t>
            </w:r>
            <w:r w:rsidR="005311D6" w:rsidRPr="001800B7">
              <w:rPr>
                <w:szCs w:val="22"/>
              </w:rPr>
              <w:t>’</w:t>
            </w:r>
            <w:r w:rsidRPr="001800B7">
              <w:rPr>
                <w:szCs w:val="22"/>
              </w:rPr>
              <w:t>Académie de l</w:t>
            </w:r>
            <w:r w:rsidR="005311D6" w:rsidRPr="001800B7">
              <w:rPr>
                <w:szCs w:val="22"/>
              </w:rPr>
              <w:t>’</w:t>
            </w:r>
            <w:r w:rsidRPr="001800B7">
              <w:rPr>
                <w:szCs w:val="22"/>
              </w:rPr>
              <w:t>OMPI, proposé des cours de formation à distance gratuits au personnel des CATI accrédités.  Plus de 2500 participants se sont inscrits à ces cours ces dernières années.</w:t>
            </w:r>
          </w:p>
          <w:p w:rsidR="00F30D9D" w:rsidRPr="001800B7" w:rsidRDefault="00F30D9D" w:rsidP="0010628F">
            <w:pPr>
              <w:pStyle w:val="ListParagraph"/>
              <w:numPr>
                <w:ilvl w:val="0"/>
                <w:numId w:val="4"/>
              </w:numPr>
              <w:spacing w:before="120" w:after="120"/>
              <w:ind w:left="0" w:firstLine="0"/>
              <w:contextualSpacing w:val="0"/>
              <w:rPr>
                <w:i/>
                <w:szCs w:val="22"/>
              </w:rPr>
            </w:pPr>
            <w:r w:rsidRPr="001800B7">
              <w:rPr>
                <w:i/>
                <w:szCs w:val="22"/>
              </w:rPr>
              <w:t>Programmes ARDI et</w:t>
            </w:r>
            <w:r w:rsidRPr="001800B7">
              <w:rPr>
                <w:szCs w:val="22"/>
              </w:rPr>
              <w:t xml:space="preserve"> </w:t>
            </w:r>
            <w:r w:rsidRPr="001800B7">
              <w:rPr>
                <w:i/>
                <w:szCs w:val="22"/>
              </w:rPr>
              <w:t>ASPI</w:t>
            </w:r>
          </w:p>
          <w:p w:rsidR="00F30D9D" w:rsidRPr="001800B7" w:rsidRDefault="00F30D9D" w:rsidP="00F30D9D">
            <w:pPr>
              <w:spacing w:before="120" w:after="120"/>
              <w:rPr>
                <w:szCs w:val="22"/>
              </w:rPr>
            </w:pPr>
            <w:r w:rsidRPr="001800B7">
              <w:rPr>
                <w:szCs w:val="22"/>
              </w:rPr>
              <w:t>Le programme d</w:t>
            </w:r>
            <w:r w:rsidR="005311D6" w:rsidRPr="001800B7">
              <w:rPr>
                <w:szCs w:val="22"/>
              </w:rPr>
              <w:t>’</w:t>
            </w:r>
            <w:r w:rsidRPr="001800B7">
              <w:rPr>
                <w:szCs w:val="22"/>
              </w:rPr>
              <w:t>accès à la recherche pour le développement et l</w:t>
            </w:r>
            <w:r w:rsidR="005311D6" w:rsidRPr="001800B7">
              <w:rPr>
                <w:szCs w:val="22"/>
              </w:rPr>
              <w:t>’</w:t>
            </w:r>
            <w:r w:rsidRPr="001800B7">
              <w:rPr>
                <w:szCs w:val="22"/>
              </w:rPr>
              <w:t>innovation (ARDI), qui facilite l</w:t>
            </w:r>
            <w:r w:rsidR="005311D6" w:rsidRPr="001800B7">
              <w:rPr>
                <w:szCs w:val="22"/>
              </w:rPr>
              <w:t>’</w:t>
            </w:r>
            <w:r w:rsidRPr="001800B7">
              <w:rPr>
                <w:szCs w:val="22"/>
              </w:rPr>
              <w:t>accès aux revues scientifiques et techniques, offrait, fin 2013, un accès à 207 établissements inscrits.</w:t>
            </w:r>
          </w:p>
          <w:p w:rsidR="00F30D9D" w:rsidRPr="001800B7" w:rsidRDefault="00F30D9D" w:rsidP="00F30D9D">
            <w:pPr>
              <w:spacing w:before="120" w:after="120"/>
              <w:rPr>
                <w:szCs w:val="22"/>
              </w:rPr>
            </w:pPr>
            <w:r w:rsidRPr="001800B7">
              <w:rPr>
                <w:szCs w:val="22"/>
              </w:rPr>
              <w:t>Le programme ARDI met à disposition quelque 3900 revues examinées par des pairs, publiées par 17 éditeurs partenaires, et donne accès à plus de 16 000 livres électroniques.  Le partenariat Research4Life (R4L), dont font partie le programme ARDI et d</w:t>
            </w:r>
            <w:r w:rsidR="005311D6" w:rsidRPr="001800B7">
              <w:rPr>
                <w:szCs w:val="22"/>
              </w:rPr>
              <w:t>’</w:t>
            </w:r>
            <w:r w:rsidRPr="001800B7">
              <w:rPr>
                <w:szCs w:val="22"/>
              </w:rPr>
              <w:t>autres programmes d</w:t>
            </w:r>
            <w:r w:rsidR="005311D6" w:rsidRPr="001800B7">
              <w:rPr>
                <w:szCs w:val="22"/>
              </w:rPr>
              <w:t>’</w:t>
            </w:r>
            <w:r w:rsidRPr="001800B7">
              <w:rPr>
                <w:szCs w:val="22"/>
              </w:rPr>
              <w:t xml:space="preserve">accès au savoir administrés par les institutions spécialisées des </w:t>
            </w:r>
            <w:r w:rsidR="005311D6" w:rsidRPr="001800B7">
              <w:rPr>
                <w:szCs w:val="22"/>
              </w:rPr>
              <w:t>Nations Unies</w:t>
            </w:r>
            <w:r w:rsidRPr="001800B7">
              <w:rPr>
                <w:szCs w:val="22"/>
              </w:rPr>
              <w:t xml:space="preserve"> (FAO, PNUE et OMS), donne accès à plus de 45 000 revues et livres électroniques.</w:t>
            </w:r>
          </w:p>
          <w:p w:rsidR="00F30D9D" w:rsidRPr="001800B7" w:rsidRDefault="00F30D9D" w:rsidP="00F30D9D">
            <w:pPr>
              <w:spacing w:before="120" w:after="120"/>
              <w:rPr>
                <w:szCs w:val="22"/>
              </w:rPr>
            </w:pPr>
            <w:r w:rsidRPr="001800B7">
              <w:rPr>
                <w:szCs w:val="22"/>
              </w:rPr>
              <w:t>Le nombre d</w:t>
            </w:r>
            <w:r w:rsidR="005311D6" w:rsidRPr="001800B7">
              <w:rPr>
                <w:szCs w:val="22"/>
              </w:rPr>
              <w:t>’</w:t>
            </w:r>
            <w:r w:rsidRPr="001800B7">
              <w:rPr>
                <w:szCs w:val="22"/>
              </w:rPr>
              <w:t>utilisateurs du programme d</w:t>
            </w:r>
            <w:r w:rsidR="005311D6" w:rsidRPr="001800B7">
              <w:rPr>
                <w:szCs w:val="22"/>
              </w:rPr>
              <w:t>’</w:t>
            </w:r>
            <w:r w:rsidRPr="001800B7">
              <w:rPr>
                <w:szCs w:val="22"/>
              </w:rPr>
              <w:t>accès à l</w:t>
            </w:r>
            <w:r w:rsidR="005311D6" w:rsidRPr="001800B7">
              <w:rPr>
                <w:szCs w:val="22"/>
              </w:rPr>
              <w:t>’</w:t>
            </w:r>
            <w:r w:rsidRPr="001800B7">
              <w:rPr>
                <w:szCs w:val="22"/>
              </w:rPr>
              <w:t>information spécialisée en matière de brevets (ASPI), qui facilite l</w:t>
            </w:r>
            <w:r w:rsidR="005311D6" w:rsidRPr="001800B7">
              <w:rPr>
                <w:szCs w:val="22"/>
              </w:rPr>
              <w:t>’</w:t>
            </w:r>
            <w:r w:rsidRPr="001800B7">
              <w:rPr>
                <w:szCs w:val="22"/>
              </w:rPr>
              <w:t>accès aux bases de données commerciales spécialisées concernant les brevets, continue d</w:t>
            </w:r>
            <w:r w:rsidR="005311D6" w:rsidRPr="001800B7">
              <w:rPr>
                <w:szCs w:val="22"/>
              </w:rPr>
              <w:t>’</w:t>
            </w:r>
            <w:r w:rsidRPr="001800B7">
              <w:rPr>
                <w:szCs w:val="22"/>
              </w:rPr>
              <w:t>augmenter, même si cette augmentation est moins soutenue que celle observée pour le programme ARDI.  Au total, fin 2013, un peu plus de 60 utilisateurs se sont inscrits au programme, dont 20 utilisent activement les bases de données disponibles dans le cadre du programme ASPI.</w:t>
            </w:r>
          </w:p>
          <w:p w:rsidR="00F30D9D" w:rsidRPr="001800B7" w:rsidRDefault="00F30D9D" w:rsidP="0010628F">
            <w:pPr>
              <w:numPr>
                <w:ilvl w:val="0"/>
                <w:numId w:val="4"/>
              </w:numPr>
              <w:spacing w:before="120" w:after="120"/>
              <w:ind w:hanging="720"/>
              <w:rPr>
                <w:i/>
                <w:szCs w:val="22"/>
              </w:rPr>
            </w:pPr>
            <w:r w:rsidRPr="001800B7">
              <w:rPr>
                <w:i/>
                <w:szCs w:val="22"/>
              </w:rPr>
              <w:t>Gestion des connaissances des CATI</w:t>
            </w:r>
          </w:p>
          <w:p w:rsidR="00F30D9D" w:rsidRDefault="00F30D9D" w:rsidP="00F30D9D">
            <w:pPr>
              <w:spacing w:before="120" w:after="120"/>
              <w:rPr>
                <w:szCs w:val="22"/>
              </w:rPr>
            </w:pPr>
            <w:r w:rsidRPr="001800B7">
              <w:rPr>
                <w:szCs w:val="22"/>
              </w:rPr>
              <w:t>La plate</w:t>
            </w:r>
            <w:r w:rsidR="001800B7" w:rsidRPr="001800B7">
              <w:rPr>
                <w:szCs w:val="22"/>
              </w:rPr>
              <w:noBreakHyphen/>
            </w:r>
            <w:r w:rsidRPr="001800B7">
              <w:rPr>
                <w:szCs w:val="22"/>
              </w:rPr>
              <w:t>forme de gestion des connaissances “</w:t>
            </w:r>
            <w:proofErr w:type="spellStart"/>
            <w:r w:rsidRPr="001800B7">
              <w:rPr>
                <w:szCs w:val="22"/>
              </w:rPr>
              <w:t>eTISC</w:t>
            </w:r>
            <w:proofErr w:type="spellEnd"/>
            <w:r w:rsidRPr="001800B7">
              <w:rPr>
                <w:szCs w:val="22"/>
              </w:rPr>
              <w:t>”, visant à soutenir les CATI et les réseaux de CATI, a été lancée en novembre 2012.  Elle contient des forums, des groupes de discussion, des blogs, des informations sur les événements à venir, des vidéos et des photos concernant le projet, ainsi que des formations à distance et en ligne sous la forme de séminaires sur le Web.  Depuis juin 2013, 7 séminaires sur le Web (6 en anglais, 1 en français) ont été donnés en direct;  les enregistrements ont été mis à disposition sur la plate</w:t>
            </w:r>
            <w:r w:rsidR="001800B7" w:rsidRPr="001800B7">
              <w:rPr>
                <w:szCs w:val="22"/>
              </w:rPr>
              <w:noBreakHyphen/>
            </w:r>
            <w:r w:rsidRPr="001800B7">
              <w:rPr>
                <w:szCs w:val="22"/>
              </w:rPr>
              <w:t xml:space="preserve">forme </w:t>
            </w:r>
            <w:proofErr w:type="spellStart"/>
            <w:r w:rsidRPr="001800B7">
              <w:rPr>
                <w:szCs w:val="22"/>
              </w:rPr>
              <w:t>eTISC</w:t>
            </w:r>
            <w:proofErr w:type="spellEnd"/>
            <w:r w:rsidRPr="001800B7">
              <w:rPr>
                <w:szCs w:val="22"/>
              </w:rPr>
              <w:t xml:space="preserve"> et sur le site Web consacré aux CATI.  Il est prévu d</w:t>
            </w:r>
            <w:r w:rsidR="005311D6" w:rsidRPr="001800B7">
              <w:rPr>
                <w:szCs w:val="22"/>
              </w:rPr>
              <w:t>’</w:t>
            </w:r>
            <w:r w:rsidRPr="001800B7">
              <w:rPr>
                <w:szCs w:val="22"/>
              </w:rPr>
              <w:t>organiser régulièrement d</w:t>
            </w:r>
            <w:r w:rsidR="005311D6" w:rsidRPr="001800B7">
              <w:rPr>
                <w:szCs w:val="22"/>
              </w:rPr>
              <w:t>’</w:t>
            </w:r>
            <w:r w:rsidRPr="001800B7">
              <w:rPr>
                <w:szCs w:val="22"/>
              </w:rPr>
              <w:t>autres séminaires sur le Web en anglais, en français, en espagnol, en russe et en arabe.  Un autre trait distinctif de la plate</w:t>
            </w:r>
            <w:r w:rsidR="001800B7" w:rsidRPr="001800B7">
              <w:rPr>
                <w:szCs w:val="22"/>
              </w:rPr>
              <w:noBreakHyphen/>
            </w:r>
            <w:r w:rsidRPr="001800B7">
              <w:rPr>
                <w:szCs w:val="22"/>
              </w:rPr>
              <w:t xml:space="preserve">forme </w:t>
            </w:r>
            <w:proofErr w:type="spellStart"/>
            <w:r w:rsidRPr="001800B7">
              <w:rPr>
                <w:szCs w:val="22"/>
              </w:rPr>
              <w:t>eTISC</w:t>
            </w:r>
            <w:proofErr w:type="spellEnd"/>
            <w:r w:rsidRPr="001800B7">
              <w:rPr>
                <w:szCs w:val="22"/>
              </w:rPr>
              <w:t xml:space="preserve"> est sa rubrique “Demandez à l</w:t>
            </w:r>
            <w:r w:rsidR="005311D6" w:rsidRPr="001800B7">
              <w:rPr>
                <w:szCs w:val="22"/>
              </w:rPr>
              <w:t>’</w:t>
            </w:r>
            <w:r w:rsidRPr="001800B7">
              <w:rPr>
                <w:szCs w:val="22"/>
              </w:rPr>
              <w:t>expert” qui permet à des spécialistes de réputation internationale de partager leur expérience en matière de propriété intellectuelle dans le cadre de séances de questions et de réponses avec les membres de la plate</w:t>
            </w:r>
            <w:r w:rsidR="001800B7" w:rsidRPr="001800B7">
              <w:rPr>
                <w:szCs w:val="22"/>
              </w:rPr>
              <w:noBreakHyphen/>
            </w:r>
            <w:r w:rsidRPr="001800B7">
              <w:rPr>
                <w:szCs w:val="22"/>
              </w:rPr>
              <w:t xml:space="preserve">forme </w:t>
            </w:r>
            <w:proofErr w:type="spellStart"/>
            <w:r w:rsidRPr="001800B7">
              <w:rPr>
                <w:szCs w:val="22"/>
              </w:rPr>
              <w:t>eTISC</w:t>
            </w:r>
            <w:proofErr w:type="spellEnd"/>
            <w:r w:rsidRPr="001800B7">
              <w:rPr>
                <w:szCs w:val="22"/>
              </w:rPr>
              <w:t>.</w:t>
            </w:r>
          </w:p>
          <w:p w:rsidR="00F10337" w:rsidRPr="001800B7" w:rsidRDefault="00F10337" w:rsidP="00F30D9D">
            <w:pPr>
              <w:spacing w:before="120" w:after="120"/>
              <w:rPr>
                <w:szCs w:val="22"/>
              </w:rPr>
            </w:pPr>
          </w:p>
          <w:p w:rsidR="00F30D9D" w:rsidRPr="001800B7" w:rsidRDefault="00F30D9D" w:rsidP="00F30D9D">
            <w:pPr>
              <w:spacing w:before="120" w:after="120"/>
              <w:rPr>
                <w:szCs w:val="22"/>
              </w:rPr>
            </w:pPr>
            <w:r w:rsidRPr="001800B7">
              <w:rPr>
                <w:szCs w:val="22"/>
              </w:rPr>
              <w:lastRenderedPageBreak/>
              <w:t>Fin décembre 2013, la plate</w:t>
            </w:r>
            <w:r w:rsidR="001800B7" w:rsidRPr="001800B7">
              <w:rPr>
                <w:szCs w:val="22"/>
              </w:rPr>
              <w:noBreakHyphen/>
            </w:r>
            <w:r w:rsidRPr="001800B7">
              <w:rPr>
                <w:szCs w:val="22"/>
              </w:rPr>
              <w:t xml:space="preserve">forme </w:t>
            </w:r>
            <w:proofErr w:type="spellStart"/>
            <w:r w:rsidRPr="001800B7">
              <w:rPr>
                <w:szCs w:val="22"/>
              </w:rPr>
              <w:t>eTISC</w:t>
            </w:r>
            <w:proofErr w:type="spellEnd"/>
            <w:r w:rsidRPr="001800B7">
              <w:rPr>
                <w:szCs w:val="22"/>
              </w:rPr>
              <w:t xml:space="preserve"> comptait plus de 650 membres, et ce chiffre ne cesse de croître.</w:t>
            </w:r>
          </w:p>
          <w:p w:rsidR="00F30D9D" w:rsidRPr="001800B7" w:rsidRDefault="00F30D9D" w:rsidP="00F30D9D">
            <w:pPr>
              <w:spacing w:before="120" w:after="120"/>
              <w:rPr>
                <w:szCs w:val="22"/>
              </w:rPr>
            </w:pPr>
            <w:r w:rsidRPr="001800B7">
              <w:rPr>
                <w:szCs w:val="22"/>
              </w:rPr>
              <w:t>Lors de la phase II, on a procédé à la refonte complète du site Web consacré aux CATI afin de renforcer la portée et l</w:t>
            </w:r>
            <w:r w:rsidR="005311D6" w:rsidRPr="001800B7">
              <w:rPr>
                <w:szCs w:val="22"/>
              </w:rPr>
              <w:t>’</w:t>
            </w:r>
            <w:r w:rsidRPr="001800B7">
              <w:rPr>
                <w:szCs w:val="22"/>
              </w:rPr>
              <w:t>accessibilité des informations disponibles en ligne, notamment grâce à un répertoire complet des CATI existant dans le monde, et de promouvoir l</w:t>
            </w:r>
            <w:r w:rsidR="005311D6" w:rsidRPr="001800B7">
              <w:rPr>
                <w:szCs w:val="22"/>
              </w:rPr>
              <w:t>’</w:t>
            </w:r>
            <w:r w:rsidRPr="001800B7">
              <w:rPr>
                <w:szCs w:val="22"/>
              </w:rPr>
              <w:t>utilisation des ressources, notamment les séminaires sur le Web et le didacticiel en ligne sur l</w:t>
            </w:r>
            <w:r w:rsidR="005311D6" w:rsidRPr="001800B7">
              <w:rPr>
                <w:szCs w:val="22"/>
              </w:rPr>
              <w:t>’</w:t>
            </w:r>
            <w:r w:rsidRPr="001800B7">
              <w:rPr>
                <w:szCs w:val="22"/>
              </w:rPr>
              <w:t>utilisation et l</w:t>
            </w:r>
            <w:r w:rsidR="005311D6" w:rsidRPr="001800B7">
              <w:rPr>
                <w:szCs w:val="22"/>
              </w:rPr>
              <w:t>’</w:t>
            </w:r>
            <w:r w:rsidRPr="001800B7">
              <w:rPr>
                <w:szCs w:val="22"/>
              </w:rPr>
              <w:t>exploitation de l</w:t>
            </w:r>
            <w:r w:rsidR="005311D6" w:rsidRPr="001800B7">
              <w:rPr>
                <w:szCs w:val="22"/>
              </w:rPr>
              <w:t>’</w:t>
            </w:r>
            <w:r w:rsidRPr="001800B7">
              <w:rPr>
                <w:szCs w:val="22"/>
              </w:rPr>
              <w:t>information en matière de brevets.</w:t>
            </w:r>
          </w:p>
          <w:p w:rsidR="00F30D9D" w:rsidRPr="001800B7" w:rsidRDefault="00F30D9D" w:rsidP="00F30D9D">
            <w:pPr>
              <w:spacing w:before="120" w:after="120"/>
              <w:rPr>
                <w:szCs w:val="22"/>
              </w:rPr>
            </w:pPr>
            <w:r w:rsidRPr="001800B7">
              <w:rPr>
                <w:szCs w:val="22"/>
              </w:rPr>
              <w:t>Le didacticiel en ligne a été consulté plus de 5000 fois sur le site Web des CATI et quelque 2000 copies ont été diffusées sur demande aux CATI et aux particuliers sur CD</w:t>
            </w:r>
            <w:r w:rsidR="001800B7" w:rsidRPr="001800B7">
              <w:rPr>
                <w:szCs w:val="22"/>
              </w:rPr>
              <w:noBreakHyphen/>
            </w:r>
            <w:r w:rsidRPr="001800B7">
              <w:rPr>
                <w:szCs w:val="22"/>
              </w:rPr>
              <w:t>ROM depuis son lancement en octobre 2012.</w:t>
            </w:r>
          </w:p>
          <w:p w:rsidR="00F30D9D" w:rsidRPr="001800B7" w:rsidRDefault="00F30D9D" w:rsidP="0010628F">
            <w:pPr>
              <w:pStyle w:val="ListParagraph"/>
              <w:numPr>
                <w:ilvl w:val="0"/>
                <w:numId w:val="4"/>
              </w:numPr>
              <w:spacing w:before="120" w:after="120"/>
              <w:ind w:hanging="685"/>
              <w:contextualSpacing w:val="0"/>
              <w:rPr>
                <w:i/>
                <w:szCs w:val="22"/>
              </w:rPr>
            </w:pPr>
            <w:r w:rsidRPr="001800B7">
              <w:rPr>
                <w:i/>
                <w:szCs w:val="22"/>
              </w:rPr>
              <w:t>Incidences et enseignements tirés</w:t>
            </w:r>
          </w:p>
          <w:p w:rsidR="00F30D9D" w:rsidRPr="001800B7" w:rsidRDefault="00F30D9D" w:rsidP="00F30D9D">
            <w:pPr>
              <w:spacing w:before="120" w:after="120"/>
              <w:rPr>
                <w:szCs w:val="22"/>
              </w:rPr>
            </w:pPr>
            <w:r w:rsidRPr="001800B7">
              <w:rPr>
                <w:szCs w:val="22"/>
              </w:rPr>
              <w:t>Les commentaires réguliers des CATI indiquent que le projet a des incidences positives sur leurs établissements et leurs utilisateurs, comme on peut le lire dans le résumé du rapport de l</w:t>
            </w:r>
            <w:r w:rsidR="005311D6" w:rsidRPr="001800B7">
              <w:rPr>
                <w:szCs w:val="22"/>
              </w:rPr>
              <w:t>’</w:t>
            </w:r>
            <w:r w:rsidRPr="001800B7">
              <w:rPr>
                <w:szCs w:val="22"/>
              </w:rPr>
              <w:t>enquête sur l</w:t>
            </w:r>
            <w:r w:rsidR="005311D6" w:rsidRPr="001800B7">
              <w:rPr>
                <w:szCs w:val="22"/>
              </w:rPr>
              <w:t>’</w:t>
            </w:r>
            <w:r w:rsidRPr="001800B7">
              <w:rPr>
                <w:szCs w:val="22"/>
              </w:rPr>
              <w:t>état d</w:t>
            </w:r>
            <w:r w:rsidR="005311D6" w:rsidRPr="001800B7">
              <w:rPr>
                <w:szCs w:val="22"/>
              </w:rPr>
              <w:t>’</w:t>
            </w:r>
            <w:r w:rsidRPr="001800B7">
              <w:rPr>
                <w:szCs w:val="22"/>
              </w:rPr>
              <w:t>avancement et l</w:t>
            </w:r>
            <w:r w:rsidR="005311D6" w:rsidRPr="001800B7">
              <w:rPr>
                <w:szCs w:val="22"/>
              </w:rPr>
              <w:t>’</w:t>
            </w:r>
            <w:r w:rsidRPr="001800B7">
              <w:rPr>
                <w:szCs w:val="22"/>
              </w:rPr>
              <w:t>évaluation des besoins, disponible à l</w:t>
            </w:r>
            <w:r w:rsidR="005311D6" w:rsidRPr="001800B7">
              <w:rPr>
                <w:szCs w:val="22"/>
              </w:rPr>
              <w:t>’</w:t>
            </w:r>
            <w:r w:rsidRPr="001800B7">
              <w:rPr>
                <w:szCs w:val="22"/>
              </w:rPr>
              <w:t>adresse suivante :</w:t>
            </w:r>
          </w:p>
          <w:p w:rsidR="00F30D9D" w:rsidRPr="001800B7" w:rsidRDefault="007C1A09" w:rsidP="00F30D9D">
            <w:pPr>
              <w:spacing w:before="120" w:after="120"/>
              <w:rPr>
                <w:szCs w:val="22"/>
              </w:rPr>
            </w:pPr>
            <w:hyperlink r:id="rId60" w:history="1">
              <w:r w:rsidR="00F30D9D" w:rsidRPr="001800B7">
                <w:rPr>
                  <w:szCs w:val="22"/>
                  <w:u w:val="single"/>
                </w:rPr>
                <w:t>http://www.wipo.int/export/sites/www/tisc/en/doc/tisc_survey_2013.pdf</w:t>
              </w:r>
            </w:hyperlink>
          </w:p>
          <w:p w:rsidR="00F30D9D" w:rsidRPr="001800B7" w:rsidRDefault="00F30D9D" w:rsidP="00F30D9D">
            <w:pPr>
              <w:spacing w:before="120" w:after="120"/>
              <w:rPr>
                <w:szCs w:val="22"/>
              </w:rPr>
            </w:pPr>
            <w:r w:rsidRPr="001800B7">
              <w:rPr>
                <w:szCs w:val="22"/>
              </w:rPr>
              <w:t>Aux fins de comparaison, le rapport pour l</w:t>
            </w:r>
            <w:r w:rsidR="005311D6" w:rsidRPr="001800B7">
              <w:rPr>
                <w:szCs w:val="22"/>
              </w:rPr>
              <w:t>’</w:t>
            </w:r>
            <w:r w:rsidRPr="001800B7">
              <w:rPr>
                <w:szCs w:val="22"/>
              </w:rPr>
              <w:t>année 2012 peut être consulté à l</w:t>
            </w:r>
            <w:r w:rsidR="005311D6" w:rsidRPr="001800B7">
              <w:rPr>
                <w:szCs w:val="22"/>
              </w:rPr>
              <w:t>’</w:t>
            </w:r>
            <w:r w:rsidRPr="001800B7">
              <w:rPr>
                <w:szCs w:val="22"/>
              </w:rPr>
              <w:t>adresse suivante :</w:t>
            </w:r>
          </w:p>
          <w:p w:rsidR="00F30D9D" w:rsidRPr="001800B7" w:rsidRDefault="007C1A09" w:rsidP="00F30D9D">
            <w:pPr>
              <w:spacing w:before="120" w:after="120"/>
              <w:rPr>
                <w:szCs w:val="22"/>
              </w:rPr>
            </w:pPr>
            <w:hyperlink r:id="rId61" w:history="1">
              <w:r w:rsidR="00F30D9D" w:rsidRPr="001800B7">
                <w:rPr>
                  <w:szCs w:val="22"/>
                  <w:u w:val="single"/>
                </w:rPr>
                <w:t>http://www.wipo.int/export/sites/www/tisc/en/doc/tisc_survey_2012.pdf</w:t>
              </w:r>
            </w:hyperlink>
          </w:p>
          <w:p w:rsidR="00F30D9D" w:rsidRPr="001800B7" w:rsidRDefault="00F30D9D" w:rsidP="00F30D9D">
            <w:pPr>
              <w:spacing w:before="120" w:after="120"/>
              <w:rPr>
                <w:szCs w:val="22"/>
              </w:rPr>
            </w:pPr>
            <w:r w:rsidRPr="001800B7">
              <w:rPr>
                <w:szCs w:val="22"/>
              </w:rPr>
              <w:t>et celui pour l</w:t>
            </w:r>
            <w:r w:rsidR="005311D6" w:rsidRPr="001800B7">
              <w:rPr>
                <w:szCs w:val="22"/>
              </w:rPr>
              <w:t>’</w:t>
            </w:r>
            <w:r w:rsidRPr="001800B7">
              <w:rPr>
                <w:szCs w:val="22"/>
              </w:rPr>
              <w:t>année 2011 à l</w:t>
            </w:r>
            <w:r w:rsidR="005311D6" w:rsidRPr="001800B7">
              <w:rPr>
                <w:szCs w:val="22"/>
              </w:rPr>
              <w:t>’</w:t>
            </w:r>
            <w:r w:rsidRPr="001800B7">
              <w:rPr>
                <w:szCs w:val="22"/>
              </w:rPr>
              <w:t>adresse suivante :</w:t>
            </w:r>
          </w:p>
          <w:p w:rsidR="00F30D9D" w:rsidRPr="001800B7" w:rsidRDefault="007C1A09" w:rsidP="00F30D9D">
            <w:pPr>
              <w:spacing w:before="120" w:after="120"/>
              <w:rPr>
                <w:szCs w:val="22"/>
              </w:rPr>
            </w:pPr>
            <w:hyperlink r:id="rId62" w:history="1">
              <w:r w:rsidR="00F30D9D" w:rsidRPr="001800B7">
                <w:rPr>
                  <w:szCs w:val="22"/>
                  <w:u w:val="single"/>
                </w:rPr>
                <w:t>http://www.wipo.int/export/sites/www/tisc/en/doc/tisc_2011_survey_report.pdf</w:t>
              </w:r>
            </w:hyperlink>
          </w:p>
          <w:p w:rsidR="00F30D9D" w:rsidRPr="001800B7" w:rsidRDefault="00F30D9D" w:rsidP="00F30D9D">
            <w:pPr>
              <w:spacing w:before="120" w:after="120"/>
              <w:rPr>
                <w:szCs w:val="22"/>
              </w:rPr>
            </w:pPr>
            <w:r w:rsidRPr="001800B7">
              <w:rPr>
                <w:szCs w:val="22"/>
              </w:rPr>
              <w:t>Le rapport le plus récent fait état du maintien d</w:t>
            </w:r>
            <w:r w:rsidR="005311D6" w:rsidRPr="001800B7">
              <w:rPr>
                <w:szCs w:val="22"/>
              </w:rPr>
              <w:t>’</w:t>
            </w:r>
            <w:r w:rsidRPr="001800B7">
              <w:rPr>
                <w:szCs w:val="22"/>
              </w:rPr>
              <w:t>une forte demande en faveur de la mise en œuvre du projet dans les États membres participant déjà au projet et dans les nouveaux États membres, et confirme que le projet continue de répondre aux priorités et aux besoins de ces pays.</w:t>
            </w:r>
          </w:p>
          <w:p w:rsidR="00F30D9D" w:rsidRPr="001800B7" w:rsidRDefault="00F30D9D" w:rsidP="00F30D9D">
            <w:pPr>
              <w:spacing w:before="120" w:after="120"/>
              <w:rPr>
                <w:szCs w:val="22"/>
              </w:rPr>
            </w:pPr>
            <w:r w:rsidRPr="001800B7">
              <w:rPr>
                <w:szCs w:val="22"/>
              </w:rPr>
              <w:t>Par ailleurs, le rapport le plus récent montre que les CATI existants répondent chaque année à environ 190 000 demandes.</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F30D9D" w:rsidRPr="001800B7" w:rsidRDefault="00F30D9D" w:rsidP="00F30D9D">
            <w:pPr>
              <w:spacing w:before="120" w:after="120"/>
              <w:rPr>
                <w:szCs w:val="22"/>
              </w:rPr>
            </w:pPr>
            <w:r w:rsidRPr="001800B7">
              <w:rPr>
                <w:szCs w:val="22"/>
              </w:rPr>
              <w:lastRenderedPageBreak/>
              <w:t>Risques et atténuation des risques</w:t>
            </w:r>
          </w:p>
        </w:tc>
        <w:tc>
          <w:tcPr>
            <w:tcW w:w="7266"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Les risques recensés dans le descriptif de projet initial ont été atténués ou ne se sont pas concrétisés.</w:t>
            </w:r>
          </w:p>
          <w:p w:rsidR="00F30D9D" w:rsidRPr="001800B7" w:rsidRDefault="00F30D9D" w:rsidP="00F30D9D">
            <w:pPr>
              <w:spacing w:before="120" w:after="120"/>
              <w:rPr>
                <w:szCs w:val="22"/>
              </w:rPr>
            </w:pPr>
            <w:r w:rsidRPr="001800B7">
              <w:rPr>
                <w:szCs w:val="22"/>
              </w:rPr>
              <w:t>Risque : Les attentes des activités de formation et le lancement des réseaux nationaux de centres d</w:t>
            </w:r>
            <w:r w:rsidR="005311D6" w:rsidRPr="001800B7">
              <w:rPr>
                <w:szCs w:val="22"/>
              </w:rPr>
              <w:t>’</w:t>
            </w:r>
            <w:r w:rsidRPr="001800B7">
              <w:rPr>
                <w:szCs w:val="22"/>
              </w:rPr>
              <w:t>appui ne peuvent pas être respectés faut de ressources suffisantes pour renforcer les capacités des centres d</w:t>
            </w:r>
            <w:r w:rsidR="005311D6" w:rsidRPr="001800B7">
              <w:rPr>
                <w:szCs w:val="22"/>
              </w:rPr>
              <w:t>’</w:t>
            </w:r>
            <w:r w:rsidRPr="001800B7">
              <w:rPr>
                <w:szCs w:val="22"/>
              </w:rPr>
              <w:t>appui.</w:t>
            </w:r>
          </w:p>
          <w:p w:rsidR="00F30D9D" w:rsidRPr="001800B7" w:rsidRDefault="00F30D9D" w:rsidP="00F30D9D">
            <w:pPr>
              <w:spacing w:before="120" w:after="120"/>
              <w:rPr>
                <w:szCs w:val="22"/>
              </w:rPr>
            </w:pPr>
            <w:r w:rsidRPr="001800B7">
              <w:rPr>
                <w:szCs w:val="22"/>
              </w:rPr>
              <w:t>Atténuation : Une coopération a été lancée et développée avec des organisations internationales telles que l</w:t>
            </w:r>
            <w:r w:rsidR="005311D6" w:rsidRPr="001800B7">
              <w:rPr>
                <w:szCs w:val="22"/>
              </w:rPr>
              <w:t>’</w:t>
            </w:r>
            <w:r w:rsidRPr="001800B7">
              <w:rPr>
                <w:szCs w:val="22"/>
              </w:rPr>
              <w:t>ARIPO, l</w:t>
            </w:r>
            <w:r w:rsidR="005311D6" w:rsidRPr="001800B7">
              <w:rPr>
                <w:szCs w:val="22"/>
              </w:rPr>
              <w:t>’</w:t>
            </w:r>
            <w:r w:rsidRPr="001800B7">
              <w:rPr>
                <w:szCs w:val="22"/>
              </w:rPr>
              <w:t>ASEAN, l</w:t>
            </w:r>
            <w:r w:rsidR="005311D6" w:rsidRPr="001800B7">
              <w:rPr>
                <w:szCs w:val="22"/>
              </w:rPr>
              <w:t>’</w:t>
            </w:r>
            <w:r w:rsidRPr="001800B7">
              <w:rPr>
                <w:szCs w:val="22"/>
              </w:rPr>
              <w:t>OAPI et l</w:t>
            </w:r>
            <w:r w:rsidR="005311D6" w:rsidRPr="001800B7">
              <w:rPr>
                <w:szCs w:val="22"/>
              </w:rPr>
              <w:t>’</w:t>
            </w:r>
            <w:r w:rsidRPr="001800B7">
              <w:rPr>
                <w:szCs w:val="22"/>
              </w:rPr>
              <w:t>OIC, afin de mieux exploiter et de partager les ressources et l</w:t>
            </w:r>
            <w:r w:rsidR="005311D6" w:rsidRPr="001800B7">
              <w:rPr>
                <w:szCs w:val="22"/>
              </w:rPr>
              <w:t>’</w:t>
            </w:r>
            <w:r w:rsidRPr="001800B7">
              <w:rPr>
                <w:szCs w:val="22"/>
              </w:rPr>
              <w:t>expertise au niveau régional.</w:t>
            </w:r>
          </w:p>
          <w:p w:rsidR="00F30D9D" w:rsidRPr="001800B7" w:rsidRDefault="00F30D9D" w:rsidP="00F30D9D">
            <w:pPr>
              <w:spacing w:before="120" w:after="120"/>
              <w:rPr>
                <w:szCs w:val="22"/>
              </w:rPr>
            </w:pPr>
            <w:r w:rsidRPr="001800B7">
              <w:rPr>
                <w:szCs w:val="22"/>
              </w:rPr>
              <w:t>Risque : Érosion parmi les contributeurs à l</w:t>
            </w:r>
            <w:r w:rsidR="005311D6" w:rsidRPr="001800B7">
              <w:rPr>
                <w:szCs w:val="22"/>
              </w:rPr>
              <w:t>’</w:t>
            </w:r>
            <w:r w:rsidRPr="001800B7">
              <w:rPr>
                <w:szCs w:val="22"/>
              </w:rPr>
              <w:t>ASPI et à l</w:t>
            </w:r>
            <w:r w:rsidR="005311D6" w:rsidRPr="001800B7">
              <w:rPr>
                <w:szCs w:val="22"/>
              </w:rPr>
              <w:t>’</w:t>
            </w:r>
            <w:r w:rsidRPr="001800B7">
              <w:rPr>
                <w:szCs w:val="22"/>
              </w:rPr>
              <w:t>ARDI</w:t>
            </w:r>
          </w:p>
          <w:p w:rsidR="00F30D9D" w:rsidRPr="001800B7" w:rsidRDefault="00F30D9D" w:rsidP="00F30D9D">
            <w:pPr>
              <w:spacing w:before="120" w:after="120"/>
              <w:rPr>
                <w:szCs w:val="22"/>
              </w:rPr>
            </w:pPr>
            <w:r w:rsidRPr="001800B7">
              <w:rPr>
                <w:szCs w:val="22"/>
              </w:rPr>
              <w:t>Le risque ne s</w:t>
            </w:r>
            <w:r w:rsidR="005311D6" w:rsidRPr="001800B7">
              <w:rPr>
                <w:szCs w:val="22"/>
              </w:rPr>
              <w:t>’</w:t>
            </w:r>
            <w:r w:rsidRPr="001800B7">
              <w:rPr>
                <w:szCs w:val="22"/>
              </w:rPr>
              <w:t>est pas concrétisé, mais les efforts déployés ont permis de continuer à accroître le nombre d</w:t>
            </w:r>
            <w:r w:rsidR="005311D6" w:rsidRPr="001800B7">
              <w:rPr>
                <w:szCs w:val="22"/>
              </w:rPr>
              <w:t>’</w:t>
            </w:r>
            <w:r w:rsidRPr="001800B7">
              <w:rPr>
                <w:szCs w:val="22"/>
              </w:rPr>
              <w:t>éditeurs partenaires du programme ARDI.</w:t>
            </w:r>
          </w:p>
          <w:p w:rsidR="00F30D9D" w:rsidRPr="001800B7" w:rsidRDefault="00F30D9D" w:rsidP="00F30D9D">
            <w:pPr>
              <w:spacing w:before="120" w:after="120"/>
              <w:rPr>
                <w:szCs w:val="22"/>
              </w:rPr>
            </w:pPr>
            <w:r w:rsidRPr="001800B7">
              <w:rPr>
                <w:szCs w:val="22"/>
              </w:rPr>
              <w:lastRenderedPageBreak/>
              <w:t>Risque : Usage insuffisant de la plate</w:t>
            </w:r>
            <w:r w:rsidR="001800B7" w:rsidRPr="001800B7">
              <w:rPr>
                <w:szCs w:val="22"/>
              </w:rPr>
              <w:noBreakHyphen/>
            </w:r>
            <w:r w:rsidRPr="001800B7">
              <w:rPr>
                <w:szCs w:val="22"/>
              </w:rPr>
              <w:t>forme de gestion des savoirs des centres d</w:t>
            </w:r>
            <w:r w:rsidR="005311D6" w:rsidRPr="001800B7">
              <w:rPr>
                <w:szCs w:val="22"/>
              </w:rPr>
              <w:t>’</w:t>
            </w:r>
            <w:r w:rsidRPr="001800B7">
              <w:rPr>
                <w:szCs w:val="22"/>
              </w:rPr>
              <w:t>appui</w:t>
            </w:r>
          </w:p>
          <w:p w:rsidR="00F30D9D" w:rsidRPr="001800B7" w:rsidRDefault="00F30D9D" w:rsidP="00F30D9D">
            <w:pPr>
              <w:spacing w:before="120" w:after="120"/>
              <w:rPr>
                <w:szCs w:val="22"/>
              </w:rPr>
            </w:pPr>
            <w:r w:rsidRPr="001800B7">
              <w:rPr>
                <w:szCs w:val="22"/>
              </w:rPr>
              <w:t>L</w:t>
            </w:r>
            <w:r w:rsidR="005311D6" w:rsidRPr="001800B7">
              <w:rPr>
                <w:szCs w:val="22"/>
              </w:rPr>
              <w:t>’</w:t>
            </w:r>
            <w:r w:rsidRPr="001800B7">
              <w:rPr>
                <w:szCs w:val="22"/>
              </w:rPr>
              <w:t>atténuation n</w:t>
            </w:r>
            <w:r w:rsidR="005311D6" w:rsidRPr="001800B7">
              <w:rPr>
                <w:szCs w:val="22"/>
              </w:rPr>
              <w:t>’</w:t>
            </w:r>
            <w:r w:rsidRPr="001800B7">
              <w:rPr>
                <w:szCs w:val="22"/>
              </w:rPr>
              <w:t>a pas été nécessaire puisqu</w:t>
            </w:r>
            <w:r w:rsidR="005311D6" w:rsidRPr="001800B7">
              <w:rPr>
                <w:szCs w:val="22"/>
              </w:rPr>
              <w:t>’</w:t>
            </w:r>
            <w:r w:rsidRPr="001800B7">
              <w:rPr>
                <w:szCs w:val="22"/>
              </w:rPr>
              <w:t>on a atteint assez rapidement une masse critique d</w:t>
            </w:r>
            <w:r w:rsidR="005311D6" w:rsidRPr="001800B7">
              <w:rPr>
                <w:szCs w:val="22"/>
              </w:rPr>
              <w:t>’</w:t>
            </w:r>
            <w:r w:rsidRPr="001800B7">
              <w:rPr>
                <w:szCs w:val="22"/>
              </w:rPr>
              <w:t>utilisateurs.</w:t>
            </w:r>
          </w:p>
          <w:p w:rsidR="00F30D9D" w:rsidRPr="001800B7" w:rsidRDefault="00F30D9D" w:rsidP="00F30D9D">
            <w:pPr>
              <w:spacing w:before="120" w:after="120"/>
              <w:rPr>
                <w:szCs w:val="22"/>
              </w:rPr>
            </w:pPr>
            <w:r w:rsidRPr="001800B7">
              <w:rPr>
                <w:szCs w:val="22"/>
              </w:rPr>
              <w:t>Risque : Demande insuffisante pour les services locaux des CATI</w:t>
            </w:r>
          </w:p>
          <w:p w:rsidR="00F30D9D" w:rsidRPr="001800B7" w:rsidRDefault="00F30D9D" w:rsidP="00F30D9D">
            <w:pPr>
              <w:pStyle w:val="Default"/>
              <w:spacing w:before="120" w:after="120"/>
              <w:rPr>
                <w:iCs/>
                <w:color w:val="auto"/>
                <w:sz w:val="22"/>
                <w:szCs w:val="22"/>
                <w:lang w:val="fr-FR"/>
              </w:rPr>
            </w:pPr>
            <w:r w:rsidRPr="001800B7">
              <w:rPr>
                <w:rFonts w:eastAsia="SimSun"/>
                <w:color w:val="auto"/>
                <w:sz w:val="22"/>
                <w:szCs w:val="22"/>
                <w:lang w:val="fr-FR" w:eastAsia="zh-CN"/>
              </w:rPr>
              <w:t xml:space="preserve">Atténuation : Bien que la demande pour les CATI au niveau national </w:t>
            </w:r>
            <w:proofErr w:type="gramStart"/>
            <w:r w:rsidRPr="001800B7">
              <w:rPr>
                <w:rFonts w:eastAsia="SimSun"/>
                <w:color w:val="auto"/>
                <w:sz w:val="22"/>
                <w:szCs w:val="22"/>
                <w:lang w:val="fr-FR" w:eastAsia="zh-CN"/>
              </w:rPr>
              <w:t>continue</w:t>
            </w:r>
            <w:proofErr w:type="gramEnd"/>
            <w:r w:rsidRPr="001800B7">
              <w:rPr>
                <w:rFonts w:eastAsia="SimSun"/>
                <w:color w:val="auto"/>
                <w:sz w:val="22"/>
                <w:szCs w:val="22"/>
                <w:lang w:val="fr-FR" w:eastAsia="zh-CN"/>
              </w:rPr>
              <w:t xml:space="preserve"> de progresser, la demande pour les services locaux des CATI reste un problème important dans de nombreux pays, auquel il faut s</w:t>
            </w:r>
            <w:r w:rsidR="005311D6" w:rsidRPr="001800B7">
              <w:rPr>
                <w:rFonts w:eastAsia="SimSun"/>
                <w:color w:val="auto"/>
                <w:sz w:val="22"/>
                <w:szCs w:val="22"/>
                <w:lang w:val="fr-FR" w:eastAsia="zh-CN"/>
              </w:rPr>
              <w:t>’</w:t>
            </w:r>
            <w:r w:rsidRPr="001800B7">
              <w:rPr>
                <w:rFonts w:eastAsia="SimSun"/>
                <w:color w:val="auto"/>
                <w:sz w:val="22"/>
                <w:szCs w:val="22"/>
                <w:lang w:val="fr-FR" w:eastAsia="zh-CN"/>
              </w:rPr>
              <w:t>attaquer en renforçant la communication envers le public et les mesures de sensibilisation à l</w:t>
            </w:r>
            <w:r w:rsidR="005311D6" w:rsidRPr="001800B7">
              <w:rPr>
                <w:rFonts w:eastAsia="SimSun"/>
                <w:color w:val="auto"/>
                <w:sz w:val="22"/>
                <w:szCs w:val="22"/>
                <w:lang w:val="fr-FR" w:eastAsia="zh-CN"/>
              </w:rPr>
              <w:t>’</w:t>
            </w:r>
            <w:r w:rsidRPr="001800B7">
              <w:rPr>
                <w:rFonts w:eastAsia="SimSun"/>
                <w:color w:val="auto"/>
                <w:sz w:val="22"/>
                <w:szCs w:val="22"/>
                <w:lang w:val="fr-FR" w:eastAsia="zh-CN"/>
              </w:rPr>
              <w:t>existence de ces services.</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F30D9D" w:rsidRPr="001800B7" w:rsidRDefault="00F30D9D" w:rsidP="00F30D9D">
            <w:pPr>
              <w:spacing w:before="120" w:after="120"/>
              <w:rPr>
                <w:szCs w:val="22"/>
              </w:rPr>
            </w:pPr>
            <w:r w:rsidRPr="001800B7">
              <w:rPr>
                <w:szCs w:val="22"/>
              </w:rPr>
              <w:lastRenderedPageBreak/>
              <w:t>Taux d</w:t>
            </w:r>
            <w:r w:rsidR="005311D6" w:rsidRPr="001800B7">
              <w:rPr>
                <w:szCs w:val="22"/>
              </w:rPr>
              <w:t>’</w:t>
            </w:r>
            <w:r w:rsidRPr="001800B7">
              <w:rPr>
                <w:szCs w:val="22"/>
              </w:rPr>
              <w:t xml:space="preserve">exécution du projet </w:t>
            </w:r>
          </w:p>
        </w:tc>
        <w:tc>
          <w:tcPr>
            <w:tcW w:w="7266" w:type="dxa"/>
            <w:tcBorders>
              <w:top w:val="single" w:sz="4" w:space="0" w:color="auto"/>
              <w:left w:val="single" w:sz="4" w:space="0" w:color="auto"/>
              <w:bottom w:val="single" w:sz="4" w:space="0" w:color="auto"/>
              <w:right w:val="single" w:sz="4" w:space="0" w:color="auto"/>
            </w:tcBorders>
            <w:vAlign w:val="center"/>
          </w:tcPr>
          <w:p w:rsidR="00F30D9D" w:rsidRPr="001800B7" w:rsidRDefault="00F30D9D" w:rsidP="00F30D9D">
            <w:pPr>
              <w:spacing w:before="120" w:after="120"/>
              <w:rPr>
                <w:i/>
                <w:szCs w:val="22"/>
              </w:rPr>
            </w:pPr>
            <w:r w:rsidRPr="001800B7">
              <w:rPr>
                <w:szCs w:val="22"/>
              </w:rPr>
              <w:t>Le taux d</w:t>
            </w:r>
            <w:r w:rsidR="005311D6" w:rsidRPr="001800B7">
              <w:rPr>
                <w:szCs w:val="22"/>
              </w:rPr>
              <w:t>’</w:t>
            </w:r>
            <w:r w:rsidRPr="001800B7">
              <w:rPr>
                <w:szCs w:val="22"/>
              </w:rPr>
              <w:t>utilisation du budget à la fin du mois d</w:t>
            </w:r>
            <w:r w:rsidR="005311D6" w:rsidRPr="001800B7">
              <w:rPr>
                <w:szCs w:val="22"/>
              </w:rPr>
              <w:t>’</w:t>
            </w:r>
            <w:r w:rsidRPr="001800B7">
              <w:rPr>
                <w:szCs w:val="22"/>
              </w:rPr>
              <w:t>août 2014 s</w:t>
            </w:r>
            <w:r w:rsidR="005311D6" w:rsidRPr="001800B7">
              <w:rPr>
                <w:szCs w:val="22"/>
              </w:rPr>
              <w:t>’</w:t>
            </w:r>
            <w:r w:rsidRPr="001800B7">
              <w:rPr>
                <w:szCs w:val="22"/>
              </w:rPr>
              <w:t>élevait à 102%</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F30D9D" w:rsidRPr="001800B7" w:rsidRDefault="00F30D9D" w:rsidP="00F30D9D">
            <w:pPr>
              <w:spacing w:before="120" w:after="120"/>
              <w:rPr>
                <w:szCs w:val="22"/>
              </w:rPr>
            </w:pPr>
            <w:r w:rsidRPr="001800B7">
              <w:rPr>
                <w:szCs w:val="22"/>
              </w:rPr>
              <w:t>Rapports précédents</w:t>
            </w:r>
          </w:p>
        </w:tc>
        <w:tc>
          <w:tcPr>
            <w:tcW w:w="7266" w:type="dxa"/>
            <w:tcBorders>
              <w:top w:val="single" w:sz="4" w:space="0" w:color="auto"/>
              <w:left w:val="single" w:sz="4" w:space="0" w:color="auto"/>
              <w:bottom w:val="single" w:sz="4" w:space="0" w:color="auto"/>
              <w:right w:val="single" w:sz="4" w:space="0" w:color="auto"/>
            </w:tcBorders>
            <w:vAlign w:val="center"/>
          </w:tcPr>
          <w:p w:rsidR="00F30D9D" w:rsidRPr="001800B7" w:rsidRDefault="00F30D9D" w:rsidP="00F30D9D">
            <w:pPr>
              <w:spacing w:before="120" w:after="120"/>
              <w:rPr>
                <w:i/>
                <w:szCs w:val="22"/>
              </w:rPr>
            </w:pPr>
            <w:r w:rsidRPr="001800B7">
              <w:rPr>
                <w:szCs w:val="22"/>
              </w:rPr>
              <w:t>Le premier rapport sur l</w:t>
            </w:r>
            <w:r w:rsidR="005311D6" w:rsidRPr="001800B7">
              <w:rPr>
                <w:szCs w:val="22"/>
              </w:rPr>
              <w:t>’</w:t>
            </w:r>
            <w:r w:rsidRPr="001800B7">
              <w:rPr>
                <w:szCs w:val="22"/>
              </w:rPr>
              <w:t>état d</w:t>
            </w:r>
            <w:r w:rsidR="005311D6" w:rsidRPr="001800B7">
              <w:rPr>
                <w:szCs w:val="22"/>
              </w:rPr>
              <w:t>’</w:t>
            </w:r>
            <w:r w:rsidRPr="001800B7">
              <w:rPr>
                <w:szCs w:val="22"/>
              </w:rPr>
              <w:t>avancement du projet, qui se trouve à l</w:t>
            </w:r>
            <w:r w:rsidR="005311D6" w:rsidRPr="001800B7">
              <w:rPr>
                <w:szCs w:val="22"/>
              </w:rPr>
              <w:t>’</w:t>
            </w:r>
            <w:r w:rsidRPr="001800B7">
              <w:rPr>
                <w:szCs w:val="22"/>
              </w:rPr>
              <w:t>annexe I du document CDIP/10/2, a été soumis au CDIP à sa dixième session, en novembre 2012 et le deuxième, qui figure à l</w:t>
            </w:r>
            <w:r w:rsidR="005311D6" w:rsidRPr="001800B7">
              <w:rPr>
                <w:szCs w:val="22"/>
              </w:rPr>
              <w:t>’</w:t>
            </w:r>
            <w:r w:rsidRPr="001800B7">
              <w:rPr>
                <w:szCs w:val="22"/>
              </w:rPr>
              <w:t>annexe I du document CDIP/12/2, l</w:t>
            </w:r>
            <w:r w:rsidR="005311D6" w:rsidRPr="001800B7">
              <w:rPr>
                <w:szCs w:val="22"/>
              </w:rPr>
              <w:t>’</w:t>
            </w:r>
            <w:r w:rsidRPr="001800B7">
              <w:rPr>
                <w:szCs w:val="22"/>
              </w:rPr>
              <w:t>a été au CDIP à sa douzième session, en novembre 2013.</w:t>
            </w:r>
          </w:p>
        </w:tc>
      </w:tr>
      <w:tr w:rsidR="00F30D9D" w:rsidRPr="001800B7" w:rsidTr="00F30D9D">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F30D9D" w:rsidRPr="001800B7" w:rsidRDefault="00F30D9D" w:rsidP="00F30D9D">
            <w:pPr>
              <w:spacing w:before="120" w:after="120"/>
              <w:rPr>
                <w:szCs w:val="22"/>
              </w:rPr>
            </w:pPr>
            <w:r w:rsidRPr="001800B7">
              <w:rPr>
                <w:szCs w:val="22"/>
              </w:rPr>
              <w:t>Suivi</w:t>
            </w:r>
          </w:p>
        </w:tc>
        <w:tc>
          <w:tcPr>
            <w:tcW w:w="7266" w:type="dxa"/>
            <w:tcBorders>
              <w:top w:val="single" w:sz="4" w:space="0" w:color="auto"/>
              <w:left w:val="single" w:sz="4" w:space="0" w:color="auto"/>
              <w:bottom w:val="single" w:sz="4" w:space="0" w:color="auto"/>
              <w:right w:val="single" w:sz="4" w:space="0" w:color="auto"/>
            </w:tcBorders>
            <w:vAlign w:val="center"/>
            <w:hideMark/>
          </w:tcPr>
          <w:p w:rsidR="00F30D9D" w:rsidRPr="001800B7" w:rsidRDefault="00F30D9D" w:rsidP="00F30D9D">
            <w:pPr>
              <w:spacing w:before="120" w:after="120"/>
              <w:rPr>
                <w:szCs w:val="22"/>
              </w:rPr>
            </w:pPr>
            <w:r w:rsidRPr="001800B7">
              <w:rPr>
                <w:szCs w:val="22"/>
              </w:rPr>
              <w:t>Le projet CATI est intégré dans les activités ordinaires de l</w:t>
            </w:r>
            <w:r w:rsidR="005311D6" w:rsidRPr="001800B7">
              <w:rPr>
                <w:szCs w:val="22"/>
              </w:rPr>
              <w:t>’</w:t>
            </w:r>
            <w:r w:rsidRPr="001800B7">
              <w:rPr>
                <w:szCs w:val="22"/>
              </w:rPr>
              <w:t>OMPI depuis le 1</w:t>
            </w:r>
            <w:r w:rsidRPr="001800B7">
              <w:rPr>
                <w:szCs w:val="22"/>
                <w:vertAlign w:val="superscript"/>
              </w:rPr>
              <w:t>er</w:t>
            </w:r>
            <w:r w:rsidRPr="001800B7">
              <w:rPr>
                <w:szCs w:val="22"/>
              </w:rPr>
              <w:t> janvier 2014.</w:t>
            </w:r>
          </w:p>
        </w:tc>
      </w:tr>
    </w:tbl>
    <w:p w:rsidR="00F30D9D" w:rsidRPr="001800B7" w:rsidRDefault="00F30D9D" w:rsidP="00F30D9D">
      <w:pPr>
        <w:tabs>
          <w:tab w:val="left" w:pos="9060"/>
        </w:tabs>
        <w:rPr>
          <w:szCs w:val="22"/>
        </w:rPr>
      </w:pPr>
    </w:p>
    <w:p w:rsidR="00F30D9D" w:rsidRPr="001800B7" w:rsidRDefault="00F30D9D" w:rsidP="00F30D9D">
      <w:pPr>
        <w:rPr>
          <w:rFonts w:eastAsia="Times New Roman"/>
          <w:szCs w:val="22"/>
          <w:lang w:eastAsia="en-US"/>
        </w:rPr>
      </w:pPr>
      <w:r w:rsidRPr="001800B7">
        <w:rPr>
          <w:szCs w:val="22"/>
        </w:rPr>
        <w:br w:type="page"/>
      </w:r>
      <w:r w:rsidRPr="001800B7">
        <w:rPr>
          <w:rFonts w:eastAsia="Times New Roman"/>
          <w:szCs w:val="22"/>
          <w:lang w:eastAsia="en-US"/>
        </w:rPr>
        <w:lastRenderedPageBreak/>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F30D9D" w:rsidRPr="001800B7" w:rsidRDefault="00F30D9D" w:rsidP="00F30D9D">
      <w:pPr>
        <w:rPr>
          <w:szCs w:val="22"/>
        </w:rPr>
      </w:pPr>
    </w:p>
    <w:p w:rsidR="00F30D9D" w:rsidRPr="001800B7" w:rsidRDefault="00F30D9D" w:rsidP="00F30D9D">
      <w:pPr>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F30D9D">
        <w:trPr>
          <w:cantSplit/>
        </w:trPr>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NE</w:t>
            </w:r>
          </w:p>
        </w:tc>
      </w:tr>
      <w:tr w:rsidR="00F30D9D" w:rsidRPr="001800B7" w:rsidTr="00F30D9D">
        <w:trPr>
          <w:cantSplit/>
        </w:trPr>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F30D9D" w:rsidRPr="001800B7" w:rsidRDefault="00F30D9D" w:rsidP="00F30D9D">
      <w:pPr>
        <w:rPr>
          <w:szCs w:val="22"/>
          <w:lang w:eastAsia="en-US"/>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6"/>
        <w:gridCol w:w="2694"/>
        <w:gridCol w:w="2976"/>
        <w:gridCol w:w="1455"/>
      </w:tblGrid>
      <w:tr w:rsidR="001800B7" w:rsidRPr="001800B7" w:rsidTr="00F30D9D">
        <w:tc>
          <w:tcPr>
            <w:tcW w:w="2366" w:type="dxa"/>
            <w:shd w:val="clear" w:color="auto" w:fill="auto"/>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Style w:val="FootnoteReference"/>
                <w:rFonts w:eastAsia="Times New Roman"/>
                <w:szCs w:val="22"/>
                <w:lang w:eastAsia="en-US"/>
              </w:rPr>
              <w:footnoteReference w:id="7"/>
            </w:r>
            <w:r w:rsidRPr="001800B7">
              <w:rPr>
                <w:rFonts w:eastAsia="Times New Roman"/>
                <w:szCs w:val="22"/>
                <w:u w:val="single"/>
                <w:lang w:eastAsia="en-US"/>
              </w:rPr>
              <w:br/>
            </w:r>
            <w:r w:rsidRPr="001800B7">
              <w:rPr>
                <w:rFonts w:eastAsia="Times New Roman"/>
                <w:szCs w:val="22"/>
                <w:lang w:eastAsia="en-US"/>
              </w:rPr>
              <w:t>(résultat escompté)</w:t>
            </w:r>
          </w:p>
        </w:tc>
        <w:tc>
          <w:tcPr>
            <w:tcW w:w="2694" w:type="dxa"/>
            <w:shd w:val="clear" w:color="auto" w:fill="auto"/>
          </w:tcPr>
          <w:p w:rsidR="00F30D9D" w:rsidRPr="001800B7" w:rsidRDefault="00F30D9D" w:rsidP="00F30D9D">
            <w:pPr>
              <w:spacing w:before="120" w:after="12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6" w:type="dxa"/>
            <w:shd w:val="clear" w:color="auto" w:fill="auto"/>
          </w:tcPr>
          <w:p w:rsidR="00F30D9D" w:rsidRPr="001800B7" w:rsidRDefault="00F30D9D" w:rsidP="00F30D9D">
            <w:pPr>
              <w:keepNext/>
              <w:spacing w:before="120" w:after="120"/>
              <w:jc w:val="center"/>
              <w:outlineLvl w:val="2"/>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55" w:type="dxa"/>
            <w:shd w:val="clear" w:color="auto" w:fill="auto"/>
          </w:tcPr>
          <w:p w:rsidR="00F30D9D" w:rsidRPr="001800B7" w:rsidRDefault="00F30D9D" w:rsidP="00F30D9D">
            <w:pPr>
              <w:keepNext/>
              <w:spacing w:before="120" w:after="120"/>
              <w:jc w:val="center"/>
              <w:outlineLvl w:val="2"/>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F3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1.i) Création d</w:t>
            </w:r>
            <w:r w:rsidR="005311D6" w:rsidRPr="001800B7">
              <w:rPr>
                <w:szCs w:val="22"/>
              </w:rPr>
              <w:t>’</w:t>
            </w:r>
            <w:r w:rsidRPr="001800B7">
              <w:rPr>
                <w:szCs w:val="22"/>
              </w:rPr>
              <w:t>un service de séminaire sur le Web sur le site Web des centres d</w:t>
            </w:r>
            <w:r w:rsidR="005311D6" w:rsidRPr="001800B7">
              <w:rPr>
                <w:szCs w:val="22"/>
              </w:rPr>
              <w:t>’</w:t>
            </w:r>
            <w:r w:rsidRPr="001800B7">
              <w:rPr>
                <w:szCs w:val="22"/>
              </w:rPr>
              <w:t>appui;</w:t>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ii) Création d</w:t>
            </w:r>
            <w:r w:rsidR="005311D6" w:rsidRPr="001800B7">
              <w:rPr>
                <w:szCs w:val="22"/>
              </w:rPr>
              <w:t>’</w:t>
            </w:r>
            <w:r w:rsidRPr="001800B7">
              <w:rPr>
                <w:szCs w:val="22"/>
              </w:rPr>
              <w:t>un forum en ligne pour échanger les expériences et les pratiques exemplaires des CATI;</w:t>
            </w:r>
          </w:p>
          <w:p w:rsidR="00F30D9D" w:rsidRPr="001800B7" w:rsidRDefault="00F30D9D" w:rsidP="00F30D9D">
            <w:pPr>
              <w:spacing w:before="120" w:after="120"/>
              <w:rPr>
                <w:szCs w:val="22"/>
              </w:rPr>
            </w:pPr>
            <w:r w:rsidRPr="001800B7">
              <w:rPr>
                <w:szCs w:val="22"/>
              </w:rPr>
              <w:t>iii) Création d</w:t>
            </w:r>
            <w:r w:rsidR="005311D6" w:rsidRPr="001800B7">
              <w:rPr>
                <w:szCs w:val="22"/>
              </w:rPr>
              <w:t>’</w:t>
            </w:r>
            <w:r w:rsidRPr="001800B7">
              <w:rPr>
                <w:szCs w:val="22"/>
              </w:rPr>
              <w:t>un bureau d</w:t>
            </w:r>
            <w:r w:rsidR="005311D6" w:rsidRPr="001800B7">
              <w:rPr>
                <w:szCs w:val="22"/>
              </w:rPr>
              <w:t>’</w:t>
            </w:r>
            <w:r w:rsidRPr="001800B7">
              <w:rPr>
                <w:szCs w:val="22"/>
              </w:rPr>
              <w:t>assistance en ligne;  et</w:t>
            </w:r>
            <w:r w:rsidRPr="001800B7">
              <w:rPr>
                <w:szCs w:val="22"/>
              </w:rPr>
              <w:br/>
            </w:r>
            <w:r w:rsidRPr="001800B7">
              <w:rPr>
                <w:szCs w:val="22"/>
              </w:rPr>
              <w:br/>
            </w:r>
            <w:r w:rsidRPr="001800B7">
              <w:rPr>
                <w:szCs w:val="22"/>
              </w:rPr>
              <w:br/>
            </w:r>
          </w:p>
          <w:p w:rsidR="00F30D9D" w:rsidRPr="001800B7" w:rsidRDefault="00F30D9D" w:rsidP="00F30D9D">
            <w:pPr>
              <w:autoSpaceDE w:val="0"/>
              <w:autoSpaceDN w:val="0"/>
              <w:adjustRightInd w:val="0"/>
              <w:spacing w:before="120" w:after="120"/>
              <w:rPr>
                <w:szCs w:val="22"/>
              </w:rPr>
            </w:pPr>
            <w:r w:rsidRPr="001800B7">
              <w:rPr>
                <w:szCs w:val="22"/>
              </w:rPr>
              <w:t>iv) Intégration des cours d</w:t>
            </w:r>
            <w:r w:rsidR="005311D6" w:rsidRPr="001800B7">
              <w:rPr>
                <w:szCs w:val="22"/>
              </w:rPr>
              <w:t>’</w:t>
            </w:r>
            <w:r w:rsidRPr="001800B7">
              <w:rPr>
                <w:szCs w:val="22"/>
              </w:rPr>
              <w:t>enseignement à distance de l</w:t>
            </w:r>
            <w:r w:rsidR="005311D6" w:rsidRPr="001800B7">
              <w:rPr>
                <w:szCs w:val="22"/>
              </w:rPr>
              <w:t>’</w:t>
            </w:r>
            <w:r w:rsidRPr="001800B7">
              <w:rPr>
                <w:szCs w:val="22"/>
              </w:rPr>
              <w:t>Académie de l</w:t>
            </w:r>
            <w:r w:rsidR="005311D6" w:rsidRPr="001800B7">
              <w:rPr>
                <w:szCs w:val="22"/>
              </w:rPr>
              <w:t>’</w:t>
            </w:r>
            <w:r w:rsidRPr="001800B7">
              <w:rPr>
                <w:szCs w:val="22"/>
              </w:rPr>
              <w:t>OMPI dans le programme de formation des CATI.</w:t>
            </w:r>
          </w:p>
        </w:tc>
        <w:tc>
          <w:tcPr>
            <w:tcW w:w="2694"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Le service de séminaires Web sera fonctionnel 12 mois après le début de la phase II.</w:t>
            </w:r>
            <w:r w:rsidRPr="001800B7">
              <w:rPr>
                <w:szCs w:val="22"/>
              </w:rPr>
              <w:br/>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Le forum en ligne sera fonctionnel 12 mois après le début de la phase II.</w:t>
            </w:r>
            <w:r w:rsidRPr="001800B7">
              <w:rPr>
                <w:szCs w:val="22"/>
              </w:rPr>
              <w:br/>
            </w:r>
            <w:r w:rsidRPr="001800B7">
              <w:rPr>
                <w:szCs w:val="22"/>
              </w:rPr>
              <w:br/>
            </w:r>
            <w:r w:rsidRPr="001800B7">
              <w:rPr>
                <w:szCs w:val="22"/>
              </w:rPr>
              <w:br/>
            </w:r>
          </w:p>
          <w:p w:rsidR="00F10337" w:rsidRDefault="00F30D9D" w:rsidP="00F10337">
            <w:pPr>
              <w:spacing w:before="120" w:after="120"/>
              <w:rPr>
                <w:szCs w:val="22"/>
              </w:rPr>
            </w:pPr>
            <w:r w:rsidRPr="001800B7">
              <w:rPr>
                <w:szCs w:val="22"/>
              </w:rPr>
              <w:t>Le service d</w:t>
            </w:r>
            <w:r w:rsidR="005311D6" w:rsidRPr="001800B7">
              <w:rPr>
                <w:szCs w:val="22"/>
              </w:rPr>
              <w:t>’</w:t>
            </w:r>
            <w:r w:rsidRPr="001800B7">
              <w:rPr>
                <w:szCs w:val="22"/>
              </w:rPr>
              <w:t>assistance en ligne sera fonctionnel 12 mois après le début de la phase II.</w:t>
            </w:r>
            <w:r w:rsidRPr="001800B7">
              <w:rPr>
                <w:szCs w:val="22"/>
              </w:rPr>
              <w:br/>
            </w:r>
            <w:r w:rsidRPr="001800B7">
              <w:rPr>
                <w:szCs w:val="22"/>
              </w:rPr>
              <w:br/>
            </w:r>
          </w:p>
          <w:p w:rsidR="00F30D9D" w:rsidRPr="001800B7" w:rsidRDefault="00F30D9D" w:rsidP="00F10337">
            <w:pPr>
              <w:spacing w:before="120" w:after="120"/>
              <w:rPr>
                <w:szCs w:val="22"/>
              </w:rPr>
            </w:pPr>
            <w:r w:rsidRPr="001800B7">
              <w:rPr>
                <w:szCs w:val="22"/>
              </w:rPr>
              <w:t>Tous les CATI créés devront avoir suivi au moins deux cours d</w:t>
            </w:r>
            <w:r w:rsidR="005311D6" w:rsidRPr="001800B7">
              <w:rPr>
                <w:szCs w:val="22"/>
              </w:rPr>
              <w:t>’</w:t>
            </w:r>
            <w:r w:rsidRPr="001800B7">
              <w:rPr>
                <w:szCs w:val="22"/>
              </w:rPr>
              <w:t>enseignement à distance de l</w:t>
            </w:r>
            <w:r w:rsidR="005311D6" w:rsidRPr="001800B7">
              <w:rPr>
                <w:szCs w:val="22"/>
              </w:rPr>
              <w:t>’</w:t>
            </w:r>
            <w:r w:rsidRPr="001800B7">
              <w:rPr>
                <w:szCs w:val="22"/>
              </w:rPr>
              <w:t>Académie de l</w:t>
            </w:r>
            <w:r w:rsidR="005311D6" w:rsidRPr="001800B7">
              <w:rPr>
                <w:szCs w:val="22"/>
              </w:rPr>
              <w:t>’</w:t>
            </w:r>
            <w:r w:rsidRPr="001800B7">
              <w:rPr>
                <w:szCs w:val="22"/>
              </w:rPr>
              <w:t>OMPI en l</w:t>
            </w:r>
            <w:r w:rsidR="005311D6" w:rsidRPr="001800B7">
              <w:rPr>
                <w:szCs w:val="22"/>
              </w:rPr>
              <w:t>’</w:t>
            </w:r>
            <w:r w:rsidRPr="001800B7">
              <w:rPr>
                <w:szCs w:val="22"/>
              </w:rPr>
              <w:t>espace de 20 mois.</w:t>
            </w:r>
          </w:p>
        </w:tc>
        <w:tc>
          <w:tcPr>
            <w:tcW w:w="2976" w:type="dxa"/>
            <w:tcBorders>
              <w:top w:val="single" w:sz="2" w:space="0" w:color="000000"/>
              <w:left w:val="single" w:sz="4" w:space="0" w:color="auto"/>
              <w:bottom w:val="single" w:sz="2" w:space="0" w:color="000000"/>
              <w:right w:val="single" w:sz="2" w:space="0" w:color="000000"/>
            </w:tcBorders>
          </w:tcPr>
          <w:p w:rsidR="00F30D9D" w:rsidRPr="001800B7" w:rsidRDefault="00F30D9D" w:rsidP="00F30D9D">
            <w:pPr>
              <w:spacing w:before="120" w:after="120"/>
              <w:rPr>
                <w:szCs w:val="22"/>
              </w:rPr>
            </w:pPr>
            <w:r w:rsidRPr="001800B7">
              <w:rPr>
                <w:szCs w:val="22"/>
              </w:rPr>
              <w:t>Un site Web des CATI refondu a été mis en ligne en septembre 2012;  des séminaires Web et d</w:t>
            </w:r>
            <w:r w:rsidR="005311D6" w:rsidRPr="001800B7">
              <w:rPr>
                <w:szCs w:val="22"/>
              </w:rPr>
              <w:t>’</w:t>
            </w:r>
            <w:r w:rsidRPr="001800B7">
              <w:rPr>
                <w:szCs w:val="22"/>
              </w:rPr>
              <w:t>autres ressources pour la formation en ligne ont été ajoutés à la mi</w:t>
            </w:r>
            <w:r w:rsidR="001800B7" w:rsidRPr="001800B7">
              <w:rPr>
                <w:szCs w:val="22"/>
              </w:rPr>
              <w:noBreakHyphen/>
            </w:r>
            <w:r w:rsidRPr="001800B7">
              <w:rPr>
                <w:szCs w:val="22"/>
              </w:rPr>
              <w:t>2013.</w:t>
            </w:r>
          </w:p>
          <w:p w:rsidR="00F30D9D" w:rsidRPr="001800B7" w:rsidRDefault="00F30D9D" w:rsidP="00F30D9D">
            <w:pPr>
              <w:spacing w:before="120" w:after="120"/>
              <w:rPr>
                <w:szCs w:val="22"/>
              </w:rPr>
            </w:pPr>
            <w:r w:rsidRPr="001800B7">
              <w:rPr>
                <w:szCs w:val="22"/>
              </w:rPr>
              <w:t>La plate</w:t>
            </w:r>
            <w:r w:rsidR="001800B7" w:rsidRPr="001800B7">
              <w:rPr>
                <w:szCs w:val="22"/>
              </w:rPr>
              <w:noBreakHyphen/>
            </w:r>
            <w:r w:rsidRPr="001800B7">
              <w:rPr>
                <w:szCs w:val="22"/>
              </w:rPr>
              <w:t xml:space="preserve">forme </w:t>
            </w:r>
            <w:proofErr w:type="spellStart"/>
            <w:r w:rsidRPr="001800B7">
              <w:rPr>
                <w:szCs w:val="22"/>
              </w:rPr>
              <w:t>eTISC</w:t>
            </w:r>
            <w:proofErr w:type="spellEnd"/>
            <w:r w:rsidRPr="001800B7">
              <w:rPr>
                <w:szCs w:val="22"/>
              </w:rPr>
              <w:t xml:space="preserve"> a été lancée en novembre 2012.</w:t>
            </w:r>
            <w:r w:rsidRPr="001800B7">
              <w:rPr>
                <w:szCs w:val="22"/>
              </w:rPr>
              <w:br/>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Des membres de la Section de l</w:t>
            </w:r>
            <w:r w:rsidR="005311D6" w:rsidRPr="001800B7">
              <w:rPr>
                <w:szCs w:val="22"/>
              </w:rPr>
              <w:t>’</w:t>
            </w:r>
            <w:r w:rsidRPr="001800B7">
              <w:rPr>
                <w:szCs w:val="22"/>
              </w:rPr>
              <w:t>appui à l</w:t>
            </w:r>
            <w:r w:rsidR="005311D6" w:rsidRPr="001800B7">
              <w:rPr>
                <w:szCs w:val="22"/>
              </w:rPr>
              <w:t>’</w:t>
            </w:r>
            <w:r w:rsidRPr="001800B7">
              <w:rPr>
                <w:szCs w:val="22"/>
              </w:rPr>
              <w:t>innovation et à la technologie fournissent des services d</w:t>
            </w:r>
            <w:r w:rsidR="005311D6" w:rsidRPr="001800B7">
              <w:rPr>
                <w:szCs w:val="22"/>
              </w:rPr>
              <w:t>’</w:t>
            </w:r>
            <w:r w:rsidRPr="001800B7">
              <w:rPr>
                <w:szCs w:val="22"/>
              </w:rPr>
              <w:t>assistance en ligne par l</w:t>
            </w:r>
            <w:r w:rsidR="005311D6" w:rsidRPr="001800B7">
              <w:rPr>
                <w:szCs w:val="22"/>
              </w:rPr>
              <w:t>’</w:t>
            </w:r>
            <w:r w:rsidRPr="001800B7">
              <w:rPr>
                <w:szCs w:val="22"/>
              </w:rPr>
              <w:t>intermédiaire de la plate</w:t>
            </w:r>
            <w:r w:rsidR="001800B7" w:rsidRPr="001800B7">
              <w:rPr>
                <w:szCs w:val="22"/>
              </w:rPr>
              <w:noBreakHyphen/>
            </w:r>
            <w:r w:rsidRPr="001800B7">
              <w:rPr>
                <w:szCs w:val="22"/>
              </w:rPr>
              <w:t xml:space="preserve">forme </w:t>
            </w:r>
            <w:proofErr w:type="spellStart"/>
            <w:r w:rsidRPr="001800B7">
              <w:rPr>
                <w:szCs w:val="22"/>
              </w:rPr>
              <w:t>eTISC</w:t>
            </w:r>
            <w:proofErr w:type="spellEnd"/>
            <w:r w:rsidRPr="001800B7">
              <w:rPr>
                <w:szCs w:val="22"/>
              </w:rPr>
              <w:t>.</w:t>
            </w:r>
          </w:p>
          <w:p w:rsidR="00F30D9D" w:rsidRPr="001800B7" w:rsidRDefault="00F30D9D" w:rsidP="00F30D9D">
            <w:pPr>
              <w:spacing w:before="120" w:after="120"/>
              <w:rPr>
                <w:szCs w:val="22"/>
              </w:rPr>
            </w:pPr>
            <w:r w:rsidRPr="001800B7">
              <w:rPr>
                <w:szCs w:val="22"/>
              </w:rPr>
              <w:t>La majorité des CATI ont suivi un ou deux cours d</w:t>
            </w:r>
            <w:r w:rsidR="005311D6" w:rsidRPr="001800B7">
              <w:rPr>
                <w:szCs w:val="22"/>
              </w:rPr>
              <w:t>’</w:t>
            </w:r>
            <w:r w:rsidRPr="001800B7">
              <w:rPr>
                <w:szCs w:val="22"/>
              </w:rPr>
              <w:t>enseignement à distance.</w:t>
            </w:r>
          </w:p>
          <w:p w:rsidR="00F30D9D" w:rsidRPr="001800B7" w:rsidRDefault="00F30D9D" w:rsidP="00F30D9D">
            <w:pPr>
              <w:spacing w:before="120" w:after="120"/>
              <w:rPr>
                <w:szCs w:val="22"/>
              </w:rPr>
            </w:pPr>
          </w:p>
        </w:tc>
        <w:tc>
          <w:tcPr>
            <w:tcW w:w="1455" w:type="dxa"/>
            <w:tcBorders>
              <w:top w:val="single" w:sz="2" w:space="0" w:color="000000"/>
              <w:left w:val="single" w:sz="2" w:space="0" w:color="000000"/>
              <w:bottom w:val="single" w:sz="2" w:space="0" w:color="000000"/>
              <w:right w:val="single" w:sz="2" w:space="0" w:color="000000"/>
            </w:tcBorders>
          </w:tcPr>
          <w:p w:rsidR="00F30D9D" w:rsidRPr="001800B7" w:rsidRDefault="00F30D9D" w:rsidP="00F30D9D">
            <w:pPr>
              <w:spacing w:before="120" w:after="120"/>
              <w:rPr>
                <w:szCs w:val="22"/>
              </w:rPr>
            </w:pPr>
            <w:r w:rsidRPr="001800B7">
              <w:rPr>
                <w:szCs w:val="22"/>
              </w:rPr>
              <w: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w:t>
            </w:r>
            <w:r w:rsidRPr="001800B7">
              <w:rPr>
                <w:szCs w:val="22"/>
              </w:rPr>
              <w:br/>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w:t>
            </w:r>
          </w:p>
        </w:tc>
      </w:tr>
      <w:tr w:rsidR="001800B7" w:rsidRPr="001800B7" w:rsidTr="00F3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2.  Concevoir et promouvoir des services aux utilisateurs/clients, en particulier d</w:t>
            </w:r>
            <w:r w:rsidR="005311D6" w:rsidRPr="001800B7">
              <w:rPr>
                <w:szCs w:val="22"/>
              </w:rPr>
              <w:t>’</w:t>
            </w:r>
            <w:r w:rsidRPr="001800B7">
              <w:rPr>
                <w:szCs w:val="22"/>
              </w:rPr>
              <w:t>un point de vue commercial.</w:t>
            </w:r>
          </w:p>
          <w:p w:rsidR="00F30D9D" w:rsidRPr="001800B7" w:rsidRDefault="00F30D9D" w:rsidP="00F30D9D">
            <w:pPr>
              <w:spacing w:before="120" w:after="120"/>
              <w:rPr>
                <w:szCs w:val="22"/>
              </w:rPr>
            </w:pPr>
          </w:p>
        </w:tc>
        <w:tc>
          <w:tcPr>
            <w:tcW w:w="2694"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 xml:space="preserve">Tous les CATI créés devront avoir suivi au moins une séance de formation axée sur le développement de la clientèle (entreprises/particuliers) dans les 20 mois suivant </w:t>
            </w:r>
            <w:r w:rsidRPr="001800B7">
              <w:rPr>
                <w:szCs w:val="22"/>
              </w:rPr>
              <w:lastRenderedPageBreak/>
              <w:t>le début du projet.</w:t>
            </w:r>
          </w:p>
        </w:tc>
        <w:tc>
          <w:tcPr>
            <w:tcW w:w="2976" w:type="dxa"/>
            <w:tcBorders>
              <w:top w:val="single" w:sz="2" w:space="0" w:color="000000"/>
              <w:left w:val="single" w:sz="4" w:space="0" w:color="auto"/>
              <w:bottom w:val="single" w:sz="2" w:space="0" w:color="000000"/>
              <w:right w:val="single" w:sz="2" w:space="0" w:color="000000"/>
            </w:tcBorders>
            <w:hideMark/>
          </w:tcPr>
          <w:p w:rsidR="00F30D9D" w:rsidRPr="001800B7" w:rsidRDefault="00F30D9D" w:rsidP="00F30D9D">
            <w:pPr>
              <w:spacing w:before="120" w:after="120"/>
              <w:rPr>
                <w:szCs w:val="22"/>
              </w:rPr>
            </w:pPr>
            <w:r w:rsidRPr="001800B7">
              <w:rPr>
                <w:szCs w:val="22"/>
              </w:rPr>
              <w:lastRenderedPageBreak/>
              <w:t>La formation avancée (3</w:t>
            </w:r>
            <w:r w:rsidRPr="001800B7">
              <w:rPr>
                <w:szCs w:val="22"/>
                <w:vertAlign w:val="superscript"/>
              </w:rPr>
              <w:t>e</w:t>
            </w:r>
            <w:r w:rsidRPr="001800B7">
              <w:rPr>
                <w:szCs w:val="22"/>
              </w:rPr>
              <w:t>) contenait pour la plupart des CATI une introduction au développement de la clientèle (entreprises/particuliers).</w:t>
            </w:r>
          </w:p>
        </w:tc>
        <w:tc>
          <w:tcPr>
            <w:tcW w:w="1455" w:type="dxa"/>
            <w:tcBorders>
              <w:top w:val="single" w:sz="2" w:space="0" w:color="000000"/>
              <w:left w:val="single" w:sz="2" w:space="0" w:color="000000"/>
              <w:bottom w:val="single" w:sz="2" w:space="0" w:color="000000"/>
              <w:right w:val="single" w:sz="2" w:space="0" w:color="000000"/>
            </w:tcBorders>
            <w:hideMark/>
          </w:tcPr>
          <w:p w:rsidR="00F30D9D" w:rsidRPr="001800B7" w:rsidRDefault="00F30D9D" w:rsidP="00F30D9D">
            <w:pPr>
              <w:spacing w:before="120" w:after="120"/>
              <w:rPr>
                <w:szCs w:val="22"/>
              </w:rPr>
            </w:pPr>
            <w:r w:rsidRPr="001800B7">
              <w:rPr>
                <w:szCs w:val="22"/>
              </w:rPr>
              <w:t>***</w:t>
            </w:r>
          </w:p>
        </w:tc>
      </w:tr>
      <w:tr w:rsidR="001800B7" w:rsidRPr="001800B7" w:rsidTr="00F3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lastRenderedPageBreak/>
              <w:t>3.  Poursuite de la formation initiale comme à la phase I.</w:t>
            </w:r>
          </w:p>
        </w:tc>
        <w:tc>
          <w:tcPr>
            <w:tcW w:w="2694"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Signature d</w:t>
            </w:r>
            <w:r w:rsidR="005311D6" w:rsidRPr="001800B7">
              <w:rPr>
                <w:szCs w:val="22"/>
              </w:rPr>
              <w:t>’</w:t>
            </w:r>
            <w:r w:rsidRPr="001800B7">
              <w:rPr>
                <w:szCs w:val="22"/>
              </w:rPr>
              <w:t>accords de niveau de services (SLA) mutuellement convenus entre chaque nouveau réseau national de CATI et l</w:t>
            </w:r>
            <w:r w:rsidR="005311D6" w:rsidRPr="001800B7">
              <w:rPr>
                <w:szCs w:val="22"/>
              </w:rPr>
              <w:t>’</w:t>
            </w:r>
            <w:r w:rsidRPr="001800B7">
              <w:rPr>
                <w:szCs w:val="22"/>
              </w:rPr>
              <w:t>OMPI;</w:t>
            </w:r>
          </w:p>
          <w:p w:rsidR="00F30D9D" w:rsidRPr="001800B7" w:rsidRDefault="00F30D9D" w:rsidP="00F30D9D">
            <w:pPr>
              <w:spacing w:before="120" w:after="120"/>
              <w:rPr>
                <w:szCs w:val="22"/>
              </w:rPr>
            </w:pPr>
            <w:r w:rsidRPr="001800B7">
              <w:rPr>
                <w:szCs w:val="22"/>
              </w:rPr>
              <w:t>Lancement de services de CATI dans au moins 12 autres pays et établissements que la question intéresse – 20 mois après le début de la phase II.</w:t>
            </w:r>
          </w:p>
        </w:tc>
        <w:tc>
          <w:tcPr>
            <w:tcW w:w="2976" w:type="dxa"/>
            <w:tcBorders>
              <w:top w:val="single" w:sz="2" w:space="0" w:color="000000"/>
              <w:left w:val="single" w:sz="4" w:space="0" w:color="auto"/>
              <w:bottom w:val="single" w:sz="2" w:space="0" w:color="000000"/>
              <w:right w:val="single" w:sz="2" w:space="0" w:color="000000"/>
            </w:tcBorders>
          </w:tcPr>
          <w:p w:rsidR="00F30D9D" w:rsidRPr="001800B7" w:rsidRDefault="00F30D9D" w:rsidP="00F30D9D">
            <w:pPr>
              <w:spacing w:before="120" w:after="120"/>
              <w:rPr>
                <w:szCs w:val="22"/>
              </w:rPr>
            </w:pPr>
            <w:r w:rsidRPr="001800B7">
              <w:rPr>
                <w:szCs w:val="22"/>
              </w:rPr>
              <w:t>Les ateliers de formation initiale se poursuivent dans les pays prévoyant de signer des SLA;  10 nouveaux SLA ont été signés en 2012 et 2013.</w:t>
            </w:r>
          </w:p>
          <w:p w:rsidR="00F30D9D" w:rsidRPr="001800B7" w:rsidRDefault="00F30D9D" w:rsidP="00F30D9D">
            <w:pPr>
              <w:spacing w:before="120" w:after="120"/>
              <w:outlineLvl w:val="2"/>
              <w:rPr>
                <w:szCs w:val="22"/>
              </w:rPr>
            </w:pPr>
            <w:r w:rsidRPr="001800B7">
              <w:rPr>
                <w:szCs w:val="22"/>
              </w:rPr>
              <w:t>10 CATI ont été lancés (SLA signé et premi</w:t>
            </w:r>
            <w:r w:rsidRPr="001800B7">
              <w:rPr>
                <w:szCs w:val="22"/>
                <w:vertAlign w:val="superscript"/>
              </w:rPr>
              <w:t>ère</w:t>
            </w:r>
            <w:r w:rsidRPr="001800B7">
              <w:rPr>
                <w:szCs w:val="22"/>
              </w:rPr>
              <w:t xml:space="preserve"> formation) lors de la phase II;  par ailleurs, de premiers ateliers de formation ont aussi été donnés dans 11 autres pays dans lesquels aucun SLA n</w:t>
            </w:r>
            <w:r w:rsidR="005311D6" w:rsidRPr="001800B7">
              <w:rPr>
                <w:szCs w:val="22"/>
              </w:rPr>
              <w:t>’</w:t>
            </w:r>
            <w:r w:rsidRPr="001800B7">
              <w:rPr>
                <w:szCs w:val="22"/>
              </w:rPr>
              <w:t>a encore été signé (en 2014).</w:t>
            </w:r>
          </w:p>
        </w:tc>
        <w:tc>
          <w:tcPr>
            <w:tcW w:w="1455" w:type="dxa"/>
            <w:tcBorders>
              <w:top w:val="single" w:sz="2" w:space="0" w:color="000000"/>
              <w:left w:val="single" w:sz="2" w:space="0" w:color="000000"/>
              <w:bottom w:val="single" w:sz="2" w:space="0" w:color="000000"/>
              <w:right w:val="single" w:sz="2" w:space="0" w:color="000000"/>
            </w:tcBorders>
          </w:tcPr>
          <w:p w:rsidR="00F30D9D" w:rsidRPr="001800B7" w:rsidRDefault="00F30D9D" w:rsidP="00F30D9D">
            <w:pPr>
              <w:spacing w:before="120" w:after="120"/>
              <w:rPr>
                <w:szCs w:val="22"/>
              </w:rPr>
            </w:pPr>
            <w:r w:rsidRPr="001800B7">
              <w:rPr>
                <w:szCs w:val="22"/>
              </w:rPr>
              <w:t>****</w:t>
            </w:r>
            <w:r w:rsidRPr="001800B7">
              <w:rPr>
                <w:szCs w:val="22"/>
              </w:rPr>
              <w:br/>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w:t>
            </w:r>
          </w:p>
        </w:tc>
      </w:tr>
      <w:tr w:rsidR="001800B7" w:rsidRPr="001800B7" w:rsidTr="00F3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4.  Formation sur d</w:t>
            </w:r>
            <w:r w:rsidR="005311D6" w:rsidRPr="001800B7">
              <w:rPr>
                <w:szCs w:val="22"/>
              </w:rPr>
              <w:t>’</w:t>
            </w:r>
            <w:r w:rsidRPr="001800B7">
              <w:rPr>
                <w:szCs w:val="22"/>
              </w:rPr>
              <w:t>autres paramètres de l</w:t>
            </w:r>
            <w:r w:rsidR="005311D6" w:rsidRPr="001800B7">
              <w:rPr>
                <w:szCs w:val="22"/>
              </w:rPr>
              <w:t>’</w:t>
            </w:r>
            <w:r w:rsidRPr="001800B7">
              <w:rPr>
                <w:szCs w:val="22"/>
              </w:rPr>
              <w:t>appui à l</w:t>
            </w:r>
            <w:r w:rsidR="005311D6" w:rsidRPr="001800B7">
              <w:rPr>
                <w:szCs w:val="22"/>
              </w:rPr>
              <w:t>’</w:t>
            </w:r>
            <w:r w:rsidRPr="001800B7">
              <w:rPr>
                <w:szCs w:val="22"/>
              </w:rPr>
              <w:t>innovation en sus de l</w:t>
            </w:r>
            <w:r w:rsidR="005311D6" w:rsidRPr="001800B7">
              <w:rPr>
                <w:szCs w:val="22"/>
              </w:rPr>
              <w:t>’</w:t>
            </w:r>
            <w:r w:rsidRPr="001800B7">
              <w:rPr>
                <w:szCs w:val="22"/>
              </w:rPr>
              <w:t>accès aux bases de données sur la technologie.</w:t>
            </w:r>
          </w:p>
        </w:tc>
        <w:tc>
          <w:tcPr>
            <w:tcW w:w="2694"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Tous les CATI créés devront avoir suivi au moins une séance de formation sur les droits de propriété intellectuelle, la gestion des actifs de propriété intellectuelle, le transfert de technologie ou la commercialisation dans les 20 mois suivant le début du projet.</w:t>
            </w:r>
          </w:p>
        </w:tc>
        <w:tc>
          <w:tcPr>
            <w:tcW w:w="2976" w:type="dxa"/>
            <w:tcBorders>
              <w:top w:val="single" w:sz="2" w:space="0" w:color="000000"/>
              <w:left w:val="single" w:sz="4" w:space="0" w:color="auto"/>
              <w:bottom w:val="single" w:sz="2" w:space="0" w:color="000000"/>
              <w:right w:val="single" w:sz="2" w:space="0" w:color="000000"/>
            </w:tcBorders>
          </w:tcPr>
          <w:p w:rsidR="00F30D9D" w:rsidRPr="001800B7" w:rsidRDefault="00F30D9D" w:rsidP="00F30D9D">
            <w:pPr>
              <w:spacing w:before="120" w:after="120"/>
              <w:rPr>
                <w:szCs w:val="22"/>
              </w:rPr>
            </w:pPr>
            <w:r w:rsidRPr="001800B7">
              <w:rPr>
                <w:szCs w:val="22"/>
              </w:rPr>
              <w:t>La plupart des CATI ont bénéficié d</w:t>
            </w:r>
            <w:r w:rsidR="005311D6" w:rsidRPr="001800B7">
              <w:rPr>
                <w:szCs w:val="22"/>
              </w:rPr>
              <w:t>’</w:t>
            </w:r>
            <w:r w:rsidRPr="001800B7">
              <w:rPr>
                <w:szCs w:val="22"/>
              </w:rPr>
              <w:t>une formation introductive sur la gestion des droits de propriété intellectuelle et des actifs de propriété intellectuelle, sur le transfert de technologie ou sur la commercialisation pendant la troisième formation avancée (10 fin 2013).</w:t>
            </w:r>
          </w:p>
        </w:tc>
        <w:tc>
          <w:tcPr>
            <w:tcW w:w="1455" w:type="dxa"/>
            <w:tcBorders>
              <w:top w:val="single" w:sz="2" w:space="0" w:color="000000"/>
              <w:left w:val="single" w:sz="2" w:space="0" w:color="000000"/>
              <w:bottom w:val="single" w:sz="2" w:space="0" w:color="000000"/>
              <w:right w:val="single" w:sz="2" w:space="0" w:color="000000"/>
            </w:tcBorders>
            <w:hideMark/>
          </w:tcPr>
          <w:p w:rsidR="00F30D9D" w:rsidRPr="001800B7" w:rsidRDefault="00F30D9D" w:rsidP="00F30D9D">
            <w:pPr>
              <w:spacing w:before="120" w:after="120"/>
              <w:rPr>
                <w:szCs w:val="22"/>
              </w:rPr>
            </w:pPr>
            <w:r w:rsidRPr="001800B7">
              <w:rPr>
                <w:szCs w:val="22"/>
              </w:rPr>
              <w:t>***</w:t>
            </w:r>
          </w:p>
        </w:tc>
      </w:tr>
      <w:tr w:rsidR="001800B7" w:rsidRPr="001800B7" w:rsidTr="00F3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 xml:space="preserve">5.  Coordination et coopération plus serrées avec des organismes </w:t>
            </w:r>
            <w:r w:rsidRPr="001800B7">
              <w:rPr>
                <w:spacing w:val="-2"/>
                <w:szCs w:val="22"/>
              </w:rPr>
              <w:t>intergouvernementaux</w:t>
            </w:r>
            <w:r w:rsidRPr="001800B7">
              <w:rPr>
                <w:szCs w:val="22"/>
              </w:rPr>
              <w:t xml:space="preserve"> et non gouvernementaux.</w:t>
            </w:r>
          </w:p>
        </w:tc>
        <w:tc>
          <w:tcPr>
            <w:tcW w:w="2694"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Coopération avec au moins deux OIG/ONG avant la fin de la phase II.</w:t>
            </w:r>
          </w:p>
        </w:tc>
        <w:tc>
          <w:tcPr>
            <w:tcW w:w="2976" w:type="dxa"/>
            <w:tcBorders>
              <w:top w:val="single" w:sz="2" w:space="0" w:color="000000"/>
              <w:left w:val="single" w:sz="4" w:space="0" w:color="auto"/>
              <w:bottom w:val="single" w:sz="2" w:space="0" w:color="000000"/>
              <w:right w:val="single" w:sz="2" w:space="0" w:color="000000"/>
            </w:tcBorders>
            <w:hideMark/>
          </w:tcPr>
          <w:p w:rsidR="00F30D9D" w:rsidRPr="001800B7" w:rsidRDefault="00F30D9D" w:rsidP="00F30D9D">
            <w:pPr>
              <w:spacing w:before="120" w:after="120"/>
              <w:rPr>
                <w:szCs w:val="22"/>
              </w:rPr>
            </w:pPr>
            <w:r w:rsidRPr="001800B7">
              <w:rPr>
                <w:szCs w:val="22"/>
              </w:rPr>
              <w:t>Une collaboration a été lancée avec quatre OIG (ARIPO, OAPI, OCI et ASEAN), et des contacts se sont poursuivis avec l</w:t>
            </w:r>
            <w:r w:rsidR="005311D6" w:rsidRPr="001800B7">
              <w:rPr>
                <w:szCs w:val="22"/>
              </w:rPr>
              <w:t>’</w:t>
            </w:r>
            <w:r w:rsidRPr="001800B7">
              <w:rPr>
                <w:szCs w:val="22"/>
              </w:rPr>
              <w:t>Organisation internationale de la Francophonie (OIF) en vue de mettre en place des activités régionales.</w:t>
            </w:r>
          </w:p>
        </w:tc>
        <w:tc>
          <w:tcPr>
            <w:tcW w:w="1455" w:type="dxa"/>
            <w:tcBorders>
              <w:top w:val="single" w:sz="2" w:space="0" w:color="000000"/>
              <w:left w:val="single" w:sz="2" w:space="0" w:color="000000"/>
              <w:bottom w:val="single" w:sz="2" w:space="0" w:color="000000"/>
              <w:right w:val="single" w:sz="2" w:space="0" w:color="000000"/>
            </w:tcBorders>
            <w:hideMark/>
          </w:tcPr>
          <w:p w:rsidR="00F30D9D" w:rsidRPr="001800B7" w:rsidRDefault="00F30D9D" w:rsidP="00F30D9D">
            <w:pPr>
              <w:spacing w:before="120" w:after="120"/>
              <w:rPr>
                <w:szCs w:val="22"/>
              </w:rPr>
            </w:pPr>
            <w:r w:rsidRPr="001800B7">
              <w:rPr>
                <w:szCs w:val="22"/>
              </w:rPr>
              <w:t>****</w:t>
            </w:r>
          </w:p>
        </w:tc>
      </w:tr>
    </w:tbl>
    <w:p w:rsidR="00F30D9D" w:rsidRPr="001800B7" w:rsidRDefault="00F30D9D" w:rsidP="00F30D9D">
      <w:pPr>
        <w:rPr>
          <w:szCs w:val="22"/>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5"/>
        <w:gridCol w:w="2694"/>
        <w:gridCol w:w="2976"/>
        <w:gridCol w:w="1456"/>
      </w:tblGrid>
      <w:tr w:rsidR="001800B7" w:rsidRPr="001800B7" w:rsidTr="00F30D9D">
        <w:tc>
          <w:tcPr>
            <w:tcW w:w="2366" w:type="dxa"/>
            <w:shd w:val="clear" w:color="auto" w:fill="auto"/>
            <w:vAlign w:val="center"/>
          </w:tcPr>
          <w:p w:rsidR="00F30D9D" w:rsidRPr="001800B7" w:rsidRDefault="00F30D9D" w:rsidP="002325F0">
            <w:pPr>
              <w:keepNext/>
              <w:spacing w:before="120" w:after="120"/>
              <w:jc w:val="center"/>
              <w:rPr>
                <w:szCs w:val="22"/>
                <w:u w:val="single"/>
              </w:rPr>
            </w:pPr>
            <w:r w:rsidRPr="001800B7">
              <w:rPr>
                <w:szCs w:val="22"/>
                <w:u w:val="single"/>
              </w:rPr>
              <w:lastRenderedPageBreak/>
              <w:t xml:space="preserve">Objectifs </w:t>
            </w:r>
            <w:r w:rsidRPr="001800B7">
              <w:rPr>
                <w:szCs w:val="22"/>
                <w:u w:val="single"/>
              </w:rPr>
              <w:br/>
              <w:t>du projet</w:t>
            </w:r>
          </w:p>
        </w:tc>
        <w:tc>
          <w:tcPr>
            <w:tcW w:w="2694" w:type="dxa"/>
            <w:shd w:val="clear" w:color="auto" w:fill="auto"/>
            <w:vAlign w:val="center"/>
          </w:tcPr>
          <w:p w:rsidR="00F30D9D" w:rsidRPr="001800B7" w:rsidRDefault="00F30D9D" w:rsidP="002325F0">
            <w:pPr>
              <w:keepNext/>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shd w:val="clear" w:color="auto" w:fill="auto"/>
            <w:vAlign w:val="center"/>
          </w:tcPr>
          <w:p w:rsidR="00F30D9D" w:rsidRPr="001800B7" w:rsidRDefault="00F30D9D" w:rsidP="002325F0">
            <w:pPr>
              <w:keepNext/>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shd w:val="clear" w:color="auto" w:fill="auto"/>
            <w:vAlign w:val="center"/>
          </w:tcPr>
          <w:p w:rsidR="00F30D9D" w:rsidRPr="001800B7" w:rsidRDefault="00F30D9D" w:rsidP="002325F0">
            <w:pPr>
              <w:keepNext/>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232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66"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1.  Garantir la durabilité à long terme des CATI et leur capacité à fournir des services d</w:t>
            </w:r>
            <w:r w:rsidR="005311D6" w:rsidRPr="001800B7">
              <w:rPr>
                <w:szCs w:val="22"/>
              </w:rPr>
              <w:t>’</w:t>
            </w:r>
            <w:r w:rsidRPr="001800B7">
              <w:rPr>
                <w:szCs w:val="22"/>
              </w:rPr>
              <w:t>appui à la technologie et à l</w:t>
            </w:r>
            <w:r w:rsidR="005311D6" w:rsidRPr="001800B7">
              <w:rPr>
                <w:szCs w:val="22"/>
              </w:rPr>
              <w:t>’</w:t>
            </w:r>
            <w:r w:rsidRPr="001800B7">
              <w:rPr>
                <w:szCs w:val="22"/>
              </w:rPr>
              <w:t>innovation utiles et de grande qualité.</w:t>
            </w:r>
          </w:p>
        </w:tc>
        <w:tc>
          <w:tcPr>
            <w:tcW w:w="2694"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Le nombre de CATI qui reçoivent au moins cinq demandes de renseignements par jour de la part d</w:t>
            </w:r>
            <w:r w:rsidR="005311D6" w:rsidRPr="001800B7">
              <w:rPr>
                <w:szCs w:val="22"/>
              </w:rPr>
              <w:t>’</w:t>
            </w:r>
            <w:r w:rsidRPr="001800B7">
              <w:rPr>
                <w:szCs w:val="22"/>
              </w:rPr>
              <w:t>utilisateurs locaux doit être maintenu à environ 30% de l</w:t>
            </w:r>
            <w:r w:rsidR="005311D6" w:rsidRPr="001800B7">
              <w:rPr>
                <w:szCs w:val="22"/>
              </w:rPr>
              <w:t>’</w:t>
            </w:r>
            <w:r w:rsidRPr="001800B7">
              <w:rPr>
                <w:szCs w:val="22"/>
              </w:rPr>
              <w:t>ensemble des CATI (référence 2011 : 28% de tous les CATI ont reçu au moins cinq demandes de renseignements par jour, comme en témoigne le “rapport de synthèse” sur les CATI de décembre 2011).</w:t>
            </w:r>
          </w:p>
          <w:p w:rsidR="00F30D9D" w:rsidRPr="001800B7" w:rsidRDefault="00F30D9D" w:rsidP="00F30D9D">
            <w:pPr>
              <w:spacing w:before="120" w:after="120"/>
              <w:rPr>
                <w:szCs w:val="22"/>
              </w:rPr>
            </w:pPr>
            <w:r w:rsidRPr="001800B7">
              <w:rPr>
                <w:szCs w:val="22"/>
              </w:rPr>
              <w:t>Le pourcentage de CATI qui ont suivi au moins une séance de formation dans les 12 mois suivant la signature des SLA sera maintenu à 70% (pendant la période de référence 2010</w:t>
            </w:r>
            <w:r w:rsidR="001800B7" w:rsidRPr="001800B7">
              <w:rPr>
                <w:szCs w:val="22"/>
              </w:rPr>
              <w:noBreakHyphen/>
            </w:r>
            <w:r w:rsidRPr="001800B7">
              <w:rPr>
                <w:szCs w:val="22"/>
              </w:rPr>
              <w:t>2011, ce taux était de 69% selon les statistiques sur la formation).</w:t>
            </w:r>
          </w:p>
        </w:tc>
        <w:tc>
          <w:tcPr>
            <w:tcW w:w="2976" w:type="dxa"/>
            <w:tcBorders>
              <w:top w:val="single" w:sz="2" w:space="0" w:color="000000"/>
              <w:left w:val="single" w:sz="4" w:space="0" w:color="auto"/>
              <w:bottom w:val="single" w:sz="2" w:space="0" w:color="000000"/>
              <w:right w:val="single" w:sz="2" w:space="0" w:color="000000"/>
            </w:tcBorders>
          </w:tcPr>
          <w:p w:rsidR="00F30D9D" w:rsidRPr="001800B7" w:rsidRDefault="00F30D9D" w:rsidP="00F30D9D">
            <w:pPr>
              <w:spacing w:before="120" w:after="120"/>
              <w:rPr>
                <w:szCs w:val="22"/>
              </w:rPr>
            </w:pPr>
            <w:r w:rsidRPr="001800B7">
              <w:rPr>
                <w:szCs w:val="22"/>
              </w:rPr>
              <w:t>63% des CATI ont reçu au moins cinq demandes de renseignements par jour, selon le “rapport de synthèse” sur les CATI de décembre 2013.</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Selon les statistiques de formation, 90% des CATI ont suivi au moins un atelier de formation dans l</w:t>
            </w:r>
            <w:r w:rsidR="005311D6" w:rsidRPr="001800B7">
              <w:rPr>
                <w:szCs w:val="22"/>
              </w:rPr>
              <w:t>’</w:t>
            </w:r>
            <w:r w:rsidRPr="001800B7">
              <w:rPr>
                <w:szCs w:val="22"/>
              </w:rPr>
              <w:t>année qui a suivi la signature du SLA (le cas où aucune formation n</w:t>
            </w:r>
            <w:r w:rsidR="005311D6" w:rsidRPr="001800B7">
              <w:rPr>
                <w:szCs w:val="22"/>
              </w:rPr>
              <w:t>’</w:t>
            </w:r>
            <w:r w:rsidRPr="001800B7">
              <w:rPr>
                <w:szCs w:val="22"/>
              </w:rPr>
              <w:t>a été donnée s</w:t>
            </w:r>
            <w:r w:rsidR="005311D6" w:rsidRPr="001800B7">
              <w:rPr>
                <w:szCs w:val="22"/>
              </w:rPr>
              <w:t>’</w:t>
            </w:r>
            <w:r w:rsidRPr="001800B7">
              <w:rPr>
                <w:szCs w:val="22"/>
              </w:rPr>
              <w:t>explique par des problèmes de sécurité dans le pays).</w:t>
            </w:r>
          </w:p>
        </w:tc>
        <w:tc>
          <w:tcPr>
            <w:tcW w:w="1455" w:type="dxa"/>
            <w:tcBorders>
              <w:top w:val="single" w:sz="2" w:space="0" w:color="000000"/>
              <w:left w:val="single" w:sz="2" w:space="0" w:color="000000"/>
              <w:bottom w:val="single" w:sz="2" w:space="0" w:color="000000"/>
              <w:right w:val="single" w:sz="2" w:space="0" w:color="000000"/>
            </w:tcBorders>
          </w:tcPr>
          <w:p w:rsidR="00F30D9D" w:rsidRPr="001800B7" w:rsidRDefault="00F30D9D" w:rsidP="00F30D9D">
            <w:pPr>
              <w:spacing w:before="120" w:after="120"/>
              <w:rPr>
                <w:szCs w:val="22"/>
              </w:rPr>
            </w:pPr>
            <w:r w:rsidRPr="001800B7">
              <w:rPr>
                <w:szCs w:val="22"/>
              </w:rPr>
              <w: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w:t>
            </w:r>
          </w:p>
        </w:tc>
      </w:tr>
      <w:tr w:rsidR="001800B7" w:rsidRPr="001800B7" w:rsidTr="00F30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2.  Tirer parti des effets des réseaux issus du nombre accru et de l</w:t>
            </w:r>
            <w:r w:rsidR="005311D6" w:rsidRPr="001800B7">
              <w:rPr>
                <w:szCs w:val="22"/>
              </w:rPr>
              <w:t>’</w:t>
            </w:r>
            <w:r w:rsidRPr="001800B7">
              <w:rPr>
                <w:szCs w:val="22"/>
              </w:rPr>
              <w:t>évolution des compétences des centres d</w:t>
            </w:r>
            <w:r w:rsidR="005311D6" w:rsidRPr="001800B7">
              <w:rPr>
                <w:szCs w:val="22"/>
              </w:rPr>
              <w:t>’</w:t>
            </w:r>
            <w:r w:rsidRPr="001800B7">
              <w:rPr>
                <w:szCs w:val="22"/>
              </w:rPr>
              <w:t>appui.</w:t>
            </w:r>
          </w:p>
        </w:tc>
        <w:tc>
          <w:tcPr>
            <w:tcW w:w="2694"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Nombre d</w:t>
            </w:r>
            <w:r w:rsidR="005311D6" w:rsidRPr="001800B7">
              <w:rPr>
                <w:szCs w:val="22"/>
              </w:rPr>
              <w:t>’</w:t>
            </w:r>
            <w:r w:rsidRPr="001800B7">
              <w:rPr>
                <w:szCs w:val="22"/>
              </w:rPr>
              <w:t>utilisateurs uniques de la plate</w:t>
            </w:r>
            <w:r w:rsidR="001800B7" w:rsidRPr="001800B7">
              <w:rPr>
                <w:szCs w:val="22"/>
              </w:rPr>
              <w:noBreakHyphen/>
            </w:r>
            <w:r w:rsidRPr="001800B7">
              <w:rPr>
                <w:szCs w:val="22"/>
              </w:rPr>
              <w:t>forme de gestion des savoirs des CATI.</w:t>
            </w:r>
          </w:p>
          <w:p w:rsidR="00F30D9D" w:rsidRPr="001800B7" w:rsidRDefault="00F30D9D" w:rsidP="00F30D9D">
            <w:pPr>
              <w:spacing w:before="120" w:after="120"/>
              <w:rPr>
                <w:szCs w:val="22"/>
              </w:rPr>
            </w:pPr>
            <w:r w:rsidRPr="001800B7">
              <w:rPr>
                <w:szCs w:val="22"/>
              </w:rPr>
              <w:t>Nombre de contributions apportées par les utilisateurs à la plate</w:t>
            </w:r>
            <w:r w:rsidR="001800B7" w:rsidRPr="001800B7">
              <w:rPr>
                <w:szCs w:val="22"/>
              </w:rPr>
              <w:noBreakHyphen/>
            </w:r>
            <w:r w:rsidRPr="001800B7">
              <w:rPr>
                <w:szCs w:val="22"/>
              </w:rPr>
              <w:t>forme de gestion des savoirs des CATI.</w:t>
            </w:r>
          </w:p>
        </w:tc>
        <w:tc>
          <w:tcPr>
            <w:tcW w:w="2976" w:type="dxa"/>
            <w:tcBorders>
              <w:top w:val="single" w:sz="2" w:space="0" w:color="000000"/>
              <w:left w:val="single" w:sz="4" w:space="0" w:color="auto"/>
              <w:bottom w:val="single" w:sz="2" w:space="0" w:color="000000"/>
              <w:right w:val="single" w:sz="2" w:space="0" w:color="000000"/>
            </w:tcBorders>
          </w:tcPr>
          <w:p w:rsidR="00F30D9D" w:rsidRPr="001800B7" w:rsidRDefault="00F30D9D" w:rsidP="00F30D9D">
            <w:pPr>
              <w:spacing w:before="120" w:after="120"/>
              <w:rPr>
                <w:szCs w:val="22"/>
              </w:rPr>
            </w:pPr>
            <w:proofErr w:type="spellStart"/>
            <w:r w:rsidRPr="001800B7">
              <w:rPr>
                <w:szCs w:val="22"/>
              </w:rPr>
              <w:t>eTISC</w:t>
            </w:r>
            <w:proofErr w:type="spellEnd"/>
            <w:r w:rsidRPr="001800B7">
              <w:rPr>
                <w:szCs w:val="22"/>
              </w:rPr>
              <w:t xml:space="preserve"> comptait 650 membres (fin 2013).</w:t>
            </w:r>
            <w:r w:rsidRPr="001800B7">
              <w:rPr>
                <w:szCs w:val="22"/>
              </w:rPr>
              <w:br/>
            </w:r>
            <w:r w:rsidRPr="001800B7">
              <w:rPr>
                <w:szCs w:val="22"/>
              </w:rPr>
              <w:br/>
            </w:r>
          </w:p>
          <w:p w:rsidR="00F30D9D" w:rsidRPr="001800B7" w:rsidRDefault="00F30D9D" w:rsidP="00F30D9D">
            <w:pPr>
              <w:spacing w:before="120" w:after="120"/>
              <w:rPr>
                <w:szCs w:val="22"/>
              </w:rPr>
            </w:pPr>
            <w:r w:rsidRPr="001800B7">
              <w:rPr>
                <w:szCs w:val="22"/>
              </w:rPr>
              <w:t xml:space="preserve">Les utilisateurs ont apporté 520 contributions à </w:t>
            </w:r>
            <w:proofErr w:type="spellStart"/>
            <w:r w:rsidRPr="001800B7">
              <w:rPr>
                <w:szCs w:val="22"/>
              </w:rPr>
              <w:t>eTISC</w:t>
            </w:r>
            <w:proofErr w:type="spellEnd"/>
            <w:r w:rsidRPr="001800B7">
              <w:rPr>
                <w:szCs w:val="22"/>
              </w:rPr>
              <w:t xml:space="preserve"> (compte arrêté en décembre 2013).</w:t>
            </w:r>
          </w:p>
        </w:tc>
        <w:tc>
          <w:tcPr>
            <w:tcW w:w="1455" w:type="dxa"/>
            <w:tcBorders>
              <w:top w:val="single" w:sz="2" w:space="0" w:color="000000"/>
              <w:left w:val="single" w:sz="2" w:space="0" w:color="000000"/>
              <w:bottom w:val="single" w:sz="2" w:space="0" w:color="000000"/>
              <w:right w:val="single" w:sz="2" w:space="0" w:color="000000"/>
            </w:tcBorders>
          </w:tcPr>
          <w:p w:rsidR="00F30D9D" w:rsidRPr="001800B7" w:rsidRDefault="00F30D9D" w:rsidP="00F30D9D">
            <w:pPr>
              <w:spacing w:before="120" w:after="120"/>
              <w:rPr>
                <w:szCs w:val="22"/>
              </w:rPr>
            </w:pPr>
            <w:r w:rsidRPr="001800B7">
              <w:rPr>
                <w:szCs w:val="22"/>
              </w:rPr>
              <w:t>****</w:t>
            </w:r>
          </w:p>
        </w:tc>
      </w:tr>
      <w:tr w:rsidR="001800B7" w:rsidRPr="001800B7" w:rsidTr="00232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66"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lastRenderedPageBreak/>
              <w:t>3.  Promouvoir et accroître le nombre d</w:t>
            </w:r>
            <w:r w:rsidR="005311D6" w:rsidRPr="001800B7">
              <w:rPr>
                <w:szCs w:val="22"/>
              </w:rPr>
              <w:t>’</w:t>
            </w:r>
            <w:r w:rsidRPr="001800B7">
              <w:rPr>
                <w:szCs w:val="22"/>
              </w:rPr>
              <w:t>établissements et d</w:t>
            </w:r>
            <w:r w:rsidR="005311D6" w:rsidRPr="001800B7">
              <w:rPr>
                <w:szCs w:val="22"/>
              </w:rPr>
              <w:t>’</w:t>
            </w:r>
            <w:r w:rsidRPr="001800B7">
              <w:rPr>
                <w:szCs w:val="22"/>
              </w:rPr>
              <w:t>utilisateurs admissibles qui ont accès aux programmes ARDI et ASPI.</w:t>
            </w:r>
          </w:p>
        </w:tc>
        <w:tc>
          <w:tcPr>
            <w:tcW w:w="2694"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Le nombre d</w:t>
            </w:r>
            <w:r w:rsidR="005311D6" w:rsidRPr="001800B7">
              <w:rPr>
                <w:szCs w:val="22"/>
              </w:rPr>
              <w:t>’</w:t>
            </w:r>
            <w:r w:rsidRPr="001800B7">
              <w:rPr>
                <w:szCs w:val="22"/>
              </w:rPr>
              <w:t>établissements inscrits au programme ARDI doit augmenter de 50% et celui d</w:t>
            </w:r>
            <w:r w:rsidR="005311D6" w:rsidRPr="001800B7">
              <w:rPr>
                <w:szCs w:val="22"/>
              </w:rPr>
              <w:t>’</w:t>
            </w:r>
            <w:r w:rsidRPr="001800B7">
              <w:rPr>
                <w:szCs w:val="22"/>
              </w:rPr>
              <w:t>établissements inscrits au programme ASPI de 100%;  le nombre d</w:t>
            </w:r>
            <w:r w:rsidR="005311D6" w:rsidRPr="001800B7">
              <w:rPr>
                <w:szCs w:val="22"/>
              </w:rPr>
              <w:t>’</w:t>
            </w:r>
            <w:r w:rsidRPr="001800B7">
              <w:rPr>
                <w:szCs w:val="22"/>
              </w:rPr>
              <w:t>utilisateurs doit augmenter proportionnellement.</w:t>
            </w:r>
          </w:p>
        </w:tc>
        <w:tc>
          <w:tcPr>
            <w:tcW w:w="2976" w:type="dxa"/>
            <w:tcBorders>
              <w:top w:val="single" w:sz="2" w:space="0" w:color="000000"/>
              <w:left w:val="single" w:sz="4" w:space="0" w:color="auto"/>
              <w:bottom w:val="single" w:sz="2" w:space="0" w:color="000000"/>
              <w:right w:val="single" w:sz="2" w:space="0" w:color="000000"/>
            </w:tcBorders>
          </w:tcPr>
          <w:p w:rsidR="00F30D9D" w:rsidRPr="001800B7" w:rsidRDefault="00F30D9D" w:rsidP="00F30D9D">
            <w:pPr>
              <w:spacing w:before="120" w:after="120"/>
              <w:rPr>
                <w:szCs w:val="22"/>
              </w:rPr>
            </w:pPr>
            <w:r w:rsidRPr="001800B7">
              <w:rPr>
                <w:szCs w:val="22"/>
              </w:rPr>
              <w:t>Augmentation de plus de 600% du nombre d</w:t>
            </w:r>
            <w:r w:rsidR="005311D6" w:rsidRPr="001800B7">
              <w:rPr>
                <w:szCs w:val="22"/>
              </w:rPr>
              <w:t>’</w:t>
            </w:r>
            <w:r w:rsidRPr="001800B7">
              <w:rPr>
                <w:szCs w:val="22"/>
              </w:rPr>
              <w:t>établissements participant activement au programme ARDI (d</w:t>
            </w:r>
            <w:r w:rsidR="005311D6" w:rsidRPr="001800B7">
              <w:rPr>
                <w:szCs w:val="22"/>
              </w:rPr>
              <w:t>’</w:t>
            </w:r>
            <w:r w:rsidRPr="001800B7">
              <w:rPr>
                <w:szCs w:val="22"/>
              </w:rPr>
              <w:t>une trentaine à plus de 200).</w:t>
            </w:r>
          </w:p>
          <w:p w:rsidR="00F30D9D" w:rsidRPr="001800B7" w:rsidRDefault="00F30D9D" w:rsidP="00F30D9D">
            <w:pPr>
              <w:spacing w:before="120" w:after="120"/>
              <w:rPr>
                <w:szCs w:val="22"/>
              </w:rPr>
            </w:pPr>
            <w:r w:rsidRPr="001800B7">
              <w:rPr>
                <w:szCs w:val="22"/>
              </w:rPr>
              <w:t>Augmentation de 300% du nombre d</w:t>
            </w:r>
            <w:r w:rsidR="005311D6" w:rsidRPr="001800B7">
              <w:rPr>
                <w:szCs w:val="22"/>
              </w:rPr>
              <w:t>’</w:t>
            </w:r>
            <w:r w:rsidRPr="001800B7">
              <w:rPr>
                <w:szCs w:val="22"/>
              </w:rPr>
              <w:t>établissements participant activement au programme ASPI (de 6 à 20).</w:t>
            </w:r>
          </w:p>
        </w:tc>
        <w:tc>
          <w:tcPr>
            <w:tcW w:w="1455" w:type="dxa"/>
            <w:tcBorders>
              <w:top w:val="single" w:sz="2" w:space="0" w:color="000000"/>
              <w:left w:val="single" w:sz="2" w:space="0" w:color="000000"/>
              <w:bottom w:val="single" w:sz="2" w:space="0" w:color="000000"/>
              <w:right w:val="single" w:sz="2" w:space="0" w:color="000000"/>
            </w:tcBorders>
            <w:hideMark/>
          </w:tcPr>
          <w:p w:rsidR="00F30D9D" w:rsidRPr="001800B7" w:rsidRDefault="00F30D9D" w:rsidP="00F30D9D">
            <w:pPr>
              <w:spacing w:before="120" w:after="120"/>
              <w:rPr>
                <w:szCs w:val="22"/>
              </w:rPr>
            </w:pPr>
            <w:r w:rsidRPr="001800B7">
              <w:rPr>
                <w:szCs w:val="22"/>
              </w:rPr>
              <w:t>****</w:t>
            </w:r>
          </w:p>
        </w:tc>
      </w:tr>
    </w:tbl>
    <w:p w:rsidR="00F30D9D" w:rsidRPr="001800B7" w:rsidRDefault="00F30D9D" w:rsidP="00F30D9D">
      <w:pPr>
        <w:tabs>
          <w:tab w:val="left" w:pos="9060"/>
        </w:tabs>
        <w:rPr>
          <w:szCs w:val="22"/>
        </w:rPr>
      </w:pPr>
    </w:p>
    <w:p w:rsidR="00F30D9D" w:rsidRPr="001800B7" w:rsidRDefault="00F30D9D" w:rsidP="00F30D9D">
      <w:pPr>
        <w:tabs>
          <w:tab w:val="left" w:pos="9060"/>
        </w:tabs>
        <w:rPr>
          <w:szCs w:val="22"/>
        </w:rPr>
      </w:pPr>
    </w:p>
    <w:p w:rsidR="00F30D9D" w:rsidRPr="001800B7" w:rsidRDefault="00F30D9D" w:rsidP="00F30D9D">
      <w:pPr>
        <w:tabs>
          <w:tab w:val="left" w:pos="9060"/>
        </w:tabs>
        <w:rPr>
          <w:szCs w:val="22"/>
        </w:rPr>
      </w:pPr>
    </w:p>
    <w:p w:rsidR="00F30D9D" w:rsidRPr="001800B7" w:rsidRDefault="00F30D9D" w:rsidP="00F30D9D">
      <w:pPr>
        <w:pStyle w:val="Endofdocument-Annex"/>
        <w:rPr>
          <w:szCs w:val="22"/>
        </w:rPr>
        <w:sectPr w:rsidR="00F30D9D" w:rsidRPr="001800B7" w:rsidSect="00F30D9D">
          <w:headerReference w:type="default" r:id="rId63"/>
          <w:headerReference w:type="first" r:id="rId64"/>
          <w:endnotePr>
            <w:numFmt w:val="decimal"/>
          </w:endnotePr>
          <w:pgSz w:w="11907" w:h="16840" w:code="9"/>
          <w:pgMar w:top="567" w:right="1134" w:bottom="1417" w:left="1417" w:header="510" w:footer="1020" w:gutter="0"/>
          <w:pgNumType w:start="1"/>
          <w:cols w:space="720"/>
          <w:titlePg/>
          <w:docGrid w:linePitch="299"/>
        </w:sectPr>
      </w:pPr>
      <w:r w:rsidRPr="001800B7">
        <w:rPr>
          <w:szCs w:val="22"/>
        </w:rPr>
        <w:t>[L</w:t>
      </w:r>
      <w:r w:rsidR="005311D6" w:rsidRPr="001800B7">
        <w:rPr>
          <w:szCs w:val="22"/>
        </w:rPr>
        <w:t>’</w:t>
      </w:r>
      <w:r w:rsidRPr="001800B7">
        <w:rPr>
          <w:szCs w:val="22"/>
        </w:rPr>
        <w:t>annexe IX suit]</w:t>
      </w:r>
    </w:p>
    <w:p w:rsidR="00F30D9D" w:rsidRPr="001800B7" w:rsidRDefault="00F30D9D" w:rsidP="00F30D9D">
      <w:pPr>
        <w:rPr>
          <w:szCs w:val="22"/>
        </w:rPr>
      </w:pPr>
      <w:r w:rsidRPr="001800B7">
        <w:rPr>
          <w:szCs w:val="22"/>
        </w:rPr>
        <w:lastRenderedPageBreak/>
        <w:t>RAPPORT RELATIF À L</w:t>
      </w:r>
      <w:r w:rsidR="005311D6" w:rsidRPr="001800B7">
        <w:rPr>
          <w:szCs w:val="22"/>
        </w:rPr>
        <w:t>’</w:t>
      </w:r>
      <w:r w:rsidRPr="001800B7">
        <w:rPr>
          <w:szCs w:val="22"/>
        </w:rPr>
        <w:t>ACHÈVEMENT ET À L</w:t>
      </w:r>
      <w:r w:rsidR="005311D6" w:rsidRPr="001800B7">
        <w:rPr>
          <w:szCs w:val="22"/>
        </w:rPr>
        <w:t>’</w:t>
      </w:r>
      <w:r w:rsidRPr="001800B7">
        <w:rPr>
          <w:szCs w:val="22"/>
        </w:rPr>
        <w:t>AUTO</w:t>
      </w:r>
      <w:r w:rsidR="001800B7" w:rsidRPr="001800B7">
        <w:rPr>
          <w:szCs w:val="22"/>
        </w:rPr>
        <w:noBreakHyphen/>
      </w:r>
      <w:r w:rsidRPr="001800B7">
        <w:rPr>
          <w:szCs w:val="22"/>
        </w:rPr>
        <w:t>ÉVALUATION DU PROJET PILOTE DE CRÉATION DE NOUVELLES ACADÉMIES NATIONALES DE PROPRIÉTÉ INTELLECTUELLE – PHASE II</w:t>
      </w:r>
    </w:p>
    <w:p w:rsidR="00F30D9D" w:rsidRPr="001800B7" w:rsidRDefault="00F30D9D" w:rsidP="00F30D9D">
      <w:pPr>
        <w:rPr>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80"/>
      </w:tblGrid>
      <w:tr w:rsidR="001800B7" w:rsidRPr="001800B7" w:rsidTr="00F30D9D">
        <w:tc>
          <w:tcPr>
            <w:tcW w:w="9515" w:type="dxa"/>
            <w:gridSpan w:val="2"/>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RÉSUMÉ DU PROJET</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Code du projet</w:t>
            </w:r>
          </w:p>
        </w:tc>
        <w:tc>
          <w:tcPr>
            <w:tcW w:w="7280"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DA_10_02</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Titre</w:t>
            </w:r>
          </w:p>
        </w:tc>
        <w:tc>
          <w:tcPr>
            <w:tcW w:w="7280"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Projet pilote de création de nouvelles académies nationales de propriété intellectuelle – phase II</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Recommandations du Plan d</w:t>
            </w:r>
            <w:r w:rsidR="005311D6" w:rsidRPr="001800B7">
              <w:rPr>
                <w:szCs w:val="22"/>
              </w:rPr>
              <w:t>’</w:t>
            </w:r>
            <w:r w:rsidRPr="001800B7">
              <w:rPr>
                <w:szCs w:val="22"/>
              </w:rPr>
              <w:t>action pour le développement</w:t>
            </w:r>
          </w:p>
        </w:tc>
        <w:tc>
          <w:tcPr>
            <w:tcW w:w="7280"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i/>
                <w:szCs w:val="22"/>
              </w:rPr>
              <w:t xml:space="preserve">Recommandation n° 10 : </w:t>
            </w:r>
            <w:r w:rsidRPr="001800B7">
              <w:rPr>
                <w:szCs w:val="22"/>
              </w:rPr>
              <w:t>Aider les États membres à développer et à améliorer les capacités institutionnelles nationales en propriété intellectuelle par le développement des infrastructures et autres moyens en vue de renforcer l</w:t>
            </w:r>
            <w:r w:rsidR="005311D6" w:rsidRPr="001800B7">
              <w:rPr>
                <w:szCs w:val="22"/>
              </w:rPr>
              <w:t>’</w:t>
            </w:r>
            <w:r w:rsidRPr="001800B7">
              <w:rPr>
                <w:szCs w:val="22"/>
              </w:rPr>
              <w:t>efficacité des institutions nationales de propriété intellectuelle et de concilier protection de la propriété intellectuelle et préservation de l</w:t>
            </w:r>
            <w:r w:rsidR="005311D6" w:rsidRPr="001800B7">
              <w:rPr>
                <w:szCs w:val="22"/>
              </w:rPr>
              <w:t>’</w:t>
            </w:r>
            <w:r w:rsidRPr="001800B7">
              <w:rPr>
                <w:szCs w:val="22"/>
              </w:rPr>
              <w:t>intérêt général.  Cette assistance technique devrait également être étendue aux organisations sous</w:t>
            </w:r>
            <w:r w:rsidR="001800B7" w:rsidRPr="001800B7">
              <w:rPr>
                <w:szCs w:val="22"/>
              </w:rPr>
              <w:noBreakHyphen/>
            </w:r>
            <w:r w:rsidRPr="001800B7">
              <w:rPr>
                <w:szCs w:val="22"/>
              </w:rPr>
              <w:t>régionales et régionales œuvrant dans le domaine de la propriété intellectuelle.</w:t>
            </w:r>
          </w:p>
          <w:p w:rsidR="00F30D9D" w:rsidRPr="001800B7" w:rsidRDefault="00F30D9D" w:rsidP="00F30D9D">
            <w:pPr>
              <w:spacing w:before="120" w:after="120"/>
              <w:rPr>
                <w:szCs w:val="22"/>
              </w:rPr>
            </w:pPr>
            <w:r w:rsidRPr="001800B7">
              <w:rPr>
                <w:szCs w:val="22"/>
              </w:rPr>
              <w:t>Il est également tenu compte des recommandations n</w:t>
            </w:r>
            <w:r w:rsidRPr="001800B7">
              <w:rPr>
                <w:szCs w:val="22"/>
                <w:vertAlign w:val="superscript"/>
              </w:rPr>
              <w:t>os</w:t>
            </w:r>
            <w:r w:rsidRPr="001800B7">
              <w:rPr>
                <w:szCs w:val="22"/>
              </w:rPr>
              <w:t xml:space="preserve"> 1 et 3.</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Budget du projet</w:t>
            </w:r>
          </w:p>
        </w:tc>
        <w:tc>
          <w:tcPr>
            <w:tcW w:w="7280"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Dépenses autres que les dépenses de personnel : 443 200 francs suisses</w:t>
            </w:r>
          </w:p>
          <w:p w:rsidR="00F30D9D" w:rsidRPr="001800B7" w:rsidRDefault="00F30D9D" w:rsidP="00F30D9D">
            <w:pPr>
              <w:spacing w:before="120" w:after="120"/>
              <w:rPr>
                <w:szCs w:val="22"/>
              </w:rPr>
            </w:pPr>
            <w:r w:rsidRPr="001800B7">
              <w:rPr>
                <w:szCs w:val="22"/>
              </w:rPr>
              <w:t>Dépenses de personnel : 66 800 francs suisses</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Durée du projet</w:t>
            </w:r>
          </w:p>
        </w:tc>
        <w:tc>
          <w:tcPr>
            <w:tcW w:w="7280"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20 mois</w:t>
            </w:r>
          </w:p>
        </w:tc>
      </w:tr>
      <w:tr w:rsidR="001800B7" w:rsidRPr="001800B7" w:rsidTr="00F30D9D">
        <w:tc>
          <w:tcPr>
            <w:tcW w:w="2235" w:type="dxa"/>
            <w:tcBorders>
              <w:top w:val="single" w:sz="4" w:space="0" w:color="auto"/>
              <w:left w:val="single" w:sz="4" w:space="0" w:color="auto"/>
              <w:bottom w:val="single" w:sz="4" w:space="0" w:color="auto"/>
              <w:right w:val="single" w:sz="4" w:space="0" w:color="auto"/>
            </w:tcBorders>
            <w:hideMark/>
          </w:tcPr>
          <w:p w:rsidR="00F30D9D" w:rsidRPr="001800B7" w:rsidRDefault="00F30D9D" w:rsidP="00F30D9D">
            <w:pPr>
              <w:spacing w:before="120" w:after="120"/>
              <w:rPr>
                <w:szCs w:val="22"/>
              </w:rPr>
            </w:pPr>
            <w:r w:rsidRPr="001800B7">
              <w:rPr>
                <w:szCs w:val="22"/>
              </w:rPr>
              <w:t>Principaux secteurs de l</w:t>
            </w:r>
            <w:r w:rsidR="005311D6" w:rsidRPr="001800B7">
              <w:rPr>
                <w:szCs w:val="22"/>
              </w:rPr>
              <w:t>’</w:t>
            </w:r>
            <w:r w:rsidRPr="001800B7">
              <w:rPr>
                <w:szCs w:val="22"/>
              </w:rPr>
              <w:t>OMPI concernés et liens avec les programmes de l</w:t>
            </w:r>
            <w:r w:rsidR="005311D6" w:rsidRPr="001800B7">
              <w:rPr>
                <w:szCs w:val="22"/>
              </w:rPr>
              <w:t>’</w:t>
            </w:r>
            <w:r w:rsidRPr="001800B7">
              <w:rPr>
                <w:szCs w:val="22"/>
              </w:rPr>
              <w:t>OMPI</w:t>
            </w:r>
          </w:p>
        </w:tc>
        <w:tc>
          <w:tcPr>
            <w:tcW w:w="7280"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Secteur du développement</w:t>
            </w:r>
          </w:p>
          <w:p w:rsidR="00F30D9D" w:rsidRPr="001800B7" w:rsidRDefault="00F30D9D" w:rsidP="00F30D9D">
            <w:pPr>
              <w:spacing w:before="120" w:after="120"/>
              <w:rPr>
                <w:szCs w:val="22"/>
              </w:rPr>
            </w:pPr>
            <w:r w:rsidRPr="001800B7">
              <w:rPr>
                <w:szCs w:val="22"/>
              </w:rPr>
              <w:t>Liens avec les programmes 9 et 10 de l</w:t>
            </w:r>
            <w:r w:rsidR="005311D6" w:rsidRPr="001800B7">
              <w:rPr>
                <w:szCs w:val="22"/>
              </w:rPr>
              <w:t>’</w:t>
            </w:r>
            <w:r w:rsidRPr="001800B7">
              <w:rPr>
                <w:szCs w:val="22"/>
              </w:rPr>
              <w:t>OMPI.</w:t>
            </w:r>
          </w:p>
        </w:tc>
      </w:tr>
      <w:tr w:rsidR="00F30D9D" w:rsidRPr="001800B7" w:rsidTr="00F30D9D">
        <w:tc>
          <w:tcPr>
            <w:tcW w:w="2235"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spacing w:before="120" w:after="120"/>
              <w:rPr>
                <w:szCs w:val="22"/>
              </w:rPr>
            </w:pPr>
            <w:r w:rsidRPr="001800B7">
              <w:rPr>
                <w:szCs w:val="22"/>
              </w:rPr>
              <w:t>Brève description du projet</w:t>
            </w:r>
          </w:p>
        </w:tc>
        <w:tc>
          <w:tcPr>
            <w:tcW w:w="7280" w:type="dxa"/>
            <w:tcBorders>
              <w:top w:val="single" w:sz="4" w:space="0" w:color="auto"/>
              <w:left w:val="single" w:sz="4" w:space="0" w:color="auto"/>
              <w:bottom w:val="single" w:sz="4" w:space="0" w:color="auto"/>
              <w:right w:val="single" w:sz="4" w:space="0" w:color="auto"/>
            </w:tcBorders>
          </w:tcPr>
          <w:p w:rsidR="00F30D9D" w:rsidRPr="001800B7" w:rsidRDefault="00F30D9D" w:rsidP="00F30D9D">
            <w:pPr>
              <w:pStyle w:val="ListParagraph"/>
              <w:autoSpaceDE w:val="0"/>
              <w:autoSpaceDN w:val="0"/>
              <w:adjustRightInd w:val="0"/>
              <w:spacing w:before="120" w:after="120"/>
              <w:ind w:left="0"/>
              <w:contextualSpacing w:val="0"/>
              <w:rPr>
                <w:szCs w:val="22"/>
              </w:rPr>
            </w:pPr>
            <w:r w:rsidRPr="001800B7">
              <w:rPr>
                <w:szCs w:val="22"/>
              </w:rPr>
              <w:t>Le principal objectif du projet de création de nouvelles académies nationales de propriété intellectuelle était de renforcer les capacités institutionnelles et les capacités en matière de ressources humaines aux niveaux national et régional par le développement des infrastructures et autres moyens afin : d</w:t>
            </w:r>
            <w:r w:rsidR="005311D6" w:rsidRPr="001800B7">
              <w:rPr>
                <w:szCs w:val="22"/>
              </w:rPr>
              <w:t>’</w:t>
            </w:r>
            <w:r w:rsidRPr="001800B7">
              <w:rPr>
                <w:szCs w:val="22"/>
              </w:rPr>
              <w:t>accroître l</w:t>
            </w:r>
            <w:r w:rsidR="005311D6" w:rsidRPr="001800B7">
              <w:rPr>
                <w:szCs w:val="22"/>
              </w:rPr>
              <w:t>’</w:t>
            </w:r>
            <w:r w:rsidRPr="001800B7">
              <w:rPr>
                <w:szCs w:val="22"/>
              </w:rPr>
              <w:t>efficacité des institutions nationales et de concilier protection de la propriété intellectuelle et préservation de l</w:t>
            </w:r>
            <w:r w:rsidR="005311D6" w:rsidRPr="001800B7">
              <w:rPr>
                <w:szCs w:val="22"/>
              </w:rPr>
              <w:t>’</w:t>
            </w:r>
            <w:r w:rsidRPr="001800B7">
              <w:rPr>
                <w:szCs w:val="22"/>
              </w:rPr>
              <w:t>intérêt général;  de satisfaire aux priorités et objectifs nationaux en matière de développement;  et de répondre à la demande locale croissante émanant de spécialistes de la propriété intellectuelle, de professionnels, de fonctionnaires nationaux et d</w:t>
            </w:r>
            <w:r w:rsidR="005311D6" w:rsidRPr="001800B7">
              <w:rPr>
                <w:szCs w:val="22"/>
              </w:rPr>
              <w:t>’</w:t>
            </w:r>
            <w:r w:rsidRPr="001800B7">
              <w:rPr>
                <w:szCs w:val="22"/>
              </w:rPr>
              <w:t>autres parties prenantes.</w:t>
            </w:r>
          </w:p>
          <w:p w:rsidR="00F30D9D" w:rsidRPr="001800B7" w:rsidRDefault="00F30D9D" w:rsidP="00F30D9D">
            <w:pPr>
              <w:pStyle w:val="ListParagraph"/>
              <w:autoSpaceDE w:val="0"/>
              <w:autoSpaceDN w:val="0"/>
              <w:adjustRightInd w:val="0"/>
              <w:spacing w:before="120" w:after="120"/>
              <w:ind w:left="0"/>
              <w:contextualSpacing w:val="0"/>
              <w:rPr>
                <w:szCs w:val="22"/>
              </w:rPr>
            </w:pPr>
            <w:r w:rsidRPr="001800B7">
              <w:rPr>
                <w:szCs w:val="22"/>
              </w:rPr>
              <w:t>La phase II est proposée de telle sorte qu</w:t>
            </w:r>
            <w:r w:rsidR="005311D6" w:rsidRPr="001800B7">
              <w:rPr>
                <w:szCs w:val="22"/>
              </w:rPr>
              <w:t>’</w:t>
            </w:r>
            <w:r w:rsidRPr="001800B7">
              <w:rPr>
                <w:szCs w:val="22"/>
              </w:rPr>
              <w:t>à la fin de l</w:t>
            </w:r>
            <w:r w:rsidR="005311D6" w:rsidRPr="001800B7">
              <w:rPr>
                <w:szCs w:val="22"/>
              </w:rPr>
              <w:t>’</w:t>
            </w:r>
            <w:r w:rsidRPr="001800B7">
              <w:rPr>
                <w:szCs w:val="22"/>
              </w:rPr>
              <w:t>année 2013, l</w:t>
            </w:r>
            <w:r w:rsidR="005311D6" w:rsidRPr="001800B7">
              <w:rPr>
                <w:szCs w:val="22"/>
              </w:rPr>
              <w:t>’</w:t>
            </w:r>
            <w:r w:rsidRPr="001800B7">
              <w:rPr>
                <w:szCs w:val="22"/>
              </w:rPr>
              <w:t>Académie de l</w:t>
            </w:r>
            <w:r w:rsidR="005311D6" w:rsidRPr="001800B7">
              <w:rPr>
                <w:szCs w:val="22"/>
              </w:rPr>
              <w:t>’</w:t>
            </w:r>
            <w:r w:rsidRPr="001800B7">
              <w:rPr>
                <w:szCs w:val="22"/>
              </w:rPr>
              <w:t>OMPI :</w:t>
            </w:r>
          </w:p>
          <w:p w:rsidR="00F30D9D" w:rsidRPr="001800B7" w:rsidRDefault="00F30D9D" w:rsidP="00F30D9D">
            <w:pPr>
              <w:pStyle w:val="ListParagraph"/>
              <w:autoSpaceDE w:val="0"/>
              <w:autoSpaceDN w:val="0"/>
              <w:adjustRightInd w:val="0"/>
              <w:spacing w:before="120" w:after="120"/>
              <w:ind w:left="0"/>
              <w:contextualSpacing w:val="0"/>
              <w:rPr>
                <w:szCs w:val="22"/>
              </w:rPr>
            </w:pPr>
            <w:r w:rsidRPr="001800B7">
              <w:rPr>
                <w:szCs w:val="22"/>
              </w:rPr>
              <w:t>1.  aurait aidé la Colombie, la République dominicaine, l</w:t>
            </w:r>
            <w:r w:rsidR="005311D6" w:rsidRPr="001800B7">
              <w:rPr>
                <w:szCs w:val="22"/>
              </w:rPr>
              <w:t>’</w:t>
            </w:r>
            <w:r w:rsidRPr="001800B7">
              <w:rPr>
                <w:szCs w:val="22"/>
              </w:rPr>
              <w:t>Égypte, l</w:t>
            </w:r>
            <w:r w:rsidR="005311D6" w:rsidRPr="001800B7">
              <w:rPr>
                <w:szCs w:val="22"/>
              </w:rPr>
              <w:t>’</w:t>
            </w:r>
            <w:r w:rsidRPr="001800B7">
              <w:rPr>
                <w:szCs w:val="22"/>
              </w:rPr>
              <w:t>Éthiopie, le Pérou et la Tunisie à créer des centres de formation autonomes dans le domaine de la propriété intellectuelle, qui seront en mesure d</w:t>
            </w:r>
            <w:r w:rsidR="005311D6" w:rsidRPr="001800B7">
              <w:rPr>
                <w:szCs w:val="22"/>
              </w:rPr>
              <w:t>’</w:t>
            </w:r>
            <w:r w:rsidRPr="001800B7">
              <w:rPr>
                <w:szCs w:val="22"/>
              </w:rPr>
              <w:t>offrir régulièrement au moins deux programmes de formation sur les questions émergentes relatives à la propriété intellectuelle, comme convenu avec les pays bénéficiaires;</w:t>
            </w:r>
          </w:p>
          <w:p w:rsidR="00F30D9D" w:rsidRPr="001800B7" w:rsidRDefault="00F30D9D" w:rsidP="00F30D9D">
            <w:pPr>
              <w:pStyle w:val="ListParagraph"/>
              <w:autoSpaceDE w:val="0"/>
              <w:autoSpaceDN w:val="0"/>
              <w:adjustRightInd w:val="0"/>
              <w:spacing w:before="120" w:after="120"/>
              <w:ind w:left="0"/>
              <w:contextualSpacing w:val="0"/>
              <w:rPr>
                <w:szCs w:val="22"/>
              </w:rPr>
            </w:pPr>
            <w:r w:rsidRPr="001800B7">
              <w:rPr>
                <w:szCs w:val="22"/>
              </w:rPr>
              <w:lastRenderedPageBreak/>
              <w:t>2.  disposerait des ressources humaines nécessaires pour élaborer et dispenser des formations en propriété intellectuelle qui répondent aux enjeux et priorités de développement au niveau national, qui soient adaptées aux besoins locaux et qui permettent de concilier droits de la propriété intellectuelle et préservation de l</w:t>
            </w:r>
            <w:r w:rsidR="005311D6" w:rsidRPr="001800B7">
              <w:rPr>
                <w:szCs w:val="22"/>
              </w:rPr>
              <w:t>’</w:t>
            </w:r>
            <w:r w:rsidRPr="001800B7">
              <w:rPr>
                <w:szCs w:val="22"/>
              </w:rPr>
              <w:t>intérêt général;</w:t>
            </w:r>
          </w:p>
          <w:p w:rsidR="00F30D9D" w:rsidRPr="001800B7" w:rsidRDefault="00F30D9D" w:rsidP="00F30D9D">
            <w:pPr>
              <w:pStyle w:val="ListParagraph"/>
              <w:autoSpaceDE w:val="0"/>
              <w:autoSpaceDN w:val="0"/>
              <w:adjustRightInd w:val="0"/>
              <w:spacing w:before="120" w:after="120"/>
              <w:ind w:left="0"/>
              <w:contextualSpacing w:val="0"/>
              <w:rPr>
                <w:szCs w:val="22"/>
              </w:rPr>
            </w:pPr>
            <w:r w:rsidRPr="001800B7">
              <w:rPr>
                <w:szCs w:val="22"/>
              </w:rPr>
              <w:t>3.  aurait élaboré un ensemble d</w:t>
            </w:r>
            <w:r w:rsidR="005311D6" w:rsidRPr="001800B7">
              <w:rPr>
                <w:szCs w:val="22"/>
              </w:rPr>
              <w:t>’</w:t>
            </w:r>
            <w:r w:rsidRPr="001800B7">
              <w:rPr>
                <w:szCs w:val="22"/>
              </w:rPr>
              <w:t>outils et de principes directeurs pouvant servir de références à d</w:t>
            </w:r>
            <w:r w:rsidR="005311D6" w:rsidRPr="001800B7">
              <w:rPr>
                <w:szCs w:val="22"/>
              </w:rPr>
              <w:t>’</w:t>
            </w:r>
            <w:r w:rsidRPr="001800B7">
              <w:rPr>
                <w:szCs w:val="22"/>
              </w:rPr>
              <w:t>autres États membres intéressés qui souhaiteraient créer leurs propres instituts de formation;</w:t>
            </w:r>
          </w:p>
          <w:p w:rsidR="00F30D9D" w:rsidRPr="001800B7" w:rsidRDefault="00F30D9D" w:rsidP="00F30D9D">
            <w:pPr>
              <w:pStyle w:val="ListParagraph"/>
              <w:spacing w:before="120" w:after="120"/>
              <w:ind w:left="0"/>
              <w:contextualSpacing w:val="0"/>
              <w:rPr>
                <w:szCs w:val="22"/>
              </w:rPr>
            </w:pPr>
            <w:r w:rsidRPr="001800B7">
              <w:rPr>
                <w:szCs w:val="22"/>
              </w:rPr>
              <w:t>4.  aurait contribué à la création d</w:t>
            </w:r>
            <w:r w:rsidR="005311D6" w:rsidRPr="001800B7">
              <w:rPr>
                <w:szCs w:val="22"/>
              </w:rPr>
              <w:t>’</w:t>
            </w:r>
            <w:r w:rsidRPr="001800B7">
              <w:rPr>
                <w:szCs w:val="22"/>
              </w:rPr>
              <w:t>un forum de discussion sur l</w:t>
            </w:r>
            <w:r w:rsidR="005311D6" w:rsidRPr="001800B7">
              <w:rPr>
                <w:szCs w:val="22"/>
              </w:rPr>
              <w:t>’</w:t>
            </w:r>
            <w:r w:rsidRPr="001800B7">
              <w:rPr>
                <w:szCs w:val="22"/>
              </w:rPr>
              <w:t>utilisation de la propriété intellectuelle aux fins de développement économique et social aux niveaux national et régional.</w:t>
            </w:r>
          </w:p>
        </w:tc>
      </w:tr>
    </w:tbl>
    <w:p w:rsidR="0010628F" w:rsidRPr="001800B7" w:rsidRDefault="0010628F" w:rsidP="009B7B20">
      <w:pPr>
        <w:rPr>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80"/>
      </w:tblGrid>
      <w:tr w:rsidR="001800B7" w:rsidRPr="007C1A09" w:rsidTr="009B7B20">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9B7B20">
            <w:pPr>
              <w:spacing w:before="120" w:after="120"/>
              <w:rPr>
                <w:szCs w:val="22"/>
              </w:rPr>
            </w:pPr>
            <w:r w:rsidRPr="001800B7">
              <w:rPr>
                <w:szCs w:val="22"/>
              </w:rPr>
              <w:t>Chef de projet</w:t>
            </w:r>
          </w:p>
        </w:tc>
        <w:tc>
          <w:tcPr>
            <w:tcW w:w="7280" w:type="dxa"/>
            <w:tcBorders>
              <w:top w:val="single" w:sz="4" w:space="0" w:color="auto"/>
              <w:left w:val="single" w:sz="4" w:space="0" w:color="auto"/>
              <w:bottom w:val="single" w:sz="4" w:space="0" w:color="auto"/>
              <w:right w:val="single" w:sz="4" w:space="0" w:color="auto"/>
            </w:tcBorders>
          </w:tcPr>
          <w:p w:rsidR="0010628F" w:rsidRPr="007C1A09" w:rsidRDefault="0010628F" w:rsidP="009B7B20">
            <w:pPr>
              <w:spacing w:before="120" w:after="120"/>
              <w:rPr>
                <w:iCs/>
                <w:szCs w:val="22"/>
                <w:lang w:val="es-ES_tradnl"/>
              </w:rPr>
            </w:pPr>
            <w:r w:rsidRPr="007C1A09">
              <w:rPr>
                <w:iCs/>
                <w:szCs w:val="22"/>
                <w:lang w:val="es-ES_tradnl"/>
              </w:rPr>
              <w:t>M. Marcelo Di Pietro Peralta</w:t>
            </w:r>
          </w:p>
        </w:tc>
      </w:tr>
      <w:tr w:rsidR="001800B7" w:rsidRPr="001800B7" w:rsidTr="009B7B20">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9B7B20">
            <w:pPr>
              <w:spacing w:before="120" w:after="120"/>
              <w:rPr>
                <w:szCs w:val="22"/>
              </w:rPr>
            </w:pPr>
            <w:r w:rsidRPr="001800B7">
              <w:rPr>
                <w:szCs w:val="22"/>
              </w:rPr>
              <w:t>Liens avec les résultats escomptés dans le programme et budget pour 2012</w:t>
            </w:r>
            <w:r w:rsidR="001800B7" w:rsidRPr="001800B7">
              <w:rPr>
                <w:szCs w:val="22"/>
              </w:rPr>
              <w:noBreakHyphen/>
            </w:r>
            <w:r w:rsidRPr="001800B7">
              <w:rPr>
                <w:szCs w:val="22"/>
              </w:rPr>
              <w:t xml:space="preserve">2013 </w:t>
            </w:r>
          </w:p>
        </w:tc>
        <w:tc>
          <w:tcPr>
            <w:tcW w:w="7280" w:type="dxa"/>
            <w:tcBorders>
              <w:top w:val="single" w:sz="4" w:space="0" w:color="auto"/>
              <w:left w:val="single" w:sz="4" w:space="0" w:color="auto"/>
              <w:bottom w:val="single" w:sz="4" w:space="0" w:color="auto"/>
              <w:right w:val="single" w:sz="4" w:space="0" w:color="auto"/>
            </w:tcBorders>
          </w:tcPr>
          <w:p w:rsidR="0010628F" w:rsidRPr="001800B7" w:rsidRDefault="0010628F" w:rsidP="009B7B20">
            <w:pPr>
              <w:spacing w:before="120" w:after="120"/>
              <w:rPr>
                <w:i/>
                <w:szCs w:val="22"/>
              </w:rPr>
            </w:pPr>
            <w:r w:rsidRPr="001800B7">
              <w:rPr>
                <w:i/>
                <w:iCs/>
                <w:szCs w:val="22"/>
              </w:rPr>
              <w:t>Résultat escompté</w:t>
            </w:r>
            <w:r w:rsidRPr="001800B7">
              <w:rPr>
                <w:iCs/>
                <w:szCs w:val="22"/>
              </w:rPr>
              <w:t xml:space="preserve"> </w:t>
            </w:r>
            <w:r w:rsidRPr="001800B7">
              <w:rPr>
                <w:i/>
                <w:iCs/>
                <w:szCs w:val="22"/>
              </w:rPr>
              <w:t xml:space="preserve">III.4 : </w:t>
            </w:r>
            <w:r w:rsidRPr="001800B7">
              <w:rPr>
                <w:iCs/>
                <w:szCs w:val="22"/>
              </w:rPr>
              <w:t>Accès facilité à l</w:t>
            </w:r>
            <w:r w:rsidR="005311D6" w:rsidRPr="001800B7">
              <w:rPr>
                <w:iCs/>
                <w:szCs w:val="22"/>
              </w:rPr>
              <w:t>’</w:t>
            </w:r>
            <w:r w:rsidRPr="001800B7">
              <w:rPr>
                <w:iCs/>
                <w:szCs w:val="22"/>
              </w:rPr>
              <w:t>enseignement en matière de propriété intellectuelle</w:t>
            </w:r>
          </w:p>
        </w:tc>
      </w:tr>
      <w:tr w:rsidR="001800B7" w:rsidRPr="001800B7" w:rsidTr="009B7B20">
        <w:tc>
          <w:tcPr>
            <w:tcW w:w="2235" w:type="dxa"/>
            <w:tcBorders>
              <w:top w:val="single" w:sz="4" w:space="0" w:color="auto"/>
              <w:left w:val="single" w:sz="4" w:space="0" w:color="auto"/>
              <w:bottom w:val="single" w:sz="4" w:space="0" w:color="auto"/>
              <w:right w:val="single" w:sz="4" w:space="0" w:color="auto"/>
            </w:tcBorders>
            <w:shd w:val="clear" w:color="auto" w:fill="auto"/>
          </w:tcPr>
          <w:p w:rsidR="0010628F" w:rsidRPr="001800B7" w:rsidRDefault="0010628F" w:rsidP="009B7B20">
            <w:pPr>
              <w:spacing w:before="120" w:after="120"/>
              <w:rPr>
                <w:szCs w:val="22"/>
              </w:rPr>
            </w:pPr>
            <w:r w:rsidRPr="001800B7">
              <w:rPr>
                <w:szCs w:val="22"/>
              </w:rPr>
              <w:t>État d</w:t>
            </w:r>
            <w:r w:rsidR="005311D6" w:rsidRPr="001800B7">
              <w:rPr>
                <w:szCs w:val="22"/>
              </w:rPr>
              <w:t>’</w:t>
            </w:r>
            <w:r w:rsidRPr="001800B7">
              <w:rPr>
                <w:szCs w:val="22"/>
              </w:rPr>
              <w:t>avancement du projet</w:t>
            </w:r>
          </w:p>
        </w:tc>
        <w:tc>
          <w:tcPr>
            <w:tcW w:w="7280" w:type="dxa"/>
            <w:tcBorders>
              <w:top w:val="single" w:sz="4" w:space="0" w:color="auto"/>
              <w:left w:val="single" w:sz="4" w:space="0" w:color="auto"/>
              <w:bottom w:val="single" w:sz="4" w:space="0" w:color="auto"/>
              <w:right w:val="single" w:sz="4" w:space="0" w:color="auto"/>
            </w:tcBorders>
          </w:tcPr>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Ce projet constitue une prolongation de la phase II du projet pilote de création de nouvelles académies nationales de la propriété intellectuelle (DA_10_01), qui a été mis en œuvre de mai 2009 à avril 2011.</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Ce projet avait pour objectif principal de finaliser la coopération initiée entre six pays membres, notamment, la Colombie, la République dominicaine, l</w:t>
            </w:r>
            <w:r w:rsidR="005311D6" w:rsidRPr="001800B7">
              <w:rPr>
                <w:bCs/>
                <w:iCs/>
                <w:szCs w:val="22"/>
                <w:lang w:bidi="th-TH"/>
              </w:rPr>
              <w:t>’</w:t>
            </w:r>
            <w:r w:rsidRPr="001800B7">
              <w:rPr>
                <w:bCs/>
                <w:iCs/>
                <w:szCs w:val="22"/>
                <w:lang w:bidi="th-TH"/>
              </w:rPr>
              <w:t>Égypte, l</w:t>
            </w:r>
            <w:r w:rsidR="005311D6" w:rsidRPr="001800B7">
              <w:rPr>
                <w:bCs/>
                <w:iCs/>
                <w:szCs w:val="22"/>
                <w:lang w:bidi="th-TH"/>
              </w:rPr>
              <w:t>’</w:t>
            </w:r>
            <w:r w:rsidRPr="001800B7">
              <w:rPr>
                <w:bCs/>
                <w:iCs/>
                <w:szCs w:val="22"/>
                <w:lang w:bidi="th-TH"/>
              </w:rPr>
              <w:t>Éthiopie, le Pérou et la Tunisie, aux fins de créer des instituts nationaux de formation en propriété intellectuelle.</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La mise en œuvre de la phase II de ce projet a été poursuivie dans ces six pays pilotes, et au cours de cette phase, la coopération a été essentiellement axée sur la formation des ressources humaines (formation des formateurs et formation des coordonnateurs académiques) et fourniture d</w:t>
            </w:r>
            <w:r w:rsidR="005311D6" w:rsidRPr="001800B7">
              <w:rPr>
                <w:bCs/>
                <w:iCs/>
                <w:szCs w:val="22"/>
                <w:lang w:bidi="th-TH"/>
              </w:rPr>
              <w:t>’</w:t>
            </w:r>
            <w:r w:rsidRPr="001800B7">
              <w:rPr>
                <w:bCs/>
                <w:iCs/>
                <w:szCs w:val="22"/>
                <w:lang w:bidi="th-TH"/>
              </w:rPr>
              <w:t>une bibliographie aux bibliothèques nationales de la propriété intellectuelle.</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Dans les six pays susmentionnés, l</w:t>
            </w:r>
            <w:r w:rsidR="005311D6" w:rsidRPr="001800B7">
              <w:rPr>
                <w:bCs/>
                <w:iCs/>
                <w:szCs w:val="22"/>
                <w:lang w:bidi="th-TH"/>
              </w:rPr>
              <w:t>’</w:t>
            </w:r>
            <w:r w:rsidRPr="001800B7">
              <w:rPr>
                <w:bCs/>
                <w:iCs/>
                <w:szCs w:val="22"/>
                <w:lang w:bidi="th-TH"/>
              </w:rPr>
              <w:t>ensemble des résultats est le suivant :</w:t>
            </w:r>
          </w:p>
          <w:p w:rsidR="0010628F" w:rsidRPr="001800B7" w:rsidRDefault="0010628F" w:rsidP="009B7B20">
            <w:pPr>
              <w:pStyle w:val="ListParagraph"/>
              <w:numPr>
                <w:ilvl w:val="0"/>
                <w:numId w:val="26"/>
              </w:numPr>
              <w:autoSpaceDE w:val="0"/>
              <w:autoSpaceDN w:val="0"/>
              <w:adjustRightInd w:val="0"/>
              <w:spacing w:before="120" w:after="120"/>
              <w:ind w:left="568" w:hanging="284"/>
              <w:contextualSpacing w:val="0"/>
              <w:rPr>
                <w:bCs/>
                <w:iCs/>
                <w:szCs w:val="22"/>
                <w:lang w:bidi="th-TH"/>
              </w:rPr>
            </w:pPr>
            <w:r w:rsidRPr="001800B7">
              <w:rPr>
                <w:bCs/>
                <w:iCs/>
                <w:szCs w:val="22"/>
                <w:lang w:bidi="th-TH"/>
              </w:rPr>
              <w:t>En Colombie, en République dominicaine, en Égypte, au Pérou et en Tunisie, cinq centres nationaux de formation à la propriété intellectuelle dispensent actuellement des programmes de formation à destination du grand public, couvrant tant des aspects généraux de la propriété intellectuelle que des diplômes multidisciplinaires, sous forme d</w:t>
            </w:r>
            <w:r w:rsidR="005311D6" w:rsidRPr="001800B7">
              <w:rPr>
                <w:bCs/>
                <w:iCs/>
                <w:szCs w:val="22"/>
                <w:lang w:bidi="th-TH"/>
              </w:rPr>
              <w:t>’</w:t>
            </w:r>
            <w:r w:rsidRPr="001800B7">
              <w:rPr>
                <w:bCs/>
                <w:iCs/>
                <w:szCs w:val="22"/>
                <w:lang w:bidi="th-TH"/>
              </w:rPr>
              <w:t>enseignement à distance, d</w:t>
            </w:r>
            <w:r w:rsidR="005311D6" w:rsidRPr="001800B7">
              <w:rPr>
                <w:bCs/>
                <w:iCs/>
                <w:szCs w:val="22"/>
                <w:lang w:bidi="th-TH"/>
              </w:rPr>
              <w:t>’</w:t>
            </w:r>
            <w:r w:rsidRPr="001800B7">
              <w:rPr>
                <w:bCs/>
                <w:iCs/>
                <w:szCs w:val="22"/>
                <w:lang w:bidi="th-TH"/>
              </w:rPr>
              <w:t>enseignement traditionnel en face à face ou sous ces deux modes.</w:t>
            </w:r>
          </w:p>
          <w:p w:rsidR="0010628F" w:rsidRPr="001800B7" w:rsidRDefault="0010628F" w:rsidP="009B7B20">
            <w:pPr>
              <w:pStyle w:val="ListParagraph"/>
              <w:numPr>
                <w:ilvl w:val="0"/>
                <w:numId w:val="26"/>
              </w:numPr>
              <w:autoSpaceDE w:val="0"/>
              <w:autoSpaceDN w:val="0"/>
              <w:adjustRightInd w:val="0"/>
              <w:spacing w:before="120" w:after="120"/>
              <w:ind w:left="568" w:hanging="284"/>
              <w:contextualSpacing w:val="0"/>
              <w:rPr>
                <w:bCs/>
                <w:iCs/>
                <w:szCs w:val="22"/>
                <w:lang w:bidi="th-TH"/>
              </w:rPr>
            </w:pPr>
            <w:r w:rsidRPr="001800B7">
              <w:rPr>
                <w:bCs/>
                <w:iCs/>
                <w:szCs w:val="22"/>
                <w:lang w:bidi="th-TH"/>
              </w:rPr>
              <w:t>Des formateurs sélectionnés dans ces cinq pays ont bénéficié d</w:t>
            </w:r>
            <w:r w:rsidR="005311D6" w:rsidRPr="001800B7">
              <w:rPr>
                <w:bCs/>
                <w:iCs/>
                <w:szCs w:val="22"/>
                <w:lang w:bidi="th-TH"/>
              </w:rPr>
              <w:t>’</w:t>
            </w:r>
            <w:r w:rsidRPr="001800B7">
              <w:rPr>
                <w:bCs/>
                <w:iCs/>
                <w:szCs w:val="22"/>
                <w:lang w:bidi="th-TH"/>
              </w:rPr>
              <w:t>une formation sur mesure afin de renforcer leurs compétences pédagogiques (dans l</w:t>
            </w:r>
            <w:r w:rsidR="005311D6" w:rsidRPr="001800B7">
              <w:rPr>
                <w:bCs/>
                <w:iCs/>
                <w:szCs w:val="22"/>
                <w:lang w:bidi="th-TH"/>
              </w:rPr>
              <w:t>’</w:t>
            </w:r>
            <w:r w:rsidRPr="001800B7">
              <w:rPr>
                <w:bCs/>
                <w:iCs/>
                <w:szCs w:val="22"/>
                <w:lang w:bidi="th-TH"/>
              </w:rPr>
              <w:t>ensemble 800 heures de formation ont été dispensées dans ces cinq pays);</w:t>
            </w:r>
          </w:p>
          <w:p w:rsidR="0010628F" w:rsidRPr="001800B7" w:rsidRDefault="0010628F" w:rsidP="009B7B20">
            <w:pPr>
              <w:pStyle w:val="ListParagraph"/>
              <w:numPr>
                <w:ilvl w:val="0"/>
                <w:numId w:val="26"/>
              </w:numPr>
              <w:autoSpaceDE w:val="0"/>
              <w:autoSpaceDN w:val="0"/>
              <w:adjustRightInd w:val="0"/>
              <w:spacing w:before="120" w:after="120"/>
              <w:ind w:left="568" w:hanging="284"/>
              <w:contextualSpacing w:val="0"/>
              <w:rPr>
                <w:bCs/>
                <w:iCs/>
                <w:szCs w:val="22"/>
                <w:lang w:bidi="th-TH"/>
              </w:rPr>
            </w:pPr>
            <w:r w:rsidRPr="001800B7">
              <w:rPr>
                <w:szCs w:val="22"/>
              </w:rPr>
              <w:t xml:space="preserve">18 </w:t>
            </w:r>
            <w:r w:rsidRPr="001800B7">
              <w:rPr>
                <w:bCs/>
                <w:iCs/>
                <w:szCs w:val="22"/>
                <w:lang w:bidi="th-TH"/>
              </w:rPr>
              <w:t>principaux formateurs ont obtenu des bourses dans le cadre de programmes internationaux de Master en droit de la propriété intellectuelle;</w:t>
            </w:r>
          </w:p>
          <w:p w:rsidR="0010628F" w:rsidRPr="001800B7" w:rsidRDefault="0010628F" w:rsidP="009B7B20">
            <w:pPr>
              <w:pStyle w:val="ListParagraph"/>
              <w:numPr>
                <w:ilvl w:val="0"/>
                <w:numId w:val="26"/>
              </w:numPr>
              <w:autoSpaceDE w:val="0"/>
              <w:autoSpaceDN w:val="0"/>
              <w:adjustRightInd w:val="0"/>
              <w:spacing w:before="120" w:after="120"/>
              <w:ind w:left="568" w:hanging="284"/>
              <w:contextualSpacing w:val="0"/>
              <w:rPr>
                <w:bCs/>
                <w:iCs/>
                <w:szCs w:val="22"/>
                <w:lang w:bidi="th-TH"/>
              </w:rPr>
            </w:pPr>
            <w:r w:rsidRPr="001800B7">
              <w:rPr>
                <w:bCs/>
                <w:iCs/>
                <w:szCs w:val="22"/>
                <w:lang w:bidi="th-TH"/>
              </w:rPr>
              <w:lastRenderedPageBreak/>
              <w:t>86 formateurs ont obtenu leur certification concernant les méthodologies d</w:t>
            </w:r>
            <w:r w:rsidR="005311D6" w:rsidRPr="001800B7">
              <w:rPr>
                <w:bCs/>
                <w:iCs/>
                <w:szCs w:val="22"/>
                <w:lang w:bidi="th-TH"/>
              </w:rPr>
              <w:t>’</w:t>
            </w:r>
            <w:r w:rsidRPr="001800B7">
              <w:rPr>
                <w:bCs/>
                <w:iCs/>
                <w:szCs w:val="22"/>
                <w:lang w:bidi="th-TH"/>
              </w:rPr>
              <w:t>enseignement et des aspects fondamentaux de la propriété intellectuelle, dont la promotion d</w:t>
            </w:r>
            <w:r w:rsidR="005311D6" w:rsidRPr="001800B7">
              <w:rPr>
                <w:bCs/>
                <w:iCs/>
                <w:szCs w:val="22"/>
                <w:lang w:bidi="th-TH"/>
              </w:rPr>
              <w:t>’</w:t>
            </w:r>
            <w:r w:rsidRPr="001800B7">
              <w:rPr>
                <w:bCs/>
                <w:iCs/>
                <w:szCs w:val="22"/>
                <w:lang w:bidi="th-TH"/>
              </w:rPr>
              <w:t>un juste équilibre entre la protection de la propriété intellectuelle et l</w:t>
            </w:r>
            <w:r w:rsidR="005311D6" w:rsidRPr="001800B7">
              <w:rPr>
                <w:bCs/>
                <w:iCs/>
                <w:szCs w:val="22"/>
                <w:lang w:bidi="th-TH"/>
              </w:rPr>
              <w:t>’</w:t>
            </w:r>
            <w:r w:rsidRPr="001800B7">
              <w:rPr>
                <w:bCs/>
                <w:iCs/>
                <w:szCs w:val="22"/>
                <w:lang w:bidi="th-TH"/>
              </w:rPr>
              <w:t>intérêt public;</w:t>
            </w:r>
          </w:p>
          <w:p w:rsidR="0010628F" w:rsidRPr="001800B7" w:rsidRDefault="0010628F" w:rsidP="009B7B20">
            <w:pPr>
              <w:pStyle w:val="ListParagraph"/>
              <w:numPr>
                <w:ilvl w:val="0"/>
                <w:numId w:val="26"/>
              </w:numPr>
              <w:autoSpaceDE w:val="0"/>
              <w:autoSpaceDN w:val="0"/>
              <w:adjustRightInd w:val="0"/>
              <w:spacing w:before="120" w:after="120"/>
              <w:ind w:left="568" w:hanging="284"/>
              <w:contextualSpacing w:val="0"/>
              <w:rPr>
                <w:bCs/>
                <w:iCs/>
                <w:szCs w:val="22"/>
                <w:lang w:bidi="th-TH"/>
              </w:rPr>
            </w:pPr>
            <w:r w:rsidRPr="001800B7">
              <w:rPr>
                <w:bCs/>
                <w:iCs/>
                <w:szCs w:val="22"/>
                <w:lang w:bidi="th-TH"/>
              </w:rPr>
              <w:t>Quatre directeurs de centres nationaux de formation à la propriété intellectuelle ont bénéficié d</w:t>
            </w:r>
            <w:r w:rsidR="005311D6" w:rsidRPr="001800B7">
              <w:rPr>
                <w:bCs/>
                <w:iCs/>
                <w:szCs w:val="22"/>
                <w:lang w:bidi="th-TH"/>
              </w:rPr>
              <w:t>’</w:t>
            </w:r>
            <w:r w:rsidRPr="001800B7">
              <w:rPr>
                <w:bCs/>
                <w:iCs/>
                <w:szCs w:val="22"/>
                <w:lang w:bidi="th-TH"/>
              </w:rPr>
              <w:t>une formation sur mesure;</w:t>
            </w:r>
          </w:p>
          <w:p w:rsidR="0010628F" w:rsidRPr="001800B7" w:rsidRDefault="0010628F" w:rsidP="009B7B20">
            <w:pPr>
              <w:pStyle w:val="ListParagraph"/>
              <w:numPr>
                <w:ilvl w:val="0"/>
                <w:numId w:val="26"/>
              </w:numPr>
              <w:autoSpaceDE w:val="0"/>
              <w:autoSpaceDN w:val="0"/>
              <w:adjustRightInd w:val="0"/>
              <w:spacing w:before="120" w:after="120"/>
              <w:ind w:left="568" w:hanging="284"/>
              <w:contextualSpacing w:val="0"/>
              <w:rPr>
                <w:bCs/>
                <w:iCs/>
                <w:szCs w:val="22"/>
                <w:lang w:bidi="th-TH"/>
              </w:rPr>
            </w:pPr>
            <w:r w:rsidRPr="001800B7">
              <w:rPr>
                <w:bCs/>
                <w:iCs/>
                <w:szCs w:val="22"/>
                <w:lang w:bidi="th-TH"/>
              </w:rPr>
              <w:t>121 personnes du personnel principal des six pays pilotes ont participé à des programmes de formation spécialisée dispensés pour un public cible spécial (gestion de projets, aspects du Plan d</w:t>
            </w:r>
            <w:r w:rsidR="005311D6" w:rsidRPr="001800B7">
              <w:rPr>
                <w:bCs/>
                <w:iCs/>
                <w:szCs w:val="22"/>
                <w:lang w:bidi="th-TH"/>
              </w:rPr>
              <w:t>’</w:t>
            </w:r>
            <w:r w:rsidRPr="001800B7">
              <w:rPr>
                <w:bCs/>
                <w:iCs/>
                <w:szCs w:val="22"/>
                <w:lang w:bidi="th-TH"/>
              </w:rPr>
              <w:t>action de l</w:t>
            </w:r>
            <w:r w:rsidR="005311D6" w:rsidRPr="001800B7">
              <w:rPr>
                <w:bCs/>
                <w:iCs/>
                <w:szCs w:val="22"/>
                <w:lang w:bidi="th-TH"/>
              </w:rPr>
              <w:t>’</w:t>
            </w:r>
            <w:r w:rsidRPr="001800B7">
              <w:rPr>
                <w:bCs/>
                <w:iCs/>
                <w:szCs w:val="22"/>
                <w:lang w:bidi="th-TH"/>
              </w:rPr>
              <w:t>OMPI pour le développement, enseignement de la propriété intellectuelle destiné au personnel judiciaire, conception de l</w:t>
            </w:r>
            <w:r w:rsidR="005311D6" w:rsidRPr="001800B7">
              <w:rPr>
                <w:bCs/>
                <w:iCs/>
                <w:szCs w:val="22"/>
                <w:lang w:bidi="th-TH"/>
              </w:rPr>
              <w:t>’</w:t>
            </w:r>
            <w:r w:rsidRPr="001800B7">
              <w:rPr>
                <w:bCs/>
                <w:iCs/>
                <w:szCs w:val="22"/>
                <w:lang w:bidi="th-TH"/>
              </w:rPr>
              <w:t>enseignement à distance et encadrement des étudiants);</w:t>
            </w:r>
          </w:p>
          <w:p w:rsidR="0010628F" w:rsidRPr="001800B7" w:rsidRDefault="0010628F" w:rsidP="009B7B20">
            <w:pPr>
              <w:pStyle w:val="ListParagraph"/>
              <w:numPr>
                <w:ilvl w:val="0"/>
                <w:numId w:val="26"/>
              </w:numPr>
              <w:autoSpaceDE w:val="0"/>
              <w:autoSpaceDN w:val="0"/>
              <w:adjustRightInd w:val="0"/>
              <w:spacing w:before="120" w:after="120"/>
              <w:ind w:left="568" w:hanging="284"/>
              <w:contextualSpacing w:val="0"/>
              <w:rPr>
                <w:bCs/>
                <w:iCs/>
                <w:szCs w:val="22"/>
                <w:lang w:bidi="th-TH"/>
              </w:rPr>
            </w:pPr>
            <w:r w:rsidRPr="001800B7">
              <w:rPr>
                <w:bCs/>
                <w:iCs/>
                <w:szCs w:val="22"/>
                <w:lang w:bidi="th-TH"/>
              </w:rPr>
              <w:t>À ce jour, 71 formateurs nationaux certifiés par l</w:t>
            </w:r>
            <w:r w:rsidR="005311D6" w:rsidRPr="001800B7">
              <w:rPr>
                <w:bCs/>
                <w:iCs/>
                <w:szCs w:val="22"/>
                <w:lang w:bidi="th-TH"/>
              </w:rPr>
              <w:t>’</w:t>
            </w:r>
            <w:r w:rsidRPr="001800B7">
              <w:rPr>
                <w:bCs/>
                <w:iCs/>
                <w:szCs w:val="22"/>
                <w:lang w:bidi="th-TH"/>
              </w:rPr>
              <w:t>OMPI conçoivent et dispensent des programmes de formation à destination du grand public;</w:t>
            </w:r>
          </w:p>
          <w:p w:rsidR="0010628F" w:rsidRPr="001800B7" w:rsidRDefault="0010628F" w:rsidP="009B7B20">
            <w:pPr>
              <w:pStyle w:val="ListParagraph"/>
              <w:numPr>
                <w:ilvl w:val="0"/>
                <w:numId w:val="26"/>
              </w:numPr>
              <w:autoSpaceDE w:val="0"/>
              <w:autoSpaceDN w:val="0"/>
              <w:adjustRightInd w:val="0"/>
              <w:spacing w:before="120" w:after="120"/>
              <w:ind w:left="568" w:hanging="284"/>
              <w:contextualSpacing w:val="0"/>
              <w:rPr>
                <w:bCs/>
                <w:iCs/>
                <w:szCs w:val="22"/>
                <w:lang w:bidi="th-TH"/>
              </w:rPr>
            </w:pPr>
            <w:r w:rsidRPr="001800B7">
              <w:rPr>
                <w:bCs/>
                <w:iCs/>
                <w:szCs w:val="22"/>
                <w:lang w:bidi="th-TH"/>
              </w:rPr>
              <w:t>Les six centres de formation nationaux à la propriété intellectuelle ont reçu des publications essentielles pour les bibliothèques nationales de la propriété intellectuelle;</w:t>
            </w:r>
          </w:p>
          <w:p w:rsidR="0010628F" w:rsidRPr="001800B7" w:rsidRDefault="0010628F" w:rsidP="009B7B20">
            <w:pPr>
              <w:pStyle w:val="ListParagraph"/>
              <w:numPr>
                <w:ilvl w:val="0"/>
                <w:numId w:val="26"/>
              </w:numPr>
              <w:autoSpaceDE w:val="0"/>
              <w:autoSpaceDN w:val="0"/>
              <w:adjustRightInd w:val="0"/>
              <w:spacing w:before="120" w:after="120"/>
              <w:ind w:left="568" w:hanging="284"/>
              <w:contextualSpacing w:val="0"/>
              <w:rPr>
                <w:bCs/>
                <w:iCs/>
                <w:szCs w:val="22"/>
                <w:lang w:bidi="th-TH"/>
              </w:rPr>
            </w:pPr>
            <w:r w:rsidRPr="001800B7">
              <w:rPr>
                <w:bCs/>
                <w:iCs/>
                <w:szCs w:val="22"/>
                <w:lang w:bidi="th-TH"/>
              </w:rPr>
              <w:t>Les six centres de formation nationaux à la propriété intellectuelle ont adhéré au Réseau mondial d</w:t>
            </w:r>
            <w:r w:rsidR="005311D6" w:rsidRPr="001800B7">
              <w:rPr>
                <w:bCs/>
                <w:iCs/>
                <w:szCs w:val="22"/>
                <w:lang w:bidi="th-TH"/>
              </w:rPr>
              <w:t>’</w:t>
            </w:r>
            <w:r w:rsidRPr="001800B7">
              <w:rPr>
                <w:bCs/>
                <w:iCs/>
                <w:szCs w:val="22"/>
                <w:lang w:bidi="th-TH"/>
              </w:rPr>
              <w:t>académies de la propriété intellectuelle (GNIPA);</w:t>
            </w:r>
          </w:p>
          <w:p w:rsidR="0010628F" w:rsidRPr="001800B7" w:rsidRDefault="0010628F" w:rsidP="009B7B20">
            <w:pPr>
              <w:pStyle w:val="ListParagraph"/>
              <w:numPr>
                <w:ilvl w:val="0"/>
                <w:numId w:val="26"/>
              </w:numPr>
              <w:autoSpaceDE w:val="0"/>
              <w:autoSpaceDN w:val="0"/>
              <w:adjustRightInd w:val="0"/>
              <w:spacing w:before="120" w:after="120"/>
              <w:ind w:left="568" w:hanging="284"/>
              <w:contextualSpacing w:val="0"/>
              <w:rPr>
                <w:bCs/>
                <w:iCs/>
                <w:szCs w:val="22"/>
                <w:lang w:bidi="th-TH"/>
              </w:rPr>
            </w:pPr>
            <w:r w:rsidRPr="001800B7">
              <w:rPr>
                <w:bCs/>
                <w:iCs/>
                <w:szCs w:val="22"/>
                <w:lang w:bidi="th-TH"/>
              </w:rPr>
              <w:t>Plus de 8480 ressortissants des cinq pays pilotes ont bénéficié d</w:t>
            </w:r>
            <w:r w:rsidR="005311D6" w:rsidRPr="001800B7">
              <w:rPr>
                <w:bCs/>
                <w:iCs/>
                <w:szCs w:val="22"/>
                <w:lang w:bidi="th-TH"/>
              </w:rPr>
              <w:t>’</w:t>
            </w:r>
            <w:r w:rsidRPr="001800B7">
              <w:rPr>
                <w:bCs/>
                <w:iCs/>
                <w:szCs w:val="22"/>
                <w:lang w:bidi="th-TH"/>
              </w:rPr>
              <w:t>une formation en IP dispensée par cinq instituts nationaux pilotes de formation à la propriété intellectuelle;</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Dans l</w:t>
            </w:r>
            <w:r w:rsidR="005311D6" w:rsidRPr="001800B7">
              <w:rPr>
                <w:bCs/>
                <w:iCs/>
                <w:szCs w:val="22"/>
                <w:lang w:bidi="th-TH"/>
              </w:rPr>
              <w:t>’</w:t>
            </w:r>
            <w:r w:rsidRPr="001800B7">
              <w:rPr>
                <w:bCs/>
                <w:iCs/>
                <w:szCs w:val="22"/>
                <w:lang w:bidi="th-TH"/>
              </w:rPr>
              <w:t>ensemble, pour chaque pays concerné, les résultats cumulés (comprenant ceux de la phase I et de la phase II) suivants ont été obtenus :</w:t>
            </w:r>
          </w:p>
          <w:p w:rsidR="0010628F" w:rsidRPr="001800B7" w:rsidRDefault="0010628F" w:rsidP="009B7B20">
            <w:pPr>
              <w:autoSpaceDE w:val="0"/>
              <w:autoSpaceDN w:val="0"/>
              <w:adjustRightInd w:val="0"/>
              <w:spacing w:before="120" w:after="120"/>
              <w:rPr>
                <w:bCs/>
                <w:iCs/>
                <w:szCs w:val="22"/>
                <w:u w:val="single"/>
                <w:lang w:bidi="th-TH"/>
              </w:rPr>
            </w:pPr>
            <w:r w:rsidRPr="001800B7">
              <w:rPr>
                <w:bCs/>
                <w:iCs/>
                <w:szCs w:val="22"/>
                <w:u w:val="single"/>
                <w:lang w:bidi="th-TH"/>
              </w:rPr>
              <w:t>COLOMBIE</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La formation</w:t>
            </w:r>
            <w:r w:rsidRPr="001800B7">
              <w:rPr>
                <w:bCs/>
                <w:i/>
                <w:iCs/>
                <w:szCs w:val="22"/>
                <w:lang w:bidi="th-TH"/>
              </w:rPr>
              <w:t xml:space="preserve"> Aula de </w:t>
            </w:r>
            <w:proofErr w:type="spellStart"/>
            <w:r w:rsidRPr="001800B7">
              <w:rPr>
                <w:bCs/>
                <w:i/>
                <w:iCs/>
                <w:szCs w:val="22"/>
                <w:lang w:bidi="th-TH"/>
              </w:rPr>
              <w:t>Propiedad</w:t>
            </w:r>
            <w:proofErr w:type="spellEnd"/>
            <w:r w:rsidRPr="001800B7">
              <w:rPr>
                <w:bCs/>
                <w:i/>
                <w:iCs/>
                <w:szCs w:val="22"/>
                <w:lang w:bidi="th-TH"/>
              </w:rPr>
              <w:t xml:space="preserve"> </w:t>
            </w:r>
            <w:proofErr w:type="spellStart"/>
            <w:r w:rsidRPr="001800B7">
              <w:rPr>
                <w:bCs/>
                <w:i/>
                <w:iCs/>
                <w:szCs w:val="22"/>
                <w:lang w:bidi="th-TH"/>
              </w:rPr>
              <w:t>Intelectual</w:t>
            </w:r>
            <w:proofErr w:type="spellEnd"/>
            <w:r w:rsidRPr="001800B7">
              <w:rPr>
                <w:bCs/>
                <w:iCs/>
                <w:szCs w:val="22"/>
                <w:lang w:bidi="th-TH"/>
              </w:rPr>
              <w:t xml:space="preserve"> (API) a été créée au sein de la </w:t>
            </w:r>
            <w:proofErr w:type="spellStart"/>
            <w:r w:rsidRPr="001800B7">
              <w:rPr>
                <w:bCs/>
                <w:i/>
                <w:iCs/>
                <w:szCs w:val="22"/>
                <w:lang w:bidi="th-TH"/>
              </w:rPr>
              <w:t>Superintendencia</w:t>
            </w:r>
            <w:proofErr w:type="spellEnd"/>
            <w:r w:rsidRPr="001800B7">
              <w:rPr>
                <w:bCs/>
                <w:i/>
                <w:iCs/>
                <w:szCs w:val="22"/>
                <w:lang w:bidi="th-TH"/>
              </w:rPr>
              <w:t xml:space="preserve"> de </w:t>
            </w:r>
            <w:proofErr w:type="spellStart"/>
            <w:r w:rsidRPr="001800B7">
              <w:rPr>
                <w:bCs/>
                <w:i/>
                <w:iCs/>
                <w:szCs w:val="22"/>
                <w:lang w:bidi="th-TH"/>
              </w:rPr>
              <w:t>Industria</w:t>
            </w:r>
            <w:proofErr w:type="spellEnd"/>
            <w:r w:rsidRPr="001800B7">
              <w:rPr>
                <w:bCs/>
                <w:i/>
                <w:iCs/>
                <w:szCs w:val="22"/>
                <w:lang w:bidi="th-TH"/>
              </w:rPr>
              <w:t xml:space="preserve"> y </w:t>
            </w:r>
            <w:proofErr w:type="spellStart"/>
            <w:r w:rsidRPr="001800B7">
              <w:rPr>
                <w:bCs/>
                <w:i/>
                <w:iCs/>
                <w:szCs w:val="22"/>
                <w:lang w:bidi="th-TH"/>
              </w:rPr>
              <w:t>Comercio</w:t>
            </w:r>
            <w:proofErr w:type="spellEnd"/>
            <w:r w:rsidRPr="001800B7">
              <w:rPr>
                <w:bCs/>
                <w:iCs/>
                <w:szCs w:val="22"/>
                <w:lang w:bidi="th-TH"/>
              </w:rPr>
              <w:t xml:space="preserve"> (SIC) de la Colombie.  Elle possède son site Web dédié (</w:t>
            </w:r>
            <w:hyperlink r:id="rId65" w:history="1">
              <w:r w:rsidRPr="001800B7">
                <w:rPr>
                  <w:rStyle w:val="Hyperlink"/>
                  <w:bCs/>
                  <w:iCs/>
                  <w:color w:val="auto"/>
                  <w:szCs w:val="22"/>
                  <w:lang w:bidi="th-TH"/>
                </w:rPr>
                <w:t>http://api.sic.gov.co/</w:t>
              </w:r>
            </w:hyperlink>
            <w:r w:rsidRPr="001800B7">
              <w:rPr>
                <w:bCs/>
                <w:iCs/>
                <w:szCs w:val="22"/>
                <w:lang w:bidi="th-TH"/>
              </w:rPr>
              <w:t>) sur lequel sont dispensés deux cours en ligne sur la propriété intellectuelle, deux cours d</w:t>
            </w:r>
            <w:r w:rsidR="005311D6" w:rsidRPr="001800B7">
              <w:rPr>
                <w:bCs/>
                <w:iCs/>
                <w:szCs w:val="22"/>
                <w:lang w:bidi="th-TH"/>
              </w:rPr>
              <w:t>’</w:t>
            </w:r>
            <w:r w:rsidRPr="001800B7">
              <w:rPr>
                <w:bCs/>
                <w:iCs/>
                <w:szCs w:val="22"/>
                <w:lang w:bidi="th-TH"/>
              </w:rPr>
              <w:t>enseignement traditionnel en face à face sur la propriété industrielle et des programmes de formation sur mesure concernant la propriété industrielle et le droit d</w:t>
            </w:r>
            <w:r w:rsidR="005311D6" w:rsidRPr="001800B7">
              <w:rPr>
                <w:bCs/>
                <w:iCs/>
                <w:szCs w:val="22"/>
                <w:lang w:bidi="th-TH"/>
              </w:rPr>
              <w:t>’</w:t>
            </w:r>
            <w:r w:rsidRPr="001800B7">
              <w:rPr>
                <w:bCs/>
                <w:iCs/>
                <w:szCs w:val="22"/>
                <w:lang w:bidi="th-TH"/>
              </w:rPr>
              <w:t>auteur.  En outre, des synergies ont été créées avec des instituts nationaux aux fins d</w:t>
            </w:r>
            <w:r w:rsidR="005311D6" w:rsidRPr="001800B7">
              <w:rPr>
                <w:bCs/>
                <w:iCs/>
                <w:szCs w:val="22"/>
                <w:lang w:bidi="th-TH"/>
              </w:rPr>
              <w:t>’</w:t>
            </w:r>
            <w:r w:rsidRPr="001800B7">
              <w:rPr>
                <w:bCs/>
                <w:iCs/>
                <w:szCs w:val="22"/>
                <w:lang w:bidi="th-TH"/>
              </w:rPr>
              <w:t>offrir des formations spécialisées sur la propriété intellectuelle.</w:t>
            </w:r>
          </w:p>
          <w:p w:rsidR="0010628F" w:rsidRPr="001800B7" w:rsidRDefault="0010628F" w:rsidP="009B7B20">
            <w:pPr>
              <w:autoSpaceDE w:val="0"/>
              <w:autoSpaceDN w:val="0"/>
              <w:adjustRightInd w:val="0"/>
              <w:spacing w:before="100" w:after="100"/>
              <w:rPr>
                <w:bCs/>
                <w:iCs/>
                <w:szCs w:val="22"/>
                <w:lang w:bidi="th-TH"/>
              </w:rPr>
            </w:pPr>
            <w:r w:rsidRPr="001800B7">
              <w:rPr>
                <w:bCs/>
                <w:iCs/>
                <w:szCs w:val="22"/>
                <w:lang w:bidi="th-TH"/>
              </w:rPr>
              <w:t>Un programme de formation des formateurs a été spécialement conçu par l</w:t>
            </w:r>
            <w:r w:rsidR="005311D6" w:rsidRPr="001800B7">
              <w:rPr>
                <w:bCs/>
                <w:iCs/>
                <w:szCs w:val="22"/>
                <w:lang w:bidi="th-TH"/>
              </w:rPr>
              <w:t>’</w:t>
            </w:r>
            <w:r w:rsidRPr="001800B7">
              <w:rPr>
                <w:bCs/>
                <w:iCs/>
                <w:szCs w:val="22"/>
                <w:lang w:bidi="th-TH"/>
              </w:rPr>
              <w:t>OMPI pour l</w:t>
            </w:r>
            <w:r w:rsidR="005311D6" w:rsidRPr="001800B7">
              <w:rPr>
                <w:bCs/>
                <w:iCs/>
                <w:szCs w:val="22"/>
                <w:lang w:bidi="th-TH"/>
              </w:rPr>
              <w:t>’</w:t>
            </w:r>
            <w:r w:rsidRPr="001800B7">
              <w:rPr>
                <w:bCs/>
                <w:iCs/>
                <w:szCs w:val="22"/>
                <w:lang w:bidi="th-TH"/>
              </w:rPr>
              <w:t>API et a permis de certifier 24 formateurs.  Ce projet a également financé des bourses pour quatre formateurs principaux en Colombie dans le cadre des programmes de Master en droit de la propriété intellectuelle.</w:t>
            </w:r>
          </w:p>
          <w:p w:rsidR="0010628F" w:rsidRPr="001800B7" w:rsidRDefault="0010628F" w:rsidP="009B7B20">
            <w:pPr>
              <w:autoSpaceDE w:val="0"/>
              <w:autoSpaceDN w:val="0"/>
              <w:adjustRightInd w:val="0"/>
              <w:spacing w:before="100" w:after="100"/>
              <w:rPr>
                <w:bCs/>
                <w:iCs/>
                <w:szCs w:val="22"/>
                <w:lang w:bidi="th-TH"/>
              </w:rPr>
            </w:pPr>
            <w:r w:rsidRPr="001800B7">
              <w:rPr>
                <w:bCs/>
                <w:iCs/>
                <w:szCs w:val="22"/>
                <w:lang w:bidi="th-TH"/>
              </w:rPr>
              <w:t>Deux fonctionnaires nationaux ont suivi dans leur totalité des programmes de formation spécialement conçus pour les directeurs d</w:t>
            </w:r>
            <w:r w:rsidR="005311D6" w:rsidRPr="001800B7">
              <w:rPr>
                <w:bCs/>
                <w:iCs/>
                <w:szCs w:val="22"/>
                <w:lang w:bidi="th-TH"/>
              </w:rPr>
              <w:t>’</w:t>
            </w:r>
            <w:r w:rsidRPr="001800B7">
              <w:rPr>
                <w:bCs/>
                <w:iCs/>
                <w:szCs w:val="22"/>
                <w:lang w:bidi="th-TH"/>
              </w:rPr>
              <w:t>académies, et 13 fonctionnaires ont bénéficié d</w:t>
            </w:r>
            <w:r w:rsidR="005311D6" w:rsidRPr="001800B7">
              <w:rPr>
                <w:bCs/>
                <w:iCs/>
                <w:szCs w:val="22"/>
                <w:lang w:bidi="th-TH"/>
              </w:rPr>
              <w:t>’</w:t>
            </w:r>
            <w:r w:rsidRPr="001800B7">
              <w:rPr>
                <w:bCs/>
                <w:iCs/>
                <w:szCs w:val="22"/>
                <w:lang w:bidi="th-TH"/>
              </w:rPr>
              <w:t>une formation partielle (sans avoir effectué le nombre d</w:t>
            </w:r>
            <w:r w:rsidR="005311D6" w:rsidRPr="001800B7">
              <w:rPr>
                <w:bCs/>
                <w:iCs/>
                <w:szCs w:val="22"/>
                <w:lang w:bidi="th-TH"/>
              </w:rPr>
              <w:t>’</w:t>
            </w:r>
            <w:r w:rsidRPr="001800B7">
              <w:rPr>
                <w:bCs/>
                <w:iCs/>
                <w:szCs w:val="22"/>
                <w:lang w:bidi="th-TH"/>
              </w:rPr>
              <w:t>heures minimal requis pour obtenir la certification).</w:t>
            </w:r>
          </w:p>
          <w:p w:rsidR="0010628F" w:rsidRPr="001800B7" w:rsidRDefault="0010628F" w:rsidP="009B7B20">
            <w:pPr>
              <w:autoSpaceDE w:val="0"/>
              <w:autoSpaceDN w:val="0"/>
              <w:adjustRightInd w:val="0"/>
              <w:spacing w:before="100" w:after="100"/>
              <w:rPr>
                <w:bCs/>
                <w:iCs/>
                <w:szCs w:val="22"/>
                <w:lang w:bidi="th-TH"/>
              </w:rPr>
            </w:pPr>
            <w:r w:rsidRPr="001800B7">
              <w:rPr>
                <w:bCs/>
                <w:iCs/>
                <w:szCs w:val="22"/>
                <w:lang w:bidi="th-TH"/>
              </w:rPr>
              <w:t>Ce projet a facilité la participation de l</w:t>
            </w:r>
            <w:r w:rsidR="005311D6" w:rsidRPr="001800B7">
              <w:rPr>
                <w:bCs/>
                <w:iCs/>
                <w:szCs w:val="22"/>
                <w:lang w:bidi="th-TH"/>
              </w:rPr>
              <w:t>’</w:t>
            </w:r>
            <w:r w:rsidRPr="001800B7">
              <w:rPr>
                <w:bCs/>
                <w:iCs/>
                <w:szCs w:val="22"/>
                <w:lang w:bidi="th-TH"/>
              </w:rPr>
              <w:t>API dans le projet de bibliothèques dépositaires de l</w:t>
            </w:r>
            <w:r w:rsidR="005311D6" w:rsidRPr="001800B7">
              <w:rPr>
                <w:bCs/>
                <w:iCs/>
                <w:szCs w:val="22"/>
                <w:lang w:bidi="th-TH"/>
              </w:rPr>
              <w:t>’</w:t>
            </w:r>
            <w:r w:rsidRPr="001800B7">
              <w:rPr>
                <w:bCs/>
                <w:iCs/>
                <w:szCs w:val="22"/>
                <w:lang w:bidi="th-TH"/>
              </w:rPr>
              <w:t>OMPI et lui a permis d</w:t>
            </w:r>
            <w:r w:rsidR="005311D6" w:rsidRPr="001800B7">
              <w:rPr>
                <w:bCs/>
                <w:iCs/>
                <w:szCs w:val="22"/>
                <w:lang w:bidi="th-TH"/>
              </w:rPr>
              <w:t>’</w:t>
            </w:r>
            <w:r w:rsidRPr="001800B7">
              <w:rPr>
                <w:bCs/>
                <w:iCs/>
                <w:szCs w:val="22"/>
                <w:lang w:bidi="th-TH"/>
              </w:rPr>
              <w:t xml:space="preserve">acquérir des </w:t>
            </w:r>
            <w:r w:rsidRPr="001800B7">
              <w:rPr>
                <w:bCs/>
                <w:iCs/>
                <w:szCs w:val="22"/>
                <w:lang w:bidi="th-TH"/>
              </w:rPr>
              <w:lastRenderedPageBreak/>
              <w:t>publications essentielles.</w:t>
            </w:r>
          </w:p>
          <w:p w:rsidR="0010628F" w:rsidRPr="001800B7" w:rsidRDefault="0010628F" w:rsidP="009B7B20">
            <w:pPr>
              <w:autoSpaceDE w:val="0"/>
              <w:autoSpaceDN w:val="0"/>
              <w:adjustRightInd w:val="0"/>
              <w:spacing w:before="100" w:after="100"/>
              <w:rPr>
                <w:bCs/>
                <w:iCs/>
                <w:szCs w:val="22"/>
                <w:lang w:bidi="th-TH"/>
              </w:rPr>
            </w:pPr>
            <w:r w:rsidRPr="001800B7">
              <w:rPr>
                <w:bCs/>
                <w:iCs/>
                <w:szCs w:val="22"/>
                <w:lang w:bidi="th-TH"/>
              </w:rPr>
              <w:t>Ce projet a également aidé l</w:t>
            </w:r>
            <w:r w:rsidR="005311D6" w:rsidRPr="001800B7">
              <w:rPr>
                <w:bCs/>
                <w:iCs/>
                <w:szCs w:val="22"/>
                <w:lang w:bidi="th-TH"/>
              </w:rPr>
              <w:t>’</w:t>
            </w:r>
            <w:r w:rsidRPr="001800B7">
              <w:rPr>
                <w:bCs/>
                <w:iCs/>
                <w:szCs w:val="22"/>
                <w:lang w:bidi="th-TH"/>
              </w:rPr>
              <w:t>API à se structurer et à élaborer les programmes des cours dispensés, avec notamment, la mise en place de deux cours de formation à distance et d</w:t>
            </w:r>
            <w:r w:rsidR="005311D6" w:rsidRPr="001800B7">
              <w:rPr>
                <w:bCs/>
                <w:iCs/>
                <w:szCs w:val="22"/>
                <w:lang w:bidi="th-TH"/>
              </w:rPr>
              <w:t>’</w:t>
            </w:r>
            <w:r w:rsidRPr="001800B7">
              <w:rPr>
                <w:bCs/>
                <w:iCs/>
                <w:szCs w:val="22"/>
                <w:lang w:bidi="th-TH"/>
              </w:rPr>
              <w:t>un cours d</w:t>
            </w:r>
            <w:r w:rsidR="005311D6" w:rsidRPr="001800B7">
              <w:rPr>
                <w:bCs/>
                <w:iCs/>
                <w:szCs w:val="22"/>
                <w:lang w:bidi="th-TH"/>
              </w:rPr>
              <w:t>’</w:t>
            </w:r>
            <w:r w:rsidRPr="001800B7">
              <w:rPr>
                <w:bCs/>
                <w:iCs/>
                <w:szCs w:val="22"/>
                <w:lang w:bidi="th-TH"/>
              </w:rPr>
              <w:t>enseignement de niveau supérieur pour les étudiants ayant obtenu leur diplôme.  Il a en outre facilité l</w:t>
            </w:r>
            <w:r w:rsidR="005311D6" w:rsidRPr="001800B7">
              <w:rPr>
                <w:bCs/>
                <w:iCs/>
                <w:szCs w:val="22"/>
                <w:lang w:bidi="th-TH"/>
              </w:rPr>
              <w:t>’</w:t>
            </w:r>
            <w:r w:rsidRPr="001800B7">
              <w:rPr>
                <w:bCs/>
                <w:iCs/>
                <w:szCs w:val="22"/>
                <w:lang w:bidi="th-TH"/>
              </w:rPr>
              <w:t>adhésion de l</w:t>
            </w:r>
            <w:r w:rsidR="005311D6" w:rsidRPr="001800B7">
              <w:rPr>
                <w:bCs/>
                <w:iCs/>
                <w:szCs w:val="22"/>
                <w:lang w:bidi="th-TH"/>
              </w:rPr>
              <w:t>’</w:t>
            </w:r>
            <w:r w:rsidRPr="001800B7">
              <w:rPr>
                <w:bCs/>
                <w:iCs/>
                <w:szCs w:val="22"/>
                <w:lang w:bidi="th-TH"/>
              </w:rPr>
              <w:t>API au Réseau mondial d</w:t>
            </w:r>
            <w:r w:rsidR="005311D6" w:rsidRPr="001800B7">
              <w:rPr>
                <w:bCs/>
                <w:iCs/>
                <w:szCs w:val="22"/>
                <w:lang w:bidi="th-TH"/>
              </w:rPr>
              <w:t>’</w:t>
            </w:r>
            <w:r w:rsidRPr="001800B7">
              <w:rPr>
                <w:bCs/>
                <w:iCs/>
                <w:szCs w:val="22"/>
                <w:lang w:bidi="th-TH"/>
              </w:rPr>
              <w:t>académies de la propriété intellectuelle</w:t>
            </w:r>
          </w:p>
          <w:p w:rsidR="0010628F" w:rsidRPr="001800B7" w:rsidRDefault="0010628F" w:rsidP="009B7B20">
            <w:pPr>
              <w:autoSpaceDE w:val="0"/>
              <w:autoSpaceDN w:val="0"/>
              <w:adjustRightInd w:val="0"/>
              <w:spacing w:before="100" w:after="100"/>
              <w:rPr>
                <w:bCs/>
                <w:iCs/>
                <w:szCs w:val="22"/>
                <w:lang w:bidi="th-TH"/>
              </w:rPr>
            </w:pPr>
            <w:r w:rsidRPr="001800B7">
              <w:rPr>
                <w:bCs/>
                <w:iCs/>
                <w:szCs w:val="22"/>
                <w:lang w:bidi="th-TH"/>
              </w:rPr>
              <w:t>L</w:t>
            </w:r>
            <w:r w:rsidR="005311D6" w:rsidRPr="001800B7">
              <w:rPr>
                <w:bCs/>
                <w:iCs/>
                <w:szCs w:val="22"/>
                <w:lang w:bidi="th-TH"/>
              </w:rPr>
              <w:t>’</w:t>
            </w:r>
            <w:r w:rsidRPr="001800B7">
              <w:rPr>
                <w:bCs/>
                <w:iCs/>
                <w:szCs w:val="22"/>
                <w:lang w:bidi="th-TH"/>
              </w:rPr>
              <w:t>API s</w:t>
            </w:r>
            <w:r w:rsidR="005311D6" w:rsidRPr="001800B7">
              <w:rPr>
                <w:bCs/>
                <w:iCs/>
                <w:szCs w:val="22"/>
                <w:lang w:bidi="th-TH"/>
              </w:rPr>
              <w:t>’</w:t>
            </w:r>
            <w:r w:rsidRPr="001800B7">
              <w:rPr>
                <w:bCs/>
                <w:iCs/>
                <w:szCs w:val="22"/>
                <w:lang w:bidi="th-TH"/>
              </w:rPr>
              <w:t>est axée sur l</w:t>
            </w:r>
            <w:r w:rsidR="005311D6" w:rsidRPr="001800B7">
              <w:rPr>
                <w:bCs/>
                <w:iCs/>
                <w:szCs w:val="22"/>
                <w:lang w:bidi="th-TH"/>
              </w:rPr>
              <w:t>’</w:t>
            </w:r>
            <w:r w:rsidRPr="001800B7">
              <w:rPr>
                <w:bCs/>
                <w:iCs/>
                <w:szCs w:val="22"/>
                <w:lang w:bidi="th-TH"/>
              </w:rPr>
              <w:t>élaboration d</w:t>
            </w:r>
            <w:r w:rsidR="005311D6" w:rsidRPr="001800B7">
              <w:rPr>
                <w:bCs/>
                <w:iCs/>
                <w:szCs w:val="22"/>
                <w:lang w:bidi="th-TH"/>
              </w:rPr>
              <w:t>’</w:t>
            </w:r>
            <w:r w:rsidRPr="001800B7">
              <w:rPr>
                <w:bCs/>
                <w:iCs/>
                <w:szCs w:val="22"/>
                <w:lang w:bidi="th-TH"/>
              </w:rPr>
              <w:t>une plate</w:t>
            </w:r>
            <w:r w:rsidR="001800B7" w:rsidRPr="001800B7">
              <w:rPr>
                <w:bCs/>
                <w:iCs/>
                <w:szCs w:val="22"/>
                <w:lang w:bidi="th-TH"/>
              </w:rPr>
              <w:noBreakHyphen/>
            </w:r>
            <w:r w:rsidRPr="001800B7">
              <w:rPr>
                <w:bCs/>
                <w:iCs/>
                <w:szCs w:val="22"/>
                <w:lang w:bidi="th-TH"/>
              </w:rPr>
              <w:t>forme en ligne et la création de partenariats nationaux.  Elle peut aujourd</w:t>
            </w:r>
            <w:r w:rsidR="005311D6" w:rsidRPr="001800B7">
              <w:rPr>
                <w:bCs/>
                <w:iCs/>
                <w:szCs w:val="22"/>
                <w:lang w:bidi="th-TH"/>
              </w:rPr>
              <w:t>’</w:t>
            </w:r>
            <w:r w:rsidRPr="001800B7">
              <w:rPr>
                <w:bCs/>
                <w:iCs/>
                <w:szCs w:val="22"/>
                <w:lang w:bidi="th-TH"/>
              </w:rPr>
              <w:t>hui certifier plus de 10 000 participants par an.</w:t>
            </w:r>
          </w:p>
          <w:p w:rsidR="0010628F" w:rsidRPr="001800B7" w:rsidRDefault="0010628F" w:rsidP="009B7B20">
            <w:pPr>
              <w:autoSpaceDE w:val="0"/>
              <w:autoSpaceDN w:val="0"/>
              <w:adjustRightInd w:val="0"/>
              <w:spacing w:before="100" w:after="100"/>
              <w:rPr>
                <w:bCs/>
                <w:iCs/>
                <w:szCs w:val="22"/>
                <w:u w:val="single"/>
                <w:lang w:bidi="th-TH"/>
              </w:rPr>
            </w:pPr>
            <w:r w:rsidRPr="001800B7">
              <w:rPr>
                <w:bCs/>
                <w:iCs/>
                <w:szCs w:val="22"/>
                <w:u w:val="single"/>
                <w:lang w:bidi="th-TH"/>
              </w:rPr>
              <w:t>RÉPUBLIQUE DOMINICAINE</w:t>
            </w:r>
          </w:p>
          <w:p w:rsidR="0010628F" w:rsidRPr="001800B7" w:rsidRDefault="0010628F" w:rsidP="009B7B20">
            <w:pPr>
              <w:autoSpaceDE w:val="0"/>
              <w:autoSpaceDN w:val="0"/>
              <w:adjustRightInd w:val="0"/>
              <w:spacing w:before="100" w:after="100"/>
              <w:rPr>
                <w:bCs/>
                <w:iCs/>
                <w:szCs w:val="22"/>
                <w:lang w:bidi="th-TH"/>
              </w:rPr>
            </w:pPr>
            <w:r w:rsidRPr="001800B7">
              <w:rPr>
                <w:bCs/>
                <w:iCs/>
                <w:szCs w:val="22"/>
                <w:lang w:bidi="th-TH"/>
              </w:rPr>
              <w:t>L</w:t>
            </w:r>
            <w:r w:rsidR="005311D6" w:rsidRPr="001800B7">
              <w:rPr>
                <w:bCs/>
                <w:iCs/>
                <w:szCs w:val="22"/>
                <w:lang w:bidi="th-TH"/>
              </w:rPr>
              <w:t>’</w:t>
            </w:r>
            <w:proofErr w:type="spellStart"/>
            <w:r w:rsidRPr="001800B7">
              <w:rPr>
                <w:bCs/>
                <w:i/>
                <w:iCs/>
                <w:szCs w:val="22"/>
                <w:lang w:bidi="th-TH"/>
              </w:rPr>
              <w:t>Academia</w:t>
            </w:r>
            <w:proofErr w:type="spellEnd"/>
            <w:r w:rsidRPr="001800B7">
              <w:rPr>
                <w:bCs/>
                <w:i/>
                <w:iCs/>
                <w:szCs w:val="22"/>
                <w:lang w:bidi="th-TH"/>
              </w:rPr>
              <w:t xml:space="preserve"> </w:t>
            </w:r>
            <w:proofErr w:type="spellStart"/>
            <w:r w:rsidRPr="001800B7">
              <w:rPr>
                <w:bCs/>
                <w:i/>
                <w:iCs/>
                <w:szCs w:val="22"/>
                <w:lang w:bidi="th-TH"/>
              </w:rPr>
              <w:t>Nacional</w:t>
            </w:r>
            <w:proofErr w:type="spellEnd"/>
            <w:r w:rsidRPr="001800B7">
              <w:rPr>
                <w:bCs/>
                <w:i/>
                <w:iCs/>
                <w:szCs w:val="22"/>
                <w:lang w:bidi="th-TH"/>
              </w:rPr>
              <w:t xml:space="preserve"> de la </w:t>
            </w:r>
            <w:proofErr w:type="spellStart"/>
            <w:r w:rsidRPr="001800B7">
              <w:rPr>
                <w:bCs/>
                <w:i/>
                <w:iCs/>
                <w:szCs w:val="22"/>
                <w:lang w:bidi="th-TH"/>
              </w:rPr>
              <w:t>Propiedad</w:t>
            </w:r>
            <w:proofErr w:type="spellEnd"/>
            <w:r w:rsidRPr="001800B7">
              <w:rPr>
                <w:bCs/>
                <w:i/>
                <w:iCs/>
                <w:szCs w:val="22"/>
                <w:lang w:bidi="th-TH"/>
              </w:rPr>
              <w:t xml:space="preserve"> </w:t>
            </w:r>
            <w:proofErr w:type="spellStart"/>
            <w:r w:rsidRPr="001800B7">
              <w:rPr>
                <w:bCs/>
                <w:i/>
                <w:iCs/>
                <w:szCs w:val="22"/>
                <w:lang w:bidi="th-TH"/>
              </w:rPr>
              <w:t>Intelectual</w:t>
            </w:r>
            <w:proofErr w:type="spellEnd"/>
            <w:r w:rsidRPr="001800B7">
              <w:rPr>
                <w:bCs/>
                <w:iCs/>
                <w:szCs w:val="22"/>
                <w:lang w:bidi="th-TH"/>
              </w:rPr>
              <w:t xml:space="preserve"> (ANPI) a été créée dans le cadre de la mission de l</w:t>
            </w:r>
            <w:r w:rsidR="005311D6" w:rsidRPr="001800B7">
              <w:rPr>
                <w:bCs/>
                <w:iCs/>
                <w:szCs w:val="22"/>
                <w:lang w:bidi="th-TH"/>
              </w:rPr>
              <w:t>’</w:t>
            </w:r>
            <w:proofErr w:type="spellStart"/>
            <w:r w:rsidRPr="001800B7">
              <w:rPr>
                <w:bCs/>
                <w:iCs/>
                <w:szCs w:val="22"/>
                <w:lang w:bidi="th-TH"/>
              </w:rPr>
              <w:t>Oficina</w:t>
            </w:r>
            <w:proofErr w:type="spellEnd"/>
            <w:r w:rsidRPr="001800B7">
              <w:rPr>
                <w:bCs/>
                <w:iCs/>
                <w:szCs w:val="22"/>
                <w:lang w:bidi="th-TH"/>
              </w:rPr>
              <w:t xml:space="preserve"> </w:t>
            </w:r>
            <w:proofErr w:type="spellStart"/>
            <w:r w:rsidRPr="001800B7">
              <w:rPr>
                <w:bCs/>
                <w:iCs/>
                <w:szCs w:val="22"/>
                <w:lang w:bidi="th-TH"/>
              </w:rPr>
              <w:t>Nacional</w:t>
            </w:r>
            <w:proofErr w:type="spellEnd"/>
            <w:r w:rsidRPr="001800B7">
              <w:rPr>
                <w:bCs/>
                <w:iCs/>
                <w:szCs w:val="22"/>
                <w:lang w:bidi="th-TH"/>
              </w:rPr>
              <w:t xml:space="preserve"> de la </w:t>
            </w:r>
            <w:proofErr w:type="spellStart"/>
            <w:r w:rsidRPr="001800B7">
              <w:rPr>
                <w:bCs/>
                <w:iCs/>
                <w:szCs w:val="22"/>
                <w:lang w:bidi="th-TH"/>
              </w:rPr>
              <w:t>Propiedad</w:t>
            </w:r>
            <w:proofErr w:type="spellEnd"/>
            <w:r w:rsidRPr="001800B7">
              <w:rPr>
                <w:bCs/>
                <w:iCs/>
                <w:szCs w:val="22"/>
                <w:lang w:bidi="th-TH"/>
              </w:rPr>
              <w:t xml:space="preserve"> </w:t>
            </w:r>
            <w:proofErr w:type="spellStart"/>
            <w:r w:rsidRPr="001800B7">
              <w:rPr>
                <w:bCs/>
                <w:iCs/>
                <w:szCs w:val="22"/>
                <w:lang w:bidi="th-TH"/>
              </w:rPr>
              <w:t>Intelectual</w:t>
            </w:r>
            <w:proofErr w:type="spellEnd"/>
            <w:r w:rsidRPr="001800B7">
              <w:rPr>
                <w:bCs/>
                <w:iCs/>
                <w:szCs w:val="22"/>
                <w:lang w:bidi="th-TH"/>
              </w:rPr>
              <w:t xml:space="preserve"> (ONAPI), en tant que centre de formation spécialisé sur la propriété intellectuelle, à destination tant du grand public que de publics spécialisés.  Elle dispense actuellement des cours spécialisés à la demande de certains secteurs et moyennant le paiement de frais d</w:t>
            </w:r>
            <w:r w:rsidR="005311D6" w:rsidRPr="001800B7">
              <w:rPr>
                <w:bCs/>
                <w:iCs/>
                <w:szCs w:val="22"/>
                <w:lang w:bidi="th-TH"/>
              </w:rPr>
              <w:t>’</w:t>
            </w:r>
            <w:r w:rsidRPr="001800B7">
              <w:rPr>
                <w:bCs/>
                <w:iCs/>
                <w:szCs w:val="22"/>
                <w:lang w:bidi="th-TH"/>
              </w:rPr>
              <w:t>inscription.  Ces formations sont dispensées par 19 formateurs nationaux certifiés par l</w:t>
            </w:r>
            <w:r w:rsidR="005311D6" w:rsidRPr="001800B7">
              <w:rPr>
                <w:bCs/>
                <w:iCs/>
                <w:szCs w:val="22"/>
                <w:lang w:bidi="th-TH"/>
              </w:rPr>
              <w:t>’</w:t>
            </w:r>
            <w:r w:rsidRPr="001800B7">
              <w:rPr>
                <w:bCs/>
                <w:iCs/>
                <w:szCs w:val="22"/>
                <w:lang w:bidi="th-TH"/>
              </w:rPr>
              <w:t>OMPI.  Elle dispense également des cours spécialisés sur la propriété intellectuelle et l</w:t>
            </w:r>
            <w:r w:rsidR="005311D6" w:rsidRPr="001800B7">
              <w:rPr>
                <w:bCs/>
                <w:iCs/>
                <w:szCs w:val="22"/>
                <w:lang w:bidi="th-TH"/>
              </w:rPr>
              <w:t>’</w:t>
            </w:r>
            <w:r w:rsidRPr="001800B7">
              <w:rPr>
                <w:bCs/>
                <w:iCs/>
                <w:szCs w:val="22"/>
                <w:lang w:bidi="th-TH"/>
              </w:rPr>
              <w:t>innovation, avec un niveau d</w:t>
            </w:r>
            <w:r w:rsidR="005311D6" w:rsidRPr="001800B7">
              <w:rPr>
                <w:bCs/>
                <w:iCs/>
                <w:szCs w:val="22"/>
                <w:lang w:bidi="th-TH"/>
              </w:rPr>
              <w:t>’</w:t>
            </w:r>
            <w:r w:rsidRPr="001800B7">
              <w:rPr>
                <w:bCs/>
                <w:iCs/>
                <w:szCs w:val="22"/>
                <w:lang w:bidi="th-TH"/>
              </w:rPr>
              <w:t>enseignement universitaire supérieur au sens large avec la participation notamment de deux universités locales (une par an).</w:t>
            </w:r>
          </w:p>
          <w:p w:rsidR="0010628F" w:rsidRPr="001800B7" w:rsidRDefault="0010628F" w:rsidP="009B7B20">
            <w:pPr>
              <w:autoSpaceDE w:val="0"/>
              <w:autoSpaceDN w:val="0"/>
              <w:adjustRightInd w:val="0"/>
              <w:spacing w:before="100" w:after="100"/>
              <w:rPr>
                <w:bCs/>
                <w:iCs/>
                <w:szCs w:val="22"/>
                <w:lang w:bidi="th-TH"/>
              </w:rPr>
            </w:pPr>
            <w:r w:rsidRPr="001800B7">
              <w:rPr>
                <w:bCs/>
                <w:iCs/>
                <w:szCs w:val="22"/>
                <w:lang w:bidi="th-TH"/>
              </w:rPr>
              <w:t>Le programme de formation des formateurs, élaboré par l</w:t>
            </w:r>
            <w:r w:rsidR="005311D6" w:rsidRPr="001800B7">
              <w:rPr>
                <w:bCs/>
                <w:iCs/>
                <w:szCs w:val="22"/>
                <w:lang w:bidi="th-TH"/>
              </w:rPr>
              <w:t>’</w:t>
            </w:r>
            <w:r w:rsidRPr="001800B7">
              <w:rPr>
                <w:bCs/>
                <w:iCs/>
                <w:szCs w:val="22"/>
                <w:lang w:bidi="th-TH"/>
              </w:rPr>
              <w:t>OMPI et spécialement conçu pour l</w:t>
            </w:r>
            <w:r w:rsidR="005311D6" w:rsidRPr="001800B7">
              <w:rPr>
                <w:bCs/>
                <w:iCs/>
                <w:szCs w:val="22"/>
                <w:lang w:bidi="th-TH"/>
              </w:rPr>
              <w:t>’</w:t>
            </w:r>
            <w:r w:rsidRPr="001800B7">
              <w:rPr>
                <w:bCs/>
                <w:iCs/>
                <w:szCs w:val="22"/>
                <w:lang w:bidi="th-TH"/>
              </w:rPr>
              <w:t>ANPI a été finalisé, et 19 formateurs ont été certifiés.  Ce projet a financé des bourses de Master en droit de la propriété intellectuelle pour deux formateurs de la République dominicaine.</w:t>
            </w:r>
          </w:p>
          <w:p w:rsidR="0010628F" w:rsidRPr="001800B7" w:rsidRDefault="0010628F" w:rsidP="009B7B20">
            <w:pPr>
              <w:autoSpaceDE w:val="0"/>
              <w:autoSpaceDN w:val="0"/>
              <w:adjustRightInd w:val="0"/>
              <w:spacing w:before="100" w:after="100"/>
              <w:rPr>
                <w:bCs/>
                <w:iCs/>
                <w:szCs w:val="22"/>
                <w:lang w:bidi="th-TH"/>
              </w:rPr>
            </w:pPr>
            <w:r w:rsidRPr="001800B7">
              <w:rPr>
                <w:bCs/>
                <w:iCs/>
                <w:szCs w:val="22"/>
                <w:lang w:bidi="th-TH"/>
              </w:rPr>
              <w:t>Un fonctionnaire national a terminé un programme de formation spécialement conçu pour les directeurs d</w:t>
            </w:r>
            <w:r w:rsidR="005311D6" w:rsidRPr="001800B7">
              <w:rPr>
                <w:bCs/>
                <w:iCs/>
                <w:szCs w:val="22"/>
                <w:lang w:bidi="th-TH"/>
              </w:rPr>
              <w:t>’</w:t>
            </w:r>
            <w:r w:rsidRPr="001800B7">
              <w:rPr>
                <w:bCs/>
                <w:iCs/>
                <w:szCs w:val="22"/>
                <w:lang w:bidi="th-TH"/>
              </w:rPr>
              <w:t>académie et quatre fonctionnaires ont suivi une formation partielle (sans suivre le nombre d</w:t>
            </w:r>
            <w:r w:rsidR="005311D6" w:rsidRPr="001800B7">
              <w:rPr>
                <w:bCs/>
                <w:iCs/>
                <w:szCs w:val="22"/>
                <w:lang w:bidi="th-TH"/>
              </w:rPr>
              <w:t>’</w:t>
            </w:r>
            <w:r w:rsidRPr="001800B7">
              <w:rPr>
                <w:bCs/>
                <w:iCs/>
                <w:szCs w:val="22"/>
                <w:lang w:bidi="th-TH"/>
              </w:rPr>
              <w:t>heures minimal requis pour être certifiés).</w:t>
            </w:r>
          </w:p>
          <w:p w:rsidR="0010628F" w:rsidRPr="001800B7" w:rsidRDefault="0010628F" w:rsidP="009B7B20">
            <w:pPr>
              <w:autoSpaceDE w:val="0"/>
              <w:autoSpaceDN w:val="0"/>
              <w:adjustRightInd w:val="0"/>
              <w:spacing w:before="100" w:after="100"/>
              <w:rPr>
                <w:bCs/>
                <w:iCs/>
                <w:szCs w:val="22"/>
                <w:lang w:bidi="th-TH"/>
              </w:rPr>
            </w:pPr>
            <w:r w:rsidRPr="001800B7">
              <w:rPr>
                <w:bCs/>
                <w:iCs/>
                <w:szCs w:val="22"/>
                <w:lang w:bidi="th-TH"/>
              </w:rPr>
              <w:t>Ce projet a facilité la participation de l</w:t>
            </w:r>
            <w:r w:rsidR="005311D6" w:rsidRPr="001800B7">
              <w:rPr>
                <w:bCs/>
                <w:iCs/>
                <w:szCs w:val="22"/>
                <w:lang w:bidi="th-TH"/>
              </w:rPr>
              <w:t>’</w:t>
            </w:r>
            <w:r w:rsidRPr="001800B7">
              <w:rPr>
                <w:bCs/>
                <w:iCs/>
                <w:szCs w:val="22"/>
                <w:lang w:bidi="th-TH"/>
              </w:rPr>
              <w:t>ANPI dans le projet de bibliothèques dépositaires de l</w:t>
            </w:r>
            <w:r w:rsidR="005311D6" w:rsidRPr="001800B7">
              <w:rPr>
                <w:bCs/>
                <w:iCs/>
                <w:szCs w:val="22"/>
                <w:lang w:bidi="th-TH"/>
              </w:rPr>
              <w:t>’</w:t>
            </w:r>
            <w:r w:rsidRPr="001800B7">
              <w:rPr>
                <w:bCs/>
                <w:iCs/>
                <w:szCs w:val="22"/>
                <w:lang w:bidi="th-TH"/>
              </w:rPr>
              <w:t>OMPI et permis d</w:t>
            </w:r>
            <w:r w:rsidR="005311D6" w:rsidRPr="001800B7">
              <w:rPr>
                <w:bCs/>
                <w:iCs/>
                <w:szCs w:val="22"/>
                <w:lang w:bidi="th-TH"/>
              </w:rPr>
              <w:t>’</w:t>
            </w:r>
            <w:r w:rsidRPr="001800B7">
              <w:rPr>
                <w:bCs/>
                <w:iCs/>
                <w:szCs w:val="22"/>
                <w:lang w:bidi="th-TH"/>
              </w:rPr>
              <w:t>acquérir des publications essentielles.</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Ce projet a également aidé l</w:t>
            </w:r>
            <w:r w:rsidR="005311D6" w:rsidRPr="001800B7">
              <w:rPr>
                <w:bCs/>
                <w:iCs/>
                <w:szCs w:val="22"/>
                <w:lang w:bidi="th-TH"/>
              </w:rPr>
              <w:t>’</w:t>
            </w:r>
            <w:r w:rsidRPr="001800B7">
              <w:rPr>
                <w:bCs/>
                <w:iCs/>
                <w:szCs w:val="22"/>
                <w:lang w:bidi="th-TH"/>
              </w:rPr>
              <w:t>ANPI à se structurer et à élaborer les programmes des cours dispensés et a en outre facilité son adhésion au Réseau mondial d</w:t>
            </w:r>
            <w:r w:rsidR="005311D6" w:rsidRPr="001800B7">
              <w:rPr>
                <w:bCs/>
                <w:iCs/>
                <w:szCs w:val="22"/>
                <w:lang w:bidi="th-TH"/>
              </w:rPr>
              <w:t>’</w:t>
            </w:r>
            <w:r w:rsidRPr="001800B7">
              <w:rPr>
                <w:bCs/>
                <w:iCs/>
                <w:szCs w:val="22"/>
                <w:lang w:bidi="th-TH"/>
              </w:rPr>
              <w:t>académies de la propriété intellectuelle.</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L</w:t>
            </w:r>
            <w:r w:rsidR="005311D6" w:rsidRPr="001800B7">
              <w:rPr>
                <w:bCs/>
                <w:iCs/>
                <w:szCs w:val="22"/>
                <w:lang w:bidi="th-TH"/>
              </w:rPr>
              <w:t>’</w:t>
            </w:r>
            <w:r w:rsidRPr="001800B7">
              <w:rPr>
                <w:bCs/>
                <w:iCs/>
                <w:szCs w:val="22"/>
                <w:lang w:bidi="th-TH"/>
              </w:rPr>
              <w:t>ANPI s</w:t>
            </w:r>
            <w:r w:rsidR="005311D6" w:rsidRPr="001800B7">
              <w:rPr>
                <w:bCs/>
                <w:iCs/>
                <w:szCs w:val="22"/>
                <w:lang w:bidi="th-TH"/>
              </w:rPr>
              <w:t>’</w:t>
            </w:r>
            <w:r w:rsidRPr="001800B7">
              <w:rPr>
                <w:bCs/>
                <w:iCs/>
                <w:szCs w:val="22"/>
                <w:lang w:bidi="th-TH"/>
              </w:rPr>
              <w:t>est associée aux efforts déployés par les instituts nationaux aux fins d</w:t>
            </w:r>
            <w:r w:rsidR="005311D6" w:rsidRPr="001800B7">
              <w:rPr>
                <w:bCs/>
                <w:iCs/>
                <w:szCs w:val="22"/>
                <w:lang w:bidi="th-TH"/>
              </w:rPr>
              <w:t>’</w:t>
            </w:r>
            <w:r w:rsidRPr="001800B7">
              <w:rPr>
                <w:bCs/>
                <w:iCs/>
                <w:szCs w:val="22"/>
                <w:lang w:bidi="th-TH"/>
              </w:rPr>
              <w:t>affecter un bâtiment dédié hébergeant le centre de formation, la bibliothèque de propriété intellectuelle et un Centre d</w:t>
            </w:r>
            <w:r w:rsidR="005311D6" w:rsidRPr="001800B7">
              <w:rPr>
                <w:bCs/>
                <w:iCs/>
                <w:szCs w:val="22"/>
                <w:lang w:bidi="th-TH"/>
              </w:rPr>
              <w:t>’</w:t>
            </w:r>
            <w:r w:rsidRPr="001800B7">
              <w:rPr>
                <w:bCs/>
                <w:iCs/>
                <w:szCs w:val="22"/>
                <w:lang w:bidi="th-TH"/>
              </w:rPr>
              <w:t>appui à la technologie et à l</w:t>
            </w:r>
            <w:r w:rsidR="005311D6" w:rsidRPr="001800B7">
              <w:rPr>
                <w:bCs/>
                <w:iCs/>
                <w:szCs w:val="22"/>
                <w:lang w:bidi="th-TH"/>
              </w:rPr>
              <w:t>’</w:t>
            </w:r>
            <w:r w:rsidRPr="001800B7">
              <w:rPr>
                <w:bCs/>
                <w:iCs/>
                <w:szCs w:val="22"/>
                <w:lang w:bidi="th-TH"/>
              </w:rPr>
              <w:t>innovation.  Elle s</w:t>
            </w:r>
            <w:r w:rsidR="005311D6" w:rsidRPr="001800B7">
              <w:rPr>
                <w:bCs/>
                <w:iCs/>
                <w:szCs w:val="22"/>
                <w:lang w:bidi="th-TH"/>
              </w:rPr>
              <w:t>’</w:t>
            </w:r>
            <w:r w:rsidRPr="001800B7">
              <w:rPr>
                <w:bCs/>
                <w:iCs/>
                <w:szCs w:val="22"/>
                <w:lang w:bidi="th-TH"/>
              </w:rPr>
              <w:t>est également axée sur l</w:t>
            </w:r>
            <w:r w:rsidR="005311D6" w:rsidRPr="001800B7">
              <w:rPr>
                <w:bCs/>
                <w:iCs/>
                <w:szCs w:val="22"/>
                <w:lang w:bidi="th-TH"/>
              </w:rPr>
              <w:t>’</w:t>
            </w:r>
            <w:r w:rsidRPr="001800B7">
              <w:rPr>
                <w:bCs/>
                <w:iCs/>
                <w:szCs w:val="22"/>
                <w:lang w:bidi="th-TH"/>
              </w:rPr>
              <w:t>offre de cours diplômants spécialisés pour un public cible spécifique.</w:t>
            </w:r>
          </w:p>
          <w:p w:rsidR="0010628F" w:rsidRPr="001800B7" w:rsidRDefault="0010628F" w:rsidP="009B7B20">
            <w:pPr>
              <w:autoSpaceDE w:val="0"/>
              <w:autoSpaceDN w:val="0"/>
              <w:adjustRightInd w:val="0"/>
              <w:spacing w:before="120" w:after="120"/>
              <w:rPr>
                <w:bCs/>
                <w:iCs/>
                <w:szCs w:val="22"/>
                <w:u w:val="single"/>
                <w:lang w:bidi="th-TH"/>
              </w:rPr>
            </w:pPr>
            <w:r w:rsidRPr="001800B7">
              <w:rPr>
                <w:bCs/>
                <w:iCs/>
                <w:szCs w:val="22"/>
                <w:u w:val="single"/>
                <w:lang w:bidi="th-TH"/>
              </w:rPr>
              <w:t>ÉGYPTE</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Le début de la coopération avec l</w:t>
            </w:r>
            <w:r w:rsidR="005311D6" w:rsidRPr="001800B7">
              <w:rPr>
                <w:bCs/>
                <w:iCs/>
                <w:szCs w:val="22"/>
                <w:lang w:bidi="th-TH"/>
              </w:rPr>
              <w:t>’</w:t>
            </w:r>
            <w:r w:rsidRPr="001800B7">
              <w:rPr>
                <w:bCs/>
                <w:iCs/>
                <w:szCs w:val="22"/>
                <w:lang w:bidi="th-TH"/>
              </w:rPr>
              <w:t>Égypte a été retardé en raison de circonstances imprévues.  En conséquence, la coopération a été prolongée jusqu</w:t>
            </w:r>
            <w:r w:rsidR="005311D6" w:rsidRPr="001800B7">
              <w:rPr>
                <w:bCs/>
                <w:iCs/>
                <w:szCs w:val="22"/>
                <w:lang w:bidi="th-TH"/>
              </w:rPr>
              <w:t>’</w:t>
            </w:r>
            <w:r w:rsidRPr="001800B7">
              <w:rPr>
                <w:bCs/>
                <w:iCs/>
                <w:szCs w:val="22"/>
                <w:lang w:bidi="th-TH"/>
              </w:rPr>
              <w:t>à juin 2014 afin de pouvoir terminer le programme de formation des formateurs.</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À l</w:t>
            </w:r>
            <w:r w:rsidR="005311D6" w:rsidRPr="001800B7">
              <w:rPr>
                <w:bCs/>
                <w:iCs/>
                <w:szCs w:val="22"/>
                <w:lang w:bidi="th-TH"/>
              </w:rPr>
              <w:t>’</w:t>
            </w:r>
            <w:r w:rsidRPr="001800B7">
              <w:rPr>
                <w:bCs/>
                <w:iCs/>
                <w:szCs w:val="22"/>
                <w:lang w:bidi="th-TH"/>
              </w:rPr>
              <w:t>heure actuelle, l</w:t>
            </w:r>
            <w:r w:rsidR="005311D6" w:rsidRPr="001800B7">
              <w:rPr>
                <w:bCs/>
                <w:iCs/>
                <w:szCs w:val="22"/>
                <w:lang w:bidi="th-TH"/>
              </w:rPr>
              <w:t>’</w:t>
            </w:r>
            <w:r w:rsidRPr="001800B7">
              <w:rPr>
                <w:bCs/>
                <w:iCs/>
                <w:szCs w:val="22"/>
                <w:lang w:bidi="th-TH"/>
              </w:rPr>
              <w:t xml:space="preserve">académie de la propriété intellectuelle égyptienne a formé son personnel principal et met en place des synergies nationales aux fins de dispenser des programmes de formation à destination du </w:t>
            </w:r>
            <w:r w:rsidRPr="001800B7">
              <w:rPr>
                <w:bCs/>
                <w:iCs/>
                <w:szCs w:val="22"/>
                <w:lang w:bidi="th-TH"/>
              </w:rPr>
              <w:lastRenderedPageBreak/>
              <w:t>grand public.  Certains cours spécialisés ont été dispensés à la demande, et le matériel pédagogique prévu pour les cours de formations réguliers (enseignement en ligne et enseignement traditionnel en face à face) sont en cours d</w:t>
            </w:r>
            <w:r w:rsidR="005311D6" w:rsidRPr="001800B7">
              <w:rPr>
                <w:bCs/>
                <w:iCs/>
                <w:szCs w:val="22"/>
                <w:lang w:bidi="th-TH"/>
              </w:rPr>
              <w:t>’</w:t>
            </w:r>
            <w:r w:rsidRPr="001800B7">
              <w:rPr>
                <w:bCs/>
                <w:iCs/>
                <w:szCs w:val="22"/>
                <w:lang w:bidi="th-TH"/>
              </w:rPr>
              <w:t>élaboration.</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L</w:t>
            </w:r>
            <w:r w:rsidR="005311D6" w:rsidRPr="001800B7">
              <w:rPr>
                <w:bCs/>
                <w:iCs/>
                <w:szCs w:val="22"/>
                <w:lang w:bidi="th-TH"/>
              </w:rPr>
              <w:t>’</w:t>
            </w:r>
            <w:r w:rsidRPr="001800B7">
              <w:rPr>
                <w:bCs/>
                <w:iCs/>
                <w:szCs w:val="22"/>
                <w:lang w:bidi="th-TH"/>
              </w:rPr>
              <w:t>OMPI a mené à bien le programme de formation de formateurs en Égypte (15 formateurs égyptiens ont été certifiés), financé des bourses pour cinq formateurs principaux dans le cadre de programmes internationaux de masters de droit de la propriété intellectuelle.  Un fonctionnaire national a achevé un programme de formation spécialement conçu pour les Directeurs d</w:t>
            </w:r>
            <w:r w:rsidR="005311D6" w:rsidRPr="001800B7">
              <w:rPr>
                <w:bCs/>
                <w:iCs/>
                <w:szCs w:val="22"/>
                <w:lang w:bidi="th-TH"/>
              </w:rPr>
              <w:t>’</w:t>
            </w:r>
            <w:r w:rsidRPr="001800B7">
              <w:rPr>
                <w:bCs/>
                <w:iCs/>
                <w:szCs w:val="22"/>
                <w:lang w:bidi="th-TH"/>
              </w:rPr>
              <w:t>académie et 16 membres du personnel principal du centre de formation ont suivi une formation partielle (sans suivre le nombre d</w:t>
            </w:r>
            <w:r w:rsidR="005311D6" w:rsidRPr="001800B7">
              <w:rPr>
                <w:bCs/>
                <w:iCs/>
                <w:szCs w:val="22"/>
                <w:lang w:bidi="th-TH"/>
              </w:rPr>
              <w:t>’</w:t>
            </w:r>
            <w:r w:rsidRPr="001800B7">
              <w:rPr>
                <w:bCs/>
                <w:iCs/>
                <w:szCs w:val="22"/>
                <w:lang w:bidi="th-TH"/>
              </w:rPr>
              <w:t>heures minimal requis pour obtenir leur certification).  Des publications ont été achetées et livrées.</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L</w:t>
            </w:r>
            <w:r w:rsidR="005311D6" w:rsidRPr="001800B7">
              <w:rPr>
                <w:bCs/>
                <w:iCs/>
                <w:szCs w:val="22"/>
                <w:lang w:bidi="th-TH"/>
              </w:rPr>
              <w:t>’</w:t>
            </w:r>
            <w:r w:rsidRPr="001800B7">
              <w:rPr>
                <w:bCs/>
                <w:iCs/>
                <w:szCs w:val="22"/>
                <w:lang w:bidi="th-TH"/>
              </w:rPr>
              <w:t>Académie de la propriété intellectuelle égyptienne a établi un partenariat avec une université locale, de telle sorte que cette académie devrait être divisée en deux branches, notamment, une branche formation (dans l</w:t>
            </w:r>
            <w:r w:rsidR="005311D6" w:rsidRPr="001800B7">
              <w:rPr>
                <w:bCs/>
                <w:iCs/>
                <w:szCs w:val="22"/>
                <w:lang w:bidi="th-TH"/>
              </w:rPr>
              <w:t>’</w:t>
            </w:r>
            <w:r w:rsidRPr="001800B7">
              <w:rPr>
                <w:bCs/>
                <w:iCs/>
                <w:szCs w:val="22"/>
                <w:lang w:bidi="th-TH"/>
              </w:rPr>
              <w:t>Académie de la recherche et de la technologie scientifiques) et une branche éducation (dans l</w:t>
            </w:r>
            <w:r w:rsidR="005311D6" w:rsidRPr="001800B7">
              <w:rPr>
                <w:bCs/>
                <w:iCs/>
                <w:szCs w:val="22"/>
                <w:lang w:bidi="th-TH"/>
              </w:rPr>
              <w:t>’</w:t>
            </w:r>
            <w:r w:rsidRPr="001800B7">
              <w:rPr>
                <w:bCs/>
                <w:iCs/>
                <w:szCs w:val="22"/>
                <w:lang w:bidi="th-TH"/>
              </w:rPr>
              <w:t>université locale).  Un programme de cours pour un Master en droit de la propriété intellectuelle a été présenté aux agences de certification nationales compétentes dont l</w:t>
            </w:r>
            <w:r w:rsidR="005311D6" w:rsidRPr="001800B7">
              <w:rPr>
                <w:bCs/>
                <w:iCs/>
                <w:szCs w:val="22"/>
                <w:lang w:bidi="th-TH"/>
              </w:rPr>
              <w:t>’</w:t>
            </w:r>
            <w:r w:rsidRPr="001800B7">
              <w:rPr>
                <w:bCs/>
                <w:iCs/>
                <w:szCs w:val="22"/>
                <w:lang w:bidi="th-TH"/>
              </w:rPr>
              <w:t>approbation est en attente.  Elle achève également la création d</w:t>
            </w:r>
            <w:r w:rsidR="005311D6" w:rsidRPr="001800B7">
              <w:rPr>
                <w:bCs/>
                <w:iCs/>
                <w:szCs w:val="22"/>
                <w:lang w:bidi="th-TH"/>
              </w:rPr>
              <w:t>’</w:t>
            </w:r>
            <w:r w:rsidRPr="001800B7">
              <w:rPr>
                <w:bCs/>
                <w:iCs/>
                <w:szCs w:val="22"/>
                <w:lang w:bidi="th-TH"/>
              </w:rPr>
              <w:t>un site Web dédié et l</w:t>
            </w:r>
            <w:r w:rsidR="005311D6" w:rsidRPr="001800B7">
              <w:rPr>
                <w:bCs/>
                <w:iCs/>
                <w:szCs w:val="22"/>
                <w:lang w:bidi="th-TH"/>
              </w:rPr>
              <w:t>’</w:t>
            </w:r>
            <w:r w:rsidRPr="001800B7">
              <w:rPr>
                <w:bCs/>
                <w:iCs/>
                <w:szCs w:val="22"/>
                <w:lang w:bidi="th-TH"/>
              </w:rPr>
              <w:t>élaboration du contenu de deux cours d</w:t>
            </w:r>
            <w:r w:rsidR="005311D6" w:rsidRPr="001800B7">
              <w:rPr>
                <w:bCs/>
                <w:iCs/>
                <w:szCs w:val="22"/>
                <w:lang w:bidi="th-TH"/>
              </w:rPr>
              <w:t>’</w:t>
            </w:r>
            <w:r w:rsidRPr="001800B7">
              <w:rPr>
                <w:bCs/>
                <w:iCs/>
                <w:szCs w:val="22"/>
                <w:lang w:bidi="th-TH"/>
              </w:rPr>
              <w:t>enseignement à distance (un cours pour le grand public et un cours pour un public spécialisé).</w:t>
            </w:r>
          </w:p>
          <w:p w:rsidR="0010628F" w:rsidRPr="001800B7" w:rsidRDefault="0010628F" w:rsidP="009B7B20">
            <w:pPr>
              <w:autoSpaceDE w:val="0"/>
              <w:autoSpaceDN w:val="0"/>
              <w:adjustRightInd w:val="0"/>
              <w:spacing w:before="120" w:after="120"/>
              <w:rPr>
                <w:bCs/>
                <w:iCs/>
                <w:szCs w:val="22"/>
                <w:u w:val="single"/>
                <w:lang w:bidi="th-TH"/>
              </w:rPr>
            </w:pPr>
            <w:r w:rsidRPr="001800B7">
              <w:rPr>
                <w:bCs/>
                <w:iCs/>
                <w:szCs w:val="22"/>
                <w:u w:val="single"/>
                <w:lang w:bidi="th-TH"/>
              </w:rPr>
              <w:t>ÉTHIOPIE</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À ce jour, l</w:t>
            </w:r>
            <w:r w:rsidR="005311D6" w:rsidRPr="001800B7">
              <w:rPr>
                <w:bCs/>
                <w:iCs/>
                <w:szCs w:val="22"/>
                <w:lang w:bidi="th-TH"/>
              </w:rPr>
              <w:t>’</w:t>
            </w:r>
            <w:r w:rsidRPr="001800B7">
              <w:rPr>
                <w:bCs/>
                <w:iCs/>
                <w:szCs w:val="22"/>
                <w:lang w:bidi="th-TH"/>
              </w:rPr>
              <w:t>Office éthiopien de la propriété intellectuelle (EIPO) s</w:t>
            </w:r>
            <w:r w:rsidR="005311D6" w:rsidRPr="001800B7">
              <w:rPr>
                <w:bCs/>
                <w:iCs/>
                <w:szCs w:val="22"/>
                <w:lang w:bidi="th-TH"/>
              </w:rPr>
              <w:t>’</w:t>
            </w:r>
            <w:r w:rsidRPr="001800B7">
              <w:rPr>
                <w:bCs/>
                <w:iCs/>
                <w:szCs w:val="22"/>
                <w:lang w:bidi="th-TH"/>
              </w:rPr>
              <w:t>est axé sur le renforcement des capacités de son personnel, aux fins de l</w:t>
            </w:r>
            <w:r w:rsidR="005311D6" w:rsidRPr="001800B7">
              <w:rPr>
                <w:bCs/>
                <w:iCs/>
                <w:szCs w:val="22"/>
                <w:lang w:bidi="th-TH"/>
              </w:rPr>
              <w:t>’</w:t>
            </w:r>
            <w:r w:rsidRPr="001800B7">
              <w:rPr>
                <w:bCs/>
                <w:iCs/>
                <w:szCs w:val="22"/>
                <w:lang w:bidi="th-TH"/>
              </w:rPr>
              <w:t>aider à préparer et à structurer des programmes de formation à la propriété intellectuelle.  L</w:t>
            </w:r>
            <w:r w:rsidR="005311D6" w:rsidRPr="001800B7">
              <w:rPr>
                <w:bCs/>
                <w:iCs/>
                <w:szCs w:val="22"/>
                <w:lang w:bidi="th-TH"/>
              </w:rPr>
              <w:t>’</w:t>
            </w:r>
            <w:r w:rsidRPr="001800B7">
              <w:rPr>
                <w:bCs/>
                <w:iCs/>
                <w:szCs w:val="22"/>
                <w:lang w:bidi="th-TH"/>
              </w:rPr>
              <w:t>OMPI a financé quatre bourses pour des formateurs principaux d</w:t>
            </w:r>
            <w:r w:rsidR="005311D6" w:rsidRPr="001800B7">
              <w:rPr>
                <w:bCs/>
                <w:iCs/>
                <w:szCs w:val="22"/>
                <w:lang w:bidi="th-TH"/>
              </w:rPr>
              <w:t>’</w:t>
            </w:r>
            <w:r w:rsidRPr="001800B7">
              <w:rPr>
                <w:bCs/>
                <w:iCs/>
                <w:szCs w:val="22"/>
                <w:lang w:bidi="th-TH"/>
              </w:rPr>
              <w:t>Éthiopie dans le cadre de programmes internationaux de masters en droit de la propriété intellectuelle, a financé la participation de fonctionnaires principaux dans des programmes de formation spécialement conçus pour les directeurs d</w:t>
            </w:r>
            <w:r w:rsidR="005311D6" w:rsidRPr="001800B7">
              <w:rPr>
                <w:bCs/>
                <w:iCs/>
                <w:szCs w:val="22"/>
                <w:lang w:bidi="th-TH"/>
              </w:rPr>
              <w:t>’</w:t>
            </w:r>
            <w:r w:rsidRPr="001800B7">
              <w:rPr>
                <w:bCs/>
                <w:iCs/>
                <w:szCs w:val="22"/>
                <w:lang w:bidi="th-TH"/>
              </w:rPr>
              <w:t>académie de la propriété intellectuelle et a permis à la totalité du personnel de l</w:t>
            </w:r>
            <w:r w:rsidR="005311D6" w:rsidRPr="001800B7">
              <w:rPr>
                <w:bCs/>
                <w:iCs/>
                <w:szCs w:val="22"/>
                <w:lang w:bidi="th-TH"/>
              </w:rPr>
              <w:t>’</w:t>
            </w:r>
            <w:r w:rsidRPr="001800B7">
              <w:rPr>
                <w:bCs/>
                <w:iCs/>
                <w:szCs w:val="22"/>
                <w:lang w:bidi="th-TH"/>
              </w:rPr>
              <w:t>EIPO d</w:t>
            </w:r>
            <w:r w:rsidR="005311D6" w:rsidRPr="001800B7">
              <w:rPr>
                <w:bCs/>
                <w:iCs/>
                <w:szCs w:val="22"/>
                <w:lang w:bidi="th-TH"/>
              </w:rPr>
              <w:t>’</w:t>
            </w:r>
            <w:r w:rsidRPr="001800B7">
              <w:rPr>
                <w:bCs/>
                <w:iCs/>
                <w:szCs w:val="22"/>
                <w:lang w:bidi="th-TH"/>
              </w:rPr>
              <w:t>accéder aux cours d</w:t>
            </w:r>
            <w:r w:rsidR="005311D6" w:rsidRPr="001800B7">
              <w:rPr>
                <w:bCs/>
                <w:iCs/>
                <w:szCs w:val="22"/>
                <w:lang w:bidi="th-TH"/>
              </w:rPr>
              <w:t>’</w:t>
            </w:r>
            <w:r w:rsidRPr="001800B7">
              <w:rPr>
                <w:bCs/>
                <w:iCs/>
                <w:szCs w:val="22"/>
                <w:lang w:bidi="th-TH"/>
              </w:rPr>
              <w:t>enseignement à distance.  Concernant les programmes de formation réguliers, les cours de formation à la propriété intellectuelle sont en cours d</w:t>
            </w:r>
            <w:r w:rsidR="005311D6" w:rsidRPr="001800B7">
              <w:rPr>
                <w:bCs/>
                <w:iCs/>
                <w:szCs w:val="22"/>
                <w:lang w:bidi="th-TH"/>
              </w:rPr>
              <w:t>’</w:t>
            </w:r>
            <w:r w:rsidRPr="001800B7">
              <w:rPr>
                <w:bCs/>
                <w:iCs/>
                <w:szCs w:val="22"/>
                <w:lang w:bidi="th-TH"/>
              </w:rPr>
              <w:t>élaboration et l</w:t>
            </w:r>
            <w:r w:rsidR="005311D6" w:rsidRPr="001800B7">
              <w:rPr>
                <w:bCs/>
                <w:iCs/>
                <w:szCs w:val="22"/>
                <w:lang w:bidi="th-TH"/>
              </w:rPr>
              <w:t>’</w:t>
            </w:r>
            <w:r w:rsidRPr="001800B7">
              <w:rPr>
                <w:bCs/>
                <w:iCs/>
                <w:szCs w:val="22"/>
                <w:lang w:bidi="th-TH"/>
              </w:rPr>
              <w:t>EIPO vient de finaliser l</w:t>
            </w:r>
            <w:r w:rsidR="005311D6" w:rsidRPr="001800B7">
              <w:rPr>
                <w:bCs/>
                <w:iCs/>
                <w:szCs w:val="22"/>
                <w:lang w:bidi="th-TH"/>
              </w:rPr>
              <w:t>’</w:t>
            </w:r>
            <w:r w:rsidRPr="001800B7">
              <w:rPr>
                <w:bCs/>
                <w:iCs/>
                <w:szCs w:val="22"/>
                <w:lang w:bidi="th-TH"/>
              </w:rPr>
              <w:t>adaptation du DL</w:t>
            </w:r>
            <w:r w:rsidR="001800B7" w:rsidRPr="001800B7">
              <w:rPr>
                <w:bCs/>
                <w:iCs/>
                <w:szCs w:val="22"/>
                <w:lang w:bidi="th-TH"/>
              </w:rPr>
              <w:noBreakHyphen/>
            </w:r>
            <w:r w:rsidRPr="001800B7">
              <w:rPr>
                <w:bCs/>
                <w:iCs/>
                <w:szCs w:val="22"/>
                <w:lang w:bidi="th-TH"/>
              </w:rPr>
              <w:t>101 en anglais, qui doit être mis à disposition d</w:t>
            </w:r>
            <w:r w:rsidR="005311D6" w:rsidRPr="001800B7">
              <w:rPr>
                <w:bCs/>
                <w:iCs/>
                <w:szCs w:val="22"/>
                <w:lang w:bidi="th-TH"/>
              </w:rPr>
              <w:t>’</w:t>
            </w:r>
            <w:r w:rsidRPr="001800B7">
              <w:rPr>
                <w:bCs/>
                <w:iCs/>
                <w:szCs w:val="22"/>
                <w:lang w:bidi="th-TH"/>
              </w:rPr>
              <w:t>un public cible en Éthiopie à titre d</w:t>
            </w:r>
            <w:r w:rsidR="005311D6" w:rsidRPr="001800B7">
              <w:rPr>
                <w:bCs/>
                <w:iCs/>
                <w:szCs w:val="22"/>
                <w:lang w:bidi="th-TH"/>
              </w:rPr>
              <w:t>’</w:t>
            </w:r>
            <w:r w:rsidRPr="001800B7">
              <w:rPr>
                <w:bCs/>
                <w:iCs/>
                <w:szCs w:val="22"/>
                <w:lang w:bidi="th-TH"/>
              </w:rPr>
              <w:t>essais en 2014.  Des publications essentielles ont été achetées et livrées.</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À la demande de l</w:t>
            </w:r>
            <w:r w:rsidR="005311D6" w:rsidRPr="001800B7">
              <w:rPr>
                <w:bCs/>
                <w:iCs/>
                <w:szCs w:val="22"/>
                <w:lang w:bidi="th-TH"/>
              </w:rPr>
              <w:t>’</w:t>
            </w:r>
            <w:r w:rsidRPr="001800B7">
              <w:rPr>
                <w:bCs/>
                <w:iCs/>
                <w:szCs w:val="22"/>
                <w:lang w:bidi="th-TH"/>
              </w:rPr>
              <w:t>EIPO, la coopération avec l</w:t>
            </w:r>
            <w:r w:rsidR="005311D6" w:rsidRPr="001800B7">
              <w:rPr>
                <w:bCs/>
                <w:iCs/>
                <w:szCs w:val="22"/>
                <w:lang w:bidi="th-TH"/>
              </w:rPr>
              <w:t>’</w:t>
            </w:r>
            <w:r w:rsidRPr="001800B7">
              <w:rPr>
                <w:bCs/>
                <w:iCs/>
                <w:szCs w:val="22"/>
                <w:lang w:bidi="th-TH"/>
              </w:rPr>
              <w:t>Éthiopie a été prolongée jusqu</w:t>
            </w:r>
            <w:r w:rsidR="005311D6" w:rsidRPr="001800B7">
              <w:rPr>
                <w:bCs/>
                <w:iCs/>
                <w:szCs w:val="22"/>
                <w:lang w:bidi="th-TH"/>
              </w:rPr>
              <w:t>’</w:t>
            </w:r>
            <w:r w:rsidRPr="001800B7">
              <w:rPr>
                <w:bCs/>
                <w:iCs/>
                <w:szCs w:val="22"/>
                <w:lang w:bidi="th-TH"/>
              </w:rPr>
              <w:t>à décembre 2016.</w:t>
            </w:r>
          </w:p>
          <w:p w:rsidR="0010628F" w:rsidRPr="007C1A09" w:rsidRDefault="0010628F" w:rsidP="009B7B20">
            <w:pPr>
              <w:autoSpaceDE w:val="0"/>
              <w:autoSpaceDN w:val="0"/>
              <w:adjustRightInd w:val="0"/>
              <w:spacing w:before="120" w:after="120"/>
              <w:rPr>
                <w:bCs/>
                <w:iCs/>
                <w:szCs w:val="22"/>
                <w:u w:val="single"/>
                <w:lang w:val="es-ES_tradnl" w:bidi="th-TH"/>
              </w:rPr>
            </w:pPr>
            <w:r w:rsidRPr="007C1A09">
              <w:rPr>
                <w:bCs/>
                <w:iCs/>
                <w:szCs w:val="22"/>
                <w:u w:val="single"/>
                <w:lang w:val="es-ES_tradnl" w:bidi="th-TH"/>
              </w:rPr>
              <w:t>PÉROU</w:t>
            </w:r>
          </w:p>
          <w:p w:rsidR="0010628F" w:rsidRPr="007C1A09" w:rsidRDefault="0010628F" w:rsidP="009B7B20">
            <w:pPr>
              <w:autoSpaceDE w:val="0"/>
              <w:autoSpaceDN w:val="0"/>
              <w:adjustRightInd w:val="0"/>
              <w:spacing w:before="120" w:after="120"/>
              <w:rPr>
                <w:bCs/>
                <w:iCs/>
                <w:szCs w:val="22"/>
                <w:lang w:val="es-ES_tradnl" w:bidi="th-TH"/>
              </w:rPr>
            </w:pPr>
            <w:proofErr w:type="spellStart"/>
            <w:r w:rsidRPr="007C1A09">
              <w:rPr>
                <w:bCs/>
                <w:iCs/>
                <w:szCs w:val="22"/>
                <w:lang w:val="es-ES_tradnl" w:bidi="th-TH"/>
              </w:rPr>
              <w:t>L</w:t>
            </w:r>
            <w:r w:rsidR="005311D6" w:rsidRPr="007C1A09">
              <w:rPr>
                <w:bCs/>
                <w:iCs/>
                <w:szCs w:val="22"/>
                <w:lang w:val="es-ES_tradnl" w:bidi="th-TH"/>
              </w:rPr>
              <w:t>’</w:t>
            </w:r>
            <w:r w:rsidRPr="007C1A09">
              <w:rPr>
                <w:bCs/>
                <w:i/>
                <w:iCs/>
                <w:szCs w:val="22"/>
                <w:lang w:val="es-ES_tradnl" w:bidi="th-TH"/>
              </w:rPr>
              <w:t>Escuela</w:t>
            </w:r>
            <w:proofErr w:type="spellEnd"/>
            <w:r w:rsidRPr="007C1A09">
              <w:rPr>
                <w:bCs/>
                <w:i/>
                <w:iCs/>
                <w:szCs w:val="22"/>
                <w:lang w:val="es-ES_tradnl" w:bidi="th-TH"/>
              </w:rPr>
              <w:t xml:space="preserve"> de Nacional INDECOPI </w:t>
            </w:r>
            <w:r w:rsidRPr="007C1A09">
              <w:rPr>
                <w:bCs/>
                <w:iCs/>
                <w:szCs w:val="22"/>
                <w:lang w:val="es-ES_tradnl" w:bidi="th-TH"/>
              </w:rPr>
              <w:t>(</w:t>
            </w:r>
            <w:proofErr w:type="spellStart"/>
            <w:r w:rsidRPr="007C1A09">
              <w:rPr>
                <w:bCs/>
                <w:iCs/>
                <w:szCs w:val="22"/>
                <w:lang w:val="es-ES_tradnl" w:bidi="th-TH"/>
              </w:rPr>
              <w:t>ancienne</w:t>
            </w:r>
            <w:proofErr w:type="spellEnd"/>
            <w:r w:rsidRPr="007C1A09">
              <w:rPr>
                <w:bCs/>
                <w:iCs/>
                <w:szCs w:val="22"/>
                <w:lang w:val="es-ES_tradnl" w:bidi="th-TH"/>
              </w:rPr>
              <w:t xml:space="preserve"> </w:t>
            </w:r>
            <w:r w:rsidRPr="007C1A09">
              <w:rPr>
                <w:bCs/>
                <w:i/>
                <w:iCs/>
                <w:szCs w:val="22"/>
                <w:lang w:val="es-ES_tradnl" w:bidi="th-TH"/>
              </w:rPr>
              <w:t>Escuela de</w:t>
            </w:r>
            <w:r w:rsidRPr="007C1A09">
              <w:rPr>
                <w:bCs/>
                <w:iCs/>
                <w:szCs w:val="22"/>
                <w:lang w:val="es-ES_tradnl" w:bidi="th-TH"/>
              </w:rPr>
              <w:t xml:space="preserve"> la </w:t>
            </w:r>
            <w:r w:rsidRPr="007C1A09">
              <w:rPr>
                <w:bCs/>
                <w:i/>
                <w:iCs/>
                <w:szCs w:val="22"/>
                <w:lang w:val="es-ES_tradnl" w:bidi="th-TH"/>
              </w:rPr>
              <w:t>Competencia y de la Propiedad Intelectual</w:t>
            </w:r>
            <w:r w:rsidRPr="007C1A09">
              <w:rPr>
                <w:bCs/>
                <w:iCs/>
                <w:szCs w:val="22"/>
                <w:lang w:val="es-ES_tradnl" w:bidi="th-TH"/>
              </w:rPr>
              <w:t xml:space="preserve">) a </w:t>
            </w:r>
            <w:proofErr w:type="spellStart"/>
            <w:r w:rsidRPr="007C1A09">
              <w:rPr>
                <w:bCs/>
                <w:iCs/>
                <w:szCs w:val="22"/>
                <w:lang w:val="es-ES_tradnl" w:bidi="th-TH"/>
              </w:rPr>
              <w:t>été</w:t>
            </w:r>
            <w:proofErr w:type="spellEnd"/>
            <w:r w:rsidRPr="007C1A09">
              <w:rPr>
                <w:bCs/>
                <w:iCs/>
                <w:szCs w:val="22"/>
                <w:lang w:val="es-ES_tradnl" w:bidi="th-TH"/>
              </w:rPr>
              <w:t xml:space="preserve"> </w:t>
            </w:r>
            <w:proofErr w:type="spellStart"/>
            <w:r w:rsidRPr="007C1A09">
              <w:rPr>
                <w:bCs/>
                <w:iCs/>
                <w:szCs w:val="22"/>
                <w:lang w:val="es-ES_tradnl" w:bidi="th-TH"/>
              </w:rPr>
              <w:t>créée</w:t>
            </w:r>
            <w:proofErr w:type="spellEnd"/>
            <w:r w:rsidRPr="007C1A09">
              <w:rPr>
                <w:bCs/>
                <w:iCs/>
                <w:szCs w:val="22"/>
                <w:lang w:val="es-ES_tradnl" w:bidi="th-TH"/>
              </w:rPr>
              <w:t xml:space="preserve"> </w:t>
            </w:r>
            <w:proofErr w:type="spellStart"/>
            <w:r w:rsidRPr="007C1A09">
              <w:rPr>
                <w:bCs/>
                <w:iCs/>
                <w:szCs w:val="22"/>
                <w:lang w:val="es-ES_tradnl" w:bidi="th-TH"/>
              </w:rPr>
              <w:t>au</w:t>
            </w:r>
            <w:proofErr w:type="spellEnd"/>
            <w:r w:rsidRPr="007C1A09">
              <w:rPr>
                <w:bCs/>
                <w:iCs/>
                <w:szCs w:val="22"/>
                <w:lang w:val="es-ES_tradnl" w:bidi="th-TH"/>
              </w:rPr>
              <w:t xml:space="preserve"> </w:t>
            </w:r>
            <w:proofErr w:type="spellStart"/>
            <w:r w:rsidRPr="007C1A09">
              <w:rPr>
                <w:bCs/>
                <w:iCs/>
                <w:szCs w:val="22"/>
                <w:lang w:val="es-ES_tradnl" w:bidi="th-TH"/>
              </w:rPr>
              <w:t>sein</w:t>
            </w:r>
            <w:proofErr w:type="spellEnd"/>
            <w:r w:rsidRPr="007C1A09">
              <w:rPr>
                <w:bCs/>
                <w:iCs/>
                <w:szCs w:val="22"/>
                <w:lang w:val="es-ES_tradnl" w:bidi="th-TH"/>
              </w:rPr>
              <w:t xml:space="preserve"> </w:t>
            </w:r>
            <w:proofErr w:type="spellStart"/>
            <w:r w:rsidRPr="007C1A09">
              <w:rPr>
                <w:bCs/>
                <w:iCs/>
                <w:szCs w:val="22"/>
                <w:lang w:val="es-ES_tradnl" w:bidi="th-TH"/>
              </w:rPr>
              <w:t>de l</w:t>
            </w:r>
            <w:proofErr w:type="spellEnd"/>
            <w:r w:rsidR="005311D6" w:rsidRPr="007C1A09">
              <w:rPr>
                <w:bCs/>
                <w:iCs/>
                <w:szCs w:val="22"/>
                <w:lang w:val="es-ES_tradnl" w:bidi="th-TH"/>
              </w:rPr>
              <w:t>’</w:t>
            </w:r>
          </w:p>
          <w:p w:rsidR="0010628F" w:rsidRPr="001800B7" w:rsidRDefault="0010628F" w:rsidP="009B7B20">
            <w:pPr>
              <w:autoSpaceDE w:val="0"/>
              <w:autoSpaceDN w:val="0"/>
              <w:adjustRightInd w:val="0"/>
              <w:spacing w:before="120" w:after="120"/>
              <w:rPr>
                <w:bCs/>
                <w:iCs/>
                <w:szCs w:val="22"/>
                <w:lang w:bidi="th-TH"/>
              </w:rPr>
            </w:pPr>
            <w:r w:rsidRPr="007C1A09">
              <w:rPr>
                <w:bCs/>
                <w:i/>
                <w:iCs/>
                <w:szCs w:val="22"/>
                <w:lang w:val="es-ES_tradnl" w:bidi="th-TH"/>
              </w:rPr>
              <w:t>Instituto Nacional de Defensa de la Competencia y de la Protección de la Propiedad Intelectual</w:t>
            </w:r>
            <w:r w:rsidRPr="007C1A09">
              <w:rPr>
                <w:bCs/>
                <w:iCs/>
                <w:szCs w:val="22"/>
                <w:lang w:val="es-ES_tradnl" w:bidi="th-TH"/>
              </w:rPr>
              <w:t xml:space="preserve"> (INDECOPI).  </w:t>
            </w:r>
            <w:r w:rsidRPr="001800B7">
              <w:rPr>
                <w:bCs/>
                <w:iCs/>
                <w:szCs w:val="22"/>
                <w:lang w:bidi="th-TH"/>
              </w:rPr>
              <w:t>Elle regroupe l</w:t>
            </w:r>
            <w:r w:rsidR="005311D6" w:rsidRPr="001800B7">
              <w:rPr>
                <w:bCs/>
                <w:iCs/>
                <w:szCs w:val="22"/>
                <w:lang w:bidi="th-TH"/>
              </w:rPr>
              <w:t>’</w:t>
            </w:r>
            <w:r w:rsidRPr="001800B7">
              <w:rPr>
                <w:bCs/>
                <w:iCs/>
                <w:szCs w:val="22"/>
                <w:lang w:bidi="th-TH"/>
              </w:rPr>
              <w:t>éducation et la formation en propriété intellectuelle, les droits des consommateurs et la concurrence (enseignement traditionnel en face à face et enseignement à distance, des domaines de recherche et des activités de sensibilisation.</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lastRenderedPageBreak/>
              <w:t>Le programme spécialement conçu par l</w:t>
            </w:r>
            <w:r w:rsidR="005311D6" w:rsidRPr="001800B7">
              <w:rPr>
                <w:bCs/>
                <w:iCs/>
                <w:szCs w:val="22"/>
                <w:lang w:bidi="th-TH"/>
              </w:rPr>
              <w:t>’</w:t>
            </w:r>
            <w:r w:rsidRPr="001800B7">
              <w:rPr>
                <w:bCs/>
                <w:iCs/>
                <w:szCs w:val="22"/>
                <w:lang w:bidi="th-TH"/>
              </w:rPr>
              <w:t>OMPI pour la formation des formateurs de l</w:t>
            </w:r>
            <w:r w:rsidR="005311D6" w:rsidRPr="001800B7">
              <w:rPr>
                <w:bCs/>
                <w:iCs/>
                <w:szCs w:val="22"/>
                <w:lang w:bidi="th-TH"/>
              </w:rPr>
              <w:t>’</w:t>
            </w:r>
            <w:r w:rsidRPr="001800B7">
              <w:rPr>
                <w:bCs/>
                <w:iCs/>
                <w:szCs w:val="22"/>
                <w:lang w:bidi="th-TH"/>
              </w:rPr>
              <w:t>INDECOPI a été mené à bien, et 12 formateurs ont été ainsi certifiés.  Ce projet a financé des bourses pour trois formateurs péruviens principaux dans le cadre de programmes de masters en droit de la propriété intellectuelle.</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Un fonctionnaire national a terminé un programme de formation spécialement conçu pour les directeurs d</w:t>
            </w:r>
            <w:r w:rsidR="005311D6" w:rsidRPr="001800B7">
              <w:rPr>
                <w:bCs/>
                <w:iCs/>
                <w:szCs w:val="22"/>
                <w:lang w:bidi="th-TH"/>
              </w:rPr>
              <w:t>’</w:t>
            </w:r>
            <w:r w:rsidRPr="001800B7">
              <w:rPr>
                <w:bCs/>
                <w:iCs/>
                <w:szCs w:val="22"/>
                <w:lang w:bidi="th-TH"/>
              </w:rPr>
              <w:t>académie et 15 fonctionnaires ont été partiellement formés (n</w:t>
            </w:r>
            <w:r w:rsidR="005311D6" w:rsidRPr="001800B7">
              <w:rPr>
                <w:bCs/>
                <w:iCs/>
                <w:szCs w:val="22"/>
                <w:lang w:bidi="th-TH"/>
              </w:rPr>
              <w:t>’</w:t>
            </w:r>
            <w:r w:rsidRPr="001800B7">
              <w:rPr>
                <w:bCs/>
                <w:iCs/>
                <w:szCs w:val="22"/>
                <w:lang w:bidi="th-TH"/>
              </w:rPr>
              <w:t>ont pas suivi le nombre d</w:t>
            </w:r>
            <w:r w:rsidR="005311D6" w:rsidRPr="001800B7">
              <w:rPr>
                <w:bCs/>
                <w:iCs/>
                <w:szCs w:val="22"/>
                <w:lang w:bidi="th-TH"/>
              </w:rPr>
              <w:t>’</w:t>
            </w:r>
            <w:r w:rsidRPr="001800B7">
              <w:rPr>
                <w:bCs/>
                <w:iCs/>
                <w:szCs w:val="22"/>
                <w:lang w:bidi="th-TH"/>
              </w:rPr>
              <w:t>heures minimal requis pour être certifiés).</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Ce projet a facilité la participation de l</w:t>
            </w:r>
            <w:r w:rsidR="005311D6" w:rsidRPr="001800B7">
              <w:rPr>
                <w:bCs/>
                <w:iCs/>
                <w:szCs w:val="22"/>
                <w:lang w:bidi="th-TH"/>
              </w:rPr>
              <w:t>’</w:t>
            </w:r>
            <w:r w:rsidRPr="001800B7">
              <w:rPr>
                <w:bCs/>
                <w:iCs/>
                <w:szCs w:val="22"/>
                <w:lang w:bidi="th-TH"/>
              </w:rPr>
              <w:t>école au projet de bibliothèques dépositaires de l</w:t>
            </w:r>
            <w:r w:rsidR="005311D6" w:rsidRPr="001800B7">
              <w:rPr>
                <w:bCs/>
                <w:iCs/>
                <w:szCs w:val="22"/>
                <w:lang w:bidi="th-TH"/>
              </w:rPr>
              <w:t>’</w:t>
            </w:r>
            <w:r w:rsidRPr="001800B7">
              <w:rPr>
                <w:bCs/>
                <w:iCs/>
                <w:szCs w:val="22"/>
                <w:lang w:bidi="th-TH"/>
              </w:rPr>
              <w:t>OMPI et lui a permis d</w:t>
            </w:r>
            <w:r w:rsidR="005311D6" w:rsidRPr="001800B7">
              <w:rPr>
                <w:bCs/>
                <w:iCs/>
                <w:szCs w:val="22"/>
                <w:lang w:bidi="th-TH"/>
              </w:rPr>
              <w:t>’</w:t>
            </w:r>
            <w:r w:rsidRPr="001800B7">
              <w:rPr>
                <w:bCs/>
                <w:iCs/>
                <w:szCs w:val="22"/>
                <w:lang w:bidi="th-TH"/>
              </w:rPr>
              <w:t>acquérir quelques publications essentielles.  Ce projet a également aidé l</w:t>
            </w:r>
            <w:r w:rsidR="005311D6" w:rsidRPr="001800B7">
              <w:rPr>
                <w:bCs/>
                <w:iCs/>
                <w:szCs w:val="22"/>
                <w:lang w:bidi="th-TH"/>
              </w:rPr>
              <w:t>’</w:t>
            </w:r>
            <w:proofErr w:type="spellStart"/>
            <w:r w:rsidRPr="001800B7">
              <w:rPr>
                <w:bCs/>
                <w:iCs/>
                <w:szCs w:val="22"/>
                <w:lang w:bidi="th-TH"/>
              </w:rPr>
              <w:t>Escuela</w:t>
            </w:r>
            <w:proofErr w:type="spellEnd"/>
            <w:r w:rsidRPr="001800B7">
              <w:rPr>
                <w:bCs/>
                <w:iCs/>
                <w:szCs w:val="22"/>
                <w:lang w:bidi="th-TH"/>
              </w:rPr>
              <w:t xml:space="preserve"> </w:t>
            </w:r>
            <w:proofErr w:type="spellStart"/>
            <w:r w:rsidRPr="001800B7">
              <w:rPr>
                <w:bCs/>
                <w:iCs/>
                <w:szCs w:val="22"/>
                <w:lang w:bidi="th-TH"/>
              </w:rPr>
              <w:t>Nacional</w:t>
            </w:r>
            <w:proofErr w:type="spellEnd"/>
            <w:r w:rsidRPr="001800B7">
              <w:rPr>
                <w:bCs/>
                <w:iCs/>
                <w:szCs w:val="22"/>
                <w:lang w:bidi="th-TH"/>
              </w:rPr>
              <w:t xml:space="preserve"> à se structurer d</w:t>
            </w:r>
            <w:r w:rsidR="005311D6" w:rsidRPr="001800B7">
              <w:rPr>
                <w:bCs/>
                <w:iCs/>
                <w:szCs w:val="22"/>
                <w:lang w:bidi="th-TH"/>
              </w:rPr>
              <w:t>’</w:t>
            </w:r>
            <w:r w:rsidRPr="001800B7">
              <w:rPr>
                <w:bCs/>
                <w:iCs/>
                <w:szCs w:val="22"/>
                <w:lang w:bidi="th-TH"/>
              </w:rPr>
              <w:t>un point de vue institutionnel et à adhérer au Réseau mondial d</w:t>
            </w:r>
            <w:r w:rsidR="005311D6" w:rsidRPr="001800B7">
              <w:rPr>
                <w:bCs/>
                <w:iCs/>
                <w:szCs w:val="22"/>
                <w:lang w:bidi="th-TH"/>
              </w:rPr>
              <w:t>’</w:t>
            </w:r>
            <w:r w:rsidRPr="001800B7">
              <w:rPr>
                <w:bCs/>
                <w:iCs/>
                <w:szCs w:val="22"/>
                <w:lang w:bidi="th-TH"/>
              </w:rPr>
              <w:t>académies de la propriété intellectuelle (GNIPA);</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L</w:t>
            </w:r>
            <w:r w:rsidR="005311D6" w:rsidRPr="001800B7">
              <w:rPr>
                <w:bCs/>
                <w:iCs/>
                <w:szCs w:val="22"/>
                <w:lang w:bidi="th-TH"/>
              </w:rPr>
              <w:t>’</w:t>
            </w:r>
            <w:proofErr w:type="spellStart"/>
            <w:r w:rsidRPr="001800B7">
              <w:rPr>
                <w:bCs/>
                <w:i/>
                <w:iCs/>
                <w:szCs w:val="22"/>
                <w:lang w:bidi="th-TH"/>
              </w:rPr>
              <w:t>Escuela</w:t>
            </w:r>
            <w:proofErr w:type="spellEnd"/>
            <w:r w:rsidRPr="001800B7">
              <w:rPr>
                <w:bCs/>
                <w:i/>
                <w:iCs/>
                <w:szCs w:val="22"/>
                <w:lang w:bidi="th-TH"/>
              </w:rPr>
              <w:t xml:space="preserve"> </w:t>
            </w:r>
            <w:proofErr w:type="spellStart"/>
            <w:r w:rsidRPr="001800B7">
              <w:rPr>
                <w:bCs/>
                <w:i/>
                <w:iCs/>
                <w:szCs w:val="22"/>
                <w:lang w:bidi="th-TH"/>
              </w:rPr>
              <w:t>Nacional</w:t>
            </w:r>
            <w:proofErr w:type="spellEnd"/>
            <w:r w:rsidRPr="001800B7">
              <w:rPr>
                <w:bCs/>
                <w:i/>
                <w:iCs/>
                <w:szCs w:val="22"/>
                <w:lang w:bidi="th-TH"/>
              </w:rPr>
              <w:t xml:space="preserve"> </w:t>
            </w:r>
            <w:r w:rsidRPr="001800B7">
              <w:rPr>
                <w:bCs/>
                <w:iCs/>
                <w:szCs w:val="22"/>
                <w:lang w:bidi="th-TH"/>
              </w:rPr>
              <w:t>axe ses efforts sur le renforcement des capacités essentiellement en ce qui concerne les droits des consommateurs.  Elle a, néanmoins, assuré la formation en propriété intellectuelle de 997 ressortissants péruviens.</w:t>
            </w:r>
          </w:p>
          <w:p w:rsidR="0010628F" w:rsidRPr="001800B7" w:rsidRDefault="0010628F" w:rsidP="009B7B20">
            <w:pPr>
              <w:autoSpaceDE w:val="0"/>
              <w:autoSpaceDN w:val="0"/>
              <w:adjustRightInd w:val="0"/>
              <w:spacing w:before="120" w:after="120"/>
              <w:rPr>
                <w:bCs/>
                <w:iCs/>
                <w:szCs w:val="22"/>
                <w:u w:val="single"/>
                <w:lang w:bidi="th-TH"/>
              </w:rPr>
            </w:pPr>
            <w:r w:rsidRPr="001800B7">
              <w:rPr>
                <w:bCs/>
                <w:iCs/>
                <w:szCs w:val="22"/>
                <w:u w:val="single"/>
                <w:lang w:bidi="th-TH"/>
              </w:rPr>
              <w:t>TUNISIE</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L</w:t>
            </w:r>
            <w:r w:rsidR="005311D6" w:rsidRPr="001800B7">
              <w:rPr>
                <w:bCs/>
                <w:iCs/>
                <w:szCs w:val="22"/>
                <w:lang w:bidi="th-TH"/>
              </w:rPr>
              <w:t>’</w:t>
            </w:r>
            <w:r w:rsidRPr="001800B7">
              <w:rPr>
                <w:bCs/>
                <w:i/>
                <w:iCs/>
                <w:szCs w:val="22"/>
                <w:lang w:bidi="th-TH"/>
              </w:rPr>
              <w:t>Académie Tunisienne de la Propriété Intellectuelle</w:t>
            </w:r>
            <w:r w:rsidRPr="001800B7">
              <w:rPr>
                <w:bCs/>
                <w:iCs/>
                <w:szCs w:val="22"/>
                <w:lang w:bidi="th-TH"/>
              </w:rPr>
              <w:t xml:space="preserve"> (ATPI) est le résultat d</w:t>
            </w:r>
            <w:r w:rsidR="005311D6" w:rsidRPr="001800B7">
              <w:rPr>
                <w:bCs/>
                <w:iCs/>
                <w:szCs w:val="22"/>
                <w:lang w:bidi="th-TH"/>
              </w:rPr>
              <w:t>’</w:t>
            </w:r>
            <w:r w:rsidRPr="001800B7">
              <w:rPr>
                <w:bCs/>
                <w:iCs/>
                <w:szCs w:val="22"/>
                <w:lang w:bidi="th-TH"/>
              </w:rPr>
              <w:t>un projet élaboré au sein de l</w:t>
            </w:r>
            <w:r w:rsidR="005311D6" w:rsidRPr="001800B7">
              <w:rPr>
                <w:bCs/>
                <w:iCs/>
                <w:szCs w:val="22"/>
                <w:lang w:bidi="th-TH"/>
              </w:rPr>
              <w:t>’</w:t>
            </w:r>
            <w:r w:rsidRPr="001800B7">
              <w:rPr>
                <w:bCs/>
                <w:i/>
                <w:iCs/>
                <w:szCs w:val="22"/>
                <w:lang w:bidi="th-TH"/>
              </w:rPr>
              <w:t>Institut National de la Normalisation et de la Propriété Intellectuelle</w:t>
            </w:r>
            <w:r w:rsidRPr="001800B7">
              <w:rPr>
                <w:bCs/>
                <w:iCs/>
                <w:szCs w:val="22"/>
                <w:lang w:bidi="th-TH"/>
              </w:rPr>
              <w:t xml:space="preserve"> de Tunisie.  À l</w:t>
            </w:r>
            <w:r w:rsidR="005311D6" w:rsidRPr="001800B7">
              <w:rPr>
                <w:bCs/>
                <w:iCs/>
                <w:szCs w:val="22"/>
                <w:lang w:bidi="th-TH"/>
              </w:rPr>
              <w:t>’</w:t>
            </w:r>
            <w:r w:rsidRPr="001800B7">
              <w:rPr>
                <w:bCs/>
                <w:iCs/>
                <w:szCs w:val="22"/>
                <w:lang w:bidi="th-TH"/>
              </w:rPr>
              <w:t>heure actuelle, elle propose à la demande des cours de propriété intellectuelle spéciaux à l</w:t>
            </w:r>
            <w:r w:rsidR="005311D6" w:rsidRPr="001800B7">
              <w:rPr>
                <w:bCs/>
                <w:iCs/>
                <w:szCs w:val="22"/>
                <w:lang w:bidi="th-TH"/>
              </w:rPr>
              <w:t>’</w:t>
            </w:r>
            <w:r w:rsidRPr="001800B7">
              <w:rPr>
                <w:bCs/>
                <w:iCs/>
                <w:szCs w:val="22"/>
                <w:lang w:bidi="th-TH"/>
              </w:rPr>
              <w:t>intention du grand public, et élabore des contenus et des synergies en vue de mettre en place des programmes réguliers de formation à la propriété intellectuelle.</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L</w:t>
            </w:r>
            <w:r w:rsidR="005311D6" w:rsidRPr="001800B7">
              <w:rPr>
                <w:bCs/>
                <w:iCs/>
                <w:szCs w:val="22"/>
                <w:lang w:bidi="th-TH"/>
              </w:rPr>
              <w:t>’</w:t>
            </w:r>
            <w:r w:rsidRPr="001800B7">
              <w:rPr>
                <w:bCs/>
                <w:iCs/>
                <w:szCs w:val="22"/>
                <w:lang w:bidi="th-TH"/>
              </w:rPr>
              <w:t>OMPI a conçu un programme spécial de formation de formateurs à l</w:t>
            </w:r>
            <w:r w:rsidR="005311D6" w:rsidRPr="001800B7">
              <w:rPr>
                <w:bCs/>
                <w:iCs/>
                <w:szCs w:val="22"/>
                <w:lang w:bidi="th-TH"/>
              </w:rPr>
              <w:t>’</w:t>
            </w:r>
            <w:r w:rsidRPr="001800B7">
              <w:rPr>
                <w:bCs/>
                <w:iCs/>
                <w:szCs w:val="22"/>
                <w:lang w:bidi="th-TH"/>
              </w:rPr>
              <w:t>intention d</w:t>
            </w:r>
            <w:r w:rsidR="005311D6" w:rsidRPr="001800B7">
              <w:rPr>
                <w:bCs/>
                <w:iCs/>
                <w:szCs w:val="22"/>
                <w:lang w:bidi="th-TH"/>
              </w:rPr>
              <w:t>’</w:t>
            </w:r>
            <w:r w:rsidRPr="001800B7">
              <w:rPr>
                <w:bCs/>
                <w:iCs/>
                <w:szCs w:val="22"/>
                <w:lang w:bidi="th-TH"/>
              </w:rPr>
              <w:t>un groupe de formateurs tunisiens principaux, provenant d</w:t>
            </w:r>
            <w:r w:rsidR="005311D6" w:rsidRPr="001800B7">
              <w:rPr>
                <w:bCs/>
                <w:iCs/>
                <w:szCs w:val="22"/>
                <w:lang w:bidi="th-TH"/>
              </w:rPr>
              <w:t>’</w:t>
            </w:r>
            <w:r w:rsidRPr="001800B7">
              <w:rPr>
                <w:bCs/>
                <w:iCs/>
                <w:szCs w:val="22"/>
                <w:lang w:bidi="th-TH"/>
              </w:rPr>
              <w:t>horizons différents (judiciaire, propriété industrielle, droit d</w:t>
            </w:r>
            <w:r w:rsidR="005311D6" w:rsidRPr="001800B7">
              <w:rPr>
                <w:bCs/>
                <w:iCs/>
                <w:szCs w:val="22"/>
                <w:lang w:bidi="th-TH"/>
              </w:rPr>
              <w:t>’</w:t>
            </w:r>
            <w:r w:rsidRPr="001800B7">
              <w:rPr>
                <w:bCs/>
                <w:iCs/>
                <w:szCs w:val="22"/>
                <w:lang w:bidi="th-TH"/>
              </w:rPr>
              <w:t>auteur, aspects économiques et application de la PI) dont 16 formateurs ont obtenu leur certification.</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Huit fonctionnaires nationaux ont bénéficié d</w:t>
            </w:r>
            <w:r w:rsidR="005311D6" w:rsidRPr="001800B7">
              <w:rPr>
                <w:bCs/>
                <w:iCs/>
                <w:szCs w:val="22"/>
                <w:lang w:bidi="th-TH"/>
              </w:rPr>
              <w:t>’</w:t>
            </w:r>
            <w:r w:rsidRPr="001800B7">
              <w:rPr>
                <w:bCs/>
                <w:iCs/>
                <w:szCs w:val="22"/>
                <w:lang w:bidi="th-TH"/>
              </w:rPr>
              <w:t>une formation spécialisée pour les directeurs de centres nationaux de formation à la propriété intellectuelle.  En raison d</w:t>
            </w:r>
            <w:r w:rsidR="005311D6" w:rsidRPr="001800B7">
              <w:rPr>
                <w:bCs/>
                <w:iCs/>
                <w:szCs w:val="22"/>
                <w:lang w:bidi="th-TH"/>
              </w:rPr>
              <w:t>’</w:t>
            </w:r>
            <w:r w:rsidRPr="001800B7">
              <w:rPr>
                <w:bCs/>
                <w:iCs/>
                <w:szCs w:val="22"/>
                <w:lang w:bidi="th-TH"/>
              </w:rPr>
              <w:t>une rotation élevée du personnel assurant le rôle de coordonnateur dans le pays lors de la mise en œuvre du programme de formation des directeurs d</w:t>
            </w:r>
            <w:r w:rsidR="005311D6" w:rsidRPr="001800B7">
              <w:rPr>
                <w:bCs/>
                <w:iCs/>
                <w:szCs w:val="22"/>
                <w:lang w:bidi="th-TH"/>
              </w:rPr>
              <w:t>’</w:t>
            </w:r>
            <w:r w:rsidRPr="001800B7">
              <w:rPr>
                <w:bCs/>
                <w:iCs/>
                <w:szCs w:val="22"/>
                <w:lang w:bidi="th-TH"/>
              </w:rPr>
              <w:t>académie, le nouveau directeur du centre national de formation à la propriété intellectuelle a suivi une formation complémentaire par le biais d</w:t>
            </w:r>
            <w:r w:rsidR="005311D6" w:rsidRPr="001800B7">
              <w:rPr>
                <w:bCs/>
                <w:iCs/>
                <w:szCs w:val="22"/>
                <w:lang w:bidi="th-TH"/>
              </w:rPr>
              <w:t>’</w:t>
            </w:r>
            <w:r w:rsidRPr="001800B7">
              <w:rPr>
                <w:bCs/>
                <w:iCs/>
                <w:szCs w:val="22"/>
                <w:lang w:bidi="th-TH"/>
              </w:rPr>
              <w:t>un programme spécialisé dispensé par l</w:t>
            </w:r>
            <w:r w:rsidR="005311D6" w:rsidRPr="001800B7">
              <w:rPr>
                <w:bCs/>
                <w:iCs/>
                <w:szCs w:val="22"/>
                <w:lang w:bidi="th-TH"/>
              </w:rPr>
              <w:t>’</w:t>
            </w:r>
            <w:r w:rsidRPr="001800B7">
              <w:rPr>
                <w:bCs/>
                <w:iCs/>
                <w:szCs w:val="22"/>
                <w:lang w:bidi="th-TH"/>
              </w:rPr>
              <w:t>Académie de l</w:t>
            </w:r>
            <w:r w:rsidR="005311D6" w:rsidRPr="001800B7">
              <w:rPr>
                <w:bCs/>
                <w:iCs/>
                <w:szCs w:val="22"/>
                <w:lang w:bidi="th-TH"/>
              </w:rPr>
              <w:t>’</w:t>
            </w:r>
            <w:r w:rsidRPr="001800B7">
              <w:rPr>
                <w:bCs/>
                <w:iCs/>
                <w:szCs w:val="22"/>
                <w:lang w:bidi="th-TH"/>
              </w:rPr>
              <w:t>OMPI en coopération avec l</w:t>
            </w:r>
            <w:r w:rsidR="005311D6" w:rsidRPr="001800B7">
              <w:rPr>
                <w:bCs/>
                <w:iCs/>
                <w:szCs w:val="22"/>
                <w:lang w:bidi="th-TH"/>
              </w:rPr>
              <w:t>’</w:t>
            </w:r>
            <w:r w:rsidRPr="001800B7">
              <w:rPr>
                <w:bCs/>
                <w:iCs/>
                <w:szCs w:val="22"/>
                <w:lang w:bidi="th-TH"/>
              </w:rPr>
              <w:t>Organisation canadienne de la propriété intellectuelle (CIPO).</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Ce projet a aidé l</w:t>
            </w:r>
            <w:r w:rsidR="005311D6" w:rsidRPr="001800B7">
              <w:rPr>
                <w:bCs/>
                <w:iCs/>
                <w:szCs w:val="22"/>
                <w:lang w:bidi="th-TH"/>
              </w:rPr>
              <w:t>’</w:t>
            </w:r>
            <w:r w:rsidRPr="001800B7">
              <w:rPr>
                <w:bCs/>
                <w:iCs/>
                <w:szCs w:val="22"/>
                <w:lang w:bidi="th-TH"/>
              </w:rPr>
              <w:t>ATPI à acquérir une bibliographie essentielle et à adhérer au Réseau mondial d</w:t>
            </w:r>
            <w:r w:rsidR="005311D6" w:rsidRPr="001800B7">
              <w:rPr>
                <w:bCs/>
                <w:iCs/>
                <w:szCs w:val="22"/>
                <w:lang w:bidi="th-TH"/>
              </w:rPr>
              <w:t>’</w:t>
            </w:r>
            <w:r w:rsidRPr="001800B7">
              <w:rPr>
                <w:bCs/>
                <w:iCs/>
                <w:szCs w:val="22"/>
                <w:lang w:bidi="th-TH"/>
              </w:rPr>
              <w:t>académies de la propriété intellectuelle (GNIPA);</w:t>
            </w:r>
          </w:p>
          <w:p w:rsidR="0010628F" w:rsidRDefault="0010628F" w:rsidP="009B7B20">
            <w:pPr>
              <w:autoSpaceDE w:val="0"/>
              <w:autoSpaceDN w:val="0"/>
              <w:adjustRightInd w:val="0"/>
              <w:spacing w:before="120" w:after="120"/>
              <w:rPr>
                <w:bCs/>
                <w:iCs/>
                <w:szCs w:val="22"/>
                <w:lang w:bidi="th-TH"/>
              </w:rPr>
            </w:pPr>
            <w:r w:rsidRPr="001800B7">
              <w:rPr>
                <w:bCs/>
                <w:iCs/>
                <w:szCs w:val="22"/>
                <w:lang w:bidi="th-TH"/>
              </w:rPr>
              <w:t>L</w:t>
            </w:r>
            <w:r w:rsidR="005311D6" w:rsidRPr="001800B7">
              <w:rPr>
                <w:bCs/>
                <w:iCs/>
                <w:szCs w:val="22"/>
                <w:lang w:bidi="th-TH"/>
              </w:rPr>
              <w:t>’</w:t>
            </w:r>
            <w:r w:rsidRPr="001800B7">
              <w:rPr>
                <w:bCs/>
                <w:iCs/>
                <w:szCs w:val="22"/>
                <w:lang w:bidi="th-TH"/>
              </w:rPr>
              <w:t>ATPI finalise actuellement un cours général d</w:t>
            </w:r>
            <w:r w:rsidR="005311D6" w:rsidRPr="001800B7">
              <w:rPr>
                <w:bCs/>
                <w:iCs/>
                <w:szCs w:val="22"/>
                <w:lang w:bidi="th-TH"/>
              </w:rPr>
              <w:t>’</w:t>
            </w:r>
            <w:r w:rsidRPr="001800B7">
              <w:rPr>
                <w:bCs/>
                <w:iCs/>
                <w:szCs w:val="22"/>
                <w:lang w:bidi="th-TH"/>
              </w:rPr>
              <w:t>enseignement à distance sur la propriété intellectuelle et valide également la documentation à soumettre aux autorités nationales en vue de la création d</w:t>
            </w:r>
            <w:r w:rsidR="005311D6" w:rsidRPr="001800B7">
              <w:rPr>
                <w:bCs/>
                <w:iCs/>
                <w:szCs w:val="22"/>
                <w:lang w:bidi="th-TH"/>
              </w:rPr>
              <w:t>’</w:t>
            </w:r>
            <w:r w:rsidRPr="001800B7">
              <w:rPr>
                <w:bCs/>
                <w:iCs/>
                <w:szCs w:val="22"/>
                <w:lang w:bidi="th-TH"/>
              </w:rPr>
              <w:t>un programme de Master professionnel en droit de la propriété intellectuelle.</w:t>
            </w:r>
          </w:p>
          <w:p w:rsidR="00F10337" w:rsidRDefault="00F10337" w:rsidP="009B7B20">
            <w:pPr>
              <w:autoSpaceDE w:val="0"/>
              <w:autoSpaceDN w:val="0"/>
              <w:adjustRightInd w:val="0"/>
              <w:spacing w:before="120" w:after="120"/>
              <w:rPr>
                <w:bCs/>
                <w:iCs/>
                <w:szCs w:val="22"/>
                <w:lang w:bidi="th-TH"/>
              </w:rPr>
            </w:pPr>
          </w:p>
          <w:p w:rsidR="00F10337" w:rsidRPr="001800B7" w:rsidRDefault="00F10337" w:rsidP="009B7B20">
            <w:pPr>
              <w:autoSpaceDE w:val="0"/>
              <w:autoSpaceDN w:val="0"/>
              <w:adjustRightInd w:val="0"/>
              <w:spacing w:before="120" w:after="120"/>
              <w:rPr>
                <w:bCs/>
                <w:iCs/>
                <w:szCs w:val="22"/>
                <w:lang w:bidi="th-TH"/>
              </w:rPr>
            </w:pPr>
          </w:p>
        </w:tc>
      </w:tr>
      <w:tr w:rsidR="001800B7" w:rsidRPr="001800B7" w:rsidTr="009B7B20">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9B7B20">
            <w:pPr>
              <w:spacing w:before="120" w:after="120"/>
              <w:rPr>
                <w:szCs w:val="22"/>
              </w:rPr>
            </w:pPr>
            <w:r w:rsidRPr="001800B7">
              <w:rPr>
                <w:szCs w:val="22"/>
              </w:rPr>
              <w:lastRenderedPageBreak/>
              <w:t>Résultats/incidences du projet et principaux enseignements à en tirer</w:t>
            </w:r>
          </w:p>
        </w:tc>
        <w:tc>
          <w:tcPr>
            <w:tcW w:w="7280" w:type="dxa"/>
            <w:tcBorders>
              <w:top w:val="single" w:sz="4" w:space="0" w:color="auto"/>
              <w:left w:val="single" w:sz="4" w:space="0" w:color="auto"/>
              <w:bottom w:val="single" w:sz="4" w:space="0" w:color="auto"/>
              <w:right w:val="single" w:sz="4" w:space="0" w:color="auto"/>
            </w:tcBorders>
          </w:tcPr>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À ce jour, les cinq instituts de formation à la propriété intellectuelle créés avec l</w:t>
            </w:r>
            <w:r w:rsidR="005311D6" w:rsidRPr="001800B7">
              <w:rPr>
                <w:bCs/>
                <w:iCs/>
                <w:szCs w:val="22"/>
                <w:lang w:bidi="th-TH"/>
              </w:rPr>
              <w:t>’</w:t>
            </w:r>
            <w:r w:rsidRPr="001800B7">
              <w:rPr>
                <w:bCs/>
                <w:iCs/>
                <w:szCs w:val="22"/>
                <w:lang w:bidi="th-TH"/>
              </w:rPr>
              <w:t>aide du projet de création d</w:t>
            </w:r>
            <w:r w:rsidR="005311D6" w:rsidRPr="001800B7">
              <w:rPr>
                <w:bCs/>
                <w:iCs/>
                <w:szCs w:val="22"/>
                <w:lang w:bidi="th-TH"/>
              </w:rPr>
              <w:t>’</w:t>
            </w:r>
            <w:r w:rsidRPr="001800B7">
              <w:rPr>
                <w:bCs/>
                <w:iCs/>
                <w:szCs w:val="22"/>
                <w:lang w:bidi="th-TH"/>
              </w:rPr>
              <w:t>académies la propriété intellectuelle de l</w:t>
            </w:r>
            <w:r w:rsidR="005311D6" w:rsidRPr="001800B7">
              <w:rPr>
                <w:bCs/>
                <w:iCs/>
                <w:szCs w:val="22"/>
                <w:lang w:bidi="th-TH"/>
              </w:rPr>
              <w:t>’</w:t>
            </w:r>
            <w:r w:rsidRPr="001800B7">
              <w:rPr>
                <w:bCs/>
                <w:iCs/>
                <w:szCs w:val="22"/>
                <w:lang w:bidi="th-TH"/>
              </w:rPr>
              <w:t>OMPI ont certifié 8488 personnes ayant suivi les programmes de formation à la propriété intellectuelle.  Les programmes ont été conçus et dispensés par des formateurs et des directeurs qui ont bénéficié d</w:t>
            </w:r>
            <w:r w:rsidR="005311D6" w:rsidRPr="001800B7">
              <w:rPr>
                <w:bCs/>
                <w:iCs/>
                <w:szCs w:val="22"/>
                <w:lang w:bidi="th-TH"/>
              </w:rPr>
              <w:t>’</w:t>
            </w:r>
            <w:r w:rsidRPr="001800B7">
              <w:rPr>
                <w:bCs/>
                <w:iCs/>
                <w:szCs w:val="22"/>
                <w:lang w:bidi="th-TH"/>
              </w:rPr>
              <w:t>une aide et d</w:t>
            </w:r>
            <w:r w:rsidR="005311D6" w:rsidRPr="001800B7">
              <w:rPr>
                <w:bCs/>
                <w:iCs/>
                <w:szCs w:val="22"/>
                <w:lang w:bidi="th-TH"/>
              </w:rPr>
              <w:t>’</w:t>
            </w:r>
            <w:r w:rsidRPr="001800B7">
              <w:rPr>
                <w:bCs/>
                <w:iCs/>
                <w:szCs w:val="22"/>
                <w:lang w:bidi="th-TH"/>
              </w:rPr>
              <w:t>une formation par le biais de ce projet, et ont pu utiliser des publications spécialisées fournies également dans le cadre de ce projet.</w:t>
            </w:r>
          </w:p>
          <w:p w:rsidR="0010628F" w:rsidRPr="001800B7" w:rsidRDefault="0010628F" w:rsidP="009B7B20">
            <w:pPr>
              <w:spacing w:before="120" w:after="120"/>
              <w:rPr>
                <w:szCs w:val="22"/>
              </w:rPr>
            </w:pPr>
            <w:r w:rsidRPr="001800B7">
              <w:rPr>
                <w:szCs w:val="22"/>
              </w:rPr>
              <w:t>Trois centres nationaux de formation ont été créés par le biais d</w:t>
            </w:r>
            <w:r w:rsidR="005311D6" w:rsidRPr="001800B7">
              <w:rPr>
                <w:szCs w:val="22"/>
              </w:rPr>
              <w:t>’</w:t>
            </w:r>
            <w:r w:rsidRPr="001800B7">
              <w:rPr>
                <w:szCs w:val="22"/>
              </w:rPr>
              <w:t>un instrument juridique, en disposant d</w:t>
            </w:r>
            <w:r w:rsidR="005311D6" w:rsidRPr="001800B7">
              <w:rPr>
                <w:szCs w:val="22"/>
              </w:rPr>
              <w:t>’</w:t>
            </w:r>
            <w:r w:rsidRPr="001800B7">
              <w:rPr>
                <w:szCs w:val="22"/>
              </w:rPr>
              <w:t>un budget officiel et d</w:t>
            </w:r>
            <w:r w:rsidR="005311D6" w:rsidRPr="001800B7">
              <w:rPr>
                <w:szCs w:val="22"/>
              </w:rPr>
              <w:t>’</w:t>
            </w:r>
            <w:r w:rsidRPr="001800B7">
              <w:rPr>
                <w:szCs w:val="22"/>
              </w:rPr>
              <w:t>un organigramme dédiés.  Un cadre juridique est actuellement en cours de création pour les trois autres centres qui devraient ainsi être opérationnels de manière autonome d</w:t>
            </w:r>
            <w:r w:rsidR="005311D6" w:rsidRPr="001800B7">
              <w:rPr>
                <w:szCs w:val="22"/>
              </w:rPr>
              <w:t>’</w:t>
            </w:r>
            <w:r w:rsidRPr="001800B7">
              <w:rPr>
                <w:szCs w:val="22"/>
              </w:rPr>
              <w:t>ici trois ans.</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Tous les instituts de formation établis dispensent des programmes de formation relatifs à la propriété intellectuelle et à des sujets relevant du Plan d</w:t>
            </w:r>
            <w:r w:rsidR="005311D6" w:rsidRPr="001800B7">
              <w:rPr>
                <w:bCs/>
                <w:iCs/>
                <w:szCs w:val="22"/>
                <w:lang w:bidi="th-TH"/>
              </w:rPr>
              <w:t>’</w:t>
            </w:r>
            <w:r w:rsidRPr="001800B7">
              <w:rPr>
                <w:bCs/>
                <w:iCs/>
                <w:szCs w:val="22"/>
                <w:lang w:bidi="th-TH"/>
              </w:rPr>
              <w:t>action de l</w:t>
            </w:r>
            <w:r w:rsidR="005311D6" w:rsidRPr="001800B7">
              <w:rPr>
                <w:bCs/>
                <w:iCs/>
                <w:szCs w:val="22"/>
                <w:lang w:bidi="th-TH"/>
              </w:rPr>
              <w:t>’</w:t>
            </w:r>
            <w:r w:rsidRPr="001800B7">
              <w:rPr>
                <w:bCs/>
                <w:iCs/>
                <w:szCs w:val="22"/>
                <w:lang w:bidi="th-TH"/>
              </w:rPr>
              <w:t>OMPI pour le développement.  Ces formations visent toutes à promouvoir les échanges de vues concernant la meilleure utilisation possible du système de propriété intellectuelle pour promouvoir un juste équilibre entre la protection de la propriété intellectuelle et l</w:t>
            </w:r>
            <w:r w:rsidR="005311D6" w:rsidRPr="001800B7">
              <w:rPr>
                <w:bCs/>
                <w:iCs/>
                <w:szCs w:val="22"/>
                <w:lang w:bidi="th-TH"/>
              </w:rPr>
              <w:t>’</w:t>
            </w:r>
            <w:r w:rsidRPr="001800B7">
              <w:rPr>
                <w:bCs/>
                <w:iCs/>
                <w:szCs w:val="22"/>
                <w:lang w:bidi="th-TH"/>
              </w:rPr>
              <w:t xml:space="preserve">intérêt public, en satisfaisant à la </w:t>
            </w:r>
            <w:r w:rsidR="009B7B20" w:rsidRPr="001800B7">
              <w:rPr>
                <w:bCs/>
                <w:iCs/>
                <w:szCs w:val="22"/>
                <w:lang w:bidi="th-TH"/>
              </w:rPr>
              <w:t>r</w:t>
            </w:r>
            <w:r w:rsidRPr="001800B7">
              <w:rPr>
                <w:bCs/>
                <w:iCs/>
                <w:szCs w:val="22"/>
                <w:lang w:bidi="th-TH"/>
              </w:rPr>
              <w:t>ecommandation 10 du Plan d</w:t>
            </w:r>
            <w:r w:rsidR="005311D6" w:rsidRPr="001800B7">
              <w:rPr>
                <w:bCs/>
                <w:iCs/>
                <w:szCs w:val="22"/>
                <w:lang w:bidi="th-TH"/>
              </w:rPr>
              <w:t>’</w:t>
            </w:r>
            <w:r w:rsidRPr="001800B7">
              <w:rPr>
                <w:bCs/>
                <w:iCs/>
                <w:szCs w:val="22"/>
                <w:lang w:bidi="th-TH"/>
              </w:rPr>
              <w:t>action de l</w:t>
            </w:r>
            <w:r w:rsidR="005311D6" w:rsidRPr="001800B7">
              <w:rPr>
                <w:bCs/>
                <w:iCs/>
                <w:szCs w:val="22"/>
                <w:lang w:bidi="th-TH"/>
              </w:rPr>
              <w:t>’</w:t>
            </w:r>
            <w:r w:rsidRPr="001800B7">
              <w:rPr>
                <w:bCs/>
                <w:iCs/>
                <w:szCs w:val="22"/>
                <w:lang w:bidi="th-TH"/>
              </w:rPr>
              <w:t>OMPI pour le développement.</w:t>
            </w:r>
          </w:p>
          <w:p w:rsidR="0010628F" w:rsidRPr="001800B7" w:rsidRDefault="0010628F" w:rsidP="009B7B20">
            <w:pPr>
              <w:autoSpaceDE w:val="0"/>
              <w:autoSpaceDN w:val="0"/>
              <w:adjustRightInd w:val="0"/>
              <w:spacing w:before="120" w:after="120"/>
              <w:rPr>
                <w:bCs/>
                <w:iCs/>
                <w:szCs w:val="22"/>
                <w:lang w:bidi="th-TH"/>
              </w:rPr>
            </w:pPr>
            <w:r w:rsidRPr="001800B7">
              <w:rPr>
                <w:bCs/>
                <w:iCs/>
                <w:szCs w:val="22"/>
                <w:lang w:bidi="th-TH"/>
              </w:rPr>
              <w:t>Conformément au résultat escompté de l</w:t>
            </w:r>
            <w:r w:rsidR="005311D6" w:rsidRPr="001800B7">
              <w:rPr>
                <w:bCs/>
                <w:iCs/>
                <w:szCs w:val="22"/>
                <w:lang w:bidi="th-TH"/>
              </w:rPr>
              <w:t>’</w:t>
            </w:r>
            <w:r w:rsidRPr="001800B7">
              <w:rPr>
                <w:bCs/>
                <w:iCs/>
                <w:szCs w:val="22"/>
                <w:lang w:bidi="th-TH"/>
              </w:rPr>
              <w:t>approche visant à faciliter l</w:t>
            </w:r>
            <w:r w:rsidR="005311D6" w:rsidRPr="001800B7">
              <w:rPr>
                <w:bCs/>
                <w:iCs/>
                <w:szCs w:val="22"/>
                <w:lang w:bidi="th-TH"/>
              </w:rPr>
              <w:t>’</w:t>
            </w:r>
            <w:r w:rsidRPr="001800B7">
              <w:rPr>
                <w:bCs/>
                <w:iCs/>
                <w:szCs w:val="22"/>
                <w:lang w:bidi="th-TH"/>
              </w:rPr>
              <w:t>accès à l</w:t>
            </w:r>
            <w:r w:rsidR="005311D6" w:rsidRPr="001800B7">
              <w:rPr>
                <w:bCs/>
                <w:iCs/>
                <w:szCs w:val="22"/>
                <w:lang w:bidi="th-TH"/>
              </w:rPr>
              <w:t>’</w:t>
            </w:r>
            <w:r w:rsidRPr="001800B7">
              <w:rPr>
                <w:bCs/>
                <w:iCs/>
                <w:szCs w:val="22"/>
                <w:lang w:bidi="th-TH"/>
              </w:rPr>
              <w:t>enseignement de la propriété intellectuelle, des programmes de formation sont dispensés dans les langues des pays.  En outre, ces formations sont mises en œuvre dans les pays mêmes, par des experts nationaux, ce qui permet d</w:t>
            </w:r>
            <w:r w:rsidR="005311D6" w:rsidRPr="001800B7">
              <w:rPr>
                <w:bCs/>
                <w:iCs/>
                <w:szCs w:val="22"/>
                <w:lang w:bidi="th-TH"/>
              </w:rPr>
              <w:t>’</w:t>
            </w:r>
            <w:r w:rsidRPr="001800B7">
              <w:rPr>
                <w:bCs/>
                <w:iCs/>
                <w:szCs w:val="22"/>
                <w:lang w:bidi="th-TH"/>
              </w:rPr>
              <w:t>offrir des cours réguliers à un coût réduit pour le centre de formation à la propriété intellectuelle, pour l</w:t>
            </w:r>
            <w:r w:rsidR="005311D6" w:rsidRPr="001800B7">
              <w:rPr>
                <w:bCs/>
                <w:iCs/>
                <w:szCs w:val="22"/>
                <w:lang w:bidi="th-TH"/>
              </w:rPr>
              <w:t>’</w:t>
            </w:r>
            <w:r w:rsidRPr="001800B7">
              <w:rPr>
                <w:bCs/>
                <w:iCs/>
                <w:szCs w:val="22"/>
                <w:lang w:bidi="th-TH"/>
              </w:rPr>
              <w:t>OMPI et pour les participants.  Par ailleurs, les formateurs qui assurent cet enseignement ont bénéficié d</w:t>
            </w:r>
            <w:r w:rsidR="005311D6" w:rsidRPr="001800B7">
              <w:rPr>
                <w:bCs/>
                <w:iCs/>
                <w:szCs w:val="22"/>
                <w:lang w:bidi="th-TH"/>
              </w:rPr>
              <w:t>’</w:t>
            </w:r>
            <w:r w:rsidRPr="001800B7">
              <w:rPr>
                <w:bCs/>
                <w:iCs/>
                <w:szCs w:val="22"/>
                <w:lang w:bidi="th-TH"/>
              </w:rPr>
              <w:t>une formation spécifique leur permettant de mettre en œuvre des techniques modernes d</w:t>
            </w:r>
            <w:r w:rsidR="005311D6" w:rsidRPr="001800B7">
              <w:rPr>
                <w:bCs/>
                <w:iCs/>
                <w:szCs w:val="22"/>
                <w:lang w:bidi="th-TH"/>
              </w:rPr>
              <w:t>’</w:t>
            </w:r>
            <w:r w:rsidRPr="001800B7">
              <w:rPr>
                <w:bCs/>
                <w:iCs/>
                <w:szCs w:val="22"/>
                <w:lang w:bidi="th-TH"/>
              </w:rPr>
              <w:t>enseignements et d</w:t>
            </w:r>
            <w:r w:rsidR="005311D6" w:rsidRPr="001800B7">
              <w:rPr>
                <w:bCs/>
                <w:iCs/>
                <w:szCs w:val="22"/>
                <w:lang w:bidi="th-TH"/>
              </w:rPr>
              <w:t>’</w:t>
            </w:r>
            <w:r w:rsidRPr="001800B7">
              <w:rPr>
                <w:bCs/>
                <w:iCs/>
                <w:szCs w:val="22"/>
                <w:lang w:bidi="th-TH"/>
              </w:rPr>
              <w:t>élaborer un programme de cours qui réponde aux besoins d</w:t>
            </w:r>
            <w:r w:rsidR="005311D6" w:rsidRPr="001800B7">
              <w:rPr>
                <w:bCs/>
                <w:iCs/>
                <w:szCs w:val="22"/>
                <w:lang w:bidi="th-TH"/>
              </w:rPr>
              <w:t>’</w:t>
            </w:r>
            <w:r w:rsidRPr="001800B7">
              <w:rPr>
                <w:bCs/>
                <w:iCs/>
                <w:szCs w:val="22"/>
                <w:lang w:bidi="th-TH"/>
              </w:rPr>
              <w:t>un public cible.</w:t>
            </w:r>
          </w:p>
          <w:p w:rsidR="0010628F" w:rsidRPr="001800B7" w:rsidRDefault="0010628F" w:rsidP="009B7B20">
            <w:pPr>
              <w:autoSpaceDE w:val="0"/>
              <w:autoSpaceDN w:val="0"/>
              <w:adjustRightInd w:val="0"/>
              <w:spacing w:before="120" w:after="100"/>
              <w:rPr>
                <w:bCs/>
                <w:iCs/>
                <w:szCs w:val="22"/>
                <w:lang w:bidi="th-TH"/>
              </w:rPr>
            </w:pPr>
            <w:r w:rsidRPr="001800B7">
              <w:rPr>
                <w:bCs/>
                <w:iCs/>
                <w:szCs w:val="22"/>
                <w:lang w:bidi="th-TH"/>
              </w:rPr>
              <w:t>Concernant ce résultat escompté, il convient de noter que parmi les centres nationaux de formation à la propriété intellectuelle, trois centres offrent actuellement trois programmes d</w:t>
            </w:r>
            <w:r w:rsidR="005311D6" w:rsidRPr="001800B7">
              <w:rPr>
                <w:bCs/>
                <w:iCs/>
                <w:szCs w:val="22"/>
                <w:lang w:bidi="th-TH"/>
              </w:rPr>
              <w:t>’</w:t>
            </w:r>
            <w:r w:rsidRPr="001800B7">
              <w:rPr>
                <w:bCs/>
                <w:iCs/>
                <w:szCs w:val="22"/>
                <w:lang w:bidi="th-TH"/>
              </w:rPr>
              <w:t>enseignement à distance de la propriété intellectuelle (sur des questions tant générales que spécifiques de la propriété intellectuelle, comme la manière de déposer une demande de marque et la gestion des aspects de propriété intellectuelle) et trois cours d</w:t>
            </w:r>
            <w:r w:rsidR="005311D6" w:rsidRPr="001800B7">
              <w:rPr>
                <w:bCs/>
                <w:iCs/>
                <w:szCs w:val="22"/>
                <w:lang w:bidi="th-TH"/>
              </w:rPr>
              <w:t>’</w:t>
            </w:r>
            <w:r w:rsidRPr="001800B7">
              <w:rPr>
                <w:bCs/>
                <w:iCs/>
                <w:szCs w:val="22"/>
                <w:lang w:bidi="th-TH"/>
              </w:rPr>
              <w:t>enseignement universitaire supérieur au sens large sur la propriété intellectuelle et l</w:t>
            </w:r>
            <w:r w:rsidR="005311D6" w:rsidRPr="001800B7">
              <w:rPr>
                <w:bCs/>
                <w:iCs/>
                <w:szCs w:val="22"/>
                <w:lang w:bidi="th-TH"/>
              </w:rPr>
              <w:t>’</w:t>
            </w:r>
            <w:r w:rsidRPr="001800B7">
              <w:rPr>
                <w:bCs/>
                <w:iCs/>
                <w:szCs w:val="22"/>
                <w:lang w:bidi="th-TH"/>
              </w:rPr>
              <w:t>innovation en coopération avec des universités nationales.</w:t>
            </w:r>
          </w:p>
          <w:p w:rsidR="0010628F" w:rsidRPr="001800B7" w:rsidRDefault="0010628F" w:rsidP="009B7B20">
            <w:pPr>
              <w:spacing w:before="120" w:after="100"/>
              <w:rPr>
                <w:szCs w:val="22"/>
              </w:rPr>
            </w:pPr>
            <w:r w:rsidRPr="001800B7">
              <w:rPr>
                <w:szCs w:val="22"/>
              </w:rPr>
              <w:t>Tous les centres de formation sont membres du Réseau mondial d</w:t>
            </w:r>
            <w:r w:rsidR="005311D6" w:rsidRPr="001800B7">
              <w:rPr>
                <w:szCs w:val="22"/>
              </w:rPr>
              <w:t>’</w:t>
            </w:r>
            <w:r w:rsidRPr="001800B7">
              <w:rPr>
                <w:szCs w:val="22"/>
              </w:rPr>
              <w:t>académies de la propriété intellectuelle (GNIPA);  et ont débattu de la coopération horizontale avec d</w:t>
            </w:r>
            <w:r w:rsidR="005311D6" w:rsidRPr="001800B7">
              <w:rPr>
                <w:szCs w:val="22"/>
              </w:rPr>
              <w:t>’</w:t>
            </w:r>
            <w:r w:rsidRPr="001800B7">
              <w:rPr>
                <w:szCs w:val="22"/>
              </w:rPr>
              <w:t>autres académies nationales de la propriété intellectuelle telles que celles du Brésil, de la Chine, de la République de Corée et des États</w:t>
            </w:r>
            <w:r w:rsidR="001800B7" w:rsidRPr="001800B7">
              <w:rPr>
                <w:szCs w:val="22"/>
              </w:rPr>
              <w:noBreakHyphen/>
            </w:r>
            <w:r w:rsidRPr="001800B7">
              <w:rPr>
                <w:szCs w:val="22"/>
              </w:rPr>
              <w:t>Unis d</w:t>
            </w:r>
            <w:r w:rsidR="005311D6" w:rsidRPr="001800B7">
              <w:rPr>
                <w:szCs w:val="22"/>
              </w:rPr>
              <w:t>’</w:t>
            </w:r>
            <w:r w:rsidRPr="001800B7">
              <w:rPr>
                <w:szCs w:val="22"/>
              </w:rPr>
              <w:t>Amérique, entre autres.</w:t>
            </w:r>
          </w:p>
          <w:p w:rsidR="0010628F" w:rsidRPr="001800B7" w:rsidRDefault="0010628F" w:rsidP="009B7B20">
            <w:pPr>
              <w:spacing w:before="120" w:after="100"/>
              <w:rPr>
                <w:szCs w:val="22"/>
              </w:rPr>
            </w:pPr>
            <w:r w:rsidRPr="001800B7">
              <w:rPr>
                <w:szCs w:val="22"/>
              </w:rPr>
              <w:t>Lors de la mise en œuvre de ce projet, il a été possible de tirer les principaux enseignements suivants :</w:t>
            </w:r>
          </w:p>
          <w:p w:rsidR="0010628F" w:rsidRPr="001800B7" w:rsidRDefault="0010628F" w:rsidP="009B7B20">
            <w:pPr>
              <w:spacing w:before="120" w:after="100"/>
              <w:rPr>
                <w:szCs w:val="22"/>
              </w:rPr>
            </w:pPr>
            <w:r w:rsidRPr="001800B7">
              <w:rPr>
                <w:szCs w:val="22"/>
              </w:rPr>
              <w:t>La coordination des parties prenantes nationales est un facteur essentiel pour la réussite de ce projet.  L</w:t>
            </w:r>
            <w:r w:rsidR="005311D6" w:rsidRPr="001800B7">
              <w:rPr>
                <w:szCs w:val="22"/>
              </w:rPr>
              <w:t>’</w:t>
            </w:r>
            <w:r w:rsidRPr="001800B7">
              <w:rPr>
                <w:szCs w:val="22"/>
              </w:rPr>
              <w:t xml:space="preserve">OMPI joue un rôle majeur en matière de renforcement des capacités.  Néanmoins, il est impossible de créer des instituts nationaux de formation à la propriété intellectuelle </w:t>
            </w:r>
            <w:r w:rsidRPr="001800B7">
              <w:rPr>
                <w:szCs w:val="22"/>
              </w:rPr>
              <w:lastRenderedPageBreak/>
              <w:t>sans une forte coopération entre les instituts nationaux chargés des questions de propriété intellectuelle.</w:t>
            </w:r>
          </w:p>
          <w:p w:rsidR="0010628F" w:rsidRPr="001800B7" w:rsidRDefault="0010628F" w:rsidP="009B7B20">
            <w:pPr>
              <w:spacing w:before="120" w:after="100"/>
              <w:rPr>
                <w:bCs/>
                <w:iCs/>
                <w:szCs w:val="22"/>
                <w:lang w:bidi="th-TH"/>
              </w:rPr>
            </w:pPr>
            <w:r w:rsidRPr="001800B7">
              <w:rPr>
                <w:bCs/>
                <w:iCs/>
                <w:szCs w:val="22"/>
                <w:lang w:bidi="th-TH"/>
              </w:rPr>
              <w:t>Les délais envisagés pour les résultats de la mise en œuvre de ce projet étaient fixés à court terme.  En conséquence, pour assurer des résultats satisfaisants des travaux menés dans le cadre de ce projet, il était essentiel de déterminer un groupe d</w:t>
            </w:r>
            <w:r w:rsidR="005311D6" w:rsidRPr="001800B7">
              <w:rPr>
                <w:bCs/>
                <w:iCs/>
                <w:szCs w:val="22"/>
                <w:lang w:bidi="th-TH"/>
              </w:rPr>
              <w:t>’</w:t>
            </w:r>
            <w:r w:rsidRPr="001800B7">
              <w:rPr>
                <w:bCs/>
                <w:iCs/>
                <w:szCs w:val="22"/>
                <w:lang w:bidi="th-TH"/>
              </w:rPr>
              <w:t>au moins cinq formateurs potentiels, dotés d</w:t>
            </w:r>
            <w:r w:rsidR="005311D6" w:rsidRPr="001800B7">
              <w:rPr>
                <w:bCs/>
                <w:iCs/>
                <w:szCs w:val="22"/>
                <w:lang w:bidi="th-TH"/>
              </w:rPr>
              <w:t>’</w:t>
            </w:r>
            <w:r w:rsidRPr="001800B7">
              <w:rPr>
                <w:bCs/>
                <w:iCs/>
                <w:szCs w:val="22"/>
                <w:lang w:bidi="th-TH"/>
              </w:rPr>
              <w:t>une certaine expérience et de bonnes connaissances dans le domaine de la propriété intellectuelle, qui suivraient un programme de formation de formateurs aux fins d</w:t>
            </w:r>
            <w:r w:rsidR="005311D6" w:rsidRPr="001800B7">
              <w:rPr>
                <w:bCs/>
                <w:iCs/>
                <w:szCs w:val="22"/>
                <w:lang w:bidi="th-TH"/>
              </w:rPr>
              <w:t>’</w:t>
            </w:r>
            <w:r w:rsidRPr="001800B7">
              <w:rPr>
                <w:bCs/>
                <w:iCs/>
                <w:szCs w:val="22"/>
                <w:lang w:bidi="th-TH"/>
              </w:rPr>
              <w:t>acquérir une formation complémentaire.</w:t>
            </w:r>
          </w:p>
          <w:p w:rsidR="0010628F" w:rsidRPr="001800B7" w:rsidRDefault="0010628F" w:rsidP="009B7B20">
            <w:pPr>
              <w:spacing w:before="120" w:after="100"/>
              <w:rPr>
                <w:bCs/>
                <w:iCs/>
                <w:szCs w:val="22"/>
                <w:lang w:bidi="th-TH"/>
              </w:rPr>
            </w:pPr>
            <w:r w:rsidRPr="001800B7">
              <w:rPr>
                <w:bCs/>
                <w:iCs/>
                <w:szCs w:val="22"/>
                <w:lang w:bidi="th-TH"/>
              </w:rPr>
              <w:t>Il est capital de s</w:t>
            </w:r>
            <w:r w:rsidR="005311D6" w:rsidRPr="001800B7">
              <w:rPr>
                <w:bCs/>
                <w:iCs/>
                <w:szCs w:val="22"/>
                <w:lang w:bidi="th-TH"/>
              </w:rPr>
              <w:t>’</w:t>
            </w:r>
            <w:r w:rsidRPr="001800B7">
              <w:rPr>
                <w:bCs/>
                <w:iCs/>
                <w:szCs w:val="22"/>
                <w:lang w:bidi="th-TH"/>
              </w:rPr>
              <w:t>assurer de l</w:t>
            </w:r>
            <w:r w:rsidR="005311D6" w:rsidRPr="001800B7">
              <w:rPr>
                <w:bCs/>
                <w:iCs/>
                <w:szCs w:val="22"/>
                <w:lang w:bidi="th-TH"/>
              </w:rPr>
              <w:t>’</w:t>
            </w:r>
            <w:r w:rsidRPr="001800B7">
              <w:rPr>
                <w:bCs/>
                <w:iCs/>
                <w:szCs w:val="22"/>
                <w:lang w:bidi="th-TH"/>
              </w:rPr>
              <w:t xml:space="preserve">implication </w:t>
            </w:r>
            <w:proofErr w:type="gramStart"/>
            <w:r w:rsidRPr="001800B7">
              <w:rPr>
                <w:bCs/>
                <w:iCs/>
                <w:szCs w:val="22"/>
                <w:lang w:bidi="th-TH"/>
              </w:rPr>
              <w:t>du personnel principal (formateurs et directeurs</w:t>
            </w:r>
            <w:proofErr w:type="gramEnd"/>
            <w:r w:rsidRPr="001800B7">
              <w:rPr>
                <w:bCs/>
                <w:iCs/>
                <w:szCs w:val="22"/>
                <w:lang w:bidi="th-TH"/>
              </w:rPr>
              <w:t xml:space="preserve">) </w:t>
            </w:r>
            <w:r w:rsidR="005311D6" w:rsidRPr="001800B7">
              <w:rPr>
                <w:bCs/>
                <w:iCs/>
                <w:szCs w:val="22"/>
                <w:lang w:bidi="th-TH"/>
              </w:rPr>
              <w:t>à l’égard</w:t>
            </w:r>
            <w:r w:rsidRPr="001800B7">
              <w:rPr>
                <w:bCs/>
                <w:iCs/>
                <w:szCs w:val="22"/>
                <w:lang w:bidi="th-TH"/>
              </w:rPr>
              <w:t xml:space="preserve"> du centre de formation aux fins de garantir que les connaissances acquises dans le cadre des programmes de formation bénéficieront bien au centre de formation pendant au moins les deux années suivant la fin de la formation.</w:t>
            </w:r>
          </w:p>
          <w:p w:rsidR="0010628F" w:rsidRPr="001800B7" w:rsidRDefault="0010628F" w:rsidP="009B7B20">
            <w:pPr>
              <w:spacing w:before="120" w:after="100"/>
              <w:rPr>
                <w:bCs/>
                <w:iCs/>
                <w:szCs w:val="22"/>
                <w:lang w:bidi="th-TH"/>
              </w:rPr>
            </w:pPr>
            <w:r w:rsidRPr="001800B7">
              <w:rPr>
                <w:bCs/>
                <w:iCs/>
                <w:szCs w:val="22"/>
                <w:lang w:bidi="th-TH"/>
              </w:rPr>
              <w:t>Dans tous les pays pilotes, ce projet a mis en évidence un besoin spécifique de formation spécialisé aux techniques d</w:t>
            </w:r>
            <w:r w:rsidR="005311D6" w:rsidRPr="001800B7">
              <w:rPr>
                <w:bCs/>
                <w:iCs/>
                <w:szCs w:val="22"/>
                <w:lang w:bidi="th-TH"/>
              </w:rPr>
              <w:t>’</w:t>
            </w:r>
            <w:r w:rsidRPr="001800B7">
              <w:rPr>
                <w:bCs/>
                <w:iCs/>
                <w:szCs w:val="22"/>
                <w:lang w:bidi="th-TH"/>
              </w:rPr>
              <w:t>enseignement de la propriété intellectuelle et la nécessité de dispenser un enseignement dans ce domaine au personnel judiciaire et au personnel chargé de l</w:t>
            </w:r>
            <w:r w:rsidR="005311D6" w:rsidRPr="001800B7">
              <w:rPr>
                <w:bCs/>
                <w:iCs/>
                <w:szCs w:val="22"/>
                <w:lang w:bidi="th-TH"/>
              </w:rPr>
              <w:t>’</w:t>
            </w:r>
            <w:r w:rsidRPr="001800B7">
              <w:rPr>
                <w:bCs/>
                <w:iCs/>
                <w:szCs w:val="22"/>
                <w:lang w:bidi="th-TH"/>
              </w:rPr>
              <w:t>application de la propriété intellectuelle.</w:t>
            </w:r>
          </w:p>
          <w:p w:rsidR="0010628F" w:rsidRPr="001800B7" w:rsidRDefault="0010628F" w:rsidP="009B7B20">
            <w:pPr>
              <w:spacing w:before="120" w:after="120"/>
              <w:rPr>
                <w:bCs/>
                <w:iCs/>
                <w:spacing w:val="-2"/>
                <w:szCs w:val="22"/>
                <w:lang w:bidi="th-TH"/>
              </w:rPr>
            </w:pPr>
            <w:r w:rsidRPr="001800B7">
              <w:rPr>
                <w:bCs/>
                <w:iCs/>
                <w:spacing w:val="-2"/>
                <w:szCs w:val="22"/>
                <w:lang w:bidi="th-TH"/>
              </w:rPr>
              <w:t>Les États membres demandeurs savent bien que le succès actuel de cette coopération repose essentiellement sur leurs efforts mis en œuvre pour institutionnaliser leurs centres de formation respectifs à la propriété intellectuelle.  Dans ce sens, tous les documents pédagogiques ont été compilés et conservés dans les centres de formation, les sites Web ont été élaborés et des accords ont été conclus avec des instituts nationaux.</w:t>
            </w:r>
          </w:p>
          <w:p w:rsidR="0010628F" w:rsidRPr="001800B7" w:rsidRDefault="0010628F" w:rsidP="009B7B20">
            <w:pPr>
              <w:spacing w:before="120" w:after="120"/>
              <w:rPr>
                <w:bCs/>
                <w:iCs/>
                <w:szCs w:val="22"/>
                <w:lang w:bidi="th-TH"/>
              </w:rPr>
            </w:pPr>
            <w:r w:rsidRPr="001800B7">
              <w:rPr>
                <w:bCs/>
                <w:iCs/>
                <w:szCs w:val="22"/>
                <w:lang w:bidi="th-TH"/>
              </w:rPr>
              <w:t>Concernant l</w:t>
            </w:r>
            <w:r w:rsidR="005311D6" w:rsidRPr="001800B7">
              <w:rPr>
                <w:bCs/>
                <w:iCs/>
                <w:szCs w:val="22"/>
                <w:lang w:bidi="th-TH"/>
              </w:rPr>
              <w:t>’</w:t>
            </w:r>
            <w:r w:rsidRPr="001800B7">
              <w:rPr>
                <w:bCs/>
                <w:iCs/>
                <w:szCs w:val="22"/>
                <w:lang w:bidi="th-TH"/>
              </w:rPr>
              <w:t>institutionnalisation du projet, du côté de l</w:t>
            </w:r>
            <w:r w:rsidR="005311D6" w:rsidRPr="001800B7">
              <w:rPr>
                <w:bCs/>
                <w:iCs/>
                <w:szCs w:val="22"/>
                <w:lang w:bidi="th-TH"/>
              </w:rPr>
              <w:t>’</w:t>
            </w:r>
            <w:r w:rsidRPr="001800B7">
              <w:rPr>
                <w:bCs/>
                <w:iCs/>
                <w:szCs w:val="22"/>
                <w:lang w:bidi="th-TH"/>
              </w:rPr>
              <w:t>OMPI, tous les documents pédagogiques conçus pour les programmes de formation mis à disposition par l</w:t>
            </w:r>
            <w:r w:rsidR="005311D6" w:rsidRPr="001800B7">
              <w:rPr>
                <w:bCs/>
                <w:iCs/>
                <w:szCs w:val="22"/>
                <w:lang w:bidi="th-TH"/>
              </w:rPr>
              <w:t>’</w:t>
            </w:r>
            <w:r w:rsidRPr="001800B7">
              <w:rPr>
                <w:bCs/>
                <w:iCs/>
                <w:szCs w:val="22"/>
                <w:lang w:bidi="th-TH"/>
              </w:rPr>
              <w:t>OMPI pour le personnel principal des centres nationaux de formation à la propriété intellectuelle ont été compilés et téléchargés sur une page Wiki à l</w:t>
            </w:r>
            <w:r w:rsidR="005311D6" w:rsidRPr="001800B7">
              <w:rPr>
                <w:bCs/>
                <w:iCs/>
                <w:szCs w:val="22"/>
                <w:lang w:bidi="th-TH"/>
              </w:rPr>
              <w:t>’</w:t>
            </w:r>
            <w:r w:rsidRPr="001800B7">
              <w:rPr>
                <w:bCs/>
                <w:iCs/>
                <w:szCs w:val="22"/>
                <w:lang w:bidi="th-TH"/>
              </w:rPr>
              <w:t>adresse suivante;  (</w:t>
            </w:r>
            <w:hyperlink r:id="rId66" w:history="1">
              <w:r w:rsidRPr="001800B7">
                <w:rPr>
                  <w:rStyle w:val="Hyperlink"/>
                  <w:bCs/>
                  <w:iCs/>
                  <w:color w:val="auto"/>
                  <w:szCs w:val="22"/>
                  <w:lang w:bidi="th-TH"/>
                </w:rPr>
                <w:t>https://www3.wipo.int/confluence/display/ppenipa/Start</w:t>
              </w:r>
              <w:r w:rsidR="001800B7" w:rsidRPr="001800B7">
                <w:rPr>
                  <w:rStyle w:val="Hyperlink"/>
                  <w:bCs/>
                  <w:iCs/>
                  <w:color w:val="auto"/>
                  <w:szCs w:val="22"/>
                  <w:lang w:bidi="th-TH"/>
                </w:rPr>
                <w:noBreakHyphen/>
              </w:r>
              <w:r w:rsidRPr="001800B7">
                <w:rPr>
                  <w:rStyle w:val="Hyperlink"/>
                  <w:bCs/>
                  <w:iCs/>
                  <w:color w:val="auto"/>
                  <w:szCs w:val="22"/>
                  <w:lang w:bidi="th-TH"/>
                </w:rPr>
                <w:t>Up+National+IP+Academies</w:t>
              </w:r>
            </w:hyperlink>
            <w:r w:rsidRPr="001800B7">
              <w:rPr>
                <w:bCs/>
                <w:iCs/>
                <w:szCs w:val="22"/>
                <w:lang w:bidi="th-TH"/>
              </w:rPr>
              <w:t>) et sont ainsi accessibles à tous les utilisateurs intéressés.  Des directives visant à aider d</w:t>
            </w:r>
            <w:r w:rsidR="005311D6" w:rsidRPr="001800B7">
              <w:rPr>
                <w:bCs/>
                <w:iCs/>
                <w:szCs w:val="22"/>
                <w:lang w:bidi="th-TH"/>
              </w:rPr>
              <w:t>’</w:t>
            </w:r>
            <w:r w:rsidRPr="001800B7">
              <w:rPr>
                <w:bCs/>
                <w:iCs/>
                <w:szCs w:val="22"/>
                <w:lang w:bidi="th-TH"/>
              </w:rPr>
              <w:t>autres États membres à établir leurs centres nationaux de formation à la propriété intellectuelle, sans l</w:t>
            </w:r>
            <w:r w:rsidR="005311D6" w:rsidRPr="001800B7">
              <w:rPr>
                <w:bCs/>
                <w:iCs/>
                <w:szCs w:val="22"/>
                <w:lang w:bidi="th-TH"/>
              </w:rPr>
              <w:t>’</w:t>
            </w:r>
            <w:r w:rsidRPr="001800B7">
              <w:rPr>
                <w:bCs/>
                <w:iCs/>
                <w:szCs w:val="22"/>
                <w:lang w:bidi="th-TH"/>
              </w:rPr>
              <w:t>aide de l</w:t>
            </w:r>
            <w:r w:rsidR="005311D6" w:rsidRPr="001800B7">
              <w:rPr>
                <w:bCs/>
                <w:iCs/>
                <w:szCs w:val="22"/>
                <w:lang w:bidi="th-TH"/>
              </w:rPr>
              <w:t>’</w:t>
            </w:r>
            <w:r w:rsidRPr="001800B7">
              <w:rPr>
                <w:bCs/>
                <w:iCs/>
                <w:szCs w:val="22"/>
                <w:lang w:bidi="th-TH"/>
              </w:rPr>
              <w:t>OMPI, sont en cours d</w:t>
            </w:r>
            <w:r w:rsidR="005311D6" w:rsidRPr="001800B7">
              <w:rPr>
                <w:bCs/>
                <w:iCs/>
                <w:szCs w:val="22"/>
                <w:lang w:bidi="th-TH"/>
              </w:rPr>
              <w:t>’</w:t>
            </w:r>
            <w:r w:rsidRPr="001800B7">
              <w:rPr>
                <w:bCs/>
                <w:iCs/>
                <w:szCs w:val="22"/>
                <w:lang w:bidi="th-TH"/>
              </w:rPr>
              <w:t>élaboration.</w:t>
            </w:r>
          </w:p>
          <w:p w:rsidR="0010628F" w:rsidRPr="001800B7" w:rsidRDefault="0010628F" w:rsidP="009B7B20">
            <w:pPr>
              <w:spacing w:before="120" w:after="120"/>
              <w:rPr>
                <w:i/>
                <w:szCs w:val="22"/>
              </w:rPr>
            </w:pPr>
            <w:r w:rsidRPr="001800B7">
              <w:rPr>
                <w:bCs/>
                <w:iCs/>
                <w:szCs w:val="22"/>
                <w:lang w:bidi="th-TH"/>
              </w:rPr>
              <w:t>Lors de la mise en œuvre de ce projet, il a été mis en évidence que la phase de pré</w:t>
            </w:r>
            <w:r w:rsidR="001800B7" w:rsidRPr="001800B7">
              <w:rPr>
                <w:bCs/>
                <w:iCs/>
                <w:szCs w:val="22"/>
                <w:lang w:bidi="th-TH"/>
              </w:rPr>
              <w:noBreakHyphen/>
            </w:r>
            <w:r w:rsidRPr="001800B7">
              <w:rPr>
                <w:bCs/>
                <w:iCs/>
                <w:szCs w:val="22"/>
                <w:lang w:bidi="th-TH"/>
              </w:rPr>
              <w:t>évaluation jouait un rôle essentiel : c</w:t>
            </w:r>
            <w:r w:rsidR="005311D6" w:rsidRPr="001800B7">
              <w:rPr>
                <w:bCs/>
                <w:iCs/>
                <w:szCs w:val="22"/>
                <w:lang w:bidi="th-TH"/>
              </w:rPr>
              <w:t>’</w:t>
            </w:r>
            <w:r w:rsidRPr="001800B7">
              <w:rPr>
                <w:bCs/>
                <w:iCs/>
                <w:szCs w:val="22"/>
                <w:lang w:bidi="th-TH"/>
              </w:rPr>
              <w:t>est en effet, au cours de cette phase qu</w:t>
            </w:r>
            <w:r w:rsidR="005311D6" w:rsidRPr="001800B7">
              <w:rPr>
                <w:bCs/>
                <w:iCs/>
                <w:szCs w:val="22"/>
                <w:lang w:bidi="th-TH"/>
              </w:rPr>
              <w:t>’</w:t>
            </w:r>
            <w:r w:rsidRPr="001800B7">
              <w:rPr>
                <w:bCs/>
                <w:iCs/>
                <w:szCs w:val="22"/>
                <w:lang w:bidi="th-TH"/>
              </w:rPr>
              <w:t>il convient de gagner du temps et de recenser avec pertinence les besoins locaux en termes de formation à la propriété intellectuelle, aux fins d</w:t>
            </w:r>
            <w:r w:rsidR="005311D6" w:rsidRPr="001800B7">
              <w:rPr>
                <w:bCs/>
                <w:iCs/>
                <w:szCs w:val="22"/>
                <w:lang w:bidi="th-TH"/>
              </w:rPr>
              <w:t>’</w:t>
            </w:r>
            <w:r w:rsidRPr="001800B7">
              <w:rPr>
                <w:bCs/>
                <w:iCs/>
                <w:szCs w:val="22"/>
                <w:lang w:bidi="th-TH"/>
              </w:rPr>
              <w:t>assurer l</w:t>
            </w:r>
            <w:r w:rsidR="005311D6" w:rsidRPr="001800B7">
              <w:rPr>
                <w:bCs/>
                <w:iCs/>
                <w:szCs w:val="22"/>
                <w:lang w:bidi="th-TH"/>
              </w:rPr>
              <w:t>’</w:t>
            </w:r>
            <w:r w:rsidRPr="001800B7">
              <w:rPr>
                <w:bCs/>
                <w:iCs/>
                <w:szCs w:val="22"/>
                <w:lang w:bidi="th-TH"/>
              </w:rPr>
              <w:t>efficacité de la coopération.  Ce projet a conçu des modèles et d</w:t>
            </w:r>
            <w:r w:rsidR="005311D6" w:rsidRPr="001800B7">
              <w:rPr>
                <w:bCs/>
                <w:iCs/>
                <w:szCs w:val="22"/>
                <w:lang w:bidi="th-TH"/>
              </w:rPr>
              <w:t>’</w:t>
            </w:r>
            <w:r w:rsidRPr="001800B7">
              <w:rPr>
                <w:bCs/>
                <w:iCs/>
                <w:szCs w:val="22"/>
                <w:lang w:bidi="th-TH"/>
              </w:rPr>
              <w:t>autres documents (questionnaire de pré</w:t>
            </w:r>
            <w:r w:rsidR="001800B7" w:rsidRPr="001800B7">
              <w:rPr>
                <w:bCs/>
                <w:iCs/>
                <w:szCs w:val="22"/>
                <w:lang w:bidi="th-TH"/>
              </w:rPr>
              <w:noBreakHyphen/>
            </w:r>
            <w:r w:rsidRPr="001800B7">
              <w:rPr>
                <w:bCs/>
                <w:iCs/>
                <w:szCs w:val="22"/>
                <w:lang w:bidi="th-TH"/>
              </w:rPr>
              <w:t>évaluation, mandats du personnel principal, documents de projets) afin de faciliter les travaux et de parvenir aux résultats escomptés avec davantage d</w:t>
            </w:r>
            <w:r w:rsidR="005311D6" w:rsidRPr="001800B7">
              <w:rPr>
                <w:bCs/>
                <w:iCs/>
                <w:szCs w:val="22"/>
                <w:lang w:bidi="th-TH"/>
              </w:rPr>
              <w:t>’</w:t>
            </w:r>
            <w:r w:rsidRPr="001800B7">
              <w:rPr>
                <w:bCs/>
                <w:iCs/>
                <w:szCs w:val="22"/>
                <w:lang w:bidi="th-TH"/>
              </w:rPr>
              <w:t>efficacité.</w:t>
            </w:r>
          </w:p>
        </w:tc>
      </w:tr>
      <w:tr w:rsidR="001800B7" w:rsidRPr="001800B7" w:rsidTr="009B7B20">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9B7B20">
            <w:pPr>
              <w:spacing w:before="120" w:after="120"/>
              <w:rPr>
                <w:szCs w:val="22"/>
              </w:rPr>
            </w:pPr>
            <w:r w:rsidRPr="001800B7">
              <w:rPr>
                <w:szCs w:val="22"/>
              </w:rPr>
              <w:lastRenderedPageBreak/>
              <w:t>Risques et atténuation des risques</w:t>
            </w:r>
          </w:p>
        </w:tc>
        <w:tc>
          <w:tcPr>
            <w:tcW w:w="7280" w:type="dxa"/>
            <w:tcBorders>
              <w:top w:val="single" w:sz="4" w:space="0" w:color="auto"/>
              <w:left w:val="single" w:sz="4" w:space="0" w:color="auto"/>
              <w:bottom w:val="single" w:sz="4" w:space="0" w:color="auto"/>
              <w:right w:val="single" w:sz="4" w:space="0" w:color="auto"/>
            </w:tcBorders>
          </w:tcPr>
          <w:p w:rsidR="0010628F" w:rsidRPr="001800B7" w:rsidRDefault="0010628F" w:rsidP="009B7B20">
            <w:pPr>
              <w:autoSpaceDE w:val="0"/>
              <w:autoSpaceDN w:val="0"/>
              <w:adjustRightInd w:val="0"/>
              <w:spacing w:before="120" w:after="100"/>
              <w:rPr>
                <w:bCs/>
                <w:iCs/>
                <w:szCs w:val="22"/>
                <w:lang w:bidi="th-TH"/>
              </w:rPr>
            </w:pPr>
            <w:r w:rsidRPr="001800B7">
              <w:rPr>
                <w:bCs/>
                <w:iCs/>
                <w:szCs w:val="22"/>
                <w:lang w:bidi="th-TH"/>
              </w:rPr>
              <w:t>Risques initialement prévus et stratégies d</w:t>
            </w:r>
            <w:r w:rsidR="005311D6" w:rsidRPr="001800B7">
              <w:rPr>
                <w:bCs/>
                <w:iCs/>
                <w:szCs w:val="22"/>
                <w:lang w:bidi="th-TH"/>
              </w:rPr>
              <w:t>’</w:t>
            </w:r>
            <w:r w:rsidRPr="001800B7">
              <w:rPr>
                <w:bCs/>
                <w:iCs/>
                <w:szCs w:val="22"/>
                <w:lang w:bidi="th-TH"/>
              </w:rPr>
              <w:t>atténuation des risques :</w:t>
            </w:r>
          </w:p>
          <w:p w:rsidR="0010628F" w:rsidRPr="001800B7" w:rsidRDefault="0010628F" w:rsidP="009B7B20">
            <w:pPr>
              <w:autoSpaceDE w:val="0"/>
              <w:autoSpaceDN w:val="0"/>
              <w:adjustRightInd w:val="0"/>
              <w:spacing w:before="120" w:after="100"/>
              <w:rPr>
                <w:bCs/>
                <w:iCs/>
                <w:szCs w:val="22"/>
                <w:u w:val="single"/>
                <w:lang w:bidi="th-TH"/>
              </w:rPr>
            </w:pPr>
            <w:r w:rsidRPr="001800B7">
              <w:rPr>
                <w:bCs/>
                <w:iCs/>
                <w:szCs w:val="22"/>
                <w:u w:val="single"/>
                <w:lang w:bidi="th-TH"/>
              </w:rPr>
              <w:t>Manque de financement local pour l</w:t>
            </w:r>
            <w:r w:rsidR="005311D6" w:rsidRPr="001800B7">
              <w:rPr>
                <w:bCs/>
                <w:iCs/>
                <w:szCs w:val="22"/>
                <w:u w:val="single"/>
                <w:lang w:bidi="th-TH"/>
              </w:rPr>
              <w:t>’</w:t>
            </w:r>
            <w:r w:rsidRPr="001800B7">
              <w:rPr>
                <w:bCs/>
                <w:iCs/>
                <w:szCs w:val="22"/>
                <w:u w:val="single"/>
                <w:lang w:bidi="th-TH"/>
              </w:rPr>
              <w:t>institution de formation locale à la propriété intellectuelle au</w:t>
            </w:r>
            <w:r w:rsidR="001800B7" w:rsidRPr="001800B7">
              <w:rPr>
                <w:bCs/>
                <w:iCs/>
                <w:szCs w:val="22"/>
                <w:u w:val="single"/>
                <w:lang w:bidi="th-TH"/>
              </w:rPr>
              <w:noBreakHyphen/>
            </w:r>
            <w:r w:rsidRPr="001800B7">
              <w:rPr>
                <w:bCs/>
                <w:iCs/>
                <w:szCs w:val="22"/>
                <w:u w:val="single"/>
                <w:lang w:bidi="th-TH"/>
              </w:rPr>
              <w:t>delà de la période de coopération, susceptible de mettre en péril la durabilité à long terme :</w:t>
            </w:r>
          </w:p>
          <w:p w:rsidR="0010628F" w:rsidRPr="001800B7" w:rsidRDefault="0010628F" w:rsidP="009B7B20">
            <w:pPr>
              <w:numPr>
                <w:ilvl w:val="0"/>
                <w:numId w:val="34"/>
              </w:numPr>
              <w:autoSpaceDE w:val="0"/>
              <w:autoSpaceDN w:val="0"/>
              <w:adjustRightInd w:val="0"/>
              <w:spacing w:before="120" w:after="100"/>
              <w:ind w:left="568" w:hanging="284"/>
              <w:rPr>
                <w:bCs/>
                <w:iCs/>
                <w:szCs w:val="22"/>
                <w:lang w:bidi="th-TH"/>
              </w:rPr>
            </w:pPr>
            <w:r w:rsidRPr="001800B7">
              <w:rPr>
                <w:bCs/>
                <w:iCs/>
                <w:szCs w:val="22"/>
                <w:lang w:bidi="th-TH"/>
              </w:rPr>
              <w:t xml:space="preserve">les pays pilotes ont été incités à créer leurs propres centres nationaux de formation à la propriété intellectuelle au sein de </w:t>
            </w:r>
            <w:r w:rsidRPr="001800B7">
              <w:rPr>
                <w:bCs/>
                <w:iCs/>
                <w:szCs w:val="22"/>
                <w:lang w:bidi="th-TH"/>
              </w:rPr>
              <w:lastRenderedPageBreak/>
              <w:t>structures juridiques locales;</w:t>
            </w:r>
          </w:p>
          <w:p w:rsidR="0010628F" w:rsidRPr="001800B7" w:rsidRDefault="0010628F" w:rsidP="009B7B20">
            <w:pPr>
              <w:numPr>
                <w:ilvl w:val="0"/>
                <w:numId w:val="34"/>
              </w:numPr>
              <w:autoSpaceDE w:val="0"/>
              <w:autoSpaceDN w:val="0"/>
              <w:adjustRightInd w:val="0"/>
              <w:spacing w:before="120" w:after="100"/>
              <w:ind w:left="568" w:hanging="284"/>
              <w:rPr>
                <w:bCs/>
                <w:iCs/>
                <w:szCs w:val="22"/>
                <w:lang w:bidi="th-TH"/>
              </w:rPr>
            </w:pPr>
            <w:r w:rsidRPr="001800B7">
              <w:rPr>
                <w:bCs/>
                <w:iCs/>
                <w:szCs w:val="22"/>
                <w:lang w:bidi="th-TH"/>
              </w:rPr>
              <w:t>le personnel principal a suivi une formation en matière de collecte de fonds et de gestion de projets;</w:t>
            </w:r>
          </w:p>
          <w:p w:rsidR="0010628F" w:rsidRPr="001800B7" w:rsidRDefault="0010628F" w:rsidP="009B7B20">
            <w:pPr>
              <w:numPr>
                <w:ilvl w:val="0"/>
                <w:numId w:val="34"/>
              </w:numPr>
              <w:autoSpaceDE w:val="0"/>
              <w:autoSpaceDN w:val="0"/>
              <w:adjustRightInd w:val="0"/>
              <w:spacing w:before="120" w:after="100"/>
              <w:ind w:left="568" w:hanging="284"/>
              <w:rPr>
                <w:bCs/>
                <w:iCs/>
                <w:szCs w:val="22"/>
                <w:lang w:bidi="th-TH"/>
              </w:rPr>
            </w:pPr>
            <w:r w:rsidRPr="001800B7">
              <w:rPr>
                <w:bCs/>
                <w:iCs/>
                <w:szCs w:val="22"/>
                <w:lang w:bidi="th-TH"/>
              </w:rPr>
              <w:t>les centres nationaux de propriété intellectuelle ont été encouragés à présenter un plan d</w:t>
            </w:r>
            <w:r w:rsidR="005311D6" w:rsidRPr="001800B7">
              <w:rPr>
                <w:bCs/>
                <w:iCs/>
                <w:szCs w:val="22"/>
                <w:lang w:bidi="th-TH"/>
              </w:rPr>
              <w:t>’</w:t>
            </w:r>
            <w:r w:rsidRPr="001800B7">
              <w:rPr>
                <w:bCs/>
                <w:iCs/>
                <w:szCs w:val="22"/>
                <w:lang w:bidi="th-TH"/>
              </w:rPr>
              <w:t>action à la fin de la période de coopération;</w:t>
            </w:r>
          </w:p>
          <w:p w:rsidR="0010628F" w:rsidRPr="001800B7" w:rsidRDefault="0010628F" w:rsidP="009B7B20">
            <w:pPr>
              <w:numPr>
                <w:ilvl w:val="0"/>
                <w:numId w:val="34"/>
              </w:numPr>
              <w:autoSpaceDE w:val="0"/>
              <w:autoSpaceDN w:val="0"/>
              <w:adjustRightInd w:val="0"/>
              <w:spacing w:before="120" w:after="100"/>
              <w:ind w:left="568" w:hanging="284"/>
              <w:rPr>
                <w:bCs/>
                <w:iCs/>
                <w:szCs w:val="22"/>
                <w:lang w:bidi="th-TH"/>
              </w:rPr>
            </w:pPr>
            <w:r w:rsidRPr="001800B7">
              <w:rPr>
                <w:bCs/>
                <w:iCs/>
                <w:szCs w:val="22"/>
                <w:lang w:bidi="th-TH"/>
              </w:rPr>
              <w:t>l</w:t>
            </w:r>
            <w:r w:rsidR="005311D6" w:rsidRPr="001800B7">
              <w:rPr>
                <w:bCs/>
                <w:iCs/>
                <w:szCs w:val="22"/>
                <w:lang w:bidi="th-TH"/>
              </w:rPr>
              <w:t>’</w:t>
            </w:r>
            <w:r w:rsidRPr="001800B7">
              <w:rPr>
                <w:bCs/>
                <w:iCs/>
                <w:szCs w:val="22"/>
                <w:lang w:bidi="th-TH"/>
              </w:rPr>
              <w:t>OMPI a facilité l</w:t>
            </w:r>
            <w:r w:rsidR="005311D6" w:rsidRPr="001800B7">
              <w:rPr>
                <w:bCs/>
                <w:iCs/>
                <w:szCs w:val="22"/>
                <w:lang w:bidi="th-TH"/>
              </w:rPr>
              <w:t>’</w:t>
            </w:r>
            <w:r w:rsidRPr="001800B7">
              <w:rPr>
                <w:bCs/>
                <w:iCs/>
                <w:szCs w:val="22"/>
                <w:lang w:bidi="th-TH"/>
              </w:rPr>
              <w:t>adhésion des centres nationaux de formation à la propriété intellectuelle au Réseau mondial d</w:t>
            </w:r>
            <w:r w:rsidR="005311D6" w:rsidRPr="001800B7">
              <w:rPr>
                <w:bCs/>
                <w:iCs/>
                <w:szCs w:val="22"/>
                <w:lang w:bidi="th-TH"/>
              </w:rPr>
              <w:t>’</w:t>
            </w:r>
            <w:r w:rsidRPr="001800B7">
              <w:rPr>
                <w:bCs/>
                <w:iCs/>
                <w:szCs w:val="22"/>
                <w:lang w:bidi="th-TH"/>
              </w:rPr>
              <w:t>académies de la propriété intellectuelle, afin de promouvoir la coopération horizontale;</w:t>
            </w:r>
          </w:p>
          <w:p w:rsidR="0010628F" w:rsidRPr="001800B7" w:rsidRDefault="0010628F" w:rsidP="009B7B20">
            <w:pPr>
              <w:numPr>
                <w:ilvl w:val="0"/>
                <w:numId w:val="34"/>
              </w:numPr>
              <w:autoSpaceDE w:val="0"/>
              <w:autoSpaceDN w:val="0"/>
              <w:adjustRightInd w:val="0"/>
              <w:spacing w:before="120" w:after="100"/>
              <w:ind w:left="568" w:hanging="284"/>
              <w:rPr>
                <w:bCs/>
                <w:iCs/>
                <w:szCs w:val="22"/>
                <w:lang w:bidi="th-TH"/>
              </w:rPr>
            </w:pPr>
            <w:r w:rsidRPr="001800B7">
              <w:rPr>
                <w:bCs/>
                <w:iCs/>
                <w:szCs w:val="22"/>
                <w:lang w:bidi="th-TH"/>
              </w:rPr>
              <w:t>Les centres nationaux de formation à la propriété intellectuelle ont élaboré des synergies avec les instituts locaux aux fins de garantir une durabilité à long</w:t>
            </w:r>
            <w:r w:rsidR="001800B7" w:rsidRPr="001800B7">
              <w:rPr>
                <w:bCs/>
                <w:iCs/>
                <w:szCs w:val="22"/>
                <w:lang w:bidi="th-TH"/>
              </w:rPr>
              <w:noBreakHyphen/>
            </w:r>
            <w:r w:rsidRPr="001800B7">
              <w:rPr>
                <w:bCs/>
                <w:iCs/>
                <w:szCs w:val="22"/>
                <w:lang w:bidi="th-TH"/>
              </w:rPr>
              <w:t>terme.</w:t>
            </w:r>
          </w:p>
          <w:p w:rsidR="0010628F" w:rsidRPr="001800B7" w:rsidRDefault="0010628F" w:rsidP="009B7B20">
            <w:pPr>
              <w:autoSpaceDE w:val="0"/>
              <w:autoSpaceDN w:val="0"/>
              <w:adjustRightInd w:val="0"/>
              <w:spacing w:before="120" w:after="100"/>
              <w:rPr>
                <w:bCs/>
                <w:iCs/>
                <w:szCs w:val="22"/>
                <w:u w:val="single"/>
                <w:lang w:bidi="th-TH"/>
              </w:rPr>
            </w:pPr>
            <w:r w:rsidRPr="001800B7">
              <w:rPr>
                <w:bCs/>
                <w:iCs/>
                <w:szCs w:val="22"/>
                <w:u w:val="single"/>
                <w:lang w:bidi="th-TH"/>
              </w:rPr>
              <w:t>Interruptions du projet et redéfinition des priorités locales en raison de facteurs externes à l</w:t>
            </w:r>
            <w:r w:rsidR="005311D6" w:rsidRPr="001800B7">
              <w:rPr>
                <w:bCs/>
                <w:iCs/>
                <w:szCs w:val="22"/>
                <w:u w:val="single"/>
                <w:lang w:bidi="th-TH"/>
              </w:rPr>
              <w:t>’</w:t>
            </w:r>
            <w:r w:rsidRPr="001800B7">
              <w:rPr>
                <w:bCs/>
                <w:iCs/>
                <w:szCs w:val="22"/>
                <w:u w:val="single"/>
                <w:lang w:bidi="th-TH"/>
              </w:rPr>
              <w:t>élaboration du projet :</w:t>
            </w:r>
          </w:p>
          <w:p w:rsidR="0010628F" w:rsidRPr="001800B7" w:rsidRDefault="0010628F" w:rsidP="009B7B20">
            <w:pPr>
              <w:numPr>
                <w:ilvl w:val="0"/>
                <w:numId w:val="35"/>
              </w:numPr>
              <w:tabs>
                <w:tab w:val="clear" w:pos="720"/>
              </w:tabs>
              <w:autoSpaceDE w:val="0"/>
              <w:autoSpaceDN w:val="0"/>
              <w:adjustRightInd w:val="0"/>
              <w:spacing w:before="120" w:after="100"/>
              <w:ind w:left="568" w:hanging="284"/>
              <w:rPr>
                <w:bCs/>
                <w:iCs/>
                <w:szCs w:val="22"/>
                <w:lang w:bidi="th-TH"/>
              </w:rPr>
            </w:pPr>
            <w:r w:rsidRPr="001800B7">
              <w:rPr>
                <w:bCs/>
                <w:iCs/>
                <w:szCs w:val="22"/>
                <w:lang w:bidi="th-TH"/>
              </w:rPr>
              <w:t>La phase I du projet a été exposée à ce risque.  Afin de l</w:t>
            </w:r>
            <w:r w:rsidR="005311D6" w:rsidRPr="001800B7">
              <w:rPr>
                <w:bCs/>
                <w:iCs/>
                <w:szCs w:val="22"/>
                <w:lang w:bidi="th-TH"/>
              </w:rPr>
              <w:t>’</w:t>
            </w:r>
            <w:r w:rsidRPr="001800B7">
              <w:rPr>
                <w:bCs/>
                <w:iCs/>
                <w:szCs w:val="22"/>
                <w:lang w:bidi="th-TH"/>
              </w:rPr>
              <w:t>atténuer, la phase II a adopté des délais révisés qui laissent davantage de temps à la phase de conception du projet de chaque pays,</w:t>
            </w:r>
          </w:p>
          <w:p w:rsidR="0010628F" w:rsidRPr="001800B7" w:rsidRDefault="0010628F" w:rsidP="009B7B20">
            <w:pPr>
              <w:numPr>
                <w:ilvl w:val="0"/>
                <w:numId w:val="35"/>
              </w:numPr>
              <w:tabs>
                <w:tab w:val="clear" w:pos="720"/>
              </w:tabs>
              <w:autoSpaceDE w:val="0"/>
              <w:autoSpaceDN w:val="0"/>
              <w:adjustRightInd w:val="0"/>
              <w:spacing w:before="120" w:after="120"/>
              <w:ind w:left="568" w:hanging="284"/>
              <w:rPr>
                <w:bCs/>
                <w:iCs/>
                <w:szCs w:val="22"/>
                <w:lang w:bidi="th-TH"/>
              </w:rPr>
            </w:pPr>
            <w:r w:rsidRPr="001800B7">
              <w:rPr>
                <w:bCs/>
                <w:iCs/>
                <w:szCs w:val="22"/>
                <w:lang w:bidi="th-TH"/>
              </w:rPr>
              <w:t>Le risque d</w:t>
            </w:r>
            <w:r w:rsidR="005311D6" w:rsidRPr="001800B7">
              <w:rPr>
                <w:bCs/>
                <w:iCs/>
                <w:szCs w:val="22"/>
                <w:lang w:bidi="th-TH"/>
              </w:rPr>
              <w:t>’</w:t>
            </w:r>
            <w:r w:rsidRPr="001800B7">
              <w:rPr>
                <w:bCs/>
                <w:iCs/>
                <w:szCs w:val="22"/>
                <w:lang w:bidi="th-TH"/>
              </w:rPr>
              <w:t>interruptions du projet est réapparu en Égypte et en Éthiopie pendant sa période de mise en œuvre.  Afin d</w:t>
            </w:r>
            <w:r w:rsidR="005311D6" w:rsidRPr="001800B7">
              <w:rPr>
                <w:bCs/>
                <w:iCs/>
                <w:szCs w:val="22"/>
                <w:lang w:bidi="th-TH"/>
              </w:rPr>
              <w:t>’</w:t>
            </w:r>
            <w:r w:rsidRPr="001800B7">
              <w:rPr>
                <w:bCs/>
                <w:iCs/>
                <w:szCs w:val="22"/>
                <w:lang w:bidi="th-TH"/>
              </w:rPr>
              <w:t>atténuer le risque de ne pas disposer de formateurs certifiés à la fin de la période de mise en œuvre du projet, dans ces pays, la priorité a été accordée au financement des bourses octroyées aux principaux formateurs dans le cadre de programmes de formation pour des Masters internationaux en droit de la propriété intellectuelle.</w:t>
            </w:r>
          </w:p>
          <w:p w:rsidR="0010628F" w:rsidRPr="001800B7" w:rsidRDefault="0010628F" w:rsidP="009B7B20">
            <w:pPr>
              <w:numPr>
                <w:ilvl w:val="0"/>
                <w:numId w:val="35"/>
              </w:numPr>
              <w:tabs>
                <w:tab w:val="clear" w:pos="720"/>
              </w:tabs>
              <w:autoSpaceDE w:val="0"/>
              <w:autoSpaceDN w:val="0"/>
              <w:adjustRightInd w:val="0"/>
              <w:spacing w:before="120" w:after="120"/>
              <w:ind w:left="568" w:hanging="284"/>
              <w:rPr>
                <w:bCs/>
                <w:iCs/>
                <w:szCs w:val="22"/>
                <w:lang w:bidi="th-TH"/>
              </w:rPr>
            </w:pPr>
            <w:r w:rsidRPr="001800B7">
              <w:rPr>
                <w:bCs/>
                <w:iCs/>
                <w:szCs w:val="22"/>
                <w:lang w:bidi="th-TH"/>
              </w:rPr>
              <w:t xml:space="preserve">De manière spécifique en Égypte, les mesures de précaution prises par les </w:t>
            </w:r>
            <w:r w:rsidR="005311D6" w:rsidRPr="001800B7">
              <w:rPr>
                <w:bCs/>
                <w:iCs/>
                <w:szCs w:val="22"/>
                <w:lang w:bidi="th-TH"/>
              </w:rPr>
              <w:t>Nations Unies</w:t>
            </w:r>
            <w:r w:rsidRPr="001800B7">
              <w:rPr>
                <w:bCs/>
                <w:iCs/>
                <w:szCs w:val="22"/>
                <w:lang w:bidi="th-TH"/>
              </w:rPr>
              <w:t xml:space="preserve"> se sont traduites par l</w:t>
            </w:r>
            <w:r w:rsidR="005311D6" w:rsidRPr="001800B7">
              <w:rPr>
                <w:bCs/>
                <w:iCs/>
                <w:szCs w:val="22"/>
                <w:lang w:bidi="th-TH"/>
              </w:rPr>
              <w:t>’</w:t>
            </w:r>
            <w:r w:rsidRPr="001800B7">
              <w:rPr>
                <w:bCs/>
                <w:iCs/>
                <w:szCs w:val="22"/>
                <w:lang w:bidi="th-TH"/>
              </w:rPr>
              <w:t>ajournement des missions du personnel de l</w:t>
            </w:r>
            <w:r w:rsidR="005311D6" w:rsidRPr="001800B7">
              <w:rPr>
                <w:bCs/>
                <w:iCs/>
                <w:szCs w:val="22"/>
                <w:lang w:bidi="th-TH"/>
              </w:rPr>
              <w:t>’</w:t>
            </w:r>
            <w:r w:rsidRPr="001800B7">
              <w:rPr>
                <w:bCs/>
                <w:iCs/>
                <w:szCs w:val="22"/>
                <w:lang w:bidi="th-TH"/>
              </w:rPr>
              <w:t>OMPI et des consultants locaux dans le domaine de la formation.  Afin d</w:t>
            </w:r>
            <w:r w:rsidR="005311D6" w:rsidRPr="001800B7">
              <w:rPr>
                <w:bCs/>
                <w:iCs/>
                <w:szCs w:val="22"/>
                <w:lang w:bidi="th-TH"/>
              </w:rPr>
              <w:t>’</w:t>
            </w:r>
            <w:r w:rsidRPr="001800B7">
              <w:rPr>
                <w:bCs/>
                <w:iCs/>
                <w:szCs w:val="22"/>
                <w:lang w:bidi="th-TH"/>
              </w:rPr>
              <w:t>éviter tout retard supplémentaire, les programmes de formation ont été élaborés par des experts locaux dans la mesure où il a été possible de recenser de tels experts localement sur les questions à traiter;</w:t>
            </w:r>
          </w:p>
          <w:p w:rsidR="0010628F" w:rsidRPr="001800B7" w:rsidRDefault="0010628F" w:rsidP="009B7B20">
            <w:pPr>
              <w:autoSpaceDE w:val="0"/>
              <w:autoSpaceDN w:val="0"/>
              <w:adjustRightInd w:val="0"/>
              <w:spacing w:before="100" w:after="100"/>
              <w:rPr>
                <w:bCs/>
                <w:iCs/>
                <w:szCs w:val="22"/>
                <w:u w:val="single"/>
                <w:lang w:bidi="th-TH"/>
              </w:rPr>
            </w:pPr>
            <w:r w:rsidRPr="001800B7">
              <w:rPr>
                <w:bCs/>
                <w:iCs/>
                <w:szCs w:val="22"/>
                <w:u w:val="single"/>
                <w:lang w:bidi="th-TH"/>
              </w:rPr>
              <w:t>Rotation élevée du personnel national principal, compromettant la réalisation des programmes de formation destinés au personnel principal :</w:t>
            </w:r>
          </w:p>
          <w:p w:rsidR="0010628F" w:rsidRPr="001800B7" w:rsidRDefault="0010628F" w:rsidP="009B7B20">
            <w:pPr>
              <w:numPr>
                <w:ilvl w:val="0"/>
                <w:numId w:val="36"/>
              </w:numPr>
              <w:autoSpaceDE w:val="0"/>
              <w:autoSpaceDN w:val="0"/>
              <w:adjustRightInd w:val="0"/>
              <w:spacing w:before="100" w:after="100"/>
              <w:ind w:left="568" w:hanging="284"/>
              <w:rPr>
                <w:bCs/>
                <w:iCs/>
                <w:szCs w:val="22"/>
                <w:lang w:bidi="th-TH"/>
              </w:rPr>
            </w:pPr>
            <w:r w:rsidRPr="001800B7">
              <w:rPr>
                <w:bCs/>
                <w:iCs/>
                <w:szCs w:val="22"/>
                <w:lang w:bidi="th-TH"/>
              </w:rPr>
              <w:t>les États membres ont été encouragés à sélectionner un groupe restreint d</w:t>
            </w:r>
            <w:r w:rsidR="005311D6" w:rsidRPr="001800B7">
              <w:rPr>
                <w:bCs/>
                <w:iCs/>
                <w:szCs w:val="22"/>
                <w:lang w:bidi="th-TH"/>
              </w:rPr>
              <w:t>’</w:t>
            </w:r>
            <w:r w:rsidRPr="001800B7">
              <w:rPr>
                <w:bCs/>
                <w:iCs/>
                <w:szCs w:val="22"/>
                <w:lang w:bidi="th-TH"/>
              </w:rPr>
              <w:t>environ vingt formateurs, devant suivre le programme de formation pour les formateurs, de manière à ce qu</w:t>
            </w:r>
            <w:r w:rsidR="005311D6" w:rsidRPr="001800B7">
              <w:rPr>
                <w:bCs/>
                <w:iCs/>
                <w:szCs w:val="22"/>
                <w:lang w:bidi="th-TH"/>
              </w:rPr>
              <w:t>’</w:t>
            </w:r>
            <w:r w:rsidRPr="001800B7">
              <w:rPr>
                <w:bCs/>
                <w:iCs/>
                <w:szCs w:val="22"/>
                <w:lang w:bidi="th-TH"/>
              </w:rPr>
              <w:t>un nombre raisonnable de 10 à 15 formateurs locaux puissent achever ce programme;</w:t>
            </w:r>
          </w:p>
          <w:p w:rsidR="0010628F" w:rsidRPr="001800B7" w:rsidRDefault="001800B7" w:rsidP="009B7B20">
            <w:pPr>
              <w:numPr>
                <w:ilvl w:val="0"/>
                <w:numId w:val="36"/>
              </w:numPr>
              <w:autoSpaceDE w:val="0"/>
              <w:autoSpaceDN w:val="0"/>
              <w:adjustRightInd w:val="0"/>
              <w:spacing w:before="100" w:after="100"/>
              <w:ind w:left="568" w:hanging="284"/>
              <w:rPr>
                <w:bCs/>
                <w:iCs/>
                <w:szCs w:val="22"/>
                <w:lang w:bidi="th-TH"/>
              </w:rPr>
            </w:pPr>
            <w:r w:rsidRPr="001800B7">
              <w:rPr>
                <w:bCs/>
                <w:iCs/>
                <w:szCs w:val="22"/>
                <w:lang w:bidi="th-TH"/>
              </w:rPr>
              <w:noBreakHyphen/>
            </w:r>
            <w:r w:rsidR="0010628F" w:rsidRPr="001800B7">
              <w:rPr>
                <w:bCs/>
                <w:iCs/>
                <w:szCs w:val="22"/>
                <w:lang w:bidi="th-TH"/>
              </w:rPr>
              <w:t xml:space="preserve"> Suite à leur réaffectation ou leur démission, des membres du personnel initialement désignés pour devenir directeurs des centres nationaux de formation à la propriété intellectuelle ont été remplacés au cours même de la formation des coordonnateurs académiques.  Aux fins d</w:t>
            </w:r>
            <w:r w:rsidR="005311D6" w:rsidRPr="001800B7">
              <w:rPr>
                <w:bCs/>
                <w:iCs/>
                <w:szCs w:val="22"/>
                <w:lang w:bidi="th-TH"/>
              </w:rPr>
              <w:t>’</w:t>
            </w:r>
            <w:r w:rsidR="0010628F" w:rsidRPr="001800B7">
              <w:rPr>
                <w:bCs/>
                <w:iCs/>
                <w:szCs w:val="22"/>
                <w:lang w:bidi="th-TH"/>
              </w:rPr>
              <w:t>atténuer ce risque, certains directeurs nationaux récemment nommés se sont vus offrir des bourses afin de suivre les cours dispensés par l</w:t>
            </w:r>
            <w:r w:rsidR="005311D6" w:rsidRPr="001800B7">
              <w:rPr>
                <w:bCs/>
                <w:iCs/>
                <w:szCs w:val="22"/>
                <w:lang w:bidi="th-TH"/>
              </w:rPr>
              <w:t>’</w:t>
            </w:r>
            <w:r w:rsidR="0010628F" w:rsidRPr="001800B7">
              <w:rPr>
                <w:bCs/>
                <w:iCs/>
                <w:szCs w:val="22"/>
                <w:lang w:bidi="th-TH"/>
              </w:rPr>
              <w:t>Académie de l</w:t>
            </w:r>
            <w:r w:rsidR="005311D6" w:rsidRPr="001800B7">
              <w:rPr>
                <w:bCs/>
                <w:iCs/>
                <w:szCs w:val="22"/>
                <w:lang w:bidi="th-TH"/>
              </w:rPr>
              <w:t>’</w:t>
            </w:r>
            <w:r w:rsidR="0010628F" w:rsidRPr="001800B7">
              <w:rPr>
                <w:bCs/>
                <w:iCs/>
                <w:szCs w:val="22"/>
                <w:lang w:bidi="th-TH"/>
              </w:rPr>
              <w:t xml:space="preserve">OMPI, notamment dans le domaine de la gestion des offices de la propriété intellectuelle ou de la gestion de projets.  En outre, </w:t>
            </w:r>
            <w:r w:rsidR="0010628F" w:rsidRPr="001800B7">
              <w:rPr>
                <w:bCs/>
                <w:iCs/>
                <w:szCs w:val="22"/>
                <w:lang w:bidi="th-TH"/>
              </w:rPr>
              <w:lastRenderedPageBreak/>
              <w:t>dès 2013, le projet a financé la participation du personnel de deux académies nationales aux modules de formation destinés aux coordonnateurs académiques.</w:t>
            </w:r>
          </w:p>
        </w:tc>
      </w:tr>
      <w:tr w:rsidR="001800B7" w:rsidRPr="001800B7" w:rsidTr="009B7B20">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9B7B20">
            <w:pPr>
              <w:spacing w:before="120" w:after="120"/>
              <w:rPr>
                <w:szCs w:val="22"/>
              </w:rPr>
            </w:pPr>
            <w:r w:rsidRPr="001800B7">
              <w:rPr>
                <w:szCs w:val="22"/>
              </w:rPr>
              <w:lastRenderedPageBreak/>
              <w:t>Taux d</w:t>
            </w:r>
            <w:r w:rsidR="005311D6" w:rsidRPr="001800B7">
              <w:rPr>
                <w:szCs w:val="22"/>
              </w:rPr>
              <w:t>’</w:t>
            </w:r>
            <w:r w:rsidRPr="001800B7">
              <w:rPr>
                <w:szCs w:val="22"/>
              </w:rPr>
              <w:t xml:space="preserve">exécution du projet </w:t>
            </w:r>
          </w:p>
        </w:tc>
        <w:tc>
          <w:tcPr>
            <w:tcW w:w="7280" w:type="dxa"/>
            <w:tcBorders>
              <w:top w:val="single" w:sz="4" w:space="0" w:color="auto"/>
              <w:left w:val="single" w:sz="4" w:space="0" w:color="auto"/>
              <w:bottom w:val="single" w:sz="4" w:space="0" w:color="auto"/>
              <w:right w:val="single" w:sz="4" w:space="0" w:color="auto"/>
            </w:tcBorders>
          </w:tcPr>
          <w:p w:rsidR="0010628F" w:rsidRPr="001800B7" w:rsidRDefault="0010628F" w:rsidP="009B7B20">
            <w:pPr>
              <w:spacing w:before="120" w:after="120"/>
              <w:rPr>
                <w:i/>
                <w:szCs w:val="22"/>
              </w:rPr>
            </w:pPr>
            <w:r w:rsidRPr="001800B7">
              <w:rPr>
                <w:szCs w:val="22"/>
              </w:rPr>
              <w:t>Le taux d</w:t>
            </w:r>
            <w:r w:rsidR="005311D6" w:rsidRPr="001800B7">
              <w:rPr>
                <w:szCs w:val="22"/>
              </w:rPr>
              <w:t>’</w:t>
            </w:r>
            <w:r w:rsidRPr="001800B7">
              <w:rPr>
                <w:szCs w:val="22"/>
              </w:rPr>
              <w:t>utilisation du budget à la fin du mois d</w:t>
            </w:r>
            <w:r w:rsidR="005311D6" w:rsidRPr="001800B7">
              <w:rPr>
                <w:szCs w:val="22"/>
              </w:rPr>
              <w:t>’</w:t>
            </w:r>
            <w:r w:rsidRPr="001800B7">
              <w:rPr>
                <w:szCs w:val="22"/>
              </w:rPr>
              <w:t>août 2014 s</w:t>
            </w:r>
            <w:r w:rsidR="005311D6" w:rsidRPr="001800B7">
              <w:rPr>
                <w:szCs w:val="22"/>
              </w:rPr>
              <w:t>’</w:t>
            </w:r>
            <w:r w:rsidRPr="001800B7">
              <w:rPr>
                <w:szCs w:val="22"/>
              </w:rPr>
              <w:t>élevait à</w:t>
            </w:r>
            <w:r w:rsidR="009B7B20" w:rsidRPr="001800B7">
              <w:rPr>
                <w:szCs w:val="22"/>
              </w:rPr>
              <w:t> </w:t>
            </w:r>
            <w:r w:rsidRPr="001800B7">
              <w:rPr>
                <w:szCs w:val="22"/>
              </w:rPr>
              <w:t>96%.</w:t>
            </w:r>
          </w:p>
        </w:tc>
      </w:tr>
      <w:tr w:rsidR="001800B7" w:rsidRPr="001800B7" w:rsidTr="009B7B20">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9B7B20">
            <w:pPr>
              <w:spacing w:before="120" w:after="120"/>
              <w:rPr>
                <w:szCs w:val="22"/>
              </w:rPr>
            </w:pPr>
            <w:r w:rsidRPr="001800B7">
              <w:rPr>
                <w:szCs w:val="22"/>
              </w:rPr>
              <w:t>Rapports précédents</w:t>
            </w:r>
          </w:p>
        </w:tc>
        <w:tc>
          <w:tcPr>
            <w:tcW w:w="7280" w:type="dxa"/>
            <w:tcBorders>
              <w:top w:val="single" w:sz="4" w:space="0" w:color="auto"/>
              <w:left w:val="single" w:sz="4" w:space="0" w:color="auto"/>
              <w:bottom w:val="single" w:sz="4" w:space="0" w:color="auto"/>
              <w:right w:val="single" w:sz="4" w:space="0" w:color="auto"/>
            </w:tcBorders>
          </w:tcPr>
          <w:p w:rsidR="0010628F" w:rsidRPr="001800B7" w:rsidRDefault="0010628F" w:rsidP="009B7B20">
            <w:pPr>
              <w:spacing w:before="120" w:after="120"/>
              <w:rPr>
                <w:szCs w:val="22"/>
              </w:rPr>
            </w:pPr>
            <w:r w:rsidRPr="001800B7">
              <w:rPr>
                <w:szCs w:val="22"/>
              </w:rPr>
              <w:t>Les rapports sur l</w:t>
            </w:r>
            <w:r w:rsidR="005311D6" w:rsidRPr="001800B7">
              <w:rPr>
                <w:szCs w:val="22"/>
              </w:rPr>
              <w:t>’</w:t>
            </w:r>
            <w:r w:rsidRPr="001800B7">
              <w:rPr>
                <w:szCs w:val="22"/>
              </w:rPr>
              <w:t>état d</w:t>
            </w:r>
            <w:r w:rsidR="005311D6" w:rsidRPr="001800B7">
              <w:rPr>
                <w:szCs w:val="22"/>
              </w:rPr>
              <w:t>’</w:t>
            </w:r>
            <w:r w:rsidRPr="001800B7">
              <w:rPr>
                <w:szCs w:val="22"/>
              </w:rPr>
              <w:t>avancement de ce projet, figurant dans l</w:t>
            </w:r>
            <w:r w:rsidR="005311D6" w:rsidRPr="001800B7">
              <w:rPr>
                <w:szCs w:val="22"/>
              </w:rPr>
              <w:t>’</w:t>
            </w:r>
            <w:r w:rsidRPr="001800B7">
              <w:rPr>
                <w:szCs w:val="22"/>
              </w:rPr>
              <w:t>annexe II au document CDIP/10/2 et dans l</w:t>
            </w:r>
            <w:r w:rsidR="005311D6" w:rsidRPr="001800B7">
              <w:rPr>
                <w:szCs w:val="22"/>
              </w:rPr>
              <w:t>’</w:t>
            </w:r>
            <w:r w:rsidRPr="001800B7">
              <w:rPr>
                <w:szCs w:val="22"/>
              </w:rPr>
              <w:t xml:space="preserve">annexe II au document CDIP/12/2 ont été soumis au Comité lors de </w:t>
            </w:r>
            <w:proofErr w:type="gramStart"/>
            <w:r w:rsidRPr="001800B7">
              <w:rPr>
                <w:szCs w:val="22"/>
              </w:rPr>
              <w:t>ses dixième</w:t>
            </w:r>
            <w:proofErr w:type="gramEnd"/>
            <w:r w:rsidRPr="001800B7">
              <w:rPr>
                <w:szCs w:val="22"/>
              </w:rPr>
              <w:t xml:space="preserve"> et douzième sessions, respectivement.</w:t>
            </w:r>
          </w:p>
        </w:tc>
      </w:tr>
      <w:tr w:rsidR="0010628F" w:rsidRPr="001800B7" w:rsidTr="009B7B20">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9B7B20">
            <w:pPr>
              <w:spacing w:before="120" w:after="120"/>
              <w:rPr>
                <w:szCs w:val="22"/>
              </w:rPr>
            </w:pPr>
            <w:r w:rsidRPr="001800B7">
              <w:rPr>
                <w:szCs w:val="22"/>
              </w:rPr>
              <w:t>Suivi</w:t>
            </w:r>
          </w:p>
        </w:tc>
        <w:tc>
          <w:tcPr>
            <w:tcW w:w="7280" w:type="dxa"/>
            <w:tcBorders>
              <w:top w:val="single" w:sz="4" w:space="0" w:color="auto"/>
              <w:left w:val="single" w:sz="4" w:space="0" w:color="auto"/>
              <w:bottom w:val="single" w:sz="4" w:space="0" w:color="auto"/>
              <w:right w:val="single" w:sz="4" w:space="0" w:color="auto"/>
            </w:tcBorders>
            <w:hideMark/>
          </w:tcPr>
          <w:p w:rsidR="0010628F" w:rsidRPr="001800B7" w:rsidRDefault="0010628F" w:rsidP="00923EF1">
            <w:pPr>
              <w:spacing w:before="100" w:after="100"/>
              <w:rPr>
                <w:szCs w:val="22"/>
              </w:rPr>
            </w:pPr>
            <w:r w:rsidRPr="001800B7">
              <w:rPr>
                <w:szCs w:val="22"/>
              </w:rPr>
              <w:t xml:space="preserve">Ce projet a été intégré dans le </w:t>
            </w:r>
            <w:r w:rsidR="009B7B20" w:rsidRPr="001800B7">
              <w:rPr>
                <w:szCs w:val="22"/>
              </w:rPr>
              <w:t>programme et budget</w:t>
            </w:r>
            <w:r w:rsidRPr="001800B7">
              <w:rPr>
                <w:szCs w:val="22"/>
              </w:rPr>
              <w:t xml:space="preserve"> pour 2014</w:t>
            </w:r>
            <w:r w:rsidR="001800B7" w:rsidRPr="001800B7">
              <w:rPr>
                <w:szCs w:val="22"/>
              </w:rPr>
              <w:noBreakHyphen/>
            </w:r>
            <w:r w:rsidRPr="001800B7">
              <w:rPr>
                <w:szCs w:val="22"/>
              </w:rPr>
              <w:t>2015 de l</w:t>
            </w:r>
            <w:r w:rsidR="005311D6" w:rsidRPr="001800B7">
              <w:rPr>
                <w:szCs w:val="22"/>
              </w:rPr>
              <w:t>’</w:t>
            </w:r>
            <w:r w:rsidRPr="001800B7">
              <w:rPr>
                <w:szCs w:val="22"/>
              </w:rPr>
              <w:t>OMPI, et conformément à la décision prise par le CDIP lors de sa neuvième session, dans la mesure du possible, la priorité a été accordée aux besoins des pays les moins développés et des pays ayant déjà commencé à mettre en œuvre la phase I du projet.  Dans ce cadre, les documents du projet relatifs à la stratégie de coopération sont en cours d</w:t>
            </w:r>
            <w:r w:rsidR="005311D6" w:rsidRPr="001800B7">
              <w:rPr>
                <w:szCs w:val="22"/>
              </w:rPr>
              <w:t>’</w:t>
            </w:r>
            <w:r w:rsidRPr="001800B7">
              <w:rPr>
                <w:szCs w:val="22"/>
              </w:rPr>
              <w:t>élaboration pour le Bangladesh, le Cambodge, le Costa Rica, l</w:t>
            </w:r>
            <w:r w:rsidR="005311D6" w:rsidRPr="001800B7">
              <w:rPr>
                <w:szCs w:val="22"/>
              </w:rPr>
              <w:t>’</w:t>
            </w:r>
            <w:r w:rsidRPr="001800B7">
              <w:rPr>
                <w:szCs w:val="22"/>
              </w:rPr>
              <w:t>Équateur et la Turquie.  En outre, l</w:t>
            </w:r>
            <w:r w:rsidR="005311D6" w:rsidRPr="001800B7">
              <w:rPr>
                <w:szCs w:val="22"/>
              </w:rPr>
              <w:t>’</w:t>
            </w:r>
            <w:r w:rsidRPr="001800B7">
              <w:rPr>
                <w:szCs w:val="22"/>
              </w:rPr>
              <w:t>Albanie, le Salvador, le Honduras, et le Conseil de coopération du Golfe ont formulé des demandes officielles pour pouvoir bénéficier de cette coopération.</w:t>
            </w:r>
          </w:p>
          <w:p w:rsidR="0010628F" w:rsidRPr="001800B7" w:rsidRDefault="0010628F" w:rsidP="00923EF1">
            <w:pPr>
              <w:spacing w:before="100" w:after="100"/>
              <w:rPr>
                <w:szCs w:val="22"/>
              </w:rPr>
            </w:pPr>
            <w:r w:rsidRPr="001800B7">
              <w:rPr>
                <w:szCs w:val="22"/>
              </w:rPr>
              <w:t>Cinq des pays pilotes ont encore besoin de bénéficier de la coopération de l</w:t>
            </w:r>
            <w:r w:rsidR="005311D6" w:rsidRPr="001800B7">
              <w:rPr>
                <w:szCs w:val="22"/>
              </w:rPr>
              <w:t>’</w:t>
            </w:r>
            <w:r w:rsidRPr="001800B7">
              <w:rPr>
                <w:szCs w:val="22"/>
              </w:rPr>
              <w:t>OMPI afin d</w:t>
            </w:r>
            <w:r w:rsidR="005311D6" w:rsidRPr="001800B7">
              <w:rPr>
                <w:szCs w:val="22"/>
              </w:rPr>
              <w:t>’</w:t>
            </w:r>
            <w:r w:rsidRPr="001800B7">
              <w:rPr>
                <w:szCs w:val="22"/>
              </w:rPr>
              <w:t>établir leurs propres centres de formation en propriété intellectuelle et d</w:t>
            </w:r>
            <w:r w:rsidR="005311D6" w:rsidRPr="001800B7">
              <w:rPr>
                <w:szCs w:val="22"/>
              </w:rPr>
              <w:t>’</w:t>
            </w:r>
            <w:r w:rsidRPr="001800B7">
              <w:rPr>
                <w:szCs w:val="22"/>
              </w:rPr>
              <w:t>offrir des programmes réguliers de formation (étape de “sortie progressive” du projet).  Dans le cas de l</w:t>
            </w:r>
            <w:r w:rsidR="005311D6" w:rsidRPr="001800B7">
              <w:rPr>
                <w:szCs w:val="22"/>
              </w:rPr>
              <w:t>’</w:t>
            </w:r>
            <w:r w:rsidRPr="001800B7">
              <w:rPr>
                <w:szCs w:val="22"/>
              </w:rPr>
              <w:t>Éthiopie, la coopération a pris plus de temps qu</w:t>
            </w:r>
            <w:r w:rsidR="005311D6" w:rsidRPr="001800B7">
              <w:rPr>
                <w:szCs w:val="22"/>
              </w:rPr>
              <w:t>’</w:t>
            </w:r>
            <w:r w:rsidRPr="001800B7">
              <w:rPr>
                <w:szCs w:val="22"/>
              </w:rPr>
              <w:t>initialement prévu et a été prolongée.</w:t>
            </w:r>
          </w:p>
          <w:p w:rsidR="0010628F" w:rsidRPr="001800B7" w:rsidRDefault="0010628F" w:rsidP="00923EF1">
            <w:pPr>
              <w:spacing w:before="100" w:after="100"/>
              <w:rPr>
                <w:szCs w:val="22"/>
              </w:rPr>
            </w:pPr>
            <w:r w:rsidRPr="001800B7">
              <w:rPr>
                <w:szCs w:val="22"/>
              </w:rPr>
              <w:t>Comme mentionné dans les principaux enseignements tirés ci</w:t>
            </w:r>
            <w:r w:rsidR="001800B7" w:rsidRPr="001800B7">
              <w:rPr>
                <w:szCs w:val="22"/>
              </w:rPr>
              <w:noBreakHyphen/>
            </w:r>
            <w:r w:rsidRPr="001800B7">
              <w:rPr>
                <w:szCs w:val="22"/>
              </w:rPr>
              <w:t>dessus, on observe de forts besoins en formation aux technologies d</w:t>
            </w:r>
            <w:r w:rsidR="005311D6" w:rsidRPr="001800B7">
              <w:rPr>
                <w:szCs w:val="22"/>
              </w:rPr>
              <w:t>’</w:t>
            </w:r>
            <w:r w:rsidRPr="001800B7">
              <w:rPr>
                <w:szCs w:val="22"/>
              </w:rPr>
              <w:t>enseignement de la propriété intellectuelle et un manque de formateurs spécialisés dans ce domaine.  On estime également que les centres nationaux de formation à la propriété intellectuelle créés récemment auront besoin de davantage de formateurs pour répondre à la demande croissante de formation spécialisée.  Dans ce but, l</w:t>
            </w:r>
            <w:r w:rsidR="005311D6" w:rsidRPr="001800B7">
              <w:rPr>
                <w:szCs w:val="22"/>
              </w:rPr>
              <w:t>’</w:t>
            </w:r>
            <w:r w:rsidRPr="001800B7">
              <w:rPr>
                <w:szCs w:val="22"/>
              </w:rPr>
              <w:t>Académie de l</w:t>
            </w:r>
            <w:r w:rsidR="005311D6" w:rsidRPr="001800B7">
              <w:rPr>
                <w:szCs w:val="22"/>
              </w:rPr>
              <w:t>’</w:t>
            </w:r>
            <w:r w:rsidRPr="001800B7">
              <w:rPr>
                <w:szCs w:val="22"/>
              </w:rPr>
              <w:t xml:space="preserve">OMPI envisage de créer des compétences parmi les formateurs nationaux des centres de formation à la </w:t>
            </w:r>
            <w:r w:rsidRPr="001800B7">
              <w:rPr>
                <w:bCs/>
                <w:iCs/>
                <w:szCs w:val="22"/>
                <w:lang w:bidi="th-TH"/>
              </w:rPr>
              <w:t>propriété intellectuelle</w:t>
            </w:r>
            <w:r w:rsidRPr="001800B7">
              <w:rPr>
                <w:szCs w:val="22"/>
              </w:rPr>
              <w:t>, de manière à ce qu</w:t>
            </w:r>
            <w:r w:rsidR="005311D6" w:rsidRPr="001800B7">
              <w:rPr>
                <w:szCs w:val="22"/>
              </w:rPr>
              <w:t>’</w:t>
            </w:r>
            <w:r w:rsidRPr="001800B7">
              <w:rPr>
                <w:szCs w:val="22"/>
              </w:rPr>
              <w:t>ils puissent assurer eux</w:t>
            </w:r>
            <w:r w:rsidR="001800B7" w:rsidRPr="001800B7">
              <w:rPr>
                <w:szCs w:val="22"/>
              </w:rPr>
              <w:noBreakHyphen/>
            </w:r>
            <w:r w:rsidRPr="001800B7">
              <w:rPr>
                <w:szCs w:val="22"/>
              </w:rPr>
              <w:t>mêmes la formation sur les technologies d</w:t>
            </w:r>
            <w:r w:rsidR="005311D6" w:rsidRPr="001800B7">
              <w:rPr>
                <w:szCs w:val="22"/>
              </w:rPr>
              <w:t>’</w:t>
            </w:r>
            <w:r w:rsidRPr="001800B7">
              <w:rPr>
                <w:szCs w:val="22"/>
              </w:rPr>
              <w:t>enseignement de la propriété intellectuelle pour les formateurs à venir.  Dans ce cadre, l</w:t>
            </w:r>
            <w:r w:rsidR="005311D6" w:rsidRPr="001800B7">
              <w:rPr>
                <w:szCs w:val="22"/>
              </w:rPr>
              <w:t>’</w:t>
            </w:r>
            <w:r w:rsidRPr="001800B7">
              <w:rPr>
                <w:szCs w:val="22"/>
              </w:rPr>
              <w:t>Académie prévoit également d</w:t>
            </w:r>
            <w:r w:rsidR="005311D6" w:rsidRPr="001800B7">
              <w:rPr>
                <w:szCs w:val="22"/>
              </w:rPr>
              <w:t>’</w:t>
            </w:r>
            <w:r w:rsidRPr="001800B7">
              <w:rPr>
                <w:szCs w:val="22"/>
              </w:rPr>
              <w:t>élaborer un manuel sur les méthodologies de l</w:t>
            </w:r>
            <w:r w:rsidR="005311D6" w:rsidRPr="001800B7">
              <w:rPr>
                <w:szCs w:val="22"/>
              </w:rPr>
              <w:t>’</w:t>
            </w:r>
            <w:r w:rsidRPr="001800B7">
              <w:rPr>
                <w:szCs w:val="22"/>
              </w:rPr>
              <w:t>enseignement de la propriété intellectuelle et de mettre en place une formation pour les formateurs nationaux aux fins de leur apprendre comment former eux</w:t>
            </w:r>
            <w:r w:rsidR="001800B7" w:rsidRPr="001800B7">
              <w:rPr>
                <w:szCs w:val="22"/>
              </w:rPr>
              <w:noBreakHyphen/>
            </w:r>
            <w:r w:rsidRPr="001800B7">
              <w:rPr>
                <w:szCs w:val="22"/>
              </w:rPr>
              <w:t>mêmes les formateurs sur cette question.</w:t>
            </w:r>
          </w:p>
        </w:tc>
      </w:tr>
    </w:tbl>
    <w:p w:rsidR="009B7B20" w:rsidRPr="001800B7" w:rsidRDefault="009B7B20" w:rsidP="009B7B20">
      <w:pPr>
        <w:rPr>
          <w:szCs w:val="22"/>
        </w:rPr>
      </w:pPr>
    </w:p>
    <w:p w:rsidR="009B7B20" w:rsidRPr="001800B7" w:rsidRDefault="009B7B20" w:rsidP="009B7B20">
      <w:pPr>
        <w:rPr>
          <w:szCs w:val="22"/>
        </w:rPr>
      </w:pPr>
    </w:p>
    <w:p w:rsidR="00923EF1" w:rsidRPr="001800B7" w:rsidRDefault="00923EF1" w:rsidP="00923EF1">
      <w:pPr>
        <w:rPr>
          <w:rFonts w:eastAsia="Times New Roman"/>
          <w:szCs w:val="22"/>
          <w:lang w:eastAsia="en-US"/>
        </w:rPr>
      </w:pPr>
      <w:r w:rsidRPr="001800B7">
        <w:rPr>
          <w:rFonts w:eastAsia="Times New Roman"/>
          <w:szCs w:val="22"/>
          <w:lang w:eastAsia="en-US"/>
        </w:rPr>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923EF1" w:rsidRPr="001800B7" w:rsidRDefault="00923EF1" w:rsidP="00923EF1">
      <w:pPr>
        <w:rPr>
          <w:szCs w:val="22"/>
        </w:rPr>
      </w:pPr>
    </w:p>
    <w:p w:rsidR="00923EF1" w:rsidRPr="001800B7" w:rsidRDefault="00923EF1" w:rsidP="00923EF1">
      <w:pPr>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p w:rsidR="00923EF1" w:rsidRPr="001800B7" w:rsidRDefault="00923EF1" w:rsidP="00923EF1">
      <w:pPr>
        <w:rPr>
          <w:rFonts w:eastAsia="Times New Roman"/>
          <w:szCs w:val="22"/>
          <w:lang w:eastAsia="en-US"/>
        </w:rPr>
      </w:pP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923EF1">
        <w:trPr>
          <w:cantSplit/>
        </w:trPr>
        <w:tc>
          <w:tcPr>
            <w:tcW w:w="1900" w:type="dxa"/>
            <w:shd w:val="clear" w:color="auto" w:fill="auto"/>
            <w:vAlign w:val="center"/>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lang w:eastAsia="en-US"/>
              </w:rPr>
              <w:t>NE</w:t>
            </w:r>
          </w:p>
        </w:tc>
      </w:tr>
      <w:tr w:rsidR="00923EF1" w:rsidRPr="001800B7" w:rsidTr="00923EF1">
        <w:trPr>
          <w:cantSplit/>
        </w:trPr>
        <w:tc>
          <w:tcPr>
            <w:tcW w:w="1900" w:type="dxa"/>
            <w:shd w:val="clear" w:color="auto" w:fill="auto"/>
            <w:vAlign w:val="center"/>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923EF1" w:rsidRPr="001800B7" w:rsidRDefault="00923EF1" w:rsidP="00923EF1">
      <w:pPr>
        <w:rPr>
          <w:szCs w:val="22"/>
          <w:lang w:eastAsia="en-US"/>
        </w:rPr>
      </w:pPr>
    </w:p>
    <w:tbl>
      <w:tblPr>
        <w:tblW w:w="94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8"/>
        <w:gridCol w:w="2693"/>
        <w:gridCol w:w="2975"/>
        <w:gridCol w:w="1455"/>
      </w:tblGrid>
      <w:tr w:rsidR="001800B7" w:rsidRPr="001800B7" w:rsidTr="00923EF1">
        <w:tc>
          <w:tcPr>
            <w:tcW w:w="2368" w:type="dxa"/>
            <w:shd w:val="clear" w:color="auto" w:fill="auto"/>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Style w:val="FootnoteReference"/>
                <w:rFonts w:eastAsia="Times New Roman"/>
                <w:szCs w:val="22"/>
                <w:lang w:eastAsia="en-US"/>
              </w:rPr>
              <w:footnoteReference w:id="8"/>
            </w:r>
            <w:r w:rsidRPr="001800B7">
              <w:rPr>
                <w:rFonts w:eastAsia="Times New Roman"/>
                <w:szCs w:val="22"/>
                <w:u w:val="single"/>
                <w:lang w:eastAsia="en-US"/>
              </w:rPr>
              <w:br/>
            </w:r>
            <w:r w:rsidRPr="001800B7">
              <w:rPr>
                <w:rFonts w:eastAsia="Times New Roman"/>
                <w:szCs w:val="22"/>
                <w:lang w:eastAsia="en-US"/>
              </w:rPr>
              <w:t>(résultat escompté)</w:t>
            </w:r>
          </w:p>
        </w:tc>
        <w:tc>
          <w:tcPr>
            <w:tcW w:w="2693" w:type="dxa"/>
            <w:shd w:val="clear" w:color="auto" w:fill="auto"/>
          </w:tcPr>
          <w:p w:rsidR="00923EF1" w:rsidRPr="001800B7" w:rsidRDefault="00923EF1" w:rsidP="00923EF1">
            <w:pPr>
              <w:spacing w:before="100" w:after="10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5" w:type="dxa"/>
            <w:shd w:val="clear" w:color="auto" w:fill="auto"/>
          </w:tcPr>
          <w:p w:rsidR="00923EF1" w:rsidRPr="001800B7" w:rsidRDefault="00923EF1" w:rsidP="00923EF1">
            <w:pPr>
              <w:spacing w:before="100" w:after="100"/>
              <w:jc w:val="center"/>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55" w:type="dxa"/>
            <w:shd w:val="clear" w:color="auto" w:fill="auto"/>
          </w:tcPr>
          <w:p w:rsidR="00923EF1" w:rsidRPr="001800B7" w:rsidRDefault="00923EF1" w:rsidP="00923EF1">
            <w:pPr>
              <w:spacing w:before="100" w:after="100"/>
              <w:jc w:val="center"/>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923EF1">
        <w:tc>
          <w:tcPr>
            <w:tcW w:w="2368" w:type="dxa"/>
            <w:shd w:val="clear" w:color="auto" w:fill="auto"/>
          </w:tcPr>
          <w:p w:rsidR="00923EF1" w:rsidRPr="001800B7" w:rsidRDefault="00923EF1" w:rsidP="00923EF1">
            <w:pPr>
              <w:spacing w:before="120" w:after="120"/>
              <w:rPr>
                <w:bCs/>
                <w:szCs w:val="22"/>
              </w:rPr>
            </w:pPr>
            <w:r w:rsidRPr="001800B7">
              <w:rPr>
                <w:bCs/>
                <w:szCs w:val="22"/>
              </w:rPr>
              <w:t>1.  Questionnaire d</w:t>
            </w:r>
            <w:r w:rsidR="005311D6" w:rsidRPr="001800B7">
              <w:rPr>
                <w:bCs/>
                <w:szCs w:val="22"/>
              </w:rPr>
              <w:t>’</w:t>
            </w:r>
            <w:r w:rsidRPr="001800B7">
              <w:rPr>
                <w:bCs/>
                <w:szCs w:val="22"/>
              </w:rPr>
              <w:t>évaluation des besoins fourni et consultant ad hoc désigné.</w:t>
            </w:r>
          </w:p>
        </w:tc>
        <w:tc>
          <w:tcPr>
            <w:tcW w:w="2693" w:type="dxa"/>
            <w:shd w:val="clear" w:color="auto" w:fill="auto"/>
          </w:tcPr>
          <w:p w:rsidR="00923EF1" w:rsidRPr="001800B7" w:rsidRDefault="00923EF1" w:rsidP="00923EF1">
            <w:pPr>
              <w:spacing w:before="120" w:after="120"/>
              <w:rPr>
                <w:szCs w:val="22"/>
              </w:rPr>
            </w:pPr>
            <w:r w:rsidRPr="001800B7">
              <w:rPr>
                <w:szCs w:val="22"/>
              </w:rPr>
              <w:t>Réponses complètes au questionnaire d</w:t>
            </w:r>
            <w:r w:rsidR="005311D6" w:rsidRPr="001800B7">
              <w:rPr>
                <w:szCs w:val="22"/>
              </w:rPr>
              <w:t>’</w:t>
            </w:r>
            <w:r w:rsidRPr="001800B7">
              <w:rPr>
                <w:szCs w:val="22"/>
              </w:rPr>
              <w:t>évaluation des besoins fournies par les parties prenantes au niveau national dans un délai de 10 jours avant la mission d</w:t>
            </w:r>
            <w:r w:rsidR="005311D6" w:rsidRPr="001800B7">
              <w:rPr>
                <w:szCs w:val="22"/>
              </w:rPr>
              <w:t>’</w:t>
            </w:r>
            <w:r w:rsidRPr="001800B7">
              <w:rPr>
                <w:szCs w:val="22"/>
              </w:rPr>
              <w:t>évaluation des besoins.</w:t>
            </w:r>
          </w:p>
          <w:p w:rsidR="00923EF1" w:rsidRPr="001800B7" w:rsidRDefault="00923EF1" w:rsidP="00923EF1">
            <w:pPr>
              <w:spacing w:before="120" w:after="120"/>
              <w:rPr>
                <w:szCs w:val="22"/>
              </w:rPr>
            </w:pPr>
            <w:r w:rsidRPr="001800B7">
              <w:rPr>
                <w:szCs w:val="22"/>
              </w:rPr>
              <w:t>Consultant ad hoc désigné et engagé dans un délai de 15 jours avant la mission d</w:t>
            </w:r>
            <w:r w:rsidR="005311D6" w:rsidRPr="001800B7">
              <w:rPr>
                <w:szCs w:val="22"/>
              </w:rPr>
              <w:t>’</w:t>
            </w:r>
            <w:r w:rsidRPr="001800B7">
              <w:rPr>
                <w:szCs w:val="22"/>
              </w:rPr>
              <w:t>évaluation des besoins.</w:t>
            </w:r>
          </w:p>
        </w:tc>
        <w:tc>
          <w:tcPr>
            <w:tcW w:w="2975" w:type="dxa"/>
            <w:shd w:val="clear" w:color="auto" w:fill="auto"/>
          </w:tcPr>
          <w:p w:rsidR="00923EF1" w:rsidRPr="001800B7" w:rsidRDefault="00923EF1" w:rsidP="00923EF1">
            <w:pPr>
              <w:spacing w:before="120" w:after="120"/>
              <w:rPr>
                <w:szCs w:val="22"/>
              </w:rPr>
            </w:pPr>
            <w:r w:rsidRPr="001800B7">
              <w:rPr>
                <w:szCs w:val="22"/>
              </w:rPr>
              <w:t>Achevé pendant la phase I du projet.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923EF1" w:rsidRPr="001800B7" w:rsidRDefault="00923EF1" w:rsidP="00923EF1">
            <w:pPr>
              <w:spacing w:before="120" w:after="120"/>
              <w:rPr>
                <w:szCs w:val="22"/>
              </w:rPr>
            </w:pPr>
            <w:r w:rsidRPr="001800B7">
              <w:rPr>
                <w:szCs w:val="22"/>
              </w:rPr>
              <w:t>Achevé pendant la phase I du projet.</w:t>
            </w:r>
          </w:p>
        </w:tc>
        <w:tc>
          <w:tcPr>
            <w:tcW w:w="1455" w:type="dxa"/>
            <w:shd w:val="clear" w:color="auto" w:fill="auto"/>
          </w:tcPr>
          <w:p w:rsidR="00923EF1" w:rsidRPr="001800B7" w:rsidRDefault="00923EF1" w:rsidP="00923EF1">
            <w:pPr>
              <w:spacing w:before="120" w:after="120"/>
              <w:rPr>
                <w:szCs w:val="22"/>
              </w:rPr>
            </w:pPr>
            <w:r w:rsidRPr="001800B7">
              <w:rPr>
                <w:szCs w:val="22"/>
              </w:rPr>
              <w: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923EF1" w:rsidRPr="001800B7" w:rsidRDefault="00923EF1" w:rsidP="00923EF1">
            <w:pPr>
              <w:spacing w:before="120" w:after="120"/>
              <w:rPr>
                <w:szCs w:val="22"/>
              </w:rPr>
            </w:pPr>
            <w:r w:rsidRPr="001800B7">
              <w:rPr>
                <w:szCs w:val="22"/>
              </w:rPr>
              <w:t>****</w:t>
            </w:r>
          </w:p>
        </w:tc>
      </w:tr>
      <w:tr w:rsidR="001800B7" w:rsidRPr="001800B7" w:rsidTr="00923EF1">
        <w:tc>
          <w:tcPr>
            <w:tcW w:w="2368" w:type="dxa"/>
            <w:shd w:val="clear" w:color="auto" w:fill="auto"/>
          </w:tcPr>
          <w:p w:rsidR="00923EF1" w:rsidRPr="001800B7" w:rsidRDefault="00923EF1" w:rsidP="00923EF1">
            <w:pPr>
              <w:spacing w:before="120" w:after="120"/>
              <w:rPr>
                <w:bCs/>
                <w:szCs w:val="22"/>
              </w:rPr>
            </w:pPr>
            <w:r w:rsidRPr="001800B7">
              <w:rPr>
                <w:bCs/>
                <w:szCs w:val="22"/>
              </w:rPr>
              <w:t>2.  Rapport d</w:t>
            </w:r>
            <w:r w:rsidR="005311D6" w:rsidRPr="001800B7">
              <w:rPr>
                <w:bCs/>
                <w:szCs w:val="22"/>
              </w:rPr>
              <w:t>’</w:t>
            </w:r>
            <w:r w:rsidRPr="001800B7">
              <w:rPr>
                <w:bCs/>
                <w:szCs w:val="22"/>
              </w:rPr>
              <w:t>évaluation des besoins établi, actions prioritaires définies.</w:t>
            </w:r>
          </w:p>
        </w:tc>
        <w:tc>
          <w:tcPr>
            <w:tcW w:w="2693" w:type="dxa"/>
            <w:shd w:val="clear" w:color="auto" w:fill="auto"/>
          </w:tcPr>
          <w:p w:rsidR="00923EF1" w:rsidRPr="001800B7" w:rsidRDefault="00923EF1" w:rsidP="00923EF1">
            <w:pPr>
              <w:spacing w:before="120" w:after="120"/>
              <w:rPr>
                <w:szCs w:val="22"/>
              </w:rPr>
            </w:pPr>
            <w:r w:rsidRPr="001800B7">
              <w:rPr>
                <w:szCs w:val="22"/>
              </w:rPr>
              <w:t>Rapport d</w:t>
            </w:r>
            <w:r w:rsidR="005311D6" w:rsidRPr="001800B7">
              <w:rPr>
                <w:szCs w:val="22"/>
              </w:rPr>
              <w:t>’</w:t>
            </w:r>
            <w:r w:rsidRPr="001800B7">
              <w:rPr>
                <w:szCs w:val="22"/>
              </w:rPr>
              <w:t>évaluation des besoins transmis dans un délai de 30 jours à compter de la mission d</w:t>
            </w:r>
            <w:r w:rsidR="005311D6" w:rsidRPr="001800B7">
              <w:rPr>
                <w:szCs w:val="22"/>
              </w:rPr>
              <w:t>’</w:t>
            </w:r>
            <w:r w:rsidRPr="001800B7">
              <w:rPr>
                <w:szCs w:val="22"/>
              </w:rPr>
              <w:t>évaluation des besoins, dans la mesure où les parties prenantes au niveau national soumettent toute la documentation nécessaire dans le délai fixé.</w:t>
            </w:r>
          </w:p>
          <w:p w:rsidR="00923EF1" w:rsidRPr="001800B7" w:rsidRDefault="00923EF1" w:rsidP="00923EF1">
            <w:pPr>
              <w:spacing w:before="120" w:after="120"/>
              <w:rPr>
                <w:szCs w:val="22"/>
              </w:rPr>
            </w:pPr>
            <w:r w:rsidRPr="001800B7">
              <w:rPr>
                <w:szCs w:val="22"/>
              </w:rPr>
              <w:t>Le rapport sera présenté aux autorités nationales pour approbation puis il sera transmis par la voie officielle.</w:t>
            </w:r>
          </w:p>
        </w:tc>
        <w:tc>
          <w:tcPr>
            <w:tcW w:w="2975" w:type="dxa"/>
            <w:shd w:val="clear" w:color="auto" w:fill="auto"/>
          </w:tcPr>
          <w:p w:rsidR="00923EF1" w:rsidRPr="001800B7" w:rsidRDefault="00923EF1" w:rsidP="00923EF1">
            <w:pPr>
              <w:spacing w:before="120" w:after="120"/>
              <w:rPr>
                <w:szCs w:val="22"/>
              </w:rPr>
            </w:pPr>
            <w:r w:rsidRPr="001800B7">
              <w:rPr>
                <w:szCs w:val="22"/>
              </w:rPr>
              <w:t>Achevé pendant la phase I du projet.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923EF1" w:rsidRPr="001800B7" w:rsidRDefault="00923EF1" w:rsidP="00923EF1">
            <w:pPr>
              <w:spacing w:before="120" w:after="120"/>
              <w:rPr>
                <w:szCs w:val="22"/>
              </w:rPr>
            </w:pPr>
            <w:r w:rsidRPr="001800B7">
              <w:rPr>
                <w:szCs w:val="22"/>
              </w:rPr>
              <w:t>Achevé pendant la phase I du projet.</w:t>
            </w:r>
          </w:p>
        </w:tc>
        <w:tc>
          <w:tcPr>
            <w:tcW w:w="1455" w:type="dxa"/>
            <w:shd w:val="clear" w:color="auto" w:fill="auto"/>
          </w:tcPr>
          <w:p w:rsidR="00923EF1" w:rsidRPr="001800B7" w:rsidRDefault="00923EF1" w:rsidP="00923EF1">
            <w:pPr>
              <w:spacing w:before="120" w:after="120"/>
              <w:rPr>
                <w:szCs w:val="22"/>
              </w:rPr>
            </w:pPr>
            <w:r w:rsidRPr="001800B7">
              <w:rPr>
                <w:szCs w:val="22"/>
              </w:rPr>
              <w: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923EF1" w:rsidRPr="001800B7" w:rsidRDefault="00923EF1" w:rsidP="00923EF1">
            <w:pPr>
              <w:spacing w:before="120" w:after="120"/>
              <w:rPr>
                <w:szCs w:val="22"/>
              </w:rPr>
            </w:pPr>
            <w:r w:rsidRPr="001800B7">
              <w:rPr>
                <w:szCs w:val="22"/>
              </w:rPr>
              <w:t>****</w:t>
            </w:r>
          </w:p>
        </w:tc>
      </w:tr>
      <w:tr w:rsidR="001800B7" w:rsidRPr="001800B7" w:rsidTr="00923EF1">
        <w:tc>
          <w:tcPr>
            <w:tcW w:w="2368" w:type="dxa"/>
            <w:shd w:val="clear" w:color="auto" w:fill="auto"/>
          </w:tcPr>
          <w:p w:rsidR="00923EF1" w:rsidRPr="001800B7" w:rsidRDefault="00923EF1" w:rsidP="00923EF1">
            <w:pPr>
              <w:spacing w:before="120" w:after="120"/>
              <w:rPr>
                <w:bCs/>
                <w:szCs w:val="22"/>
              </w:rPr>
            </w:pPr>
            <w:r w:rsidRPr="001800B7">
              <w:rPr>
                <w:bCs/>
                <w:szCs w:val="22"/>
              </w:rPr>
              <w:t>3.  Actions prioritaires définies.</w:t>
            </w:r>
          </w:p>
        </w:tc>
        <w:tc>
          <w:tcPr>
            <w:tcW w:w="2693" w:type="dxa"/>
            <w:shd w:val="clear" w:color="auto" w:fill="auto"/>
          </w:tcPr>
          <w:p w:rsidR="00923EF1" w:rsidRPr="001800B7" w:rsidRDefault="00923EF1" w:rsidP="00923EF1">
            <w:pPr>
              <w:spacing w:before="120" w:after="120"/>
              <w:rPr>
                <w:szCs w:val="22"/>
              </w:rPr>
            </w:pPr>
            <w:r w:rsidRPr="001800B7">
              <w:rPr>
                <w:szCs w:val="22"/>
              </w:rPr>
              <w:t>Les autorités nationales doivent définir des recommandations prioritaires parmi les recommandations formulées dans le rapport d</w:t>
            </w:r>
            <w:r w:rsidR="005311D6" w:rsidRPr="001800B7">
              <w:rPr>
                <w:szCs w:val="22"/>
              </w:rPr>
              <w:t>’</w:t>
            </w:r>
            <w:r w:rsidRPr="001800B7">
              <w:rPr>
                <w:szCs w:val="22"/>
              </w:rPr>
              <w:t>évaluation des besoins.</w:t>
            </w:r>
          </w:p>
          <w:p w:rsidR="00923EF1" w:rsidRPr="001800B7" w:rsidRDefault="00923EF1" w:rsidP="00923EF1">
            <w:pPr>
              <w:spacing w:before="120" w:after="120"/>
              <w:rPr>
                <w:szCs w:val="22"/>
              </w:rPr>
            </w:pPr>
            <w:r w:rsidRPr="001800B7">
              <w:rPr>
                <w:szCs w:val="22"/>
              </w:rPr>
              <w:t xml:space="preserve">La mise en œuvre du projet, pendant la période visée par la coopération, sera principalement axée sur les priorités recensées, à moins que des facteurs </w:t>
            </w:r>
            <w:r w:rsidRPr="001800B7">
              <w:rPr>
                <w:szCs w:val="22"/>
              </w:rPr>
              <w:lastRenderedPageBreak/>
              <w:t>externes n</w:t>
            </w:r>
            <w:r w:rsidR="005311D6" w:rsidRPr="001800B7">
              <w:rPr>
                <w:szCs w:val="22"/>
              </w:rPr>
              <w:t>’</w:t>
            </w:r>
            <w:r w:rsidRPr="001800B7">
              <w:rPr>
                <w:szCs w:val="22"/>
              </w:rPr>
              <w:t>aboutissent à l</w:t>
            </w:r>
            <w:r w:rsidR="005311D6" w:rsidRPr="001800B7">
              <w:rPr>
                <w:szCs w:val="22"/>
              </w:rPr>
              <w:t>’</w:t>
            </w:r>
            <w:r w:rsidRPr="001800B7">
              <w:rPr>
                <w:szCs w:val="22"/>
              </w:rPr>
              <w:t>établissement d</w:t>
            </w:r>
            <w:r w:rsidR="005311D6" w:rsidRPr="001800B7">
              <w:rPr>
                <w:szCs w:val="22"/>
              </w:rPr>
              <w:t>’</w:t>
            </w:r>
            <w:r w:rsidRPr="001800B7">
              <w:rPr>
                <w:szCs w:val="22"/>
              </w:rPr>
              <w:t>un nouvel ordre de priorités au niveau national, auquel cas l</w:t>
            </w:r>
            <w:r w:rsidR="005311D6" w:rsidRPr="001800B7">
              <w:rPr>
                <w:szCs w:val="22"/>
              </w:rPr>
              <w:t>’</w:t>
            </w:r>
            <w:r w:rsidRPr="001800B7">
              <w:rPr>
                <w:szCs w:val="22"/>
              </w:rPr>
              <w:t>OMPI devra être informée par écrit.</w:t>
            </w:r>
          </w:p>
        </w:tc>
        <w:tc>
          <w:tcPr>
            <w:tcW w:w="2975" w:type="dxa"/>
            <w:shd w:val="clear" w:color="auto" w:fill="auto"/>
          </w:tcPr>
          <w:p w:rsidR="00923EF1" w:rsidRPr="001800B7" w:rsidRDefault="00923EF1" w:rsidP="00923EF1">
            <w:pPr>
              <w:spacing w:before="120" w:after="120"/>
              <w:rPr>
                <w:szCs w:val="22"/>
              </w:rPr>
            </w:pPr>
            <w:r w:rsidRPr="001800B7">
              <w:rPr>
                <w:szCs w:val="22"/>
              </w:rPr>
              <w:lastRenderedPageBreak/>
              <w:t>Achevé pendant la phase I du projet.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923EF1" w:rsidRPr="001800B7" w:rsidRDefault="00923EF1" w:rsidP="00923EF1">
            <w:pPr>
              <w:spacing w:before="120" w:after="120"/>
              <w:rPr>
                <w:szCs w:val="22"/>
              </w:rPr>
            </w:pPr>
            <w:r w:rsidRPr="001800B7">
              <w:rPr>
                <w:szCs w:val="22"/>
              </w:rPr>
              <w:t>Le projet s</w:t>
            </w:r>
            <w:r w:rsidR="005311D6" w:rsidRPr="001800B7">
              <w:rPr>
                <w:szCs w:val="22"/>
              </w:rPr>
              <w:t>’</w:t>
            </w:r>
            <w:r w:rsidRPr="001800B7">
              <w:rPr>
                <w:szCs w:val="22"/>
              </w:rPr>
              <w:t>est axé sur les actions prioritaires recensées par les pays bénéficiaires.</w:t>
            </w:r>
          </w:p>
        </w:tc>
        <w:tc>
          <w:tcPr>
            <w:tcW w:w="1455" w:type="dxa"/>
            <w:shd w:val="clear" w:color="auto" w:fill="auto"/>
          </w:tcPr>
          <w:p w:rsidR="00923EF1" w:rsidRPr="001800B7" w:rsidRDefault="00923EF1" w:rsidP="00923EF1">
            <w:pPr>
              <w:spacing w:before="120" w:after="120"/>
              <w:rPr>
                <w:szCs w:val="22"/>
              </w:rPr>
            </w:pPr>
            <w:r w:rsidRPr="001800B7">
              <w:rPr>
                <w:szCs w:val="22"/>
              </w:rPr>
              <w: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923EF1" w:rsidRPr="001800B7" w:rsidRDefault="00923EF1" w:rsidP="00923EF1">
            <w:pPr>
              <w:spacing w:before="120" w:after="120"/>
              <w:rPr>
                <w:szCs w:val="22"/>
              </w:rPr>
            </w:pPr>
            <w:r w:rsidRPr="001800B7">
              <w:rPr>
                <w:szCs w:val="22"/>
              </w:rPr>
              <w:t>****</w:t>
            </w:r>
          </w:p>
        </w:tc>
      </w:tr>
      <w:tr w:rsidR="001800B7" w:rsidRPr="001800B7" w:rsidTr="00923EF1">
        <w:tc>
          <w:tcPr>
            <w:tcW w:w="2368" w:type="dxa"/>
            <w:shd w:val="clear" w:color="auto" w:fill="auto"/>
          </w:tcPr>
          <w:p w:rsidR="00923EF1" w:rsidRPr="001800B7" w:rsidRDefault="00923EF1" w:rsidP="00923EF1">
            <w:pPr>
              <w:spacing w:before="120" w:after="120"/>
              <w:rPr>
                <w:bCs/>
                <w:szCs w:val="22"/>
              </w:rPr>
            </w:pPr>
            <w:r w:rsidRPr="001800B7">
              <w:rPr>
                <w:bCs/>
                <w:szCs w:val="22"/>
              </w:rPr>
              <w:lastRenderedPageBreak/>
              <w:t>4.  Accord de coopération signé</w:t>
            </w:r>
          </w:p>
        </w:tc>
        <w:tc>
          <w:tcPr>
            <w:tcW w:w="2693" w:type="dxa"/>
            <w:shd w:val="clear" w:color="auto" w:fill="auto"/>
          </w:tcPr>
          <w:p w:rsidR="00923EF1" w:rsidRPr="001800B7" w:rsidRDefault="00923EF1" w:rsidP="00923EF1">
            <w:pPr>
              <w:spacing w:before="120" w:after="120"/>
              <w:rPr>
                <w:szCs w:val="22"/>
              </w:rPr>
            </w:pPr>
            <w:r w:rsidRPr="001800B7">
              <w:rPr>
                <w:szCs w:val="22"/>
              </w:rPr>
              <w:t xml:space="preserve">Les États membres ayant formulé une demande qui </w:t>
            </w:r>
            <w:proofErr w:type="gramStart"/>
            <w:r w:rsidRPr="001800B7">
              <w:rPr>
                <w:szCs w:val="22"/>
              </w:rPr>
              <w:t>satisfont</w:t>
            </w:r>
            <w:proofErr w:type="gramEnd"/>
            <w:r w:rsidRPr="001800B7">
              <w:rPr>
                <w:szCs w:val="22"/>
              </w:rPr>
              <w:t xml:space="preserve"> aux conditions initialement définies et qui acceptent le calendrier, les conditions, la méthode et les attentes relatifs au projet, signeront un accord de coopération avec l</w:t>
            </w:r>
            <w:r w:rsidR="005311D6" w:rsidRPr="001800B7">
              <w:rPr>
                <w:szCs w:val="22"/>
              </w:rPr>
              <w:t>’</w:t>
            </w:r>
            <w:r w:rsidRPr="001800B7">
              <w:rPr>
                <w:szCs w:val="22"/>
              </w:rPr>
              <w:t>OMPI dans le cadre de ce projet, dans lequel ils s</w:t>
            </w:r>
            <w:r w:rsidR="005311D6" w:rsidRPr="001800B7">
              <w:rPr>
                <w:szCs w:val="22"/>
              </w:rPr>
              <w:t>’</w:t>
            </w:r>
            <w:r w:rsidRPr="001800B7">
              <w:rPr>
                <w:szCs w:val="22"/>
              </w:rPr>
              <w:t>engageront à continuer d</w:t>
            </w:r>
            <w:r w:rsidR="005311D6" w:rsidRPr="001800B7">
              <w:rPr>
                <w:szCs w:val="22"/>
              </w:rPr>
              <w:t>’</w:t>
            </w:r>
            <w:r w:rsidRPr="001800B7">
              <w:rPr>
                <w:szCs w:val="22"/>
              </w:rPr>
              <w:t>exploiter un centre de formation autonome après l</w:t>
            </w:r>
            <w:r w:rsidR="005311D6" w:rsidRPr="001800B7">
              <w:rPr>
                <w:szCs w:val="22"/>
              </w:rPr>
              <w:t>’</w:t>
            </w:r>
            <w:r w:rsidRPr="001800B7">
              <w:rPr>
                <w:szCs w:val="22"/>
              </w:rPr>
              <w:t>expiration de la période de coopération.</w:t>
            </w:r>
          </w:p>
          <w:p w:rsidR="00923EF1" w:rsidRPr="001800B7" w:rsidRDefault="00923EF1" w:rsidP="00923EF1">
            <w:pPr>
              <w:spacing w:before="120" w:after="120"/>
              <w:rPr>
                <w:i/>
                <w:szCs w:val="22"/>
              </w:rPr>
            </w:pPr>
            <w:r w:rsidRPr="001800B7">
              <w:rPr>
                <w:szCs w:val="22"/>
              </w:rPr>
              <w:t>La poursuite de la coopération dans le cadre de ce projet dépendra de la signature d</w:t>
            </w:r>
            <w:r w:rsidR="005311D6" w:rsidRPr="001800B7">
              <w:rPr>
                <w:szCs w:val="22"/>
              </w:rPr>
              <w:t>’</w:t>
            </w:r>
            <w:r w:rsidRPr="001800B7">
              <w:rPr>
                <w:szCs w:val="22"/>
              </w:rPr>
              <w:t>un accord.</w:t>
            </w:r>
          </w:p>
        </w:tc>
        <w:tc>
          <w:tcPr>
            <w:tcW w:w="2975" w:type="dxa"/>
            <w:shd w:val="clear" w:color="auto" w:fill="auto"/>
          </w:tcPr>
          <w:p w:rsidR="00923EF1" w:rsidRPr="001800B7" w:rsidRDefault="00923EF1" w:rsidP="00923EF1">
            <w:pPr>
              <w:spacing w:before="120" w:after="120"/>
              <w:rPr>
                <w:szCs w:val="22"/>
              </w:rPr>
            </w:pPr>
            <w:r w:rsidRPr="001800B7">
              <w:rPr>
                <w:szCs w:val="22"/>
              </w:rPr>
              <w:t>Achevé pendant la phase I du projet.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923EF1" w:rsidRPr="001800B7" w:rsidRDefault="00923EF1" w:rsidP="00923EF1">
            <w:pPr>
              <w:spacing w:before="120" w:after="120"/>
              <w:rPr>
                <w:szCs w:val="22"/>
              </w:rPr>
            </w:pPr>
            <w:r w:rsidRPr="001800B7">
              <w:rPr>
                <w:szCs w:val="22"/>
              </w:rPr>
              <w:t>Achevé pendant la phase I du projet.</w:t>
            </w:r>
          </w:p>
        </w:tc>
        <w:tc>
          <w:tcPr>
            <w:tcW w:w="1455" w:type="dxa"/>
            <w:shd w:val="clear" w:color="auto" w:fill="auto"/>
          </w:tcPr>
          <w:p w:rsidR="00923EF1" w:rsidRPr="001800B7" w:rsidRDefault="00923EF1" w:rsidP="00923EF1">
            <w:pPr>
              <w:spacing w:before="120" w:after="120"/>
              <w:rPr>
                <w:szCs w:val="22"/>
              </w:rPr>
            </w:pPr>
            <w:r w:rsidRPr="001800B7">
              <w:rPr>
                <w:szCs w:val="22"/>
              </w:rPr>
              <w:t>****</w:t>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r w:rsidRPr="001800B7">
              <w:rPr>
                <w:szCs w:val="22"/>
              </w:rPr>
              <w:br/>
            </w:r>
          </w:p>
          <w:p w:rsidR="00923EF1" w:rsidRPr="001800B7" w:rsidRDefault="00923EF1" w:rsidP="00923EF1">
            <w:pPr>
              <w:spacing w:before="120" w:after="120"/>
              <w:rPr>
                <w:szCs w:val="22"/>
              </w:rPr>
            </w:pPr>
            <w:r w:rsidRPr="001800B7">
              <w:rPr>
                <w:szCs w:val="22"/>
              </w:rPr>
              <w:t>****</w:t>
            </w:r>
          </w:p>
        </w:tc>
      </w:tr>
      <w:tr w:rsidR="001800B7" w:rsidRPr="001800B7" w:rsidTr="00923EF1">
        <w:tc>
          <w:tcPr>
            <w:tcW w:w="2368" w:type="dxa"/>
            <w:shd w:val="clear" w:color="auto" w:fill="auto"/>
          </w:tcPr>
          <w:p w:rsidR="0010628F" w:rsidRPr="001800B7" w:rsidRDefault="0010628F" w:rsidP="00923EF1">
            <w:pPr>
              <w:spacing w:before="120" w:after="120"/>
              <w:rPr>
                <w:bCs/>
                <w:szCs w:val="22"/>
              </w:rPr>
            </w:pPr>
            <w:r w:rsidRPr="001800B7">
              <w:rPr>
                <w:bCs/>
                <w:szCs w:val="22"/>
              </w:rPr>
              <w:t>5.  Programme de travail élaboré.</w:t>
            </w:r>
          </w:p>
        </w:tc>
        <w:tc>
          <w:tcPr>
            <w:tcW w:w="2693" w:type="dxa"/>
            <w:shd w:val="clear" w:color="auto" w:fill="auto"/>
          </w:tcPr>
          <w:p w:rsidR="0010628F" w:rsidRPr="001800B7" w:rsidRDefault="0010628F" w:rsidP="00923EF1">
            <w:pPr>
              <w:spacing w:before="120" w:after="120"/>
              <w:rPr>
                <w:szCs w:val="22"/>
              </w:rPr>
            </w:pPr>
            <w:r w:rsidRPr="001800B7">
              <w:rPr>
                <w:szCs w:val="22"/>
              </w:rPr>
              <w:t>Les programmes de travail relatifs au programme de formation des formateurs et aux activités envisagées dans le cadre de la coopération pour la création de centres de formation au niveau local seront établis par les coordonnateurs nationaux sous la houlette du consultant ad hoc,</w:t>
            </w:r>
            <w:r w:rsidRPr="001800B7">
              <w:rPr>
                <w:i/>
                <w:szCs w:val="22"/>
              </w:rPr>
              <w:t xml:space="preserve"> </w:t>
            </w:r>
            <w:r w:rsidRPr="001800B7">
              <w:rPr>
                <w:szCs w:val="22"/>
              </w:rPr>
              <w:t>sur une base annuelle, à la suite de la signature de l</w:t>
            </w:r>
            <w:r w:rsidR="005311D6" w:rsidRPr="001800B7">
              <w:rPr>
                <w:szCs w:val="22"/>
              </w:rPr>
              <w:t>’</w:t>
            </w:r>
            <w:r w:rsidRPr="001800B7">
              <w:rPr>
                <w:szCs w:val="22"/>
              </w:rPr>
              <w:t>accord de coopération.</w:t>
            </w:r>
          </w:p>
        </w:tc>
        <w:tc>
          <w:tcPr>
            <w:tcW w:w="2975" w:type="dxa"/>
            <w:shd w:val="clear" w:color="auto" w:fill="auto"/>
          </w:tcPr>
          <w:p w:rsidR="0010628F" w:rsidRPr="001800B7" w:rsidRDefault="0010628F" w:rsidP="00923EF1">
            <w:pPr>
              <w:spacing w:before="120" w:after="120"/>
              <w:rPr>
                <w:szCs w:val="22"/>
              </w:rPr>
            </w:pPr>
            <w:r w:rsidRPr="001800B7">
              <w:rPr>
                <w:szCs w:val="22"/>
              </w:rPr>
              <w:t>Les programmes de travail nationaux ont été préparés par les directeurs des centres nationaux de la propriété intellectuelle avec l</w:t>
            </w:r>
            <w:r w:rsidR="005311D6" w:rsidRPr="001800B7">
              <w:rPr>
                <w:szCs w:val="22"/>
              </w:rPr>
              <w:t>’</w:t>
            </w:r>
            <w:r w:rsidRPr="001800B7">
              <w:rPr>
                <w:szCs w:val="22"/>
              </w:rPr>
              <w:t>aide de consultants ad hoc.</w:t>
            </w:r>
          </w:p>
        </w:tc>
        <w:tc>
          <w:tcPr>
            <w:tcW w:w="1455" w:type="dxa"/>
            <w:shd w:val="clear" w:color="auto" w:fill="auto"/>
          </w:tcPr>
          <w:p w:rsidR="0010628F" w:rsidRPr="001800B7" w:rsidRDefault="0010628F" w:rsidP="00923EF1">
            <w:pPr>
              <w:spacing w:before="120" w:after="120"/>
              <w:rPr>
                <w:szCs w:val="22"/>
              </w:rPr>
            </w:pPr>
            <w:r w:rsidRPr="001800B7">
              <w:rPr>
                <w:szCs w:val="22"/>
              </w:rPr>
              <w:t>****</w:t>
            </w:r>
          </w:p>
        </w:tc>
      </w:tr>
      <w:tr w:rsidR="001800B7" w:rsidRPr="001800B7" w:rsidTr="00923EF1">
        <w:tc>
          <w:tcPr>
            <w:tcW w:w="2368" w:type="dxa"/>
            <w:shd w:val="clear" w:color="auto" w:fill="auto"/>
          </w:tcPr>
          <w:p w:rsidR="0010628F" w:rsidRPr="001800B7" w:rsidRDefault="0010628F" w:rsidP="00923EF1">
            <w:pPr>
              <w:spacing w:before="120" w:after="120"/>
              <w:rPr>
                <w:bCs/>
                <w:szCs w:val="22"/>
              </w:rPr>
            </w:pPr>
            <w:r w:rsidRPr="001800B7">
              <w:rPr>
                <w:bCs/>
                <w:szCs w:val="22"/>
              </w:rPr>
              <w:t>6.  Groupe restreint de formateurs au bénéfice d</w:t>
            </w:r>
            <w:r w:rsidR="005311D6" w:rsidRPr="001800B7">
              <w:rPr>
                <w:bCs/>
                <w:szCs w:val="22"/>
              </w:rPr>
              <w:t>’</w:t>
            </w:r>
            <w:r w:rsidRPr="001800B7">
              <w:rPr>
                <w:bCs/>
                <w:szCs w:val="22"/>
              </w:rPr>
              <w:t>une formation</w:t>
            </w:r>
          </w:p>
        </w:tc>
        <w:tc>
          <w:tcPr>
            <w:tcW w:w="2693" w:type="dxa"/>
            <w:shd w:val="clear" w:color="auto" w:fill="auto"/>
          </w:tcPr>
          <w:p w:rsidR="0010628F" w:rsidRPr="001800B7" w:rsidRDefault="0010628F" w:rsidP="00923EF1">
            <w:pPr>
              <w:spacing w:before="120" w:after="120"/>
              <w:rPr>
                <w:szCs w:val="22"/>
              </w:rPr>
            </w:pPr>
            <w:r w:rsidRPr="001800B7">
              <w:rPr>
                <w:szCs w:val="22"/>
              </w:rPr>
              <w:t>– Un minimum de cinq formateurs au niveau local.</w:t>
            </w:r>
          </w:p>
          <w:p w:rsidR="0010628F" w:rsidRPr="001800B7" w:rsidRDefault="0010628F" w:rsidP="00923EF1">
            <w:pPr>
              <w:spacing w:before="120" w:after="120"/>
              <w:rPr>
                <w:szCs w:val="22"/>
              </w:rPr>
            </w:pPr>
            <w:r w:rsidRPr="001800B7">
              <w:rPr>
                <w:szCs w:val="22"/>
              </w:rPr>
              <w:t xml:space="preserve">– Environ 200 heures de </w:t>
            </w:r>
            <w:r w:rsidRPr="001800B7">
              <w:rPr>
                <w:szCs w:val="22"/>
              </w:rPr>
              <w:lastRenderedPageBreak/>
              <w:t>formation.</w:t>
            </w:r>
          </w:p>
          <w:p w:rsidR="0010628F" w:rsidRPr="001800B7" w:rsidRDefault="0010628F" w:rsidP="00923EF1">
            <w:pPr>
              <w:spacing w:before="120" w:after="120"/>
              <w:rPr>
                <w:szCs w:val="22"/>
              </w:rPr>
            </w:pPr>
            <w:r w:rsidRPr="001800B7">
              <w:rPr>
                <w:szCs w:val="22"/>
              </w:rPr>
              <w:t>– L</w:t>
            </w:r>
            <w:r w:rsidR="005311D6" w:rsidRPr="001800B7">
              <w:rPr>
                <w:szCs w:val="22"/>
              </w:rPr>
              <w:t>’</w:t>
            </w:r>
            <w:r w:rsidRPr="001800B7">
              <w:rPr>
                <w:szCs w:val="22"/>
              </w:rPr>
              <w:t>attestation de la participation est liée à l</w:t>
            </w:r>
            <w:r w:rsidR="005311D6" w:rsidRPr="001800B7">
              <w:rPr>
                <w:szCs w:val="22"/>
              </w:rPr>
              <w:t>’</w:t>
            </w:r>
            <w:r w:rsidRPr="001800B7">
              <w:rPr>
                <w:szCs w:val="22"/>
              </w:rPr>
              <w:t>évaluation finale.</w:t>
            </w:r>
          </w:p>
        </w:tc>
        <w:tc>
          <w:tcPr>
            <w:tcW w:w="2975" w:type="dxa"/>
            <w:shd w:val="clear" w:color="auto" w:fill="auto"/>
          </w:tcPr>
          <w:p w:rsidR="0010628F" w:rsidRPr="001800B7" w:rsidRDefault="0010628F" w:rsidP="00923EF1">
            <w:pPr>
              <w:autoSpaceDE w:val="0"/>
              <w:autoSpaceDN w:val="0"/>
              <w:adjustRightInd w:val="0"/>
              <w:spacing w:before="120" w:after="120"/>
              <w:rPr>
                <w:bCs/>
                <w:iCs/>
                <w:szCs w:val="22"/>
                <w:lang w:bidi="th-TH"/>
              </w:rPr>
            </w:pPr>
            <w:r w:rsidRPr="001800B7">
              <w:rPr>
                <w:bCs/>
                <w:iCs/>
                <w:szCs w:val="22"/>
                <w:lang w:bidi="th-TH"/>
              </w:rPr>
              <w:lastRenderedPageBreak/>
              <w:t xml:space="preserve">Ce projet a conçu et mis en place un programme de 800 heures de formation des formateurs au niveau national dans cinq pays </w:t>
            </w:r>
            <w:r w:rsidRPr="001800B7">
              <w:rPr>
                <w:bCs/>
                <w:iCs/>
                <w:szCs w:val="22"/>
                <w:lang w:bidi="th-TH"/>
              </w:rPr>
              <w:lastRenderedPageBreak/>
              <w:t>pilotes (cette activité n</w:t>
            </w:r>
            <w:r w:rsidR="005311D6" w:rsidRPr="001800B7">
              <w:rPr>
                <w:bCs/>
                <w:iCs/>
                <w:szCs w:val="22"/>
                <w:lang w:bidi="th-TH"/>
              </w:rPr>
              <w:t>’</w:t>
            </w:r>
            <w:r w:rsidRPr="001800B7">
              <w:rPr>
                <w:bCs/>
                <w:iCs/>
                <w:szCs w:val="22"/>
                <w:lang w:bidi="th-TH"/>
              </w:rPr>
              <w:t>a pas été initiée en Éthiopie lors de la période de mise en œuvre du projet).  À ce jour, 86 formateurs nationaux de cinq pays ont été évalués et certifiés pour des programmes de formation des formateurs spécialement conçus à leur intention.</w:t>
            </w:r>
          </w:p>
          <w:p w:rsidR="0010628F" w:rsidRPr="001800B7" w:rsidRDefault="0010628F" w:rsidP="00923EF1">
            <w:pPr>
              <w:autoSpaceDE w:val="0"/>
              <w:autoSpaceDN w:val="0"/>
              <w:adjustRightInd w:val="0"/>
              <w:spacing w:before="120" w:after="120"/>
              <w:rPr>
                <w:bCs/>
                <w:iCs/>
                <w:szCs w:val="22"/>
                <w:lang w:bidi="th-TH"/>
              </w:rPr>
            </w:pPr>
            <w:r w:rsidRPr="001800B7">
              <w:rPr>
                <w:bCs/>
                <w:iCs/>
                <w:szCs w:val="22"/>
                <w:lang w:bidi="th-TH"/>
              </w:rPr>
              <w:t>Ce projet a assuré le financement total de bourses octroyées à 18 formateurs principaux dans les pays pilotes, dans le cadre de programmes de Masters internationaux en droit de la propriété intellectuelle.</w:t>
            </w:r>
          </w:p>
          <w:p w:rsidR="0010628F" w:rsidRPr="001800B7" w:rsidRDefault="0010628F" w:rsidP="00923EF1">
            <w:pPr>
              <w:spacing w:before="120" w:after="120"/>
              <w:ind w:left="33"/>
              <w:rPr>
                <w:szCs w:val="22"/>
              </w:rPr>
            </w:pPr>
            <w:r w:rsidRPr="001800B7">
              <w:rPr>
                <w:szCs w:val="22"/>
              </w:rPr>
              <w:t>Les résultats de ces travaux seront totalement finalisés à la fin de 2014, lorsque l</w:t>
            </w:r>
            <w:r w:rsidR="005311D6" w:rsidRPr="001800B7">
              <w:rPr>
                <w:szCs w:val="22"/>
              </w:rPr>
              <w:t>’</w:t>
            </w:r>
            <w:r w:rsidRPr="001800B7">
              <w:rPr>
                <w:szCs w:val="22"/>
              </w:rPr>
              <w:t>Éthiopie disposera d</w:t>
            </w:r>
            <w:r w:rsidR="005311D6" w:rsidRPr="001800B7">
              <w:rPr>
                <w:szCs w:val="22"/>
              </w:rPr>
              <w:t>’</w:t>
            </w:r>
            <w:r w:rsidRPr="001800B7">
              <w:rPr>
                <w:szCs w:val="22"/>
              </w:rPr>
              <w:t>un groupe restreint d</w:t>
            </w:r>
            <w:r w:rsidR="005311D6" w:rsidRPr="001800B7">
              <w:rPr>
                <w:szCs w:val="22"/>
              </w:rPr>
              <w:t>’</w:t>
            </w:r>
            <w:r w:rsidRPr="001800B7">
              <w:rPr>
                <w:szCs w:val="22"/>
              </w:rPr>
              <w:t>au moins cinq formateurs avec des diplômes de master financés par le projet (pour des raisons d</w:t>
            </w:r>
            <w:r w:rsidR="005311D6" w:rsidRPr="001800B7">
              <w:rPr>
                <w:szCs w:val="22"/>
              </w:rPr>
              <w:t>’</w:t>
            </w:r>
            <w:r w:rsidRPr="001800B7">
              <w:rPr>
                <w:szCs w:val="22"/>
              </w:rPr>
              <w:t>infrastructures physiques nationales, il n</w:t>
            </w:r>
            <w:r w:rsidR="005311D6" w:rsidRPr="001800B7">
              <w:rPr>
                <w:szCs w:val="22"/>
              </w:rPr>
              <w:t>’</w:t>
            </w:r>
            <w:r w:rsidRPr="001800B7">
              <w:rPr>
                <w:szCs w:val="22"/>
              </w:rPr>
              <w:t>a pas été possible de mettre en œuvre le programme de formation des formateurs en Éthiopie lors de la mise en œuvre de ce projet).</w:t>
            </w:r>
          </w:p>
        </w:tc>
        <w:tc>
          <w:tcPr>
            <w:tcW w:w="1455" w:type="dxa"/>
            <w:shd w:val="clear" w:color="auto" w:fill="auto"/>
          </w:tcPr>
          <w:p w:rsidR="0010628F" w:rsidRPr="001800B7" w:rsidRDefault="0010628F" w:rsidP="00923EF1">
            <w:pPr>
              <w:spacing w:before="120" w:after="120"/>
              <w:rPr>
                <w:szCs w:val="22"/>
              </w:rPr>
            </w:pPr>
            <w:r w:rsidRPr="001800B7">
              <w:rPr>
                <w:szCs w:val="22"/>
              </w:rPr>
              <w:lastRenderedPageBreak/>
              <w:t>****</w:t>
            </w:r>
          </w:p>
        </w:tc>
      </w:tr>
      <w:tr w:rsidR="001800B7" w:rsidRPr="001800B7" w:rsidTr="00923EF1">
        <w:tc>
          <w:tcPr>
            <w:tcW w:w="2368" w:type="dxa"/>
            <w:shd w:val="clear" w:color="auto" w:fill="auto"/>
          </w:tcPr>
          <w:p w:rsidR="0010628F" w:rsidRPr="001800B7" w:rsidRDefault="0010628F" w:rsidP="00923EF1">
            <w:pPr>
              <w:spacing w:before="120" w:after="120"/>
              <w:rPr>
                <w:bCs/>
                <w:szCs w:val="22"/>
              </w:rPr>
            </w:pPr>
            <w:r w:rsidRPr="001800B7">
              <w:rPr>
                <w:bCs/>
                <w:szCs w:val="22"/>
              </w:rPr>
              <w:lastRenderedPageBreak/>
              <w:t>7.  Coordonnateurs académiques au bénéfice d</w:t>
            </w:r>
            <w:r w:rsidR="005311D6" w:rsidRPr="001800B7">
              <w:rPr>
                <w:bCs/>
                <w:szCs w:val="22"/>
              </w:rPr>
              <w:t>’</w:t>
            </w:r>
            <w:r w:rsidRPr="001800B7">
              <w:rPr>
                <w:bCs/>
                <w:szCs w:val="22"/>
              </w:rPr>
              <w:t>une formation.</w:t>
            </w:r>
          </w:p>
        </w:tc>
        <w:tc>
          <w:tcPr>
            <w:tcW w:w="2693" w:type="dxa"/>
            <w:shd w:val="clear" w:color="auto" w:fill="auto"/>
          </w:tcPr>
          <w:p w:rsidR="0010628F" w:rsidRPr="001800B7" w:rsidRDefault="0010628F" w:rsidP="00923EF1">
            <w:pPr>
              <w:spacing w:before="120" w:after="120"/>
              <w:rPr>
                <w:szCs w:val="22"/>
              </w:rPr>
            </w:pPr>
            <w:r w:rsidRPr="001800B7">
              <w:rPr>
                <w:szCs w:val="22"/>
              </w:rPr>
              <w:t xml:space="preserve">– Au moins un coordonnateur académique au niveau local formé aux compétences nécessaires à la coordination des tâches des établissements de formation financés par des fonds publics, comme la gestion de projets, la gestion des ressources humaines et </w:t>
            </w:r>
            <w:r w:rsidRPr="001800B7">
              <w:rPr>
                <w:szCs w:val="22"/>
              </w:rPr>
              <w:lastRenderedPageBreak/>
              <w:t>la collecte de fonds.</w:t>
            </w:r>
          </w:p>
          <w:p w:rsidR="0010628F" w:rsidRPr="001800B7" w:rsidRDefault="0010628F" w:rsidP="00923EF1">
            <w:pPr>
              <w:spacing w:before="120" w:after="120"/>
              <w:rPr>
                <w:szCs w:val="22"/>
              </w:rPr>
            </w:pPr>
            <w:r w:rsidRPr="001800B7">
              <w:rPr>
                <w:szCs w:val="22"/>
              </w:rPr>
              <w:t>– Environ 160 heures de formation</w:t>
            </w:r>
            <w:r w:rsidRPr="001800B7">
              <w:rPr>
                <w:rStyle w:val="FootnoteReference"/>
                <w:szCs w:val="22"/>
              </w:rPr>
              <w:footnoteReference w:id="9"/>
            </w:r>
            <w:r w:rsidRPr="001800B7">
              <w:rPr>
                <w:szCs w:val="22"/>
              </w:rPr>
              <w:t>.</w:t>
            </w:r>
          </w:p>
          <w:p w:rsidR="0010628F" w:rsidRPr="001800B7" w:rsidRDefault="0010628F" w:rsidP="00923EF1">
            <w:pPr>
              <w:spacing w:before="120" w:after="120"/>
              <w:rPr>
                <w:i/>
                <w:szCs w:val="22"/>
              </w:rPr>
            </w:pPr>
            <w:r w:rsidRPr="001800B7">
              <w:rPr>
                <w:szCs w:val="22"/>
              </w:rPr>
              <w:t>– L</w:t>
            </w:r>
            <w:r w:rsidR="005311D6" w:rsidRPr="001800B7">
              <w:rPr>
                <w:szCs w:val="22"/>
              </w:rPr>
              <w:t>’</w:t>
            </w:r>
            <w:r w:rsidRPr="001800B7">
              <w:rPr>
                <w:szCs w:val="22"/>
              </w:rPr>
              <w:t>attestation de la participation est liée à l</w:t>
            </w:r>
            <w:r w:rsidR="005311D6" w:rsidRPr="001800B7">
              <w:rPr>
                <w:szCs w:val="22"/>
              </w:rPr>
              <w:t>’</w:t>
            </w:r>
            <w:r w:rsidRPr="001800B7">
              <w:rPr>
                <w:szCs w:val="22"/>
              </w:rPr>
              <w:t>évaluation finale.</w:t>
            </w:r>
          </w:p>
        </w:tc>
        <w:tc>
          <w:tcPr>
            <w:tcW w:w="2975" w:type="dxa"/>
            <w:shd w:val="clear" w:color="auto" w:fill="auto"/>
          </w:tcPr>
          <w:p w:rsidR="0010628F" w:rsidRPr="001800B7" w:rsidRDefault="0010628F" w:rsidP="00923EF1">
            <w:pPr>
              <w:autoSpaceDE w:val="0"/>
              <w:autoSpaceDN w:val="0"/>
              <w:adjustRightInd w:val="0"/>
              <w:spacing w:before="120" w:after="120"/>
              <w:rPr>
                <w:bCs/>
                <w:iCs/>
                <w:szCs w:val="22"/>
                <w:lang w:bidi="th-TH"/>
              </w:rPr>
            </w:pPr>
            <w:r w:rsidRPr="001800B7">
              <w:rPr>
                <w:bCs/>
                <w:iCs/>
                <w:szCs w:val="22"/>
                <w:lang w:bidi="th-TH"/>
              </w:rPr>
              <w:lastRenderedPageBreak/>
              <w:t>Ce projet a élaboré et dispensé plus de 310 heures de formation destinées à des coordonnateurs académiques, à raison de huit modules dispensés à un niveau international ou régional.  Dans l</w:t>
            </w:r>
            <w:r w:rsidR="005311D6" w:rsidRPr="001800B7">
              <w:rPr>
                <w:bCs/>
                <w:iCs/>
                <w:szCs w:val="22"/>
                <w:lang w:bidi="th-TH"/>
              </w:rPr>
              <w:t>’</w:t>
            </w:r>
            <w:r w:rsidRPr="001800B7">
              <w:rPr>
                <w:bCs/>
                <w:iCs/>
                <w:szCs w:val="22"/>
                <w:lang w:bidi="th-TH"/>
              </w:rPr>
              <w:t xml:space="preserve">ensemble, 70 ressortissants de pays pilotes engagés dans la création de centres nationaux de formation à la propriété intellectuelle ont </w:t>
            </w:r>
            <w:r w:rsidRPr="001800B7">
              <w:rPr>
                <w:bCs/>
                <w:iCs/>
                <w:szCs w:val="22"/>
                <w:lang w:bidi="th-TH"/>
              </w:rPr>
              <w:lastRenderedPageBreak/>
              <w:t>participé à ces formations, dont quatre ont suivi la totalité des 160 heures de formation.</w:t>
            </w:r>
          </w:p>
          <w:p w:rsidR="0010628F" w:rsidRPr="001800B7" w:rsidRDefault="0010628F" w:rsidP="00923EF1">
            <w:pPr>
              <w:autoSpaceDE w:val="0"/>
              <w:autoSpaceDN w:val="0"/>
              <w:adjustRightInd w:val="0"/>
              <w:spacing w:before="120" w:after="120"/>
              <w:rPr>
                <w:szCs w:val="22"/>
              </w:rPr>
            </w:pPr>
            <w:r w:rsidRPr="001800B7">
              <w:rPr>
                <w:bCs/>
                <w:iCs/>
                <w:szCs w:val="22"/>
                <w:lang w:bidi="th-TH"/>
              </w:rPr>
              <w:t>Dans certains centres nationaux de formation à la propriété intellectuelle, le personnel principal chargé de la gestion a été réaffecté et le nouveau personnel de remplacement n</w:t>
            </w:r>
            <w:r w:rsidR="005311D6" w:rsidRPr="001800B7">
              <w:rPr>
                <w:bCs/>
                <w:iCs/>
                <w:szCs w:val="22"/>
                <w:lang w:bidi="th-TH"/>
              </w:rPr>
              <w:t>’</w:t>
            </w:r>
            <w:r w:rsidRPr="001800B7">
              <w:rPr>
                <w:bCs/>
                <w:iCs/>
                <w:szCs w:val="22"/>
                <w:lang w:bidi="th-TH"/>
              </w:rPr>
              <w:t>a pas été à même de suivre le nombre minimal d</w:t>
            </w:r>
            <w:r w:rsidR="005311D6" w:rsidRPr="001800B7">
              <w:rPr>
                <w:bCs/>
                <w:iCs/>
                <w:szCs w:val="22"/>
                <w:lang w:bidi="th-TH"/>
              </w:rPr>
              <w:t>’</w:t>
            </w:r>
            <w:r w:rsidRPr="001800B7">
              <w:rPr>
                <w:bCs/>
                <w:iCs/>
                <w:szCs w:val="22"/>
                <w:lang w:bidi="th-TH"/>
              </w:rPr>
              <w:t>heures de formation requis pour obtenir la certification.  Afin de remédier à ce problème, le projet a favorisé leur participation à certains programmes de formation spécialisés dispensés par l</w:t>
            </w:r>
            <w:r w:rsidR="005311D6" w:rsidRPr="001800B7">
              <w:rPr>
                <w:bCs/>
                <w:iCs/>
                <w:szCs w:val="22"/>
                <w:lang w:bidi="th-TH"/>
              </w:rPr>
              <w:t>’</w:t>
            </w:r>
            <w:r w:rsidRPr="001800B7">
              <w:rPr>
                <w:bCs/>
                <w:iCs/>
                <w:szCs w:val="22"/>
                <w:lang w:bidi="th-TH"/>
              </w:rPr>
              <w:t>Académie de l</w:t>
            </w:r>
            <w:r w:rsidR="005311D6" w:rsidRPr="001800B7">
              <w:rPr>
                <w:bCs/>
                <w:iCs/>
                <w:szCs w:val="22"/>
                <w:lang w:bidi="th-TH"/>
              </w:rPr>
              <w:t>’</w:t>
            </w:r>
            <w:r w:rsidRPr="001800B7">
              <w:rPr>
                <w:bCs/>
                <w:iCs/>
                <w:szCs w:val="22"/>
                <w:lang w:bidi="th-TH"/>
              </w:rPr>
              <w:t>OMPI et traitant de certaines questions de gestion.</w:t>
            </w:r>
          </w:p>
        </w:tc>
        <w:tc>
          <w:tcPr>
            <w:tcW w:w="1455" w:type="dxa"/>
            <w:shd w:val="clear" w:color="auto" w:fill="auto"/>
          </w:tcPr>
          <w:p w:rsidR="0010628F" w:rsidRPr="001800B7" w:rsidRDefault="0010628F" w:rsidP="00923EF1">
            <w:pPr>
              <w:spacing w:before="120" w:after="120"/>
              <w:rPr>
                <w:szCs w:val="22"/>
              </w:rPr>
            </w:pPr>
            <w:r w:rsidRPr="001800B7">
              <w:rPr>
                <w:szCs w:val="22"/>
              </w:rPr>
              <w:lastRenderedPageBreak/>
              <w:t>****</w:t>
            </w:r>
          </w:p>
        </w:tc>
      </w:tr>
      <w:tr w:rsidR="001800B7" w:rsidRPr="001800B7" w:rsidTr="00923EF1">
        <w:tc>
          <w:tcPr>
            <w:tcW w:w="2368" w:type="dxa"/>
            <w:shd w:val="clear" w:color="auto" w:fill="auto"/>
          </w:tcPr>
          <w:p w:rsidR="0010628F" w:rsidRPr="001800B7" w:rsidRDefault="0010628F" w:rsidP="00923EF1">
            <w:pPr>
              <w:spacing w:before="120" w:after="120"/>
              <w:rPr>
                <w:bCs/>
                <w:szCs w:val="22"/>
              </w:rPr>
            </w:pPr>
            <w:r w:rsidRPr="001800B7">
              <w:rPr>
                <w:bCs/>
                <w:szCs w:val="22"/>
              </w:rPr>
              <w:lastRenderedPageBreak/>
              <w:t>8.  Plan d</w:t>
            </w:r>
            <w:r w:rsidR="005311D6" w:rsidRPr="001800B7">
              <w:rPr>
                <w:bCs/>
                <w:szCs w:val="22"/>
              </w:rPr>
              <w:t>’</w:t>
            </w:r>
            <w:r w:rsidRPr="001800B7">
              <w:rPr>
                <w:bCs/>
                <w:szCs w:val="22"/>
              </w:rPr>
              <w:t>activités élaboré</w:t>
            </w:r>
          </w:p>
        </w:tc>
        <w:tc>
          <w:tcPr>
            <w:tcW w:w="2693" w:type="dxa"/>
            <w:shd w:val="clear" w:color="auto" w:fill="auto"/>
          </w:tcPr>
          <w:p w:rsidR="0010628F" w:rsidRPr="001800B7" w:rsidRDefault="0010628F" w:rsidP="00923EF1">
            <w:pPr>
              <w:spacing w:before="120" w:after="120"/>
              <w:rPr>
                <w:i/>
                <w:szCs w:val="22"/>
              </w:rPr>
            </w:pPr>
            <w:r w:rsidRPr="001800B7">
              <w:rPr>
                <w:szCs w:val="22"/>
              </w:rPr>
              <w:t>Élaboration d</w:t>
            </w:r>
            <w:r w:rsidR="005311D6" w:rsidRPr="001800B7">
              <w:rPr>
                <w:szCs w:val="22"/>
              </w:rPr>
              <w:t>’</w:t>
            </w:r>
            <w:r w:rsidRPr="001800B7">
              <w:rPr>
                <w:szCs w:val="22"/>
              </w:rPr>
              <w:t>un plan d</w:t>
            </w:r>
            <w:r w:rsidR="005311D6" w:rsidRPr="001800B7">
              <w:rPr>
                <w:szCs w:val="22"/>
              </w:rPr>
              <w:t>’</w:t>
            </w:r>
            <w:r w:rsidRPr="001800B7">
              <w:rPr>
                <w:szCs w:val="22"/>
              </w:rPr>
              <w:t>activités pour l</w:t>
            </w:r>
            <w:r w:rsidR="005311D6" w:rsidRPr="001800B7">
              <w:rPr>
                <w:szCs w:val="22"/>
              </w:rPr>
              <w:t>’</w:t>
            </w:r>
            <w:r w:rsidRPr="001800B7">
              <w:rPr>
                <w:szCs w:val="22"/>
              </w:rPr>
              <w:t>établissement de formation local, comprenant des objectifs et des évaluations de l</w:t>
            </w:r>
            <w:r w:rsidR="005311D6" w:rsidRPr="001800B7">
              <w:rPr>
                <w:szCs w:val="22"/>
              </w:rPr>
              <w:t>’</w:t>
            </w:r>
            <w:r w:rsidRPr="001800B7">
              <w:rPr>
                <w:szCs w:val="22"/>
              </w:rPr>
              <w:t>autonomie de l</w:t>
            </w:r>
            <w:r w:rsidR="005311D6" w:rsidRPr="001800B7">
              <w:rPr>
                <w:szCs w:val="22"/>
              </w:rPr>
              <w:t>’</w:t>
            </w:r>
            <w:r w:rsidRPr="001800B7">
              <w:rPr>
                <w:szCs w:val="22"/>
              </w:rPr>
              <w:t>établissement pour les deux années suivant la fin de la période de coopération.</w:t>
            </w:r>
          </w:p>
        </w:tc>
        <w:tc>
          <w:tcPr>
            <w:tcW w:w="2975" w:type="dxa"/>
            <w:shd w:val="clear" w:color="auto" w:fill="auto"/>
          </w:tcPr>
          <w:p w:rsidR="0010628F" w:rsidRPr="001800B7" w:rsidRDefault="0010628F" w:rsidP="00923EF1">
            <w:pPr>
              <w:spacing w:before="120" w:after="120"/>
              <w:rPr>
                <w:szCs w:val="22"/>
              </w:rPr>
            </w:pPr>
            <w:r w:rsidRPr="001800B7">
              <w:rPr>
                <w:szCs w:val="22"/>
              </w:rPr>
              <w:t>Ce résultat a été retardé car tous les centres nationaux de formation à la propriété intellectuelle n</w:t>
            </w:r>
            <w:r w:rsidR="005311D6" w:rsidRPr="001800B7">
              <w:rPr>
                <w:szCs w:val="22"/>
              </w:rPr>
              <w:t>’</w:t>
            </w:r>
            <w:r w:rsidRPr="001800B7">
              <w:rPr>
                <w:szCs w:val="22"/>
              </w:rPr>
              <w:t>ont pas tous disposé du cadre juridique national requis pour leur création.</w:t>
            </w:r>
          </w:p>
        </w:tc>
        <w:tc>
          <w:tcPr>
            <w:tcW w:w="1455" w:type="dxa"/>
            <w:shd w:val="clear" w:color="auto" w:fill="auto"/>
          </w:tcPr>
          <w:p w:rsidR="0010628F" w:rsidRPr="001800B7" w:rsidRDefault="0010628F" w:rsidP="00923EF1">
            <w:pPr>
              <w:spacing w:before="120" w:after="120"/>
              <w:rPr>
                <w:szCs w:val="22"/>
              </w:rPr>
            </w:pPr>
            <w:r w:rsidRPr="001800B7">
              <w:rPr>
                <w:szCs w:val="22"/>
              </w:rPr>
              <w:t>***</w:t>
            </w:r>
          </w:p>
        </w:tc>
      </w:tr>
      <w:tr w:rsidR="001800B7" w:rsidRPr="001800B7" w:rsidTr="00923EF1">
        <w:tc>
          <w:tcPr>
            <w:tcW w:w="2368" w:type="dxa"/>
            <w:shd w:val="clear" w:color="auto" w:fill="auto"/>
          </w:tcPr>
          <w:p w:rsidR="0010628F" w:rsidRPr="001800B7" w:rsidRDefault="0010628F" w:rsidP="00923EF1">
            <w:pPr>
              <w:spacing w:before="120" w:after="120"/>
              <w:rPr>
                <w:bCs/>
                <w:szCs w:val="22"/>
              </w:rPr>
            </w:pPr>
            <w:r w:rsidRPr="001800B7">
              <w:rPr>
                <w:bCs/>
                <w:szCs w:val="22"/>
              </w:rPr>
              <w:t>9.  Plan de renforcement des capacités établi</w:t>
            </w:r>
          </w:p>
        </w:tc>
        <w:tc>
          <w:tcPr>
            <w:tcW w:w="2693" w:type="dxa"/>
            <w:shd w:val="clear" w:color="auto" w:fill="auto"/>
          </w:tcPr>
          <w:p w:rsidR="0010628F" w:rsidRPr="001800B7" w:rsidRDefault="0010628F" w:rsidP="00923EF1">
            <w:pPr>
              <w:spacing w:before="120" w:after="120"/>
              <w:rPr>
                <w:i/>
                <w:szCs w:val="22"/>
              </w:rPr>
            </w:pPr>
            <w:r w:rsidRPr="001800B7">
              <w:rPr>
                <w:szCs w:val="22"/>
              </w:rPr>
              <w:t>Élaboration d</w:t>
            </w:r>
            <w:r w:rsidR="005311D6" w:rsidRPr="001800B7">
              <w:rPr>
                <w:szCs w:val="22"/>
              </w:rPr>
              <w:t>’</w:t>
            </w:r>
            <w:r w:rsidRPr="001800B7">
              <w:rPr>
                <w:szCs w:val="22"/>
              </w:rPr>
              <w:t>un plan de renforcement des capacités pour l</w:t>
            </w:r>
            <w:r w:rsidR="005311D6" w:rsidRPr="001800B7">
              <w:rPr>
                <w:szCs w:val="22"/>
              </w:rPr>
              <w:t>’</w:t>
            </w:r>
            <w:r w:rsidRPr="001800B7">
              <w:rPr>
                <w:szCs w:val="22"/>
              </w:rPr>
              <w:t>institut de formation local, afin de favoriser l</w:t>
            </w:r>
            <w:r w:rsidR="005311D6" w:rsidRPr="001800B7">
              <w:rPr>
                <w:szCs w:val="22"/>
              </w:rPr>
              <w:t>’</w:t>
            </w:r>
            <w:r w:rsidRPr="001800B7">
              <w:rPr>
                <w:szCs w:val="22"/>
              </w:rPr>
              <w:t>équilibre entre les intérêts publics et privés.  Ce plan doit être élaboré par les formateurs ayant reçu une formation sous la supervision du consultant ad hoc</w:t>
            </w:r>
            <w:r w:rsidRPr="001800B7">
              <w:rPr>
                <w:i/>
                <w:szCs w:val="22"/>
              </w:rPr>
              <w:t xml:space="preserve"> </w:t>
            </w:r>
            <w:r w:rsidRPr="001800B7">
              <w:rPr>
                <w:szCs w:val="22"/>
              </w:rPr>
              <w:t>et il devrait couvrir les deux années suivant la fin de la période de coopération.</w:t>
            </w:r>
          </w:p>
        </w:tc>
        <w:tc>
          <w:tcPr>
            <w:tcW w:w="2975" w:type="dxa"/>
            <w:shd w:val="clear" w:color="auto" w:fill="auto"/>
          </w:tcPr>
          <w:p w:rsidR="0010628F" w:rsidRPr="001800B7" w:rsidRDefault="0010628F" w:rsidP="00923EF1">
            <w:pPr>
              <w:spacing w:before="120" w:after="120"/>
              <w:rPr>
                <w:szCs w:val="22"/>
              </w:rPr>
            </w:pPr>
            <w:r w:rsidRPr="001800B7">
              <w:rPr>
                <w:szCs w:val="22"/>
              </w:rPr>
              <w:t>Les centres nationaux de formation à la propriété intellectuelle élaborent actuellement des synergies et visent à faire approuver leurs programmes de cours par les agences de certification nationales afin de pouvoir commencer à dispenser leur formation de manière régulière.</w:t>
            </w:r>
          </w:p>
          <w:p w:rsidR="0010628F" w:rsidRPr="001800B7" w:rsidRDefault="0010628F" w:rsidP="00923EF1">
            <w:pPr>
              <w:spacing w:before="120" w:after="120"/>
              <w:rPr>
                <w:szCs w:val="22"/>
              </w:rPr>
            </w:pPr>
            <w:r w:rsidRPr="001800B7">
              <w:rPr>
                <w:szCs w:val="22"/>
              </w:rPr>
              <w:t xml:space="preserve">Cinq instituts nationaux de formation à la propriété intellectuelle ont démarré des programmes de formation à destination du </w:t>
            </w:r>
            <w:r w:rsidRPr="001800B7">
              <w:rPr>
                <w:szCs w:val="22"/>
              </w:rPr>
              <w:lastRenderedPageBreak/>
              <w:t>grand public et d</w:t>
            </w:r>
            <w:r w:rsidR="005311D6" w:rsidRPr="001800B7">
              <w:rPr>
                <w:szCs w:val="22"/>
              </w:rPr>
              <w:t>’</w:t>
            </w:r>
            <w:r w:rsidRPr="001800B7">
              <w:rPr>
                <w:szCs w:val="22"/>
              </w:rPr>
              <w:t>un public interne.</w:t>
            </w:r>
          </w:p>
          <w:p w:rsidR="0010628F" w:rsidRPr="001800B7" w:rsidRDefault="0010628F" w:rsidP="00923EF1">
            <w:pPr>
              <w:spacing w:before="120" w:after="120"/>
              <w:rPr>
                <w:szCs w:val="22"/>
              </w:rPr>
            </w:pPr>
            <w:r w:rsidRPr="001800B7">
              <w:rPr>
                <w:szCs w:val="22"/>
              </w:rPr>
              <w:t>Deux instituts nationaux de formation à la propriété intellectuelle ont commencé à dispenser des programmes de formation de manière régulière.</w:t>
            </w:r>
          </w:p>
        </w:tc>
        <w:tc>
          <w:tcPr>
            <w:tcW w:w="1455" w:type="dxa"/>
            <w:shd w:val="clear" w:color="auto" w:fill="auto"/>
          </w:tcPr>
          <w:p w:rsidR="0010628F" w:rsidRPr="001800B7" w:rsidRDefault="0010628F" w:rsidP="00923EF1">
            <w:pPr>
              <w:spacing w:before="120" w:after="120"/>
              <w:rPr>
                <w:szCs w:val="22"/>
              </w:rPr>
            </w:pPr>
            <w:r w:rsidRPr="001800B7">
              <w:rPr>
                <w:szCs w:val="22"/>
              </w:rPr>
              <w:lastRenderedPageBreak/>
              <w:t>***</w:t>
            </w:r>
          </w:p>
        </w:tc>
      </w:tr>
      <w:tr w:rsidR="001800B7" w:rsidRPr="001800B7" w:rsidTr="00923EF1">
        <w:tc>
          <w:tcPr>
            <w:tcW w:w="2368" w:type="dxa"/>
            <w:shd w:val="clear" w:color="auto" w:fill="auto"/>
          </w:tcPr>
          <w:p w:rsidR="0010628F" w:rsidRPr="001800B7" w:rsidRDefault="0010628F" w:rsidP="00923EF1">
            <w:pPr>
              <w:spacing w:before="120" w:after="120"/>
              <w:rPr>
                <w:szCs w:val="22"/>
              </w:rPr>
            </w:pPr>
            <w:r w:rsidRPr="001800B7">
              <w:rPr>
                <w:szCs w:val="22"/>
              </w:rPr>
              <w:lastRenderedPageBreak/>
              <w:t>10.  Outils et principes directeurs élaborés</w:t>
            </w:r>
          </w:p>
        </w:tc>
        <w:tc>
          <w:tcPr>
            <w:tcW w:w="2693" w:type="dxa"/>
            <w:shd w:val="clear" w:color="auto" w:fill="auto"/>
          </w:tcPr>
          <w:p w:rsidR="0010628F" w:rsidRPr="001800B7" w:rsidRDefault="0010628F" w:rsidP="00923EF1">
            <w:pPr>
              <w:autoSpaceDE w:val="0"/>
              <w:autoSpaceDN w:val="0"/>
              <w:adjustRightInd w:val="0"/>
              <w:spacing w:before="120" w:after="120"/>
              <w:rPr>
                <w:szCs w:val="22"/>
              </w:rPr>
            </w:pPr>
            <w:r w:rsidRPr="001800B7">
              <w:rPr>
                <w:szCs w:val="22"/>
              </w:rPr>
              <w:t>L</w:t>
            </w:r>
            <w:r w:rsidR="005311D6" w:rsidRPr="001800B7">
              <w:rPr>
                <w:szCs w:val="22"/>
              </w:rPr>
              <w:t>’</w:t>
            </w:r>
            <w:r w:rsidRPr="001800B7">
              <w:rPr>
                <w:szCs w:val="22"/>
              </w:rPr>
              <w:t>équipe chargée de la gestion du projet mettra au point un ensemble d</w:t>
            </w:r>
            <w:r w:rsidR="005311D6" w:rsidRPr="001800B7">
              <w:rPr>
                <w:szCs w:val="22"/>
              </w:rPr>
              <w:t>’</w:t>
            </w:r>
            <w:r w:rsidRPr="001800B7">
              <w:rPr>
                <w:szCs w:val="22"/>
              </w:rPr>
              <w:t>outils et de supports de formation qui serviront de références dans le cadre de la stratégie de retrait du projet.</w:t>
            </w:r>
          </w:p>
        </w:tc>
        <w:tc>
          <w:tcPr>
            <w:tcW w:w="2975" w:type="dxa"/>
            <w:shd w:val="clear" w:color="auto" w:fill="auto"/>
          </w:tcPr>
          <w:p w:rsidR="0010628F" w:rsidRPr="001800B7" w:rsidRDefault="0010628F" w:rsidP="00923EF1">
            <w:pPr>
              <w:spacing w:before="120" w:after="120"/>
              <w:rPr>
                <w:szCs w:val="22"/>
              </w:rPr>
            </w:pPr>
            <w:r w:rsidRPr="001800B7">
              <w:rPr>
                <w:szCs w:val="22"/>
              </w:rPr>
              <w:t>Les supports de formations sont disponibles sur la page Wiki de l</w:t>
            </w:r>
            <w:r w:rsidR="005311D6" w:rsidRPr="001800B7">
              <w:rPr>
                <w:szCs w:val="22"/>
              </w:rPr>
              <w:t>’</w:t>
            </w:r>
            <w:r w:rsidRPr="001800B7">
              <w:rPr>
                <w:szCs w:val="22"/>
              </w:rPr>
              <w:t>OMPI consacrée à la création des académies.</w:t>
            </w:r>
          </w:p>
          <w:p w:rsidR="0010628F" w:rsidRPr="001800B7" w:rsidRDefault="0010628F" w:rsidP="00923EF1">
            <w:pPr>
              <w:spacing w:before="120" w:after="120"/>
              <w:rPr>
                <w:szCs w:val="22"/>
              </w:rPr>
            </w:pPr>
            <w:r w:rsidRPr="001800B7">
              <w:rPr>
                <w:szCs w:val="22"/>
              </w:rPr>
              <w:t>La fourniture des ensembles d</w:t>
            </w:r>
            <w:r w:rsidR="005311D6" w:rsidRPr="001800B7">
              <w:rPr>
                <w:szCs w:val="22"/>
              </w:rPr>
              <w:t>’</w:t>
            </w:r>
            <w:r w:rsidRPr="001800B7">
              <w:rPr>
                <w:szCs w:val="22"/>
              </w:rPr>
              <w:t>outils a été retardée car l</w:t>
            </w:r>
            <w:r w:rsidR="005311D6" w:rsidRPr="001800B7">
              <w:rPr>
                <w:szCs w:val="22"/>
              </w:rPr>
              <w:t>’</w:t>
            </w:r>
            <w:r w:rsidRPr="001800B7">
              <w:rPr>
                <w:szCs w:val="22"/>
              </w:rPr>
              <w:t>équipe chargée de la gestion du projet n</w:t>
            </w:r>
            <w:r w:rsidR="005311D6" w:rsidRPr="001800B7">
              <w:rPr>
                <w:szCs w:val="22"/>
              </w:rPr>
              <w:t>’</w:t>
            </w:r>
            <w:r w:rsidRPr="001800B7">
              <w:rPr>
                <w:szCs w:val="22"/>
              </w:rPr>
              <w:t>a pas encore déterminé les meilleures pratiques à mettre en œuvre pour certains résultats.</w:t>
            </w:r>
          </w:p>
        </w:tc>
        <w:tc>
          <w:tcPr>
            <w:tcW w:w="1455" w:type="dxa"/>
            <w:shd w:val="clear" w:color="auto" w:fill="auto"/>
          </w:tcPr>
          <w:p w:rsidR="0010628F" w:rsidRPr="001800B7" w:rsidRDefault="0010628F" w:rsidP="00923EF1">
            <w:pPr>
              <w:spacing w:before="120" w:after="120"/>
              <w:rPr>
                <w:szCs w:val="22"/>
              </w:rPr>
            </w:pPr>
            <w:r w:rsidRPr="001800B7">
              <w:rPr>
                <w:szCs w:val="22"/>
              </w:rPr>
              <w:t>***</w:t>
            </w:r>
          </w:p>
        </w:tc>
      </w:tr>
      <w:tr w:rsidR="001800B7" w:rsidRPr="001800B7" w:rsidTr="00923EF1">
        <w:tc>
          <w:tcPr>
            <w:tcW w:w="2368" w:type="dxa"/>
            <w:shd w:val="clear" w:color="auto" w:fill="auto"/>
          </w:tcPr>
          <w:p w:rsidR="0010628F" w:rsidRPr="001800B7" w:rsidRDefault="0010628F" w:rsidP="00923EF1">
            <w:pPr>
              <w:spacing w:before="120" w:after="120"/>
              <w:rPr>
                <w:bCs/>
                <w:szCs w:val="22"/>
              </w:rPr>
            </w:pPr>
            <w:r w:rsidRPr="001800B7">
              <w:rPr>
                <w:bCs/>
                <w:szCs w:val="22"/>
              </w:rPr>
              <w:t>11.  Bibliothèques de la propriété intellectuelle établies</w:t>
            </w:r>
          </w:p>
        </w:tc>
        <w:tc>
          <w:tcPr>
            <w:tcW w:w="2693" w:type="dxa"/>
            <w:shd w:val="clear" w:color="auto" w:fill="auto"/>
          </w:tcPr>
          <w:p w:rsidR="0010628F" w:rsidRPr="001800B7" w:rsidRDefault="0010628F" w:rsidP="00923EF1">
            <w:pPr>
              <w:autoSpaceDE w:val="0"/>
              <w:autoSpaceDN w:val="0"/>
              <w:adjustRightInd w:val="0"/>
              <w:spacing w:before="120" w:after="120"/>
              <w:rPr>
                <w:szCs w:val="22"/>
              </w:rPr>
            </w:pPr>
            <w:r w:rsidRPr="001800B7">
              <w:rPr>
                <w:szCs w:val="22"/>
              </w:rPr>
              <w:t>Lien avec le projet de bibliothèques dépositaires de l</w:t>
            </w:r>
            <w:r w:rsidR="005311D6" w:rsidRPr="001800B7">
              <w:rPr>
                <w:szCs w:val="22"/>
              </w:rPr>
              <w:t>’</w:t>
            </w:r>
            <w:r w:rsidRPr="001800B7">
              <w:rPr>
                <w:szCs w:val="22"/>
              </w:rPr>
              <w:t>OMPI et achat de la bibliographie nécessaire à la mise en œuvre des programmes de formation recensés.</w:t>
            </w:r>
          </w:p>
        </w:tc>
        <w:tc>
          <w:tcPr>
            <w:tcW w:w="2975" w:type="dxa"/>
            <w:shd w:val="clear" w:color="auto" w:fill="auto"/>
          </w:tcPr>
          <w:p w:rsidR="0010628F" w:rsidRPr="001800B7" w:rsidRDefault="0010628F" w:rsidP="00923EF1">
            <w:pPr>
              <w:spacing w:before="120" w:after="120"/>
              <w:rPr>
                <w:szCs w:val="22"/>
              </w:rPr>
            </w:pPr>
            <w:r w:rsidRPr="001800B7">
              <w:rPr>
                <w:szCs w:val="22"/>
              </w:rPr>
              <w:t>Les six pays bénéficiaires sont tous partie intégrante au projet de bibliothèques dépositaires de l</w:t>
            </w:r>
            <w:r w:rsidR="005311D6" w:rsidRPr="001800B7">
              <w:rPr>
                <w:szCs w:val="22"/>
              </w:rPr>
              <w:t>’</w:t>
            </w:r>
            <w:r w:rsidRPr="001800B7">
              <w:rPr>
                <w:szCs w:val="22"/>
              </w:rPr>
              <w:t>OMPI, et ont reçu toutes les publications du catalogue de l</w:t>
            </w:r>
            <w:r w:rsidR="005311D6" w:rsidRPr="001800B7">
              <w:rPr>
                <w:szCs w:val="22"/>
              </w:rPr>
              <w:t>’</w:t>
            </w:r>
            <w:r w:rsidRPr="001800B7">
              <w:rPr>
                <w:szCs w:val="22"/>
              </w:rPr>
              <w:t>OMPI intellectuelle.</w:t>
            </w:r>
          </w:p>
          <w:p w:rsidR="0010628F" w:rsidRPr="001800B7" w:rsidRDefault="0010628F" w:rsidP="00923EF1">
            <w:pPr>
              <w:spacing w:before="120" w:after="120"/>
              <w:rPr>
                <w:szCs w:val="22"/>
              </w:rPr>
            </w:pPr>
            <w:r w:rsidRPr="001800B7">
              <w:rPr>
                <w:szCs w:val="22"/>
              </w:rPr>
              <w:t>Une bibliographie supplémentaire et du matériel de référence ont été achetés pour tous les pays.</w:t>
            </w:r>
          </w:p>
        </w:tc>
        <w:tc>
          <w:tcPr>
            <w:tcW w:w="1455" w:type="dxa"/>
            <w:shd w:val="clear" w:color="auto" w:fill="auto"/>
          </w:tcPr>
          <w:p w:rsidR="0010628F" w:rsidRPr="001800B7" w:rsidRDefault="0010628F" w:rsidP="00923EF1">
            <w:pPr>
              <w:spacing w:before="120" w:after="120"/>
              <w:rPr>
                <w:szCs w:val="22"/>
              </w:rPr>
            </w:pPr>
            <w:r w:rsidRPr="001800B7">
              <w:rPr>
                <w:szCs w:val="22"/>
              </w:rPr>
              <w:t>****</w:t>
            </w:r>
          </w:p>
        </w:tc>
      </w:tr>
      <w:tr w:rsidR="001800B7" w:rsidRPr="001800B7" w:rsidTr="00923EF1">
        <w:tc>
          <w:tcPr>
            <w:tcW w:w="2368" w:type="dxa"/>
            <w:shd w:val="clear" w:color="auto" w:fill="auto"/>
          </w:tcPr>
          <w:p w:rsidR="0010628F" w:rsidRPr="001800B7" w:rsidRDefault="0010628F" w:rsidP="00923EF1">
            <w:pPr>
              <w:spacing w:before="120" w:after="120"/>
              <w:rPr>
                <w:bCs/>
                <w:szCs w:val="22"/>
              </w:rPr>
            </w:pPr>
            <w:r w:rsidRPr="001800B7">
              <w:rPr>
                <w:bCs/>
                <w:szCs w:val="22"/>
              </w:rPr>
              <w:t>12.  Académies de la propriété intellectuelle établies</w:t>
            </w:r>
          </w:p>
        </w:tc>
        <w:tc>
          <w:tcPr>
            <w:tcW w:w="2693" w:type="dxa"/>
            <w:shd w:val="clear" w:color="auto" w:fill="auto"/>
          </w:tcPr>
          <w:p w:rsidR="0010628F" w:rsidRPr="001800B7" w:rsidRDefault="0010628F" w:rsidP="00923EF1">
            <w:pPr>
              <w:autoSpaceDE w:val="0"/>
              <w:autoSpaceDN w:val="0"/>
              <w:adjustRightInd w:val="0"/>
              <w:spacing w:before="120" w:after="120"/>
              <w:rPr>
                <w:i/>
                <w:szCs w:val="22"/>
              </w:rPr>
            </w:pPr>
            <w:r w:rsidRPr="001800B7">
              <w:rPr>
                <w:szCs w:val="22"/>
              </w:rPr>
              <w:t>Six centres nationaux de formation en propriété intellectuelle devraient être opérationnels, avec au moins deux programmes de formation réguliers sur les questions nouvelles et émergentes relatives à la propriété intellectuelle en fonction des besoins nationaux, pour : la Colombie, la République dominicaine, l</w:t>
            </w:r>
            <w:r w:rsidR="005311D6" w:rsidRPr="001800B7">
              <w:rPr>
                <w:szCs w:val="22"/>
              </w:rPr>
              <w:t>’</w:t>
            </w:r>
            <w:r w:rsidRPr="001800B7">
              <w:rPr>
                <w:szCs w:val="22"/>
              </w:rPr>
              <w:t>Égypte, l</w:t>
            </w:r>
            <w:r w:rsidR="005311D6" w:rsidRPr="001800B7">
              <w:rPr>
                <w:szCs w:val="22"/>
              </w:rPr>
              <w:t>’</w:t>
            </w:r>
            <w:r w:rsidRPr="001800B7">
              <w:rPr>
                <w:szCs w:val="22"/>
              </w:rPr>
              <w:t>Éthiopie, le Pérou et la Tunisie.</w:t>
            </w:r>
          </w:p>
        </w:tc>
        <w:tc>
          <w:tcPr>
            <w:tcW w:w="2975" w:type="dxa"/>
            <w:shd w:val="clear" w:color="auto" w:fill="auto"/>
          </w:tcPr>
          <w:p w:rsidR="0010628F" w:rsidRPr="001800B7" w:rsidRDefault="0010628F" w:rsidP="00923EF1">
            <w:pPr>
              <w:autoSpaceDE w:val="0"/>
              <w:autoSpaceDN w:val="0"/>
              <w:adjustRightInd w:val="0"/>
              <w:spacing w:before="120" w:after="120"/>
              <w:rPr>
                <w:bCs/>
                <w:iCs/>
                <w:szCs w:val="22"/>
                <w:lang w:bidi="th-TH"/>
              </w:rPr>
            </w:pPr>
            <w:r w:rsidRPr="001800B7">
              <w:rPr>
                <w:bCs/>
                <w:iCs/>
                <w:szCs w:val="22"/>
                <w:lang w:bidi="th-TH"/>
              </w:rPr>
              <w:t>Il existe à l</w:t>
            </w:r>
            <w:r w:rsidR="005311D6" w:rsidRPr="001800B7">
              <w:rPr>
                <w:bCs/>
                <w:iCs/>
                <w:szCs w:val="22"/>
                <w:lang w:bidi="th-TH"/>
              </w:rPr>
              <w:t>’</w:t>
            </w:r>
            <w:r w:rsidRPr="001800B7">
              <w:rPr>
                <w:bCs/>
                <w:iCs/>
                <w:szCs w:val="22"/>
                <w:lang w:bidi="th-TH"/>
              </w:rPr>
              <w:t>heure actuelle cinq instituts nationaux de formation à la propriété intellectuelle, opérationnels dans cinq des pays pilotes (Colombie, République dominicaine, Égypte, Pérou et Tunisie).</w:t>
            </w:r>
          </w:p>
          <w:p w:rsidR="0010628F" w:rsidRPr="001800B7" w:rsidRDefault="0010628F" w:rsidP="00923EF1">
            <w:pPr>
              <w:spacing w:before="120" w:after="120"/>
              <w:rPr>
                <w:szCs w:val="22"/>
              </w:rPr>
            </w:pPr>
            <w:r w:rsidRPr="001800B7">
              <w:rPr>
                <w:szCs w:val="22"/>
              </w:rPr>
              <w:t>Trois centres de formation nationaux ont été établis par le biais d</w:t>
            </w:r>
            <w:r w:rsidR="005311D6" w:rsidRPr="001800B7">
              <w:rPr>
                <w:szCs w:val="22"/>
              </w:rPr>
              <w:t>’</w:t>
            </w:r>
            <w:r w:rsidRPr="001800B7">
              <w:rPr>
                <w:szCs w:val="22"/>
              </w:rPr>
              <w:t>un instrument juridique, et disposent officiellement ainsi d</w:t>
            </w:r>
            <w:r w:rsidR="005311D6" w:rsidRPr="001800B7">
              <w:rPr>
                <w:szCs w:val="22"/>
              </w:rPr>
              <w:t>’</w:t>
            </w:r>
            <w:r w:rsidRPr="001800B7">
              <w:rPr>
                <w:szCs w:val="22"/>
              </w:rPr>
              <w:t>un budget dédié et d</w:t>
            </w:r>
            <w:r w:rsidR="005311D6" w:rsidRPr="001800B7">
              <w:rPr>
                <w:szCs w:val="22"/>
              </w:rPr>
              <w:t>’</w:t>
            </w:r>
            <w:r w:rsidRPr="001800B7">
              <w:rPr>
                <w:szCs w:val="22"/>
              </w:rPr>
              <w:t>un organigramme.  La création d</w:t>
            </w:r>
            <w:r w:rsidR="005311D6" w:rsidRPr="001800B7">
              <w:rPr>
                <w:szCs w:val="22"/>
              </w:rPr>
              <w:t>’</w:t>
            </w:r>
            <w:r w:rsidRPr="001800B7">
              <w:rPr>
                <w:szCs w:val="22"/>
              </w:rPr>
              <w:t xml:space="preserve">un cadre juridique est en cours pour les trois autres </w:t>
            </w:r>
            <w:r w:rsidRPr="001800B7">
              <w:rPr>
                <w:szCs w:val="22"/>
              </w:rPr>
              <w:lastRenderedPageBreak/>
              <w:t>centres.</w:t>
            </w:r>
          </w:p>
          <w:p w:rsidR="0010628F" w:rsidRPr="001800B7" w:rsidRDefault="0010628F" w:rsidP="00923EF1">
            <w:pPr>
              <w:autoSpaceDE w:val="0"/>
              <w:autoSpaceDN w:val="0"/>
              <w:adjustRightInd w:val="0"/>
              <w:spacing w:before="120" w:after="120"/>
              <w:rPr>
                <w:szCs w:val="22"/>
              </w:rPr>
            </w:pPr>
            <w:r w:rsidRPr="001800B7">
              <w:rPr>
                <w:bCs/>
                <w:iCs/>
                <w:szCs w:val="22"/>
                <w:lang w:bidi="th-TH"/>
              </w:rPr>
              <w:t>Tous les instituts créés offrent des programmes de formation concernant la propriété intellectuelle et les sujets du Plan d</w:t>
            </w:r>
            <w:r w:rsidR="005311D6" w:rsidRPr="001800B7">
              <w:rPr>
                <w:bCs/>
                <w:iCs/>
                <w:szCs w:val="22"/>
                <w:lang w:bidi="th-TH"/>
              </w:rPr>
              <w:t>’</w:t>
            </w:r>
            <w:r w:rsidRPr="001800B7">
              <w:rPr>
                <w:bCs/>
                <w:iCs/>
                <w:szCs w:val="22"/>
                <w:lang w:bidi="th-TH"/>
              </w:rPr>
              <w:t>action de l</w:t>
            </w:r>
            <w:r w:rsidR="005311D6" w:rsidRPr="001800B7">
              <w:rPr>
                <w:bCs/>
                <w:iCs/>
                <w:szCs w:val="22"/>
                <w:lang w:bidi="th-TH"/>
              </w:rPr>
              <w:t>’</w:t>
            </w:r>
            <w:r w:rsidRPr="001800B7">
              <w:rPr>
                <w:bCs/>
                <w:iCs/>
                <w:szCs w:val="22"/>
                <w:lang w:bidi="th-TH"/>
              </w:rPr>
              <w:t>OMPI pour le développement.</w:t>
            </w:r>
          </w:p>
        </w:tc>
        <w:tc>
          <w:tcPr>
            <w:tcW w:w="1455" w:type="dxa"/>
            <w:shd w:val="clear" w:color="auto" w:fill="auto"/>
          </w:tcPr>
          <w:p w:rsidR="0010628F" w:rsidRPr="001800B7" w:rsidRDefault="0010628F" w:rsidP="00923EF1">
            <w:pPr>
              <w:spacing w:before="120" w:after="120"/>
              <w:rPr>
                <w:szCs w:val="22"/>
              </w:rPr>
            </w:pPr>
            <w:r w:rsidRPr="001800B7">
              <w:rPr>
                <w:szCs w:val="22"/>
              </w:rPr>
              <w:lastRenderedPageBreak/>
              <w:t>***</w:t>
            </w:r>
          </w:p>
        </w:tc>
      </w:tr>
    </w:tbl>
    <w:p w:rsidR="00923EF1" w:rsidRPr="001800B7" w:rsidRDefault="00923EF1" w:rsidP="00923EF1">
      <w:pPr>
        <w:rPr>
          <w:szCs w:val="22"/>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8"/>
        <w:gridCol w:w="2693"/>
        <w:gridCol w:w="2974"/>
        <w:gridCol w:w="1456"/>
      </w:tblGrid>
      <w:tr w:rsidR="001800B7" w:rsidRPr="001800B7" w:rsidTr="00923EF1">
        <w:trPr>
          <w:trHeight w:val="616"/>
        </w:trPr>
        <w:tc>
          <w:tcPr>
            <w:tcW w:w="2366" w:type="dxa"/>
            <w:shd w:val="clear" w:color="auto" w:fill="auto"/>
            <w:vAlign w:val="center"/>
          </w:tcPr>
          <w:p w:rsidR="00923EF1" w:rsidRPr="001800B7" w:rsidRDefault="00923EF1" w:rsidP="00923EF1">
            <w:pPr>
              <w:keepNext/>
              <w:spacing w:before="120" w:after="120"/>
              <w:jc w:val="center"/>
              <w:rPr>
                <w:szCs w:val="22"/>
                <w:u w:val="single"/>
              </w:rPr>
            </w:pPr>
            <w:r w:rsidRPr="001800B7">
              <w:rPr>
                <w:szCs w:val="22"/>
                <w:u w:val="single"/>
              </w:rPr>
              <w:t xml:space="preserve">Objectifs </w:t>
            </w:r>
            <w:r w:rsidRPr="001800B7">
              <w:rPr>
                <w:szCs w:val="22"/>
                <w:u w:val="single"/>
              </w:rPr>
              <w:br/>
              <w:t>du projet</w:t>
            </w:r>
          </w:p>
        </w:tc>
        <w:tc>
          <w:tcPr>
            <w:tcW w:w="2694" w:type="dxa"/>
            <w:tcBorders>
              <w:bottom w:val="single" w:sz="4" w:space="0" w:color="auto"/>
            </w:tcBorders>
            <w:shd w:val="clear" w:color="auto" w:fill="auto"/>
            <w:vAlign w:val="center"/>
          </w:tcPr>
          <w:p w:rsidR="00923EF1" w:rsidRPr="001800B7" w:rsidRDefault="00923EF1" w:rsidP="00923EF1">
            <w:pPr>
              <w:keepNext/>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tcBorders>
              <w:bottom w:val="single" w:sz="4" w:space="0" w:color="auto"/>
            </w:tcBorders>
            <w:shd w:val="clear" w:color="auto" w:fill="auto"/>
            <w:vAlign w:val="center"/>
          </w:tcPr>
          <w:p w:rsidR="00923EF1" w:rsidRPr="001800B7" w:rsidRDefault="00923EF1" w:rsidP="00923EF1">
            <w:pPr>
              <w:keepNext/>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tcBorders>
              <w:bottom w:val="single" w:sz="4" w:space="0" w:color="auto"/>
            </w:tcBorders>
            <w:shd w:val="clear" w:color="auto" w:fill="auto"/>
            <w:vAlign w:val="center"/>
          </w:tcPr>
          <w:p w:rsidR="00923EF1" w:rsidRPr="001800B7" w:rsidRDefault="00923EF1" w:rsidP="00923EF1">
            <w:pPr>
              <w:keepNext/>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923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8" w:type="dxa"/>
            <w:vMerge w:val="restart"/>
          </w:tcPr>
          <w:p w:rsidR="0010628F" w:rsidRPr="001800B7" w:rsidRDefault="0010628F" w:rsidP="00923EF1">
            <w:pPr>
              <w:spacing w:before="120" w:after="120"/>
              <w:rPr>
                <w:szCs w:val="22"/>
              </w:rPr>
            </w:pPr>
            <w:r w:rsidRPr="001800B7">
              <w:rPr>
                <w:szCs w:val="22"/>
              </w:rPr>
              <w:t>Renforcement des capacités institutionnelles et des capacités en matière de ressources humaines aux niveaux national et régional par le développement des infrastructures et autres moyens afin : d</w:t>
            </w:r>
            <w:r w:rsidR="005311D6" w:rsidRPr="001800B7">
              <w:rPr>
                <w:szCs w:val="22"/>
              </w:rPr>
              <w:t>’</w:t>
            </w:r>
            <w:r w:rsidRPr="001800B7">
              <w:rPr>
                <w:szCs w:val="22"/>
              </w:rPr>
              <w:t>accroître l</w:t>
            </w:r>
            <w:r w:rsidR="005311D6" w:rsidRPr="001800B7">
              <w:rPr>
                <w:szCs w:val="22"/>
              </w:rPr>
              <w:t>’</w:t>
            </w:r>
            <w:r w:rsidRPr="001800B7">
              <w:rPr>
                <w:szCs w:val="22"/>
              </w:rPr>
              <w:t>efficacité des instituts nationaux et de concilier protection de la propriété intellectuelle et préservation de l</w:t>
            </w:r>
            <w:r w:rsidR="005311D6" w:rsidRPr="001800B7">
              <w:rPr>
                <w:szCs w:val="22"/>
              </w:rPr>
              <w:t>’</w:t>
            </w:r>
            <w:r w:rsidRPr="001800B7">
              <w:rPr>
                <w:szCs w:val="22"/>
              </w:rPr>
              <w:t>intérêt général;  de satisfaire aux priorités et objectifs nationaux en matière de développement;  et de répondre à la demande locale croissante émanant de spécialistes de la propriété intellectuelle, de professionnels, de fonctionnaires nationaux et d</w:t>
            </w:r>
            <w:r w:rsidR="005311D6" w:rsidRPr="001800B7">
              <w:rPr>
                <w:szCs w:val="22"/>
              </w:rPr>
              <w:t>’</w:t>
            </w:r>
            <w:r w:rsidRPr="001800B7">
              <w:rPr>
                <w:szCs w:val="22"/>
              </w:rPr>
              <w:t>autres parties prenantes</w:t>
            </w:r>
          </w:p>
        </w:tc>
        <w:tc>
          <w:tcPr>
            <w:tcW w:w="2693" w:type="dxa"/>
            <w:tcBorders>
              <w:bottom w:val="nil"/>
            </w:tcBorders>
          </w:tcPr>
          <w:p w:rsidR="0010628F" w:rsidRPr="001800B7" w:rsidRDefault="0010628F" w:rsidP="00923EF1">
            <w:pPr>
              <w:autoSpaceDE w:val="0"/>
              <w:autoSpaceDN w:val="0"/>
              <w:adjustRightInd w:val="0"/>
              <w:spacing w:before="120" w:after="120"/>
              <w:rPr>
                <w:szCs w:val="22"/>
              </w:rPr>
            </w:pPr>
            <w:r w:rsidRPr="001800B7">
              <w:rPr>
                <w:szCs w:val="22"/>
              </w:rPr>
              <w:t>Pourcentage de formateurs ayant reçu une formation qui ont élaboré des programmes de cours et dispensé des formations à un public cible.</w:t>
            </w:r>
          </w:p>
        </w:tc>
        <w:tc>
          <w:tcPr>
            <w:tcW w:w="2975" w:type="dxa"/>
            <w:tcBorders>
              <w:bottom w:val="nil"/>
            </w:tcBorders>
          </w:tcPr>
          <w:p w:rsidR="0010628F" w:rsidRPr="001800B7" w:rsidRDefault="0010628F" w:rsidP="00923EF1">
            <w:pPr>
              <w:spacing w:before="120" w:after="120"/>
              <w:rPr>
                <w:rFonts w:eastAsia="MS Mincho"/>
                <w:szCs w:val="22"/>
                <w:lang w:eastAsia="ja-JP"/>
              </w:rPr>
            </w:pPr>
            <w:r w:rsidRPr="001800B7">
              <w:rPr>
                <w:rFonts w:eastAsia="MS Mincho"/>
                <w:szCs w:val="22"/>
                <w:lang w:eastAsia="ja-JP"/>
              </w:rPr>
              <w:t>82,5% (71 sur 86)</w:t>
            </w:r>
          </w:p>
        </w:tc>
        <w:tc>
          <w:tcPr>
            <w:tcW w:w="1455" w:type="dxa"/>
            <w:tcBorders>
              <w:bottom w:val="nil"/>
            </w:tcBorders>
          </w:tcPr>
          <w:p w:rsidR="0010628F" w:rsidRPr="001800B7" w:rsidRDefault="0010628F" w:rsidP="00923EF1">
            <w:pPr>
              <w:spacing w:before="120" w:after="120"/>
              <w:rPr>
                <w:szCs w:val="22"/>
              </w:rPr>
            </w:pPr>
            <w:r w:rsidRPr="001800B7">
              <w:rPr>
                <w:szCs w:val="22"/>
              </w:rPr>
              <w:t>****</w:t>
            </w:r>
          </w:p>
        </w:tc>
      </w:tr>
      <w:tr w:rsidR="001800B7" w:rsidRPr="001800B7" w:rsidTr="00923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8" w:type="dxa"/>
            <w:vMerge/>
          </w:tcPr>
          <w:p w:rsidR="0010628F" w:rsidRPr="001800B7" w:rsidRDefault="0010628F" w:rsidP="00923EF1">
            <w:pPr>
              <w:spacing w:before="120" w:after="120"/>
              <w:rPr>
                <w:b/>
                <w:szCs w:val="22"/>
              </w:rPr>
            </w:pPr>
          </w:p>
        </w:tc>
        <w:tc>
          <w:tcPr>
            <w:tcW w:w="2693" w:type="dxa"/>
            <w:tcBorders>
              <w:top w:val="nil"/>
              <w:bottom w:val="nil"/>
            </w:tcBorders>
          </w:tcPr>
          <w:p w:rsidR="0010628F" w:rsidRPr="001800B7" w:rsidRDefault="0010628F" w:rsidP="00923EF1">
            <w:pPr>
              <w:autoSpaceDE w:val="0"/>
              <w:autoSpaceDN w:val="0"/>
              <w:adjustRightInd w:val="0"/>
              <w:spacing w:before="120" w:after="120"/>
              <w:rPr>
                <w:szCs w:val="22"/>
              </w:rPr>
            </w:pPr>
            <w:r w:rsidRPr="001800B7">
              <w:rPr>
                <w:szCs w:val="22"/>
              </w:rPr>
              <w:t>Pourcentage de coordonnateurs académiques au bénéfice d</w:t>
            </w:r>
            <w:r w:rsidR="005311D6" w:rsidRPr="001800B7">
              <w:rPr>
                <w:szCs w:val="22"/>
              </w:rPr>
              <w:t>’</w:t>
            </w:r>
            <w:r w:rsidRPr="001800B7">
              <w:rPr>
                <w:szCs w:val="22"/>
              </w:rPr>
              <w:t>une formation qui ont organisé des programmes de formation.</w:t>
            </w:r>
          </w:p>
        </w:tc>
        <w:tc>
          <w:tcPr>
            <w:tcW w:w="2975" w:type="dxa"/>
            <w:tcBorders>
              <w:top w:val="nil"/>
              <w:bottom w:val="nil"/>
            </w:tcBorders>
          </w:tcPr>
          <w:p w:rsidR="0010628F" w:rsidRPr="001800B7" w:rsidRDefault="0010628F" w:rsidP="00923EF1">
            <w:pPr>
              <w:spacing w:before="120" w:after="120"/>
              <w:rPr>
                <w:rFonts w:eastAsia="MS Mincho"/>
                <w:szCs w:val="22"/>
                <w:lang w:eastAsia="ja-JP"/>
              </w:rPr>
            </w:pPr>
            <w:r w:rsidRPr="001800B7">
              <w:rPr>
                <w:rFonts w:eastAsia="MS Mincho"/>
                <w:szCs w:val="22"/>
                <w:lang w:eastAsia="ja-JP"/>
              </w:rPr>
              <w:t>100%</w:t>
            </w:r>
          </w:p>
        </w:tc>
        <w:tc>
          <w:tcPr>
            <w:tcW w:w="1455" w:type="dxa"/>
            <w:tcBorders>
              <w:top w:val="nil"/>
              <w:bottom w:val="nil"/>
            </w:tcBorders>
          </w:tcPr>
          <w:p w:rsidR="0010628F" w:rsidRPr="001800B7" w:rsidRDefault="0010628F" w:rsidP="00923EF1">
            <w:pPr>
              <w:spacing w:before="120" w:after="120"/>
              <w:rPr>
                <w:szCs w:val="22"/>
              </w:rPr>
            </w:pPr>
            <w:r w:rsidRPr="001800B7">
              <w:rPr>
                <w:szCs w:val="22"/>
              </w:rPr>
              <w:t>****</w:t>
            </w:r>
          </w:p>
        </w:tc>
      </w:tr>
      <w:tr w:rsidR="001800B7" w:rsidRPr="001800B7" w:rsidTr="00923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8" w:type="dxa"/>
            <w:vMerge/>
          </w:tcPr>
          <w:p w:rsidR="0010628F" w:rsidRPr="001800B7" w:rsidRDefault="0010628F" w:rsidP="00923EF1">
            <w:pPr>
              <w:spacing w:before="120" w:after="120"/>
              <w:rPr>
                <w:bCs/>
                <w:szCs w:val="22"/>
              </w:rPr>
            </w:pPr>
          </w:p>
        </w:tc>
        <w:tc>
          <w:tcPr>
            <w:tcW w:w="2693" w:type="dxa"/>
            <w:tcBorders>
              <w:top w:val="nil"/>
              <w:bottom w:val="nil"/>
            </w:tcBorders>
          </w:tcPr>
          <w:p w:rsidR="0010628F" w:rsidRPr="001800B7" w:rsidRDefault="0010628F" w:rsidP="00923EF1">
            <w:pPr>
              <w:autoSpaceDE w:val="0"/>
              <w:autoSpaceDN w:val="0"/>
              <w:adjustRightInd w:val="0"/>
              <w:spacing w:before="120" w:after="120"/>
              <w:rPr>
                <w:szCs w:val="22"/>
              </w:rPr>
            </w:pPr>
            <w:r w:rsidRPr="001800B7">
              <w:rPr>
                <w:szCs w:val="22"/>
              </w:rPr>
              <w:t>Nombre de nouvelles académies de propriété intellectuelle qui ont formé des partenariats avec des instituts nationaux (universités, associations sectorielles et chambres de commerce, instituts d</w:t>
            </w:r>
            <w:r w:rsidR="005311D6" w:rsidRPr="001800B7">
              <w:rPr>
                <w:szCs w:val="22"/>
              </w:rPr>
              <w:t>’</w:t>
            </w:r>
            <w:r w:rsidRPr="001800B7">
              <w:rPr>
                <w:szCs w:val="22"/>
              </w:rPr>
              <w:t>appui aux PME et autres ministères).</w:t>
            </w:r>
          </w:p>
        </w:tc>
        <w:tc>
          <w:tcPr>
            <w:tcW w:w="2975" w:type="dxa"/>
            <w:tcBorders>
              <w:top w:val="nil"/>
              <w:bottom w:val="nil"/>
            </w:tcBorders>
          </w:tcPr>
          <w:p w:rsidR="0010628F" w:rsidRPr="001800B7" w:rsidRDefault="0010628F" w:rsidP="00923EF1">
            <w:pPr>
              <w:spacing w:before="120" w:after="120"/>
              <w:rPr>
                <w:rFonts w:eastAsia="MS Mincho"/>
                <w:szCs w:val="22"/>
                <w:lang w:eastAsia="ja-JP"/>
              </w:rPr>
            </w:pPr>
            <w:r w:rsidRPr="001800B7">
              <w:rPr>
                <w:rFonts w:eastAsia="MS Mincho"/>
                <w:szCs w:val="22"/>
                <w:lang w:eastAsia="ja-JP"/>
              </w:rPr>
              <w:t>Cinq</w:t>
            </w:r>
          </w:p>
        </w:tc>
        <w:tc>
          <w:tcPr>
            <w:tcW w:w="1455" w:type="dxa"/>
            <w:tcBorders>
              <w:top w:val="nil"/>
              <w:bottom w:val="nil"/>
            </w:tcBorders>
          </w:tcPr>
          <w:p w:rsidR="0010628F" w:rsidRPr="001800B7" w:rsidRDefault="0010628F" w:rsidP="00923EF1">
            <w:pPr>
              <w:spacing w:before="120" w:after="120"/>
              <w:rPr>
                <w:szCs w:val="22"/>
              </w:rPr>
            </w:pPr>
            <w:r w:rsidRPr="001800B7">
              <w:rPr>
                <w:szCs w:val="22"/>
              </w:rPr>
              <w:t>***</w:t>
            </w:r>
          </w:p>
        </w:tc>
      </w:tr>
      <w:tr w:rsidR="001800B7" w:rsidRPr="001800B7" w:rsidTr="00923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8" w:type="dxa"/>
            <w:vMerge/>
          </w:tcPr>
          <w:p w:rsidR="0010628F" w:rsidRPr="001800B7" w:rsidRDefault="0010628F" w:rsidP="00923EF1">
            <w:pPr>
              <w:spacing w:before="120" w:after="120"/>
              <w:rPr>
                <w:bCs/>
                <w:szCs w:val="22"/>
              </w:rPr>
            </w:pPr>
          </w:p>
        </w:tc>
        <w:tc>
          <w:tcPr>
            <w:tcW w:w="2693" w:type="dxa"/>
            <w:tcBorders>
              <w:top w:val="nil"/>
              <w:bottom w:val="nil"/>
            </w:tcBorders>
          </w:tcPr>
          <w:p w:rsidR="0010628F" w:rsidRPr="001800B7" w:rsidRDefault="0010628F" w:rsidP="00923EF1">
            <w:pPr>
              <w:autoSpaceDE w:val="0"/>
              <w:autoSpaceDN w:val="0"/>
              <w:adjustRightInd w:val="0"/>
              <w:spacing w:before="120" w:after="120"/>
              <w:rPr>
                <w:szCs w:val="22"/>
              </w:rPr>
            </w:pPr>
            <w:r w:rsidRPr="001800B7">
              <w:rPr>
                <w:szCs w:val="22"/>
              </w:rPr>
              <w:t>Évaluation des programmes d</w:t>
            </w:r>
            <w:r w:rsidR="005311D6" w:rsidRPr="001800B7">
              <w:rPr>
                <w:szCs w:val="22"/>
              </w:rPr>
              <w:t>’</w:t>
            </w:r>
            <w:r w:rsidRPr="001800B7">
              <w:rPr>
                <w:szCs w:val="22"/>
              </w:rPr>
              <w:t>études et des cours de formation afin de promouvoir la protection de la propriété intellectuelle et la préservation de l</w:t>
            </w:r>
            <w:r w:rsidR="005311D6" w:rsidRPr="001800B7">
              <w:rPr>
                <w:szCs w:val="22"/>
              </w:rPr>
              <w:t>’</w:t>
            </w:r>
            <w:r w:rsidRPr="001800B7">
              <w:rPr>
                <w:szCs w:val="22"/>
              </w:rPr>
              <w:t>intérêt général, et de répondre aux priorités et objectifs nationaux en matière de développement.</w:t>
            </w:r>
          </w:p>
        </w:tc>
        <w:tc>
          <w:tcPr>
            <w:tcW w:w="2975" w:type="dxa"/>
            <w:tcBorders>
              <w:top w:val="nil"/>
              <w:bottom w:val="nil"/>
            </w:tcBorders>
          </w:tcPr>
          <w:p w:rsidR="0010628F" w:rsidRPr="001800B7" w:rsidRDefault="0010628F" w:rsidP="00923EF1">
            <w:pPr>
              <w:spacing w:before="120" w:after="120"/>
              <w:rPr>
                <w:rFonts w:eastAsia="MS Mincho"/>
                <w:szCs w:val="22"/>
                <w:lang w:eastAsia="ja-JP"/>
              </w:rPr>
            </w:pPr>
            <w:r w:rsidRPr="001800B7">
              <w:rPr>
                <w:rFonts w:eastAsia="MS Mincho"/>
                <w:szCs w:val="22"/>
                <w:lang w:eastAsia="ja-JP"/>
              </w:rPr>
              <w:t>Il est encore trop tôt pour évaluer cet indicateur, car la majorité des centres nationaux de formation à la propriété intellectuelle n</w:t>
            </w:r>
            <w:r w:rsidR="005311D6" w:rsidRPr="001800B7">
              <w:rPr>
                <w:rFonts w:eastAsia="MS Mincho"/>
                <w:szCs w:val="22"/>
                <w:lang w:eastAsia="ja-JP"/>
              </w:rPr>
              <w:t>’</w:t>
            </w:r>
            <w:r w:rsidRPr="001800B7">
              <w:rPr>
                <w:rFonts w:eastAsia="MS Mincho"/>
                <w:szCs w:val="22"/>
                <w:lang w:eastAsia="ja-JP"/>
              </w:rPr>
              <w:t>ont pas encore établi le programme de leurs cours.</w:t>
            </w:r>
          </w:p>
        </w:tc>
        <w:tc>
          <w:tcPr>
            <w:tcW w:w="1455" w:type="dxa"/>
            <w:tcBorders>
              <w:top w:val="nil"/>
              <w:bottom w:val="nil"/>
            </w:tcBorders>
          </w:tcPr>
          <w:p w:rsidR="0010628F" w:rsidRPr="001800B7" w:rsidRDefault="0010628F" w:rsidP="00923EF1">
            <w:pPr>
              <w:spacing w:before="120" w:after="120"/>
              <w:rPr>
                <w:szCs w:val="22"/>
              </w:rPr>
            </w:pPr>
            <w:r w:rsidRPr="001800B7">
              <w:rPr>
                <w:szCs w:val="22"/>
              </w:rPr>
              <w:t>NE</w:t>
            </w:r>
          </w:p>
        </w:tc>
      </w:tr>
      <w:tr w:rsidR="001800B7" w:rsidRPr="001800B7" w:rsidTr="00923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8" w:type="dxa"/>
            <w:vMerge/>
          </w:tcPr>
          <w:p w:rsidR="0010628F" w:rsidRPr="001800B7" w:rsidRDefault="0010628F" w:rsidP="00923EF1">
            <w:pPr>
              <w:spacing w:before="120" w:after="120"/>
              <w:rPr>
                <w:bCs/>
                <w:szCs w:val="22"/>
              </w:rPr>
            </w:pPr>
          </w:p>
        </w:tc>
        <w:tc>
          <w:tcPr>
            <w:tcW w:w="2693" w:type="dxa"/>
            <w:tcBorders>
              <w:top w:val="nil"/>
            </w:tcBorders>
          </w:tcPr>
          <w:p w:rsidR="0010628F" w:rsidRPr="001800B7" w:rsidRDefault="0010628F" w:rsidP="00923EF1">
            <w:pPr>
              <w:autoSpaceDE w:val="0"/>
              <w:autoSpaceDN w:val="0"/>
              <w:adjustRightInd w:val="0"/>
              <w:spacing w:before="120" w:after="120"/>
              <w:rPr>
                <w:szCs w:val="22"/>
              </w:rPr>
            </w:pPr>
            <w:r w:rsidRPr="001800B7">
              <w:rPr>
                <w:szCs w:val="22"/>
              </w:rPr>
              <w:t>Nombre de nouvelles académies qui proposent au moins deux programmes de formation réguliers sur la propriété intellectuelle, ainsi qu</w:t>
            </w:r>
            <w:r w:rsidR="005311D6" w:rsidRPr="001800B7">
              <w:rPr>
                <w:szCs w:val="22"/>
              </w:rPr>
              <w:t>’</w:t>
            </w:r>
            <w:r w:rsidRPr="001800B7">
              <w:rPr>
                <w:szCs w:val="22"/>
              </w:rPr>
              <w:t>il a été convenu avec les pays bénéficiaires.</w:t>
            </w:r>
          </w:p>
        </w:tc>
        <w:tc>
          <w:tcPr>
            <w:tcW w:w="2975" w:type="dxa"/>
            <w:tcBorders>
              <w:top w:val="nil"/>
            </w:tcBorders>
          </w:tcPr>
          <w:p w:rsidR="0010628F" w:rsidRPr="001800B7" w:rsidRDefault="0010628F" w:rsidP="00923EF1">
            <w:pPr>
              <w:spacing w:before="120" w:after="120"/>
              <w:rPr>
                <w:rFonts w:eastAsia="MS Mincho"/>
                <w:szCs w:val="22"/>
                <w:lang w:eastAsia="ja-JP"/>
              </w:rPr>
            </w:pPr>
            <w:r w:rsidRPr="001800B7">
              <w:rPr>
                <w:rFonts w:eastAsia="MS Mincho"/>
                <w:szCs w:val="22"/>
                <w:lang w:eastAsia="ja-JP"/>
              </w:rPr>
              <w:t>Deux académies dispensent des programmes de formation de manière régulière, trois autres progressent afin de réaliser ce résultat.</w:t>
            </w:r>
          </w:p>
        </w:tc>
        <w:tc>
          <w:tcPr>
            <w:tcW w:w="1455" w:type="dxa"/>
            <w:tcBorders>
              <w:top w:val="nil"/>
            </w:tcBorders>
          </w:tcPr>
          <w:p w:rsidR="0010628F" w:rsidRPr="001800B7" w:rsidRDefault="0010628F" w:rsidP="00923EF1">
            <w:pPr>
              <w:spacing w:before="120" w:after="120"/>
              <w:rPr>
                <w:szCs w:val="22"/>
              </w:rPr>
            </w:pPr>
            <w:r w:rsidRPr="001800B7">
              <w:rPr>
                <w:szCs w:val="22"/>
              </w:rPr>
              <w:t>***</w:t>
            </w:r>
          </w:p>
        </w:tc>
      </w:tr>
      <w:tr w:rsidR="001800B7" w:rsidRPr="001800B7" w:rsidTr="00923E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68" w:type="dxa"/>
            <w:vMerge/>
          </w:tcPr>
          <w:p w:rsidR="0010628F" w:rsidRPr="001800B7" w:rsidRDefault="0010628F" w:rsidP="00923EF1">
            <w:pPr>
              <w:spacing w:before="120" w:after="120"/>
              <w:rPr>
                <w:bCs/>
                <w:szCs w:val="22"/>
              </w:rPr>
            </w:pPr>
          </w:p>
        </w:tc>
        <w:tc>
          <w:tcPr>
            <w:tcW w:w="2693" w:type="dxa"/>
          </w:tcPr>
          <w:p w:rsidR="0010628F" w:rsidRPr="001800B7" w:rsidRDefault="0010628F" w:rsidP="00923EF1">
            <w:pPr>
              <w:autoSpaceDE w:val="0"/>
              <w:autoSpaceDN w:val="0"/>
              <w:adjustRightInd w:val="0"/>
              <w:spacing w:before="120" w:after="120"/>
              <w:rPr>
                <w:szCs w:val="22"/>
              </w:rPr>
            </w:pPr>
            <w:r w:rsidRPr="001800B7">
              <w:rPr>
                <w:szCs w:val="22"/>
              </w:rPr>
              <w:t>Nombre de participants ayant reçu une formation grâce aux programmes d</w:t>
            </w:r>
            <w:r w:rsidR="005311D6" w:rsidRPr="001800B7">
              <w:rPr>
                <w:szCs w:val="22"/>
              </w:rPr>
              <w:t>’</w:t>
            </w:r>
            <w:r w:rsidRPr="001800B7">
              <w:rPr>
                <w:szCs w:val="22"/>
              </w:rPr>
              <w:t>une nouvelle académie, qui ont terminé leur formation et qui ont reçu un certificat.</w:t>
            </w:r>
          </w:p>
        </w:tc>
        <w:tc>
          <w:tcPr>
            <w:tcW w:w="2975" w:type="dxa"/>
          </w:tcPr>
          <w:p w:rsidR="0010628F" w:rsidRPr="001800B7" w:rsidRDefault="0010628F" w:rsidP="00923EF1">
            <w:pPr>
              <w:spacing w:before="120" w:after="120"/>
              <w:rPr>
                <w:rFonts w:eastAsia="MS Mincho"/>
                <w:szCs w:val="22"/>
                <w:lang w:eastAsia="ja-JP"/>
              </w:rPr>
            </w:pPr>
            <w:r w:rsidRPr="001800B7">
              <w:rPr>
                <w:rFonts w:eastAsia="MS Mincho"/>
                <w:szCs w:val="22"/>
                <w:lang w:eastAsia="ja-JP"/>
              </w:rPr>
              <w:t xml:space="preserve">8488 participants, </w:t>
            </w:r>
            <w:r w:rsidR="005311D6" w:rsidRPr="001800B7">
              <w:rPr>
                <w:rFonts w:eastAsia="MS Mincho"/>
                <w:szCs w:val="22"/>
                <w:lang w:eastAsia="ja-JP"/>
              </w:rPr>
              <w:t>y compris</w:t>
            </w:r>
            <w:r w:rsidRPr="001800B7">
              <w:rPr>
                <w:rFonts w:eastAsia="MS Mincho"/>
                <w:szCs w:val="22"/>
                <w:lang w:eastAsia="ja-JP"/>
              </w:rPr>
              <w:t xml:space="preserve"> ceux ayant suivi un enseignement à distance (chiffres de la Tunisie en attente;  l</w:t>
            </w:r>
            <w:r w:rsidR="005311D6" w:rsidRPr="001800B7">
              <w:rPr>
                <w:rFonts w:eastAsia="MS Mincho"/>
                <w:szCs w:val="22"/>
                <w:lang w:eastAsia="ja-JP"/>
              </w:rPr>
              <w:t>’</w:t>
            </w:r>
            <w:r w:rsidRPr="001800B7">
              <w:rPr>
                <w:rFonts w:eastAsia="MS Mincho"/>
                <w:szCs w:val="22"/>
                <w:lang w:eastAsia="ja-JP"/>
              </w:rPr>
              <w:t>Éthiopie pour sa part n</w:t>
            </w:r>
            <w:r w:rsidR="005311D6" w:rsidRPr="001800B7">
              <w:rPr>
                <w:rFonts w:eastAsia="MS Mincho"/>
                <w:szCs w:val="22"/>
                <w:lang w:eastAsia="ja-JP"/>
              </w:rPr>
              <w:t>’</w:t>
            </w:r>
            <w:r w:rsidRPr="001800B7">
              <w:rPr>
                <w:rFonts w:eastAsia="MS Mincho"/>
                <w:szCs w:val="22"/>
                <w:lang w:eastAsia="ja-JP"/>
              </w:rPr>
              <w:t>a pas encore commencé à dispenser ses cours).</w:t>
            </w:r>
          </w:p>
        </w:tc>
        <w:tc>
          <w:tcPr>
            <w:tcW w:w="1455" w:type="dxa"/>
          </w:tcPr>
          <w:p w:rsidR="0010628F" w:rsidRPr="001800B7" w:rsidRDefault="0010628F" w:rsidP="00923EF1">
            <w:pPr>
              <w:spacing w:before="120" w:after="120"/>
              <w:rPr>
                <w:szCs w:val="22"/>
              </w:rPr>
            </w:pPr>
            <w:r w:rsidRPr="001800B7">
              <w:rPr>
                <w:szCs w:val="22"/>
              </w:rPr>
              <w:t>****</w:t>
            </w:r>
          </w:p>
        </w:tc>
      </w:tr>
    </w:tbl>
    <w:p w:rsidR="0010628F" w:rsidRPr="001800B7" w:rsidRDefault="0010628F" w:rsidP="00923EF1">
      <w:pPr>
        <w:rPr>
          <w:szCs w:val="22"/>
        </w:rPr>
      </w:pPr>
    </w:p>
    <w:p w:rsidR="00923EF1" w:rsidRPr="001800B7" w:rsidRDefault="00923EF1" w:rsidP="00923EF1">
      <w:pPr>
        <w:rPr>
          <w:szCs w:val="22"/>
        </w:rPr>
      </w:pPr>
    </w:p>
    <w:p w:rsidR="00923EF1" w:rsidRPr="001800B7" w:rsidRDefault="00923EF1" w:rsidP="00923EF1">
      <w:pPr>
        <w:rPr>
          <w:szCs w:val="22"/>
        </w:rPr>
      </w:pPr>
    </w:p>
    <w:p w:rsidR="0010628F" w:rsidRPr="001800B7" w:rsidRDefault="0010628F" w:rsidP="00923EF1">
      <w:pPr>
        <w:pStyle w:val="Endofdocument-Annex"/>
        <w:rPr>
          <w:szCs w:val="22"/>
        </w:rPr>
        <w:sectPr w:rsidR="0010628F" w:rsidRPr="001800B7" w:rsidSect="00AC163C">
          <w:headerReference w:type="default" r:id="rId67"/>
          <w:footerReference w:type="default" r:id="rId68"/>
          <w:headerReference w:type="first" r:id="rId69"/>
          <w:endnotePr>
            <w:numFmt w:val="decimal"/>
          </w:endnotePr>
          <w:pgSz w:w="11907" w:h="16840" w:code="9"/>
          <w:pgMar w:top="567" w:right="1134" w:bottom="1418" w:left="1418" w:header="510" w:footer="1021" w:gutter="0"/>
          <w:pgNumType w:start="1"/>
          <w:cols w:space="720"/>
          <w:titlePg/>
          <w:docGrid w:linePitch="299"/>
        </w:sectPr>
      </w:pPr>
      <w:r w:rsidRPr="001800B7">
        <w:rPr>
          <w:szCs w:val="22"/>
        </w:rPr>
        <w:t>[L</w:t>
      </w:r>
      <w:r w:rsidR="005311D6" w:rsidRPr="001800B7">
        <w:rPr>
          <w:szCs w:val="22"/>
        </w:rPr>
        <w:t>’</w:t>
      </w:r>
      <w:r w:rsidRPr="001800B7">
        <w:rPr>
          <w:szCs w:val="22"/>
        </w:rPr>
        <w:t>annexe X suit]</w:t>
      </w:r>
    </w:p>
    <w:p w:rsidR="0010628F" w:rsidRPr="001800B7" w:rsidRDefault="00CF68DE" w:rsidP="00AC163C">
      <w:pPr>
        <w:rPr>
          <w:szCs w:val="22"/>
        </w:rPr>
      </w:pPr>
      <w:r w:rsidRPr="001800B7">
        <w:rPr>
          <w:szCs w:val="22"/>
        </w:rPr>
        <w:lastRenderedPageBreak/>
        <w:t>RAPPORT RELATIF À L</w:t>
      </w:r>
      <w:r w:rsidR="005311D6" w:rsidRPr="001800B7">
        <w:rPr>
          <w:szCs w:val="22"/>
        </w:rPr>
        <w:t>’</w:t>
      </w:r>
      <w:r w:rsidRPr="001800B7">
        <w:rPr>
          <w:szCs w:val="22"/>
        </w:rPr>
        <w:t>ACHÈVEMENT ET À L</w:t>
      </w:r>
      <w:r w:rsidR="005311D6" w:rsidRPr="001800B7">
        <w:rPr>
          <w:szCs w:val="22"/>
        </w:rPr>
        <w:t>’</w:t>
      </w:r>
      <w:r w:rsidRPr="001800B7">
        <w:rPr>
          <w:szCs w:val="22"/>
        </w:rPr>
        <w:t>AUTO</w:t>
      </w:r>
      <w:r w:rsidR="001800B7" w:rsidRPr="001800B7">
        <w:rPr>
          <w:szCs w:val="22"/>
        </w:rPr>
        <w:noBreakHyphen/>
      </w:r>
      <w:r w:rsidRPr="001800B7">
        <w:rPr>
          <w:szCs w:val="22"/>
        </w:rPr>
        <w:t>ÉVALUATION DU PROJET RELATIF À LA PROPRIÉTÉ INTELLECTUELLE ET AU DÉVELOPPEMENT SOCIOÉCONOMIQUE</w:t>
      </w:r>
    </w:p>
    <w:p w:rsidR="0010628F" w:rsidRPr="001800B7" w:rsidRDefault="0010628F" w:rsidP="00AC163C">
      <w:pPr>
        <w:rPr>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AC163C">
        <w:tc>
          <w:tcPr>
            <w:tcW w:w="9501" w:type="dxa"/>
            <w:gridSpan w:val="2"/>
            <w:shd w:val="clear" w:color="auto" w:fill="auto"/>
            <w:vAlign w:val="center"/>
          </w:tcPr>
          <w:p w:rsidR="0010628F" w:rsidRPr="001800B7" w:rsidRDefault="0010628F" w:rsidP="00AC163C">
            <w:pPr>
              <w:spacing w:before="120" w:after="120"/>
              <w:rPr>
                <w:szCs w:val="22"/>
              </w:rPr>
            </w:pPr>
            <w:r w:rsidRPr="001800B7">
              <w:rPr>
                <w:szCs w:val="22"/>
              </w:rPr>
              <w:t>RÉSUMÉ DU PROJET</w:t>
            </w:r>
          </w:p>
        </w:tc>
      </w:tr>
      <w:tr w:rsidR="001800B7" w:rsidRPr="001800B7" w:rsidTr="00AC163C">
        <w:tc>
          <w:tcPr>
            <w:tcW w:w="2235" w:type="dxa"/>
            <w:shd w:val="clear" w:color="auto" w:fill="auto"/>
            <w:vAlign w:val="center"/>
          </w:tcPr>
          <w:p w:rsidR="0010628F" w:rsidRPr="001800B7" w:rsidRDefault="0010628F" w:rsidP="00AC163C">
            <w:pPr>
              <w:spacing w:before="120" w:after="120"/>
              <w:rPr>
                <w:szCs w:val="22"/>
              </w:rPr>
            </w:pPr>
            <w:r w:rsidRPr="001800B7">
              <w:rPr>
                <w:szCs w:val="22"/>
              </w:rPr>
              <w:t>Code du projet</w:t>
            </w:r>
          </w:p>
        </w:tc>
        <w:tc>
          <w:tcPr>
            <w:tcW w:w="7266" w:type="dxa"/>
            <w:shd w:val="clear" w:color="auto" w:fill="auto"/>
            <w:vAlign w:val="center"/>
          </w:tcPr>
          <w:p w:rsidR="0010628F" w:rsidRPr="001800B7" w:rsidRDefault="0010628F" w:rsidP="00AC163C">
            <w:pPr>
              <w:spacing w:before="120" w:after="120"/>
              <w:rPr>
                <w:i/>
                <w:szCs w:val="22"/>
              </w:rPr>
            </w:pPr>
            <w:r w:rsidRPr="001800B7">
              <w:rPr>
                <w:i/>
                <w:szCs w:val="22"/>
              </w:rPr>
              <w:t>DA_35_37_01</w:t>
            </w:r>
          </w:p>
        </w:tc>
      </w:tr>
      <w:tr w:rsidR="001800B7" w:rsidRPr="001800B7" w:rsidTr="00AC163C">
        <w:tc>
          <w:tcPr>
            <w:tcW w:w="2235" w:type="dxa"/>
            <w:shd w:val="clear" w:color="auto" w:fill="auto"/>
          </w:tcPr>
          <w:p w:rsidR="0010628F" w:rsidRPr="001800B7" w:rsidRDefault="0010628F" w:rsidP="00AC163C">
            <w:pPr>
              <w:spacing w:before="120" w:after="120"/>
              <w:rPr>
                <w:szCs w:val="22"/>
              </w:rPr>
            </w:pPr>
            <w:r w:rsidRPr="001800B7">
              <w:rPr>
                <w:szCs w:val="22"/>
              </w:rPr>
              <w:t>Titre</w:t>
            </w:r>
          </w:p>
        </w:tc>
        <w:tc>
          <w:tcPr>
            <w:tcW w:w="7266" w:type="dxa"/>
            <w:shd w:val="clear" w:color="auto" w:fill="auto"/>
          </w:tcPr>
          <w:p w:rsidR="0010628F" w:rsidRPr="001800B7" w:rsidRDefault="0010628F" w:rsidP="00AC163C">
            <w:pPr>
              <w:spacing w:before="120" w:after="120"/>
              <w:rPr>
                <w:szCs w:val="22"/>
              </w:rPr>
            </w:pPr>
            <w:r w:rsidRPr="001800B7">
              <w:rPr>
                <w:szCs w:val="22"/>
              </w:rPr>
              <w:t>Propriété intellectuelle et développement socioéconomique</w:t>
            </w:r>
          </w:p>
        </w:tc>
      </w:tr>
      <w:tr w:rsidR="001800B7" w:rsidRPr="001800B7" w:rsidTr="00AC163C">
        <w:tc>
          <w:tcPr>
            <w:tcW w:w="2235" w:type="dxa"/>
            <w:shd w:val="clear" w:color="auto" w:fill="auto"/>
          </w:tcPr>
          <w:p w:rsidR="0010628F" w:rsidRPr="001800B7" w:rsidRDefault="0010628F" w:rsidP="00AC163C">
            <w:pPr>
              <w:spacing w:before="120" w:after="120"/>
              <w:rPr>
                <w:szCs w:val="22"/>
              </w:rPr>
            </w:pPr>
            <w:r w:rsidRPr="001800B7">
              <w:rPr>
                <w:szCs w:val="22"/>
              </w:rPr>
              <w:t>Recommandations du Plan d</w:t>
            </w:r>
            <w:r w:rsidR="005311D6" w:rsidRPr="001800B7">
              <w:rPr>
                <w:szCs w:val="22"/>
              </w:rPr>
              <w:t>’</w:t>
            </w:r>
            <w:r w:rsidRPr="001800B7">
              <w:rPr>
                <w:szCs w:val="22"/>
              </w:rPr>
              <w:t>action pour le développement</w:t>
            </w:r>
          </w:p>
        </w:tc>
        <w:tc>
          <w:tcPr>
            <w:tcW w:w="7266" w:type="dxa"/>
            <w:shd w:val="clear" w:color="auto" w:fill="auto"/>
          </w:tcPr>
          <w:p w:rsidR="0010628F" w:rsidRPr="001800B7" w:rsidRDefault="0010628F" w:rsidP="00AC163C">
            <w:pPr>
              <w:spacing w:before="120" w:after="120"/>
              <w:rPr>
                <w:szCs w:val="22"/>
              </w:rPr>
            </w:pPr>
            <w:r w:rsidRPr="001800B7">
              <w:rPr>
                <w:i/>
                <w:szCs w:val="22"/>
              </w:rPr>
              <w:t>Recommandation n° 35 (groupe D) :</w:t>
            </w:r>
            <w:r w:rsidRPr="001800B7">
              <w:rPr>
                <w:szCs w:val="22"/>
              </w:rPr>
              <w:t xml:space="preserve"> Demander à l</w:t>
            </w:r>
            <w:r w:rsidR="005311D6" w:rsidRPr="001800B7">
              <w:rPr>
                <w:szCs w:val="22"/>
              </w:rPr>
              <w:t>’</w:t>
            </w:r>
            <w:r w:rsidRPr="001800B7">
              <w:rPr>
                <w:szCs w:val="22"/>
              </w:rPr>
              <w:t>OMPI de réaliser, à la demande des États membres, de nouvelles études pour évaluer l</w:t>
            </w:r>
            <w:r w:rsidR="005311D6" w:rsidRPr="001800B7">
              <w:rPr>
                <w:szCs w:val="22"/>
              </w:rPr>
              <w:t>’</w:t>
            </w:r>
            <w:r w:rsidRPr="001800B7">
              <w:rPr>
                <w:szCs w:val="22"/>
              </w:rPr>
              <w:t>incidence économique, sociale et culturelle de l</w:t>
            </w:r>
            <w:r w:rsidR="005311D6" w:rsidRPr="001800B7">
              <w:rPr>
                <w:szCs w:val="22"/>
              </w:rPr>
              <w:t>’</w:t>
            </w:r>
            <w:r w:rsidRPr="001800B7">
              <w:rPr>
                <w:szCs w:val="22"/>
              </w:rPr>
              <w:t>utilisation des systèmes de propriété intellectuelle dans ces États.</w:t>
            </w:r>
          </w:p>
          <w:p w:rsidR="0010628F" w:rsidRPr="001800B7" w:rsidRDefault="0010628F" w:rsidP="00AC163C">
            <w:pPr>
              <w:spacing w:before="120" w:after="120"/>
              <w:rPr>
                <w:i/>
                <w:szCs w:val="22"/>
              </w:rPr>
            </w:pPr>
            <w:r w:rsidRPr="001800B7">
              <w:rPr>
                <w:i/>
                <w:szCs w:val="22"/>
              </w:rPr>
              <w:t>Recommandation n° 37 (groupe D) :</w:t>
            </w:r>
            <w:r w:rsidRPr="001800B7">
              <w:rPr>
                <w:szCs w:val="22"/>
              </w:rPr>
              <w:t xml:space="preserve"> À la demande des États membres et selon leurs instructions, l</w:t>
            </w:r>
            <w:r w:rsidR="005311D6" w:rsidRPr="001800B7">
              <w:rPr>
                <w:szCs w:val="22"/>
              </w:rPr>
              <w:t>’</w:t>
            </w:r>
            <w:r w:rsidRPr="001800B7">
              <w:rPr>
                <w:szCs w:val="22"/>
              </w:rPr>
              <w:t>OMPI peut réaliser des études sur la protection de la propriété intellectuelle afin de déterminer les liens et les incidences possibles entre propriété intellectuelle et développement.</w:t>
            </w:r>
          </w:p>
        </w:tc>
      </w:tr>
      <w:tr w:rsidR="001800B7" w:rsidRPr="001800B7" w:rsidTr="00AC163C">
        <w:tc>
          <w:tcPr>
            <w:tcW w:w="2235" w:type="dxa"/>
            <w:shd w:val="clear" w:color="auto" w:fill="auto"/>
          </w:tcPr>
          <w:p w:rsidR="0010628F" w:rsidRPr="001800B7" w:rsidRDefault="0010628F" w:rsidP="00AC163C">
            <w:pPr>
              <w:spacing w:before="120" w:after="120"/>
              <w:rPr>
                <w:szCs w:val="22"/>
              </w:rPr>
            </w:pPr>
            <w:r w:rsidRPr="001800B7">
              <w:rPr>
                <w:szCs w:val="22"/>
              </w:rPr>
              <w:t>Budget du projet</w:t>
            </w:r>
          </w:p>
        </w:tc>
        <w:tc>
          <w:tcPr>
            <w:tcW w:w="7266" w:type="dxa"/>
            <w:shd w:val="clear" w:color="auto" w:fill="auto"/>
          </w:tcPr>
          <w:p w:rsidR="0010628F" w:rsidRPr="001800B7" w:rsidRDefault="0010628F" w:rsidP="00AC163C">
            <w:pPr>
              <w:spacing w:before="120" w:after="120"/>
              <w:rPr>
                <w:szCs w:val="22"/>
              </w:rPr>
            </w:pPr>
            <w:r w:rsidRPr="001800B7">
              <w:rPr>
                <w:szCs w:val="22"/>
              </w:rPr>
              <w:t>Dépenses autres que les dépenses de personnel : 1 341 700 francs suisses</w:t>
            </w:r>
          </w:p>
          <w:p w:rsidR="0010628F" w:rsidRPr="001800B7" w:rsidRDefault="0010628F" w:rsidP="00AC163C">
            <w:pPr>
              <w:spacing w:before="120" w:after="120"/>
              <w:rPr>
                <w:i/>
                <w:iCs/>
                <w:szCs w:val="22"/>
              </w:rPr>
            </w:pPr>
            <w:r w:rsidRPr="001800B7">
              <w:rPr>
                <w:szCs w:val="22"/>
              </w:rPr>
              <w:t>Dépenses de personnel : 150 000 francs suisses</w:t>
            </w:r>
          </w:p>
        </w:tc>
      </w:tr>
      <w:tr w:rsidR="001800B7" w:rsidRPr="001800B7" w:rsidTr="00AC163C">
        <w:tc>
          <w:tcPr>
            <w:tcW w:w="2235" w:type="dxa"/>
            <w:shd w:val="clear" w:color="auto" w:fill="auto"/>
          </w:tcPr>
          <w:p w:rsidR="0010628F" w:rsidRPr="001800B7" w:rsidRDefault="0010628F" w:rsidP="00AC163C">
            <w:pPr>
              <w:spacing w:before="120" w:after="120"/>
              <w:rPr>
                <w:szCs w:val="22"/>
              </w:rPr>
            </w:pPr>
            <w:r w:rsidRPr="001800B7">
              <w:rPr>
                <w:szCs w:val="22"/>
              </w:rPr>
              <w:t>Durée du projet</w:t>
            </w:r>
          </w:p>
        </w:tc>
        <w:tc>
          <w:tcPr>
            <w:tcW w:w="7266" w:type="dxa"/>
            <w:shd w:val="clear" w:color="auto" w:fill="auto"/>
          </w:tcPr>
          <w:p w:rsidR="0010628F" w:rsidRPr="001800B7" w:rsidRDefault="0010628F" w:rsidP="00AC163C">
            <w:pPr>
              <w:spacing w:before="120" w:after="120"/>
              <w:rPr>
                <w:iCs/>
                <w:szCs w:val="22"/>
              </w:rPr>
            </w:pPr>
            <w:r w:rsidRPr="001800B7">
              <w:rPr>
                <w:iCs/>
                <w:szCs w:val="22"/>
              </w:rPr>
              <w:t>42 mois</w:t>
            </w:r>
          </w:p>
        </w:tc>
      </w:tr>
      <w:tr w:rsidR="001800B7" w:rsidRPr="001800B7" w:rsidTr="00AC163C">
        <w:tc>
          <w:tcPr>
            <w:tcW w:w="2235" w:type="dxa"/>
            <w:shd w:val="clear" w:color="auto" w:fill="auto"/>
          </w:tcPr>
          <w:p w:rsidR="0010628F" w:rsidRPr="001800B7" w:rsidRDefault="0010628F" w:rsidP="00AC163C">
            <w:pPr>
              <w:spacing w:before="120" w:after="120"/>
              <w:rPr>
                <w:szCs w:val="22"/>
              </w:rPr>
            </w:pPr>
            <w:r w:rsidRPr="001800B7">
              <w:rPr>
                <w:szCs w:val="22"/>
              </w:rPr>
              <w:t>Principaux secteurs de l</w:t>
            </w:r>
            <w:r w:rsidR="005311D6" w:rsidRPr="001800B7">
              <w:rPr>
                <w:szCs w:val="22"/>
              </w:rPr>
              <w:t>’</w:t>
            </w:r>
            <w:r w:rsidRPr="001800B7">
              <w:rPr>
                <w:szCs w:val="22"/>
              </w:rPr>
              <w:t>OMPI concernés et liens avec les programmes de l</w:t>
            </w:r>
            <w:r w:rsidR="005311D6" w:rsidRPr="001800B7">
              <w:rPr>
                <w:szCs w:val="22"/>
              </w:rPr>
              <w:t>’</w:t>
            </w:r>
            <w:r w:rsidRPr="001800B7">
              <w:rPr>
                <w:szCs w:val="22"/>
              </w:rPr>
              <w:t>OMPI</w:t>
            </w:r>
          </w:p>
        </w:tc>
        <w:tc>
          <w:tcPr>
            <w:tcW w:w="7266" w:type="dxa"/>
            <w:shd w:val="clear" w:color="auto" w:fill="auto"/>
          </w:tcPr>
          <w:p w:rsidR="0010628F" w:rsidRPr="001800B7" w:rsidRDefault="0010628F" w:rsidP="00AC163C">
            <w:pPr>
              <w:spacing w:before="120" w:after="120"/>
              <w:rPr>
                <w:szCs w:val="22"/>
              </w:rPr>
            </w:pPr>
            <w:r w:rsidRPr="001800B7">
              <w:rPr>
                <w:szCs w:val="22"/>
              </w:rPr>
              <w:t>Principaux secteurs de l</w:t>
            </w:r>
            <w:r w:rsidR="005311D6" w:rsidRPr="001800B7">
              <w:rPr>
                <w:szCs w:val="22"/>
              </w:rPr>
              <w:t>’</w:t>
            </w:r>
            <w:r w:rsidRPr="001800B7">
              <w:rPr>
                <w:szCs w:val="22"/>
              </w:rPr>
              <w:t>OMPI concernés : Division des études, statistiques et analyses économiques;  Secteur des questions mondiales;  Secteur des brevets;  Secteur des marques, des dessins et modèles industriels et des indications géographiques;  Secteur de la coopération pour le développement.</w:t>
            </w:r>
          </w:p>
          <w:p w:rsidR="0010628F" w:rsidRPr="001800B7" w:rsidRDefault="0010628F" w:rsidP="00AC163C">
            <w:pPr>
              <w:spacing w:before="120" w:after="120"/>
              <w:rPr>
                <w:szCs w:val="22"/>
              </w:rPr>
            </w:pPr>
            <w:r w:rsidRPr="001800B7">
              <w:rPr>
                <w:szCs w:val="22"/>
              </w:rPr>
              <w:t xml:space="preserve">Liens avec </w:t>
            </w:r>
            <w:proofErr w:type="gramStart"/>
            <w:r w:rsidRPr="001800B7">
              <w:rPr>
                <w:szCs w:val="22"/>
              </w:rPr>
              <w:t>les programmes</w:t>
            </w:r>
            <w:proofErr w:type="gramEnd"/>
            <w:r w:rsidRPr="001800B7">
              <w:rPr>
                <w:szCs w:val="22"/>
              </w:rPr>
              <w:t xml:space="preserve"> 1, 2, 4, 8, 9, 10, 16 et 30 de l</w:t>
            </w:r>
            <w:r w:rsidR="005311D6" w:rsidRPr="001800B7">
              <w:rPr>
                <w:szCs w:val="22"/>
              </w:rPr>
              <w:t>’</w:t>
            </w:r>
            <w:r w:rsidRPr="001800B7">
              <w:rPr>
                <w:szCs w:val="22"/>
              </w:rPr>
              <w:t>OMPI.</w:t>
            </w:r>
          </w:p>
        </w:tc>
      </w:tr>
      <w:tr w:rsidR="0010628F" w:rsidRPr="001800B7" w:rsidTr="00AC163C">
        <w:tc>
          <w:tcPr>
            <w:tcW w:w="2235" w:type="dxa"/>
            <w:shd w:val="clear" w:color="auto" w:fill="auto"/>
          </w:tcPr>
          <w:p w:rsidR="0010628F" w:rsidRPr="001800B7" w:rsidRDefault="0010628F" w:rsidP="00AC163C">
            <w:pPr>
              <w:spacing w:before="120" w:after="120"/>
              <w:rPr>
                <w:szCs w:val="22"/>
              </w:rPr>
            </w:pPr>
            <w:r w:rsidRPr="001800B7">
              <w:rPr>
                <w:szCs w:val="22"/>
              </w:rPr>
              <w:t>Brève description du projet</w:t>
            </w:r>
          </w:p>
        </w:tc>
        <w:tc>
          <w:tcPr>
            <w:tcW w:w="7266" w:type="dxa"/>
            <w:shd w:val="clear" w:color="auto" w:fill="auto"/>
          </w:tcPr>
          <w:p w:rsidR="0010628F" w:rsidRPr="001800B7" w:rsidRDefault="0010628F" w:rsidP="00AC163C">
            <w:pPr>
              <w:spacing w:before="120" w:after="120"/>
              <w:rPr>
                <w:szCs w:val="22"/>
              </w:rPr>
            </w:pPr>
            <w:r w:rsidRPr="001800B7">
              <w:rPr>
                <w:szCs w:val="22"/>
              </w:rPr>
              <w:t>Le projet consiste en une série d</w:t>
            </w:r>
            <w:r w:rsidR="005311D6" w:rsidRPr="001800B7">
              <w:rPr>
                <w:szCs w:val="22"/>
              </w:rPr>
              <w:t>’</w:t>
            </w:r>
            <w:r w:rsidRPr="001800B7">
              <w:rPr>
                <w:szCs w:val="22"/>
              </w:rPr>
              <w:t>études sur le lien entre la propriété intellectuelle et les différents aspects de la performance économique dans les pays en développement.  Il s</w:t>
            </w:r>
            <w:r w:rsidR="005311D6" w:rsidRPr="001800B7">
              <w:rPr>
                <w:szCs w:val="22"/>
              </w:rPr>
              <w:t>’</w:t>
            </w:r>
            <w:r w:rsidRPr="001800B7">
              <w:rPr>
                <w:szCs w:val="22"/>
              </w:rPr>
              <w:t>agirait de réduire le déséquilibre des connaissances auquel sont confrontés les décideurs dans ces pays s</w:t>
            </w:r>
            <w:r w:rsidR="005311D6" w:rsidRPr="001800B7">
              <w:rPr>
                <w:szCs w:val="22"/>
              </w:rPr>
              <w:t>’</w:t>
            </w:r>
            <w:r w:rsidRPr="001800B7">
              <w:rPr>
                <w:szCs w:val="22"/>
              </w:rPr>
              <w:t>agissant d</w:t>
            </w:r>
            <w:r w:rsidR="005311D6" w:rsidRPr="001800B7">
              <w:rPr>
                <w:szCs w:val="22"/>
              </w:rPr>
              <w:t>’</w:t>
            </w:r>
            <w:r w:rsidRPr="001800B7">
              <w:rPr>
                <w:szCs w:val="22"/>
              </w:rPr>
              <w:t>élaborer et de mettre en œuvre un régime de propriété intellectuelle favorisant le développement.  Les études envisagées seraient axées sur trois grands thèmes : l</w:t>
            </w:r>
            <w:r w:rsidR="005311D6" w:rsidRPr="001800B7">
              <w:rPr>
                <w:szCs w:val="22"/>
              </w:rPr>
              <w:t>’</w:t>
            </w:r>
            <w:r w:rsidRPr="001800B7">
              <w:rPr>
                <w:szCs w:val="22"/>
              </w:rPr>
              <w:t>innovation sur le plan intérieur, la diffusion internationale et nationale du savoir et les caractéristiques institutionnelles du système de la propriété intellectuelle et ses incidences économiques.  Ces études seraient mises en œuvre par des équipes de recherche associant le Bureau de l</w:t>
            </w:r>
            <w:r w:rsidR="005311D6" w:rsidRPr="001800B7">
              <w:rPr>
                <w:szCs w:val="22"/>
              </w:rPr>
              <w:t>’</w:t>
            </w:r>
            <w:r w:rsidRPr="001800B7">
              <w:rPr>
                <w:szCs w:val="22"/>
              </w:rPr>
              <w:t>économiste en chef de l</w:t>
            </w:r>
            <w:r w:rsidR="005311D6" w:rsidRPr="001800B7">
              <w:rPr>
                <w:szCs w:val="22"/>
              </w:rPr>
              <w:t>’</w:t>
            </w:r>
            <w:r w:rsidRPr="001800B7">
              <w:rPr>
                <w:szCs w:val="22"/>
              </w:rPr>
              <w:t>OMPI, des experts internationaux et des chercheurs locaux.</w:t>
            </w:r>
          </w:p>
        </w:tc>
      </w:tr>
    </w:tbl>
    <w:p w:rsidR="0010628F" w:rsidRPr="001800B7" w:rsidRDefault="0010628F" w:rsidP="00AC163C">
      <w:pPr>
        <w:rPr>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731FB3">
        <w:tc>
          <w:tcPr>
            <w:tcW w:w="2235" w:type="dxa"/>
            <w:shd w:val="clear" w:color="auto" w:fill="auto"/>
            <w:vAlign w:val="center"/>
          </w:tcPr>
          <w:p w:rsidR="0010628F" w:rsidRPr="001800B7" w:rsidRDefault="0010628F" w:rsidP="00AC163C">
            <w:pPr>
              <w:spacing w:before="120" w:after="120"/>
              <w:rPr>
                <w:szCs w:val="22"/>
              </w:rPr>
            </w:pPr>
            <w:r w:rsidRPr="001800B7">
              <w:rPr>
                <w:szCs w:val="22"/>
              </w:rPr>
              <w:t>Chef de projet</w:t>
            </w:r>
          </w:p>
        </w:tc>
        <w:tc>
          <w:tcPr>
            <w:tcW w:w="7266" w:type="dxa"/>
            <w:vAlign w:val="center"/>
          </w:tcPr>
          <w:p w:rsidR="0010628F" w:rsidRPr="001800B7" w:rsidRDefault="0010628F" w:rsidP="00731FB3">
            <w:pPr>
              <w:spacing w:before="120" w:after="120"/>
              <w:rPr>
                <w:iCs/>
                <w:szCs w:val="22"/>
              </w:rPr>
            </w:pPr>
            <w:r w:rsidRPr="001800B7">
              <w:rPr>
                <w:iCs/>
                <w:szCs w:val="22"/>
              </w:rPr>
              <w:t>M. Carsten Fink</w:t>
            </w:r>
          </w:p>
        </w:tc>
      </w:tr>
      <w:tr w:rsidR="001800B7" w:rsidRPr="001800B7" w:rsidTr="00731FB3">
        <w:tc>
          <w:tcPr>
            <w:tcW w:w="2235" w:type="dxa"/>
            <w:shd w:val="clear" w:color="auto" w:fill="auto"/>
          </w:tcPr>
          <w:p w:rsidR="0010628F" w:rsidRPr="001800B7" w:rsidDel="00196374" w:rsidRDefault="0010628F" w:rsidP="00AC163C">
            <w:pPr>
              <w:spacing w:before="120" w:after="120"/>
              <w:rPr>
                <w:szCs w:val="22"/>
              </w:rPr>
            </w:pPr>
            <w:r w:rsidRPr="001800B7">
              <w:rPr>
                <w:szCs w:val="22"/>
              </w:rPr>
              <w:t>Liens avec les résultats escomptés dans le programme et budget pour 2012</w:t>
            </w:r>
            <w:r w:rsidR="001800B7" w:rsidRPr="001800B7">
              <w:rPr>
                <w:szCs w:val="22"/>
              </w:rPr>
              <w:noBreakHyphen/>
            </w:r>
            <w:r w:rsidRPr="001800B7">
              <w:rPr>
                <w:szCs w:val="22"/>
              </w:rPr>
              <w:t xml:space="preserve">2013 </w:t>
            </w:r>
          </w:p>
        </w:tc>
        <w:tc>
          <w:tcPr>
            <w:tcW w:w="7266" w:type="dxa"/>
          </w:tcPr>
          <w:p w:rsidR="0010628F" w:rsidRPr="001800B7" w:rsidRDefault="0010628F" w:rsidP="00AC163C">
            <w:pPr>
              <w:spacing w:before="120" w:after="120"/>
              <w:rPr>
                <w:iCs/>
                <w:szCs w:val="22"/>
              </w:rPr>
            </w:pPr>
            <w:r w:rsidRPr="001800B7">
              <w:rPr>
                <w:iCs/>
                <w:szCs w:val="22"/>
              </w:rPr>
              <w:t>Ce projet a contribué aux résultats ci</w:t>
            </w:r>
            <w:r w:rsidR="001800B7" w:rsidRPr="001800B7">
              <w:rPr>
                <w:iCs/>
                <w:szCs w:val="22"/>
              </w:rPr>
              <w:noBreakHyphen/>
            </w:r>
            <w:r w:rsidRPr="001800B7">
              <w:rPr>
                <w:iCs/>
                <w:szCs w:val="22"/>
              </w:rPr>
              <w:t xml:space="preserve">après pour le </w:t>
            </w:r>
            <w:r w:rsidR="009B7B20" w:rsidRPr="001800B7">
              <w:rPr>
                <w:iCs/>
                <w:szCs w:val="22"/>
              </w:rPr>
              <w:t>programme</w:t>
            </w:r>
            <w:r w:rsidRPr="001800B7">
              <w:rPr>
                <w:iCs/>
                <w:szCs w:val="22"/>
              </w:rPr>
              <w:t> 16 :</w:t>
            </w:r>
          </w:p>
          <w:p w:rsidR="0010628F" w:rsidRPr="001800B7" w:rsidRDefault="0010628F" w:rsidP="00AC163C">
            <w:pPr>
              <w:autoSpaceDE w:val="0"/>
              <w:autoSpaceDN w:val="0"/>
              <w:adjustRightInd w:val="0"/>
              <w:spacing w:before="120" w:after="120"/>
              <w:rPr>
                <w:szCs w:val="22"/>
              </w:rPr>
            </w:pPr>
            <w:r w:rsidRPr="001800B7">
              <w:rPr>
                <w:i/>
                <w:szCs w:val="22"/>
              </w:rPr>
              <w:t>Résultat escompté V.1 :</w:t>
            </w:r>
            <w:r w:rsidRPr="001800B7">
              <w:rPr>
                <w:szCs w:val="22"/>
              </w:rPr>
              <w:t xml:space="preserve"> Utilisation élargie et améliorée de l</w:t>
            </w:r>
            <w:r w:rsidR="005311D6" w:rsidRPr="001800B7">
              <w:rPr>
                <w:szCs w:val="22"/>
              </w:rPr>
              <w:t>’</w:t>
            </w:r>
            <w:r w:rsidRPr="001800B7">
              <w:rPr>
                <w:szCs w:val="22"/>
              </w:rPr>
              <w:t>information statistique de l</w:t>
            </w:r>
            <w:r w:rsidR="005311D6" w:rsidRPr="001800B7">
              <w:rPr>
                <w:szCs w:val="22"/>
              </w:rPr>
              <w:t>’</w:t>
            </w:r>
            <w:r w:rsidRPr="001800B7">
              <w:rPr>
                <w:szCs w:val="22"/>
              </w:rPr>
              <w:t>OMPI relative à la propriété intellectuelle.</w:t>
            </w:r>
          </w:p>
          <w:p w:rsidR="0010628F" w:rsidRPr="001800B7" w:rsidDel="00196374" w:rsidRDefault="0010628F" w:rsidP="00731FB3">
            <w:pPr>
              <w:autoSpaceDE w:val="0"/>
              <w:autoSpaceDN w:val="0"/>
              <w:adjustRightInd w:val="0"/>
              <w:spacing w:before="120" w:after="120"/>
              <w:rPr>
                <w:szCs w:val="22"/>
              </w:rPr>
            </w:pPr>
            <w:r w:rsidRPr="001800B7">
              <w:rPr>
                <w:szCs w:val="22"/>
              </w:rPr>
              <w:t>Résultat escompté V.2 : Utilisation élargie et améliorée des analyses économiques de l</w:t>
            </w:r>
            <w:r w:rsidR="005311D6" w:rsidRPr="001800B7">
              <w:rPr>
                <w:szCs w:val="22"/>
              </w:rPr>
              <w:t>’</w:t>
            </w:r>
            <w:r w:rsidRPr="001800B7">
              <w:rPr>
                <w:szCs w:val="22"/>
              </w:rPr>
              <w:t>OMPI aux fins de l</w:t>
            </w:r>
            <w:r w:rsidR="005311D6" w:rsidRPr="001800B7">
              <w:rPr>
                <w:szCs w:val="22"/>
              </w:rPr>
              <w:t>’</w:t>
            </w:r>
            <w:r w:rsidRPr="001800B7">
              <w:rPr>
                <w:szCs w:val="22"/>
              </w:rPr>
              <w:t>élaboration des politiques.</w:t>
            </w:r>
          </w:p>
        </w:tc>
      </w:tr>
      <w:tr w:rsidR="001800B7" w:rsidRPr="001800B7" w:rsidTr="00731FB3">
        <w:tc>
          <w:tcPr>
            <w:tcW w:w="2235" w:type="dxa"/>
            <w:shd w:val="clear" w:color="auto" w:fill="auto"/>
          </w:tcPr>
          <w:p w:rsidR="0010628F" w:rsidRPr="001800B7" w:rsidRDefault="0010628F" w:rsidP="00731FB3">
            <w:pPr>
              <w:spacing w:before="120" w:after="120"/>
              <w:rPr>
                <w:szCs w:val="22"/>
              </w:rPr>
            </w:pPr>
            <w:r w:rsidRPr="001800B7">
              <w:rPr>
                <w:szCs w:val="22"/>
              </w:rPr>
              <w:lastRenderedPageBreak/>
              <w:t>État d</w:t>
            </w:r>
            <w:r w:rsidR="005311D6" w:rsidRPr="001800B7">
              <w:rPr>
                <w:szCs w:val="22"/>
              </w:rPr>
              <w:t>’</w:t>
            </w:r>
            <w:r w:rsidRPr="001800B7">
              <w:rPr>
                <w:szCs w:val="22"/>
              </w:rPr>
              <w:t>avancement du projet</w:t>
            </w:r>
          </w:p>
        </w:tc>
        <w:tc>
          <w:tcPr>
            <w:tcW w:w="7266" w:type="dxa"/>
          </w:tcPr>
          <w:p w:rsidR="0010628F" w:rsidRPr="001800B7" w:rsidRDefault="0010628F" w:rsidP="00AC163C">
            <w:pPr>
              <w:autoSpaceDE w:val="0"/>
              <w:autoSpaceDN w:val="0"/>
              <w:adjustRightInd w:val="0"/>
              <w:spacing w:before="120" w:after="120"/>
              <w:rPr>
                <w:bCs/>
                <w:iCs/>
                <w:szCs w:val="22"/>
                <w:lang w:bidi="th-TH"/>
              </w:rPr>
            </w:pPr>
            <w:r w:rsidRPr="001800B7">
              <w:rPr>
                <w:bCs/>
                <w:iCs/>
                <w:szCs w:val="22"/>
                <w:lang w:bidi="th-TH"/>
              </w:rPr>
              <w:t>Dans le cadre de ce Projet, six études de pays ont été mises en œuvre, en suivant l</w:t>
            </w:r>
            <w:r w:rsidR="005311D6" w:rsidRPr="001800B7">
              <w:rPr>
                <w:bCs/>
                <w:iCs/>
                <w:szCs w:val="22"/>
                <w:lang w:bidi="th-TH"/>
              </w:rPr>
              <w:t>’</w:t>
            </w:r>
            <w:r w:rsidRPr="001800B7">
              <w:rPr>
                <w:bCs/>
                <w:iCs/>
                <w:szCs w:val="22"/>
                <w:lang w:bidi="th-TH"/>
              </w:rPr>
              <w:t>orientation générale du document d</w:t>
            </w:r>
            <w:r w:rsidR="005311D6" w:rsidRPr="001800B7">
              <w:rPr>
                <w:bCs/>
                <w:iCs/>
                <w:szCs w:val="22"/>
                <w:lang w:bidi="th-TH"/>
              </w:rPr>
              <w:t>’</w:t>
            </w:r>
            <w:r w:rsidRPr="001800B7">
              <w:rPr>
                <w:bCs/>
                <w:iCs/>
                <w:szCs w:val="22"/>
                <w:lang w:bidi="th-TH"/>
              </w:rPr>
              <w:t>origine du projet.  Toutes les études de pays ont été terminées dans les délais révisés impartis au projet, en l</w:t>
            </w:r>
            <w:r w:rsidR="005311D6" w:rsidRPr="001800B7">
              <w:rPr>
                <w:bCs/>
                <w:iCs/>
                <w:szCs w:val="22"/>
                <w:lang w:bidi="th-TH"/>
              </w:rPr>
              <w:t>’</w:t>
            </w:r>
            <w:r w:rsidRPr="001800B7">
              <w:rPr>
                <w:bCs/>
                <w:iCs/>
                <w:szCs w:val="22"/>
                <w:lang w:bidi="th-TH"/>
              </w:rPr>
              <w:t>occurrence, les travaux ont été terminés au 31 décembre 2013.  Les principaux résultats de ce projet sont les suivants :</w:t>
            </w:r>
          </w:p>
          <w:p w:rsidR="0010628F" w:rsidRPr="001800B7" w:rsidRDefault="0010628F" w:rsidP="00731FB3">
            <w:pPr>
              <w:pStyle w:val="ONUME"/>
              <w:numPr>
                <w:ilvl w:val="0"/>
                <w:numId w:val="37"/>
              </w:numPr>
              <w:tabs>
                <w:tab w:val="clear" w:pos="567"/>
                <w:tab w:val="num" w:pos="884"/>
              </w:tabs>
              <w:spacing w:before="120" w:after="120"/>
              <w:rPr>
                <w:szCs w:val="22"/>
              </w:rPr>
            </w:pPr>
            <w:r w:rsidRPr="001800B7">
              <w:rPr>
                <w:szCs w:val="22"/>
              </w:rPr>
              <w:t>Brésil : étude sur l</w:t>
            </w:r>
            <w:r w:rsidR="005311D6" w:rsidRPr="001800B7">
              <w:rPr>
                <w:szCs w:val="22"/>
              </w:rPr>
              <w:t>’</w:t>
            </w:r>
            <w:r w:rsidRPr="001800B7">
              <w:rPr>
                <w:szCs w:val="22"/>
              </w:rPr>
              <w:t>utilisation de la propriété intellectuelle fondée sur les données d</w:t>
            </w:r>
            <w:r w:rsidR="005311D6" w:rsidRPr="001800B7">
              <w:rPr>
                <w:szCs w:val="22"/>
              </w:rPr>
              <w:t>’</w:t>
            </w:r>
            <w:r w:rsidRPr="001800B7">
              <w:rPr>
                <w:szCs w:val="22"/>
              </w:rPr>
              <w:t>enquêtes menées auprès des entreprises;  base de données sur l</w:t>
            </w:r>
            <w:r w:rsidR="005311D6" w:rsidRPr="001800B7">
              <w:rPr>
                <w:szCs w:val="22"/>
              </w:rPr>
              <w:t>’</w:t>
            </w:r>
            <w:r w:rsidRPr="001800B7">
              <w:rPr>
                <w:szCs w:val="22"/>
              </w:rPr>
              <w:t>enregistrement à l</w:t>
            </w:r>
            <w:r w:rsidR="005311D6" w:rsidRPr="001800B7">
              <w:rPr>
                <w:szCs w:val="22"/>
              </w:rPr>
              <w:t>’</w:t>
            </w:r>
            <w:r w:rsidRPr="001800B7">
              <w:rPr>
                <w:szCs w:val="22"/>
              </w:rPr>
              <w:t>Office brésilien de la propriété intellectuelle;  étude de l</w:t>
            </w:r>
            <w:r w:rsidR="005311D6" w:rsidRPr="001800B7">
              <w:rPr>
                <w:szCs w:val="22"/>
              </w:rPr>
              <w:t>’</w:t>
            </w:r>
            <w:r w:rsidRPr="001800B7">
              <w:rPr>
                <w:szCs w:val="22"/>
              </w:rPr>
              <w:t>utilisation de la propriété intellectuelle fondée sur ces données;  étude sur l</w:t>
            </w:r>
            <w:r w:rsidR="005311D6" w:rsidRPr="001800B7">
              <w:rPr>
                <w:szCs w:val="22"/>
              </w:rPr>
              <w:t>’</w:t>
            </w:r>
            <w:r w:rsidRPr="001800B7">
              <w:rPr>
                <w:szCs w:val="22"/>
              </w:rPr>
              <w:t>utilisation de la propriété intellectuelle et la performance des exportations.</w:t>
            </w:r>
          </w:p>
          <w:p w:rsidR="0010628F" w:rsidRPr="001800B7" w:rsidRDefault="0010628F" w:rsidP="00731FB3">
            <w:pPr>
              <w:pStyle w:val="ONUME"/>
              <w:numPr>
                <w:ilvl w:val="0"/>
                <w:numId w:val="37"/>
              </w:numPr>
              <w:tabs>
                <w:tab w:val="clear" w:pos="567"/>
                <w:tab w:val="num" w:pos="884"/>
              </w:tabs>
              <w:spacing w:before="120" w:after="120"/>
              <w:rPr>
                <w:szCs w:val="22"/>
              </w:rPr>
            </w:pPr>
            <w:r w:rsidRPr="001800B7">
              <w:rPr>
                <w:szCs w:val="22"/>
              </w:rPr>
              <w:t>Chili : base de données sur l</w:t>
            </w:r>
            <w:r w:rsidR="005311D6" w:rsidRPr="001800B7">
              <w:rPr>
                <w:szCs w:val="22"/>
              </w:rPr>
              <w:t>’</w:t>
            </w:r>
            <w:r w:rsidRPr="001800B7">
              <w:rPr>
                <w:szCs w:val="22"/>
              </w:rPr>
              <w:t>enregistrement à l</w:t>
            </w:r>
            <w:r w:rsidR="005311D6" w:rsidRPr="001800B7">
              <w:rPr>
                <w:szCs w:val="22"/>
              </w:rPr>
              <w:t>’</w:t>
            </w:r>
            <w:r w:rsidRPr="001800B7">
              <w:rPr>
                <w:szCs w:val="22"/>
              </w:rPr>
              <w:t>Office chilien de la propriété intellectuelle;  étude sur l</w:t>
            </w:r>
            <w:r w:rsidR="005311D6" w:rsidRPr="001800B7">
              <w:rPr>
                <w:szCs w:val="22"/>
              </w:rPr>
              <w:t>’</w:t>
            </w:r>
            <w:r w:rsidRPr="001800B7">
              <w:rPr>
                <w:szCs w:val="22"/>
              </w:rPr>
              <w:t>utilisation de la propriété intellectuelle au Chili;  étude sur le squattage des marques au Chili et étude sur la délivrance de brevets relatifs aux produits pharmaceutiques au Chili.</w:t>
            </w:r>
          </w:p>
          <w:p w:rsidR="0010628F" w:rsidRPr="001800B7" w:rsidRDefault="0010628F" w:rsidP="00731FB3">
            <w:pPr>
              <w:pStyle w:val="ONUME"/>
              <w:numPr>
                <w:ilvl w:val="0"/>
                <w:numId w:val="37"/>
              </w:numPr>
              <w:tabs>
                <w:tab w:val="clear" w:pos="567"/>
                <w:tab w:val="num" w:pos="884"/>
              </w:tabs>
              <w:spacing w:before="120" w:after="120"/>
              <w:rPr>
                <w:szCs w:val="22"/>
              </w:rPr>
            </w:pPr>
            <w:r w:rsidRPr="001800B7">
              <w:rPr>
                <w:szCs w:val="22"/>
              </w:rPr>
              <w:t>Uruguay : étude sur la propriété intellectuelle dans le secteur forestier et étude sur la délivrance des brevets et la structure du marché dans le secteur pharmaceutique, ainsi qu</w:t>
            </w:r>
            <w:r w:rsidR="005311D6" w:rsidRPr="001800B7">
              <w:rPr>
                <w:szCs w:val="22"/>
              </w:rPr>
              <w:t>’</w:t>
            </w:r>
            <w:r w:rsidRPr="001800B7">
              <w:rPr>
                <w:szCs w:val="22"/>
              </w:rPr>
              <w:t>une micro base de données sur les produits pharmaceutiques et les dépôts les concernant en matière de propriété intellectuelle.</w:t>
            </w:r>
          </w:p>
          <w:p w:rsidR="0010628F" w:rsidRPr="001800B7" w:rsidRDefault="0010628F" w:rsidP="00731FB3">
            <w:pPr>
              <w:pStyle w:val="ONUME"/>
              <w:numPr>
                <w:ilvl w:val="0"/>
                <w:numId w:val="37"/>
              </w:numPr>
              <w:tabs>
                <w:tab w:val="clear" w:pos="567"/>
                <w:tab w:val="num" w:pos="884"/>
              </w:tabs>
              <w:spacing w:before="120" w:after="120"/>
              <w:rPr>
                <w:szCs w:val="22"/>
              </w:rPr>
            </w:pPr>
            <w:r w:rsidRPr="001800B7">
              <w:rPr>
                <w:szCs w:val="22"/>
              </w:rPr>
              <w:t>Égypte : étude en cours sur le rôle de la propriété intellectuelle dans l</w:t>
            </w:r>
            <w:r w:rsidR="005311D6" w:rsidRPr="001800B7">
              <w:rPr>
                <w:szCs w:val="22"/>
              </w:rPr>
              <w:t>’</w:t>
            </w:r>
            <w:r w:rsidRPr="001800B7">
              <w:rPr>
                <w:szCs w:val="22"/>
              </w:rPr>
              <w:t>industrie des techniques de l</w:t>
            </w:r>
            <w:r w:rsidR="005311D6" w:rsidRPr="001800B7">
              <w:rPr>
                <w:szCs w:val="22"/>
              </w:rPr>
              <w:t>’</w:t>
            </w:r>
            <w:r w:rsidRPr="001800B7">
              <w:rPr>
                <w:szCs w:val="22"/>
              </w:rPr>
              <w:t>information et des communications (TIC).</w:t>
            </w:r>
          </w:p>
          <w:p w:rsidR="0010628F" w:rsidRPr="001800B7" w:rsidRDefault="0010628F" w:rsidP="00731FB3">
            <w:pPr>
              <w:pStyle w:val="ONUME"/>
              <w:numPr>
                <w:ilvl w:val="0"/>
                <w:numId w:val="37"/>
              </w:numPr>
              <w:tabs>
                <w:tab w:val="clear" w:pos="567"/>
                <w:tab w:val="num" w:pos="884"/>
              </w:tabs>
              <w:autoSpaceDE w:val="0"/>
              <w:autoSpaceDN w:val="0"/>
              <w:adjustRightInd w:val="0"/>
              <w:spacing w:before="120" w:after="120"/>
              <w:rPr>
                <w:szCs w:val="22"/>
              </w:rPr>
            </w:pPr>
            <w:r w:rsidRPr="001800B7">
              <w:rPr>
                <w:szCs w:val="22"/>
              </w:rPr>
              <w:t>Chine : étude sur le comportement des déposants chinois lors de demandes de brevet déposées à l</w:t>
            </w:r>
            <w:r w:rsidR="005311D6" w:rsidRPr="001800B7">
              <w:rPr>
                <w:szCs w:val="22"/>
              </w:rPr>
              <w:t>’</w:t>
            </w:r>
            <w:r w:rsidRPr="001800B7">
              <w:rPr>
                <w:szCs w:val="22"/>
              </w:rPr>
              <w:t>étranger et sur les stratégies de délivrance de brevets des entreprises chinoises.</w:t>
            </w:r>
          </w:p>
          <w:p w:rsidR="0010628F" w:rsidRPr="001800B7" w:rsidRDefault="0010628F" w:rsidP="00731FB3">
            <w:pPr>
              <w:pStyle w:val="ONUME"/>
              <w:numPr>
                <w:ilvl w:val="0"/>
                <w:numId w:val="37"/>
              </w:numPr>
              <w:tabs>
                <w:tab w:val="clear" w:pos="567"/>
                <w:tab w:val="num" w:pos="884"/>
              </w:tabs>
              <w:autoSpaceDE w:val="0"/>
              <w:autoSpaceDN w:val="0"/>
              <w:adjustRightInd w:val="0"/>
              <w:spacing w:before="120" w:after="120"/>
              <w:rPr>
                <w:bCs/>
                <w:iCs/>
                <w:szCs w:val="22"/>
                <w:lang w:bidi="th-TH"/>
              </w:rPr>
            </w:pPr>
            <w:r w:rsidRPr="001800B7">
              <w:rPr>
                <w:szCs w:val="22"/>
              </w:rPr>
              <w:t>Thaïlande : Base de données sur les enregistrements des modèles d</w:t>
            </w:r>
            <w:r w:rsidR="005311D6" w:rsidRPr="001800B7">
              <w:rPr>
                <w:szCs w:val="22"/>
              </w:rPr>
              <w:t>’</w:t>
            </w:r>
            <w:r w:rsidRPr="001800B7">
              <w:rPr>
                <w:szCs w:val="22"/>
              </w:rPr>
              <w:t>utilité en Thaïlande;  étude sur l</w:t>
            </w:r>
            <w:r w:rsidR="005311D6" w:rsidRPr="001800B7">
              <w:rPr>
                <w:szCs w:val="22"/>
              </w:rPr>
              <w:t>’</w:t>
            </w:r>
            <w:r w:rsidRPr="001800B7">
              <w:rPr>
                <w:szCs w:val="22"/>
              </w:rPr>
              <w:t>utilisation des modèles d</w:t>
            </w:r>
            <w:r w:rsidR="005311D6" w:rsidRPr="001800B7">
              <w:rPr>
                <w:szCs w:val="22"/>
              </w:rPr>
              <w:t>’</w:t>
            </w:r>
            <w:r w:rsidRPr="001800B7">
              <w:rPr>
                <w:szCs w:val="22"/>
              </w:rPr>
              <w:t>utilité en Thaïlande;  étude sur la relation entre l</w:t>
            </w:r>
            <w:r w:rsidR="005311D6" w:rsidRPr="001800B7">
              <w:rPr>
                <w:szCs w:val="22"/>
              </w:rPr>
              <w:t>’</w:t>
            </w:r>
            <w:r w:rsidRPr="001800B7">
              <w:rPr>
                <w:szCs w:val="22"/>
              </w:rPr>
              <w:t>utilisation des modèles d</w:t>
            </w:r>
            <w:r w:rsidR="005311D6" w:rsidRPr="001800B7">
              <w:rPr>
                <w:szCs w:val="22"/>
              </w:rPr>
              <w:t>’</w:t>
            </w:r>
            <w:r w:rsidRPr="001800B7">
              <w:rPr>
                <w:szCs w:val="22"/>
              </w:rPr>
              <w:t>utilité et la performance des entreprises thaïlandaises.</w:t>
            </w:r>
          </w:p>
        </w:tc>
      </w:tr>
      <w:tr w:rsidR="001800B7" w:rsidRPr="001800B7" w:rsidTr="00731FB3">
        <w:tc>
          <w:tcPr>
            <w:tcW w:w="2235" w:type="dxa"/>
            <w:shd w:val="clear" w:color="auto" w:fill="auto"/>
          </w:tcPr>
          <w:p w:rsidR="0010628F" w:rsidRPr="001800B7" w:rsidRDefault="0010628F" w:rsidP="00731FB3">
            <w:pPr>
              <w:spacing w:before="120" w:after="120"/>
              <w:rPr>
                <w:szCs w:val="22"/>
              </w:rPr>
            </w:pPr>
            <w:r w:rsidRPr="001800B7">
              <w:rPr>
                <w:szCs w:val="22"/>
              </w:rPr>
              <w:t>Résultats/</w:t>
            </w:r>
            <w:r w:rsidR="00731FB3" w:rsidRPr="001800B7">
              <w:rPr>
                <w:szCs w:val="22"/>
              </w:rPr>
              <w:br/>
            </w:r>
            <w:r w:rsidRPr="001800B7">
              <w:rPr>
                <w:szCs w:val="22"/>
              </w:rPr>
              <w:t>incidences du projet et principaux enseignements à en tirer</w:t>
            </w:r>
          </w:p>
        </w:tc>
        <w:tc>
          <w:tcPr>
            <w:tcW w:w="7266" w:type="dxa"/>
          </w:tcPr>
          <w:p w:rsidR="0010628F" w:rsidRPr="001800B7" w:rsidRDefault="0010628F" w:rsidP="00AC163C">
            <w:pPr>
              <w:spacing w:before="120" w:after="120"/>
              <w:rPr>
                <w:spacing w:val="-2"/>
                <w:szCs w:val="22"/>
              </w:rPr>
            </w:pPr>
            <w:r w:rsidRPr="001800B7">
              <w:rPr>
                <w:spacing w:val="-2"/>
                <w:szCs w:val="22"/>
              </w:rPr>
              <w:t>Les réunions organisées en rapport avec les études de pays ont révélé un intérêt marqué pour les travaux envisagés et favorisé par ailleurs un dialogue interne sur la manière dont la propriété intellectuelle influence les résultats économiques.</w:t>
            </w:r>
          </w:p>
          <w:p w:rsidR="0010628F" w:rsidRPr="001800B7" w:rsidRDefault="0010628F" w:rsidP="00AC163C">
            <w:pPr>
              <w:spacing w:before="120" w:after="120"/>
              <w:rPr>
                <w:i/>
                <w:spacing w:val="-2"/>
                <w:szCs w:val="22"/>
              </w:rPr>
            </w:pPr>
            <w:r w:rsidRPr="001800B7">
              <w:rPr>
                <w:spacing w:val="-2"/>
                <w:szCs w:val="22"/>
              </w:rPr>
              <w:t>L</w:t>
            </w:r>
            <w:r w:rsidR="005311D6" w:rsidRPr="001800B7">
              <w:rPr>
                <w:spacing w:val="-2"/>
                <w:szCs w:val="22"/>
              </w:rPr>
              <w:t>’</w:t>
            </w:r>
            <w:r w:rsidRPr="001800B7">
              <w:rPr>
                <w:spacing w:val="-2"/>
                <w:szCs w:val="22"/>
              </w:rPr>
              <w:t>un des principaux enseignements tirés est qu</w:t>
            </w:r>
            <w:r w:rsidR="005311D6" w:rsidRPr="001800B7">
              <w:rPr>
                <w:spacing w:val="-2"/>
                <w:szCs w:val="22"/>
              </w:rPr>
              <w:t>’</w:t>
            </w:r>
            <w:r w:rsidRPr="001800B7">
              <w:rPr>
                <w:spacing w:val="-2"/>
                <w:szCs w:val="22"/>
              </w:rPr>
              <w:t>un ensemble hétérogène d</w:t>
            </w:r>
            <w:r w:rsidR="005311D6" w:rsidRPr="001800B7">
              <w:rPr>
                <w:spacing w:val="-2"/>
                <w:szCs w:val="22"/>
              </w:rPr>
              <w:t>’</w:t>
            </w:r>
            <w:r w:rsidRPr="001800B7">
              <w:rPr>
                <w:spacing w:val="-2"/>
                <w:szCs w:val="22"/>
              </w:rPr>
              <w:t>organismes publics est intéressé par des études sur les effets économiques des choix en matière de propriété intellectuelle, notamment sur le commerce, l</w:t>
            </w:r>
            <w:r w:rsidR="005311D6" w:rsidRPr="001800B7">
              <w:rPr>
                <w:spacing w:val="-2"/>
                <w:szCs w:val="22"/>
              </w:rPr>
              <w:t>’</w:t>
            </w:r>
            <w:r w:rsidRPr="001800B7">
              <w:rPr>
                <w:spacing w:val="-2"/>
                <w:szCs w:val="22"/>
              </w:rPr>
              <w:t>économie ou d</w:t>
            </w:r>
            <w:r w:rsidR="005311D6" w:rsidRPr="001800B7">
              <w:rPr>
                <w:spacing w:val="-2"/>
                <w:szCs w:val="22"/>
              </w:rPr>
              <w:t>’</w:t>
            </w:r>
            <w:r w:rsidRPr="001800B7">
              <w:rPr>
                <w:spacing w:val="-2"/>
                <w:szCs w:val="22"/>
              </w:rPr>
              <w:t>autres ministères, offices de propriété intellectuelle, organismes d</w:t>
            </w:r>
            <w:r w:rsidR="005311D6" w:rsidRPr="001800B7">
              <w:rPr>
                <w:spacing w:val="-2"/>
                <w:szCs w:val="22"/>
              </w:rPr>
              <w:t>’</w:t>
            </w:r>
            <w:r w:rsidRPr="001800B7">
              <w:rPr>
                <w:spacing w:val="-2"/>
                <w:szCs w:val="22"/>
              </w:rPr>
              <w:t>innovation et administrations chargées de la concurrence.  Assurer l</w:t>
            </w:r>
            <w:r w:rsidR="005311D6" w:rsidRPr="001800B7">
              <w:rPr>
                <w:spacing w:val="-2"/>
                <w:szCs w:val="22"/>
              </w:rPr>
              <w:t>’</w:t>
            </w:r>
            <w:r w:rsidRPr="001800B7">
              <w:rPr>
                <w:spacing w:val="-2"/>
                <w:szCs w:val="22"/>
              </w:rPr>
              <w:t>appropriation complète du travail d</w:t>
            </w:r>
            <w:r w:rsidR="005311D6" w:rsidRPr="001800B7">
              <w:rPr>
                <w:spacing w:val="-2"/>
                <w:szCs w:val="22"/>
              </w:rPr>
              <w:t>’</w:t>
            </w:r>
            <w:r w:rsidRPr="001800B7">
              <w:rPr>
                <w:spacing w:val="-2"/>
                <w:szCs w:val="22"/>
              </w:rPr>
              <w:t>analyse économique nécessite donc une somme d</w:t>
            </w:r>
            <w:r w:rsidR="005311D6" w:rsidRPr="001800B7">
              <w:rPr>
                <w:spacing w:val="-2"/>
                <w:szCs w:val="22"/>
              </w:rPr>
              <w:t>’</w:t>
            </w:r>
            <w:r w:rsidRPr="001800B7">
              <w:rPr>
                <w:spacing w:val="-2"/>
                <w:szCs w:val="22"/>
              </w:rPr>
              <w:t>efforts considérable en termes de coordination entre les organismes concernés.</w:t>
            </w:r>
          </w:p>
        </w:tc>
      </w:tr>
      <w:tr w:rsidR="001800B7" w:rsidRPr="001800B7" w:rsidTr="00731FB3">
        <w:tc>
          <w:tcPr>
            <w:tcW w:w="2235" w:type="dxa"/>
            <w:shd w:val="clear" w:color="auto" w:fill="auto"/>
          </w:tcPr>
          <w:p w:rsidR="0010628F" w:rsidRPr="001800B7" w:rsidRDefault="0010628F" w:rsidP="00AC163C">
            <w:pPr>
              <w:spacing w:before="120" w:after="120"/>
              <w:rPr>
                <w:szCs w:val="22"/>
              </w:rPr>
            </w:pPr>
            <w:r w:rsidRPr="001800B7">
              <w:rPr>
                <w:szCs w:val="22"/>
              </w:rPr>
              <w:t>Risques et atténuation des risques</w:t>
            </w:r>
          </w:p>
        </w:tc>
        <w:tc>
          <w:tcPr>
            <w:tcW w:w="7266" w:type="dxa"/>
          </w:tcPr>
          <w:p w:rsidR="0010628F" w:rsidRPr="001800B7" w:rsidRDefault="0010628F" w:rsidP="00731FB3">
            <w:pPr>
              <w:spacing w:before="120" w:after="120"/>
              <w:rPr>
                <w:i/>
                <w:iCs/>
                <w:szCs w:val="22"/>
              </w:rPr>
            </w:pPr>
            <w:r w:rsidRPr="001800B7">
              <w:rPr>
                <w:iCs/>
                <w:szCs w:val="22"/>
              </w:rPr>
              <w:t>Au cours de la mise en œuvre du projet, divers points relatifs à la qualité des données brutes sur lesquelles se fondait la construction de nouvelles bases de données statistiques étaient associés à une certaine incertitude.  Dans certains cas, l</w:t>
            </w:r>
            <w:r w:rsidR="005311D6" w:rsidRPr="001800B7">
              <w:rPr>
                <w:iCs/>
                <w:szCs w:val="22"/>
              </w:rPr>
              <w:t>’</w:t>
            </w:r>
            <w:r w:rsidRPr="001800B7">
              <w:rPr>
                <w:iCs/>
                <w:szCs w:val="22"/>
              </w:rPr>
              <w:t>élaboration de bases de données qui puissent servir à la réalisation d</w:t>
            </w:r>
            <w:r w:rsidR="005311D6" w:rsidRPr="001800B7">
              <w:rPr>
                <w:iCs/>
                <w:szCs w:val="22"/>
              </w:rPr>
              <w:t>’</w:t>
            </w:r>
            <w:r w:rsidRPr="001800B7">
              <w:rPr>
                <w:iCs/>
                <w:szCs w:val="22"/>
              </w:rPr>
              <w:t>analyses économiques, notamment en matière de nettoyage et d</w:t>
            </w:r>
            <w:r w:rsidR="005311D6" w:rsidRPr="001800B7">
              <w:rPr>
                <w:iCs/>
                <w:szCs w:val="22"/>
              </w:rPr>
              <w:t>’</w:t>
            </w:r>
            <w:r w:rsidRPr="001800B7">
              <w:rPr>
                <w:iCs/>
                <w:szCs w:val="22"/>
              </w:rPr>
              <w:t xml:space="preserve">harmonisation des noms des déposants dans </w:t>
            </w:r>
            <w:r w:rsidRPr="001800B7">
              <w:rPr>
                <w:iCs/>
                <w:szCs w:val="22"/>
              </w:rPr>
              <w:lastRenderedPageBreak/>
              <w:t>les données relatives à la propriété intellectuelle, a demandé plus de travail que prévu.  Tous les projets ont néanmoins pu être achevés selon les prévisions initiales.</w:t>
            </w:r>
          </w:p>
        </w:tc>
      </w:tr>
      <w:tr w:rsidR="001800B7" w:rsidRPr="001800B7" w:rsidTr="00731FB3">
        <w:tc>
          <w:tcPr>
            <w:tcW w:w="2235" w:type="dxa"/>
            <w:shd w:val="clear" w:color="auto" w:fill="auto"/>
          </w:tcPr>
          <w:p w:rsidR="0010628F" w:rsidRPr="001800B7" w:rsidRDefault="0010628F" w:rsidP="00AC163C">
            <w:pPr>
              <w:spacing w:before="120" w:after="120"/>
              <w:rPr>
                <w:szCs w:val="22"/>
              </w:rPr>
            </w:pPr>
            <w:r w:rsidRPr="001800B7">
              <w:rPr>
                <w:szCs w:val="22"/>
              </w:rPr>
              <w:lastRenderedPageBreak/>
              <w:t>Taux d</w:t>
            </w:r>
            <w:r w:rsidR="005311D6" w:rsidRPr="001800B7">
              <w:rPr>
                <w:szCs w:val="22"/>
              </w:rPr>
              <w:t>’</w:t>
            </w:r>
            <w:r w:rsidRPr="001800B7">
              <w:rPr>
                <w:szCs w:val="22"/>
              </w:rPr>
              <w:t xml:space="preserve">exécution du projet </w:t>
            </w:r>
          </w:p>
        </w:tc>
        <w:tc>
          <w:tcPr>
            <w:tcW w:w="7266" w:type="dxa"/>
          </w:tcPr>
          <w:p w:rsidR="0010628F" w:rsidRPr="001800B7" w:rsidRDefault="0010628F" w:rsidP="00731FB3">
            <w:pPr>
              <w:spacing w:before="120" w:after="120"/>
              <w:rPr>
                <w:i/>
                <w:szCs w:val="22"/>
              </w:rPr>
            </w:pPr>
            <w:r w:rsidRPr="001800B7">
              <w:rPr>
                <w:szCs w:val="22"/>
              </w:rPr>
              <w:t>Le taux d</w:t>
            </w:r>
            <w:r w:rsidR="005311D6" w:rsidRPr="001800B7">
              <w:rPr>
                <w:szCs w:val="22"/>
              </w:rPr>
              <w:t>’</w:t>
            </w:r>
            <w:r w:rsidRPr="001800B7">
              <w:rPr>
                <w:szCs w:val="22"/>
              </w:rPr>
              <w:t>utilisation du budget à la fin du mois d</w:t>
            </w:r>
            <w:r w:rsidR="005311D6" w:rsidRPr="001800B7">
              <w:rPr>
                <w:szCs w:val="22"/>
              </w:rPr>
              <w:t>’</w:t>
            </w:r>
            <w:r w:rsidRPr="001800B7">
              <w:rPr>
                <w:szCs w:val="22"/>
              </w:rPr>
              <w:t>août 2014 s</w:t>
            </w:r>
            <w:r w:rsidR="005311D6" w:rsidRPr="001800B7">
              <w:rPr>
                <w:szCs w:val="22"/>
              </w:rPr>
              <w:t>’</w:t>
            </w:r>
            <w:r w:rsidRPr="001800B7">
              <w:rPr>
                <w:szCs w:val="22"/>
              </w:rPr>
              <w:t>élevait à</w:t>
            </w:r>
            <w:r w:rsidR="00731FB3" w:rsidRPr="001800B7">
              <w:rPr>
                <w:szCs w:val="22"/>
              </w:rPr>
              <w:t> </w:t>
            </w:r>
            <w:r w:rsidRPr="001800B7">
              <w:rPr>
                <w:szCs w:val="22"/>
              </w:rPr>
              <w:t>89%.</w:t>
            </w:r>
          </w:p>
        </w:tc>
      </w:tr>
      <w:tr w:rsidR="001800B7" w:rsidRPr="001800B7" w:rsidTr="00731FB3">
        <w:tc>
          <w:tcPr>
            <w:tcW w:w="2235" w:type="dxa"/>
            <w:shd w:val="clear" w:color="auto" w:fill="auto"/>
          </w:tcPr>
          <w:p w:rsidR="0010628F" w:rsidRPr="001800B7" w:rsidRDefault="0010628F" w:rsidP="00AC163C">
            <w:pPr>
              <w:spacing w:before="120" w:after="120"/>
              <w:rPr>
                <w:szCs w:val="22"/>
              </w:rPr>
            </w:pPr>
            <w:r w:rsidRPr="001800B7">
              <w:rPr>
                <w:szCs w:val="22"/>
              </w:rPr>
              <w:t>Rapports précédents</w:t>
            </w:r>
          </w:p>
        </w:tc>
        <w:tc>
          <w:tcPr>
            <w:tcW w:w="7266" w:type="dxa"/>
          </w:tcPr>
          <w:p w:rsidR="0010628F" w:rsidRPr="001800B7" w:rsidRDefault="0010628F" w:rsidP="00731FB3">
            <w:pPr>
              <w:spacing w:before="120" w:after="120"/>
              <w:rPr>
                <w:szCs w:val="22"/>
              </w:rPr>
            </w:pPr>
            <w:r w:rsidRPr="001800B7">
              <w:rPr>
                <w:szCs w:val="22"/>
              </w:rPr>
              <w:t>Les rapports sur l</w:t>
            </w:r>
            <w:r w:rsidR="005311D6" w:rsidRPr="001800B7">
              <w:rPr>
                <w:szCs w:val="22"/>
              </w:rPr>
              <w:t>’</w:t>
            </w:r>
            <w:r w:rsidRPr="001800B7">
              <w:rPr>
                <w:szCs w:val="22"/>
              </w:rPr>
              <w:t>état d</w:t>
            </w:r>
            <w:r w:rsidR="005311D6" w:rsidRPr="001800B7">
              <w:rPr>
                <w:szCs w:val="22"/>
              </w:rPr>
              <w:t>’</w:t>
            </w:r>
            <w:r w:rsidRPr="001800B7">
              <w:rPr>
                <w:szCs w:val="22"/>
              </w:rPr>
              <w:t>avancement de ce projet, figurant dans l</w:t>
            </w:r>
            <w:r w:rsidR="005311D6" w:rsidRPr="001800B7">
              <w:rPr>
                <w:szCs w:val="22"/>
              </w:rPr>
              <w:t>’</w:t>
            </w:r>
            <w:r w:rsidRPr="001800B7">
              <w:rPr>
                <w:szCs w:val="22"/>
              </w:rPr>
              <w:t>annexe XVI au document CDIP/8/2, dans l</w:t>
            </w:r>
            <w:r w:rsidR="005311D6" w:rsidRPr="001800B7">
              <w:rPr>
                <w:szCs w:val="22"/>
              </w:rPr>
              <w:t>’</w:t>
            </w:r>
            <w:r w:rsidRPr="001800B7">
              <w:rPr>
                <w:szCs w:val="22"/>
              </w:rPr>
              <w:t>annexe VII au document CDIP/10/2 et dans l</w:t>
            </w:r>
            <w:r w:rsidR="005311D6" w:rsidRPr="001800B7">
              <w:rPr>
                <w:szCs w:val="22"/>
              </w:rPr>
              <w:t>’</w:t>
            </w:r>
            <w:r w:rsidRPr="001800B7">
              <w:rPr>
                <w:szCs w:val="22"/>
              </w:rPr>
              <w:t>annexe V au document CDIP/12/2 ont été soumis au Comité lors de ses huitième, dixième et douzième sessions, qui se sont tenues en novembre 2011, novembre 2012 et novembre 2013, respectivement.</w:t>
            </w:r>
          </w:p>
        </w:tc>
      </w:tr>
      <w:tr w:rsidR="0010628F" w:rsidRPr="001800B7" w:rsidTr="00731FB3">
        <w:tc>
          <w:tcPr>
            <w:tcW w:w="2235" w:type="dxa"/>
            <w:shd w:val="clear" w:color="auto" w:fill="auto"/>
          </w:tcPr>
          <w:p w:rsidR="0010628F" w:rsidRPr="001800B7" w:rsidRDefault="0010628F" w:rsidP="00AC163C">
            <w:pPr>
              <w:spacing w:before="120" w:after="120"/>
              <w:rPr>
                <w:szCs w:val="22"/>
              </w:rPr>
            </w:pPr>
            <w:r w:rsidRPr="001800B7">
              <w:rPr>
                <w:szCs w:val="22"/>
              </w:rPr>
              <w:t>Suivi</w:t>
            </w:r>
          </w:p>
        </w:tc>
        <w:tc>
          <w:tcPr>
            <w:tcW w:w="7266" w:type="dxa"/>
          </w:tcPr>
          <w:p w:rsidR="0010628F" w:rsidRPr="001800B7" w:rsidRDefault="0010628F" w:rsidP="00AC163C">
            <w:pPr>
              <w:spacing w:before="120" w:after="120"/>
              <w:rPr>
                <w:szCs w:val="22"/>
              </w:rPr>
            </w:pPr>
            <w:r w:rsidRPr="001800B7">
              <w:rPr>
                <w:szCs w:val="22"/>
              </w:rPr>
              <w:t>Comme envisagé dans le rapport d</w:t>
            </w:r>
            <w:r w:rsidR="005311D6" w:rsidRPr="001800B7">
              <w:rPr>
                <w:szCs w:val="22"/>
              </w:rPr>
              <w:t>’</w:t>
            </w:r>
            <w:r w:rsidRPr="001800B7">
              <w:rPr>
                <w:szCs w:val="22"/>
              </w:rPr>
              <w:t>évaluation du projet, le Secrétariat a préparé une proposition concernant un projet de phase II qui se fonderait sur les travaux accomplis dans le cadre de ce projet et étendrait les travaux d</w:t>
            </w:r>
            <w:r w:rsidR="005311D6" w:rsidRPr="001800B7">
              <w:rPr>
                <w:szCs w:val="22"/>
              </w:rPr>
              <w:t>’</w:t>
            </w:r>
            <w:r w:rsidRPr="001800B7">
              <w:rPr>
                <w:szCs w:val="22"/>
              </w:rPr>
              <w:t>études à des pays supplémentaires (voir document CDIP/14/3).  En outre, les résultats des recherches menées dans le cadre du présent projet et susceptibles d</w:t>
            </w:r>
            <w:r w:rsidR="005311D6" w:rsidRPr="001800B7">
              <w:rPr>
                <w:szCs w:val="22"/>
              </w:rPr>
              <w:t>’</w:t>
            </w:r>
            <w:r w:rsidRPr="001800B7">
              <w:rPr>
                <w:szCs w:val="22"/>
              </w:rPr>
              <w:t>intéresser un public de décideurs plus large seront publiés dans un volume à paraître en 2015.</w:t>
            </w:r>
          </w:p>
        </w:tc>
      </w:tr>
    </w:tbl>
    <w:p w:rsidR="00731FB3" w:rsidRPr="001800B7" w:rsidRDefault="00731FB3" w:rsidP="00731FB3">
      <w:pPr>
        <w:rPr>
          <w:szCs w:val="22"/>
        </w:rPr>
      </w:pPr>
    </w:p>
    <w:p w:rsidR="00731FB3" w:rsidRPr="001800B7" w:rsidRDefault="00731FB3" w:rsidP="00731FB3">
      <w:pPr>
        <w:rPr>
          <w:szCs w:val="22"/>
        </w:rPr>
      </w:pPr>
    </w:p>
    <w:p w:rsidR="00731FB3" w:rsidRPr="001800B7" w:rsidRDefault="00731FB3" w:rsidP="00731FB3">
      <w:pPr>
        <w:rPr>
          <w:rFonts w:eastAsia="Times New Roman"/>
          <w:szCs w:val="22"/>
          <w:lang w:eastAsia="en-US"/>
        </w:rPr>
      </w:pPr>
      <w:r w:rsidRPr="001800B7">
        <w:rPr>
          <w:rFonts w:eastAsia="Times New Roman"/>
          <w:szCs w:val="22"/>
          <w:lang w:eastAsia="en-US"/>
        </w:rPr>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731FB3" w:rsidRPr="001800B7" w:rsidRDefault="00731FB3" w:rsidP="00731FB3">
      <w:pPr>
        <w:rPr>
          <w:szCs w:val="22"/>
        </w:rPr>
      </w:pPr>
    </w:p>
    <w:p w:rsidR="00731FB3" w:rsidRPr="001800B7" w:rsidRDefault="00731FB3" w:rsidP="00731FB3">
      <w:pPr>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p w:rsidR="00731FB3" w:rsidRPr="001800B7" w:rsidRDefault="00731FB3" w:rsidP="00731FB3">
      <w:pPr>
        <w:rPr>
          <w:rFonts w:eastAsia="Times New Roman"/>
          <w:szCs w:val="22"/>
          <w:lang w:eastAsia="en-US"/>
        </w:rPr>
      </w:pP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7C1A09">
        <w:trPr>
          <w:cantSplit/>
        </w:trPr>
        <w:tc>
          <w:tcPr>
            <w:tcW w:w="1900" w:type="dxa"/>
            <w:shd w:val="clear" w:color="auto" w:fill="auto"/>
            <w:vAlign w:val="center"/>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lang w:eastAsia="en-US"/>
              </w:rPr>
              <w:t>NE</w:t>
            </w:r>
          </w:p>
        </w:tc>
      </w:tr>
      <w:tr w:rsidR="00731FB3" w:rsidRPr="001800B7" w:rsidTr="007C1A09">
        <w:trPr>
          <w:cantSplit/>
        </w:trPr>
        <w:tc>
          <w:tcPr>
            <w:tcW w:w="1900" w:type="dxa"/>
            <w:shd w:val="clear" w:color="auto" w:fill="auto"/>
            <w:vAlign w:val="center"/>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731FB3" w:rsidRPr="001800B7" w:rsidRDefault="00731FB3" w:rsidP="00731FB3">
      <w:pPr>
        <w:rPr>
          <w:szCs w:val="22"/>
          <w:lang w:eastAsia="en-US"/>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6"/>
        <w:gridCol w:w="2694"/>
        <w:gridCol w:w="2976"/>
        <w:gridCol w:w="1455"/>
      </w:tblGrid>
      <w:tr w:rsidR="001800B7" w:rsidRPr="001800B7" w:rsidTr="007C1A09">
        <w:tc>
          <w:tcPr>
            <w:tcW w:w="2366" w:type="dxa"/>
            <w:shd w:val="clear" w:color="auto" w:fill="auto"/>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Style w:val="FootnoteReference"/>
                <w:rFonts w:eastAsia="Times New Roman"/>
                <w:szCs w:val="22"/>
                <w:lang w:eastAsia="en-US"/>
              </w:rPr>
              <w:footnoteReference w:id="10"/>
            </w:r>
            <w:r w:rsidRPr="001800B7">
              <w:rPr>
                <w:rFonts w:eastAsia="Times New Roman"/>
                <w:szCs w:val="22"/>
                <w:u w:val="single"/>
                <w:lang w:eastAsia="en-US"/>
              </w:rPr>
              <w:br/>
            </w:r>
            <w:r w:rsidRPr="001800B7">
              <w:rPr>
                <w:rFonts w:eastAsia="Times New Roman"/>
                <w:szCs w:val="22"/>
                <w:lang w:eastAsia="en-US"/>
              </w:rPr>
              <w:t>(résultat escompté)</w:t>
            </w:r>
          </w:p>
        </w:tc>
        <w:tc>
          <w:tcPr>
            <w:tcW w:w="2694" w:type="dxa"/>
            <w:shd w:val="clear" w:color="auto" w:fill="auto"/>
          </w:tcPr>
          <w:p w:rsidR="00731FB3" w:rsidRPr="001800B7" w:rsidRDefault="00731FB3" w:rsidP="007C1A09">
            <w:pPr>
              <w:spacing w:before="120" w:after="12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6" w:type="dxa"/>
            <w:shd w:val="clear" w:color="auto" w:fill="auto"/>
          </w:tcPr>
          <w:p w:rsidR="00731FB3" w:rsidRPr="001800B7" w:rsidRDefault="00731FB3" w:rsidP="007C1A09">
            <w:pPr>
              <w:keepNext/>
              <w:spacing w:before="120" w:after="120"/>
              <w:jc w:val="center"/>
              <w:outlineLvl w:val="2"/>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55" w:type="dxa"/>
            <w:shd w:val="clear" w:color="auto" w:fill="auto"/>
          </w:tcPr>
          <w:p w:rsidR="00731FB3" w:rsidRPr="001800B7" w:rsidRDefault="00731FB3" w:rsidP="007C1A09">
            <w:pPr>
              <w:keepNext/>
              <w:spacing w:before="120" w:after="120"/>
              <w:jc w:val="center"/>
              <w:outlineLvl w:val="2"/>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731FB3">
        <w:tc>
          <w:tcPr>
            <w:tcW w:w="2366" w:type="dxa"/>
            <w:shd w:val="clear" w:color="auto" w:fill="auto"/>
          </w:tcPr>
          <w:p w:rsidR="0010628F" w:rsidRPr="001800B7" w:rsidRDefault="0010628F" w:rsidP="00AC163C">
            <w:pPr>
              <w:spacing w:before="120" w:after="120"/>
              <w:rPr>
                <w:szCs w:val="22"/>
              </w:rPr>
            </w:pPr>
            <w:r w:rsidRPr="001800B7">
              <w:rPr>
                <w:szCs w:val="22"/>
              </w:rPr>
              <w:t>Production de 6 à 8 études</w:t>
            </w:r>
          </w:p>
        </w:tc>
        <w:tc>
          <w:tcPr>
            <w:tcW w:w="2694" w:type="dxa"/>
            <w:shd w:val="clear" w:color="auto" w:fill="auto"/>
          </w:tcPr>
          <w:p w:rsidR="0010628F" w:rsidRPr="001800B7" w:rsidRDefault="0010628F" w:rsidP="00731FB3">
            <w:pPr>
              <w:spacing w:before="120" w:after="120"/>
              <w:rPr>
                <w:szCs w:val="22"/>
              </w:rPr>
            </w:pPr>
            <w:r w:rsidRPr="001800B7">
              <w:rPr>
                <w:szCs w:val="22"/>
              </w:rPr>
              <w:t>Remise dans les délais des projets de rapport et des rapports définitifs;  indicateurs qualitatifs : retour d</w:t>
            </w:r>
            <w:r w:rsidR="005311D6" w:rsidRPr="001800B7">
              <w:rPr>
                <w:szCs w:val="22"/>
              </w:rPr>
              <w:t>’</w:t>
            </w:r>
            <w:r w:rsidRPr="001800B7">
              <w:rPr>
                <w:szCs w:val="22"/>
              </w:rPr>
              <w:t>information des experts externes et des parties prenantes au niveau local.</w:t>
            </w:r>
          </w:p>
        </w:tc>
        <w:tc>
          <w:tcPr>
            <w:tcW w:w="2976" w:type="dxa"/>
            <w:shd w:val="clear" w:color="auto" w:fill="auto"/>
          </w:tcPr>
          <w:p w:rsidR="0010628F" w:rsidRPr="001800B7" w:rsidRDefault="0010628F" w:rsidP="00AC163C">
            <w:pPr>
              <w:spacing w:before="120" w:after="120"/>
              <w:rPr>
                <w:szCs w:val="22"/>
              </w:rPr>
            </w:pPr>
            <w:r w:rsidRPr="001800B7">
              <w:rPr>
                <w:szCs w:val="22"/>
              </w:rPr>
              <w:t>Études de pays soumises/publiées.</w:t>
            </w:r>
          </w:p>
        </w:tc>
        <w:tc>
          <w:tcPr>
            <w:tcW w:w="1455" w:type="dxa"/>
            <w:shd w:val="clear" w:color="auto" w:fill="auto"/>
          </w:tcPr>
          <w:p w:rsidR="0010628F" w:rsidRPr="001800B7" w:rsidRDefault="0010628F" w:rsidP="00AC163C">
            <w:pPr>
              <w:spacing w:before="120" w:after="120"/>
              <w:rPr>
                <w:szCs w:val="22"/>
              </w:rPr>
            </w:pPr>
            <w:r w:rsidRPr="001800B7">
              <w:rPr>
                <w:szCs w:val="22"/>
              </w:rPr>
              <w:t>****</w:t>
            </w:r>
          </w:p>
        </w:tc>
      </w:tr>
      <w:tr w:rsidR="001800B7" w:rsidRPr="001800B7" w:rsidTr="00731FB3">
        <w:tc>
          <w:tcPr>
            <w:tcW w:w="2366" w:type="dxa"/>
            <w:shd w:val="clear" w:color="auto" w:fill="auto"/>
          </w:tcPr>
          <w:p w:rsidR="0010628F" w:rsidRPr="001800B7" w:rsidRDefault="0010628F" w:rsidP="00AC163C">
            <w:pPr>
              <w:spacing w:before="120" w:after="120"/>
              <w:rPr>
                <w:szCs w:val="22"/>
              </w:rPr>
            </w:pPr>
            <w:r w:rsidRPr="001800B7">
              <w:rPr>
                <w:szCs w:val="22"/>
              </w:rPr>
              <w:t>Ateliers au niveau local</w:t>
            </w:r>
          </w:p>
        </w:tc>
        <w:tc>
          <w:tcPr>
            <w:tcW w:w="2694" w:type="dxa"/>
            <w:shd w:val="clear" w:color="auto" w:fill="auto"/>
          </w:tcPr>
          <w:p w:rsidR="0010628F" w:rsidRPr="001800B7" w:rsidRDefault="0010628F" w:rsidP="006010A6">
            <w:pPr>
              <w:spacing w:before="120" w:after="120"/>
              <w:rPr>
                <w:szCs w:val="22"/>
              </w:rPr>
            </w:pPr>
            <w:r w:rsidRPr="001800B7">
              <w:rPr>
                <w:szCs w:val="22"/>
              </w:rPr>
              <w:t>Nombre de participants, niveau de participation, évaluation.</w:t>
            </w:r>
          </w:p>
        </w:tc>
        <w:tc>
          <w:tcPr>
            <w:tcW w:w="2976" w:type="dxa"/>
            <w:shd w:val="clear" w:color="auto" w:fill="auto"/>
          </w:tcPr>
          <w:p w:rsidR="0010628F" w:rsidRPr="001800B7" w:rsidRDefault="0010628F" w:rsidP="00AC163C">
            <w:pPr>
              <w:spacing w:before="120" w:after="120"/>
              <w:rPr>
                <w:szCs w:val="22"/>
              </w:rPr>
            </w:pPr>
            <w:r w:rsidRPr="001800B7">
              <w:rPr>
                <w:szCs w:val="22"/>
              </w:rPr>
              <w:t>Ateliers organisés dans tous les pays bien que certains aient été différés à 2014.</w:t>
            </w:r>
          </w:p>
        </w:tc>
        <w:tc>
          <w:tcPr>
            <w:tcW w:w="1455" w:type="dxa"/>
            <w:shd w:val="clear" w:color="auto" w:fill="auto"/>
          </w:tcPr>
          <w:p w:rsidR="0010628F" w:rsidRPr="001800B7" w:rsidRDefault="0010628F" w:rsidP="00AC163C">
            <w:pPr>
              <w:spacing w:before="120" w:after="120"/>
              <w:rPr>
                <w:szCs w:val="22"/>
              </w:rPr>
            </w:pPr>
            <w:r w:rsidRPr="001800B7">
              <w:rPr>
                <w:szCs w:val="22"/>
              </w:rPr>
              <w:t>***</w:t>
            </w:r>
          </w:p>
        </w:tc>
      </w:tr>
      <w:tr w:rsidR="001800B7" w:rsidRPr="001800B7" w:rsidTr="00731FB3">
        <w:tc>
          <w:tcPr>
            <w:tcW w:w="2366" w:type="dxa"/>
            <w:shd w:val="clear" w:color="auto" w:fill="auto"/>
          </w:tcPr>
          <w:p w:rsidR="0010628F" w:rsidRPr="001800B7" w:rsidRDefault="0010628F" w:rsidP="00AC163C">
            <w:pPr>
              <w:spacing w:before="120" w:after="120"/>
              <w:rPr>
                <w:szCs w:val="22"/>
              </w:rPr>
            </w:pPr>
            <w:r w:rsidRPr="001800B7">
              <w:rPr>
                <w:szCs w:val="22"/>
              </w:rPr>
              <w:lastRenderedPageBreak/>
              <w:t>Colloque de recherche économique</w:t>
            </w:r>
          </w:p>
        </w:tc>
        <w:tc>
          <w:tcPr>
            <w:tcW w:w="2694" w:type="dxa"/>
            <w:shd w:val="clear" w:color="auto" w:fill="auto"/>
          </w:tcPr>
          <w:p w:rsidR="0010628F" w:rsidRPr="001800B7" w:rsidRDefault="0010628F" w:rsidP="006010A6">
            <w:pPr>
              <w:spacing w:before="120" w:after="120"/>
              <w:rPr>
                <w:szCs w:val="22"/>
              </w:rPr>
            </w:pPr>
            <w:r w:rsidRPr="001800B7">
              <w:rPr>
                <w:szCs w:val="22"/>
              </w:rPr>
              <w:t>Nombre de participants, niveau de participation, évaluation.</w:t>
            </w:r>
          </w:p>
        </w:tc>
        <w:tc>
          <w:tcPr>
            <w:tcW w:w="2976" w:type="dxa"/>
            <w:shd w:val="clear" w:color="auto" w:fill="auto"/>
          </w:tcPr>
          <w:p w:rsidR="0010628F" w:rsidRPr="001800B7" w:rsidRDefault="0010628F" w:rsidP="00AC163C">
            <w:pPr>
              <w:spacing w:before="120" w:after="120"/>
              <w:rPr>
                <w:szCs w:val="22"/>
              </w:rPr>
            </w:pPr>
            <w:r w:rsidRPr="001800B7">
              <w:rPr>
                <w:szCs w:val="22"/>
              </w:rPr>
              <w:t>Colloque tenu en décembre 2013.</w:t>
            </w:r>
          </w:p>
        </w:tc>
        <w:tc>
          <w:tcPr>
            <w:tcW w:w="1455" w:type="dxa"/>
            <w:shd w:val="clear" w:color="auto" w:fill="auto"/>
          </w:tcPr>
          <w:p w:rsidR="0010628F" w:rsidRPr="001800B7" w:rsidRDefault="0010628F" w:rsidP="00AC163C">
            <w:pPr>
              <w:spacing w:before="120" w:after="120"/>
              <w:rPr>
                <w:szCs w:val="22"/>
              </w:rPr>
            </w:pPr>
            <w:r w:rsidRPr="001800B7">
              <w:rPr>
                <w:szCs w:val="22"/>
              </w:rPr>
              <w:t>****</w:t>
            </w:r>
          </w:p>
        </w:tc>
      </w:tr>
    </w:tbl>
    <w:p w:rsidR="0010628F" w:rsidRPr="001800B7" w:rsidRDefault="0010628F" w:rsidP="00731FB3">
      <w:pPr>
        <w:rPr>
          <w:szCs w:val="22"/>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5"/>
        <w:gridCol w:w="2694"/>
        <w:gridCol w:w="2976"/>
        <w:gridCol w:w="1456"/>
      </w:tblGrid>
      <w:tr w:rsidR="001800B7" w:rsidRPr="001800B7" w:rsidTr="007C1A09">
        <w:trPr>
          <w:trHeight w:val="616"/>
          <w:tblHeader/>
        </w:trPr>
        <w:tc>
          <w:tcPr>
            <w:tcW w:w="2366" w:type="dxa"/>
            <w:shd w:val="clear" w:color="auto" w:fill="auto"/>
            <w:vAlign w:val="center"/>
          </w:tcPr>
          <w:p w:rsidR="00731FB3" w:rsidRPr="001800B7" w:rsidRDefault="00731FB3" w:rsidP="007C1A09">
            <w:pPr>
              <w:spacing w:before="120" w:after="120"/>
              <w:jc w:val="center"/>
              <w:rPr>
                <w:szCs w:val="22"/>
                <w:u w:val="single"/>
              </w:rPr>
            </w:pPr>
            <w:r w:rsidRPr="001800B7">
              <w:rPr>
                <w:szCs w:val="22"/>
                <w:u w:val="single"/>
              </w:rPr>
              <w:t xml:space="preserve">Objectifs </w:t>
            </w:r>
            <w:r w:rsidRPr="001800B7">
              <w:rPr>
                <w:szCs w:val="22"/>
                <w:u w:val="single"/>
              </w:rPr>
              <w:br/>
              <w:t>du projet</w:t>
            </w:r>
          </w:p>
        </w:tc>
        <w:tc>
          <w:tcPr>
            <w:tcW w:w="2694" w:type="dxa"/>
            <w:shd w:val="clear" w:color="auto" w:fill="auto"/>
            <w:vAlign w:val="center"/>
          </w:tcPr>
          <w:p w:rsidR="00731FB3" w:rsidRPr="001800B7" w:rsidRDefault="00731FB3" w:rsidP="007C1A09">
            <w:pPr>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shd w:val="clear" w:color="auto" w:fill="auto"/>
            <w:vAlign w:val="center"/>
          </w:tcPr>
          <w:p w:rsidR="00731FB3" w:rsidRPr="001800B7" w:rsidRDefault="00731FB3" w:rsidP="007C1A09">
            <w:pPr>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shd w:val="clear" w:color="auto" w:fill="auto"/>
            <w:vAlign w:val="center"/>
          </w:tcPr>
          <w:p w:rsidR="00731FB3" w:rsidRPr="001800B7" w:rsidRDefault="00731FB3" w:rsidP="007C1A09">
            <w:pPr>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731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6" w:type="dxa"/>
            <w:tcBorders>
              <w:top w:val="single" w:sz="2" w:space="0" w:color="000000"/>
              <w:left w:val="single" w:sz="2" w:space="0" w:color="000000"/>
              <w:bottom w:val="single" w:sz="2" w:space="0" w:color="000000"/>
              <w:right w:val="single" w:sz="2" w:space="0" w:color="000000"/>
            </w:tcBorders>
            <w:shd w:val="clear" w:color="auto" w:fill="auto"/>
          </w:tcPr>
          <w:p w:rsidR="0010628F" w:rsidRPr="001800B7" w:rsidRDefault="0010628F" w:rsidP="00AC163C">
            <w:pPr>
              <w:spacing w:before="120" w:after="120"/>
              <w:rPr>
                <w:szCs w:val="22"/>
              </w:rPr>
            </w:pPr>
            <w:r w:rsidRPr="001800B7">
              <w:rPr>
                <w:szCs w:val="22"/>
              </w:rPr>
              <w:t xml:space="preserve">Meilleure compréhension des incidences économiques des politiques de propriété intellectuelle et décisions en meilleure connaissance de cause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10628F" w:rsidRPr="001800B7" w:rsidRDefault="0010628F" w:rsidP="00731FB3">
            <w:pPr>
              <w:spacing w:before="120" w:after="120"/>
              <w:rPr>
                <w:szCs w:val="22"/>
              </w:rPr>
            </w:pPr>
            <w:r w:rsidRPr="001800B7">
              <w:rPr>
                <w:szCs w:val="22"/>
              </w:rPr>
              <w:t>Participation de haut niveau aux ateliers organisés dans le cadre de l</w:t>
            </w:r>
            <w:r w:rsidR="005311D6" w:rsidRPr="001800B7">
              <w:rPr>
                <w:szCs w:val="22"/>
              </w:rPr>
              <w:t>’</w:t>
            </w:r>
            <w:r w:rsidRPr="001800B7">
              <w:rPr>
                <w:szCs w:val="22"/>
              </w:rPr>
              <w:t>étude;  mentions des études dans des documents de politique générale et des articles de presse;  nombre de citations dans des travaux de recherche ultérieurs;  utilisation des bases de données créées dans le cadre de ce projet.</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rsidR="0010628F" w:rsidRPr="001800B7" w:rsidRDefault="0010628F" w:rsidP="00AC163C">
            <w:pPr>
              <w:spacing w:before="120" w:after="120"/>
              <w:rPr>
                <w:rFonts w:eastAsia="MS Mincho"/>
                <w:szCs w:val="22"/>
                <w:lang w:eastAsia="ja-JP"/>
              </w:rPr>
            </w:pPr>
            <w:r w:rsidRPr="001800B7">
              <w:rPr>
                <w:rFonts w:eastAsia="MS Mincho"/>
                <w:szCs w:val="22"/>
                <w:lang w:eastAsia="ja-JP"/>
              </w:rPr>
              <w:t>Prématuré à ce stade.</w:t>
            </w:r>
          </w:p>
        </w:tc>
        <w:tc>
          <w:tcPr>
            <w:tcW w:w="1455" w:type="dxa"/>
            <w:tcBorders>
              <w:top w:val="single" w:sz="2" w:space="0" w:color="000000"/>
              <w:left w:val="single" w:sz="2" w:space="0" w:color="000000"/>
              <w:bottom w:val="single" w:sz="2" w:space="0" w:color="000000"/>
              <w:right w:val="single" w:sz="2" w:space="0" w:color="000000"/>
            </w:tcBorders>
            <w:shd w:val="clear" w:color="auto" w:fill="auto"/>
          </w:tcPr>
          <w:p w:rsidR="0010628F" w:rsidRPr="001800B7" w:rsidRDefault="0010628F" w:rsidP="00AC163C">
            <w:pPr>
              <w:spacing w:before="120" w:after="120"/>
              <w:jc w:val="center"/>
              <w:rPr>
                <w:szCs w:val="22"/>
              </w:rPr>
            </w:pPr>
            <w:r w:rsidRPr="001800B7">
              <w:rPr>
                <w:szCs w:val="22"/>
              </w:rPr>
              <w:t>NE</w:t>
            </w:r>
          </w:p>
        </w:tc>
      </w:tr>
    </w:tbl>
    <w:p w:rsidR="0010628F" w:rsidRPr="001800B7" w:rsidRDefault="0010628F" w:rsidP="00731FB3">
      <w:pPr>
        <w:rPr>
          <w:szCs w:val="22"/>
        </w:rPr>
      </w:pPr>
    </w:p>
    <w:p w:rsidR="00731FB3" w:rsidRPr="001800B7" w:rsidRDefault="00731FB3" w:rsidP="00731FB3">
      <w:pPr>
        <w:rPr>
          <w:szCs w:val="22"/>
        </w:rPr>
      </w:pPr>
    </w:p>
    <w:p w:rsidR="0010628F" w:rsidRPr="001800B7" w:rsidRDefault="0010628F" w:rsidP="00731FB3">
      <w:pPr>
        <w:rPr>
          <w:szCs w:val="22"/>
        </w:rPr>
      </w:pPr>
    </w:p>
    <w:p w:rsidR="0010628F" w:rsidRPr="001800B7" w:rsidRDefault="0010628F" w:rsidP="00731FB3">
      <w:pPr>
        <w:pStyle w:val="Endofdocument-Annex"/>
        <w:rPr>
          <w:szCs w:val="22"/>
        </w:rPr>
        <w:sectPr w:rsidR="0010628F" w:rsidRPr="001800B7" w:rsidSect="00AC163C">
          <w:headerReference w:type="default" r:id="rId70"/>
          <w:headerReference w:type="first" r:id="rId71"/>
          <w:endnotePr>
            <w:numFmt w:val="decimal"/>
          </w:endnotePr>
          <w:pgSz w:w="11907" w:h="16840" w:code="9"/>
          <w:pgMar w:top="567" w:right="1134" w:bottom="1418" w:left="1418" w:header="510" w:footer="1021" w:gutter="0"/>
          <w:pgNumType w:start="1"/>
          <w:cols w:space="720"/>
          <w:titlePg/>
          <w:docGrid w:linePitch="299"/>
        </w:sectPr>
      </w:pPr>
      <w:r w:rsidRPr="001800B7">
        <w:rPr>
          <w:szCs w:val="22"/>
        </w:rPr>
        <w:t>[L</w:t>
      </w:r>
      <w:r w:rsidR="005311D6" w:rsidRPr="001800B7">
        <w:rPr>
          <w:szCs w:val="22"/>
        </w:rPr>
        <w:t>’</w:t>
      </w:r>
      <w:r w:rsidRPr="001800B7">
        <w:rPr>
          <w:szCs w:val="22"/>
        </w:rPr>
        <w:t>annexe XI suit]</w:t>
      </w:r>
    </w:p>
    <w:p w:rsidR="0010628F" w:rsidRPr="001800B7" w:rsidRDefault="00CC0F0F" w:rsidP="00CF68DE">
      <w:pPr>
        <w:rPr>
          <w:bCs/>
          <w:i/>
          <w:szCs w:val="22"/>
        </w:rPr>
      </w:pPr>
      <w:r w:rsidRPr="001800B7">
        <w:rPr>
          <w:szCs w:val="22"/>
        </w:rPr>
        <w:lastRenderedPageBreak/>
        <w:t>RAPPORT RELATIF À L</w:t>
      </w:r>
      <w:r w:rsidR="005311D6" w:rsidRPr="001800B7">
        <w:rPr>
          <w:szCs w:val="22"/>
        </w:rPr>
        <w:t>’</w:t>
      </w:r>
      <w:r w:rsidRPr="001800B7">
        <w:rPr>
          <w:szCs w:val="22"/>
        </w:rPr>
        <w:t>ACHÈVEMENT ET À L</w:t>
      </w:r>
      <w:r w:rsidR="005311D6" w:rsidRPr="001800B7">
        <w:rPr>
          <w:szCs w:val="22"/>
        </w:rPr>
        <w:t>’</w:t>
      </w:r>
      <w:r w:rsidRPr="001800B7">
        <w:rPr>
          <w:szCs w:val="22"/>
        </w:rPr>
        <w:t>AUTO</w:t>
      </w:r>
      <w:r w:rsidR="001800B7" w:rsidRPr="001800B7">
        <w:rPr>
          <w:szCs w:val="22"/>
        </w:rPr>
        <w:noBreakHyphen/>
      </w:r>
      <w:r w:rsidRPr="001800B7">
        <w:rPr>
          <w:szCs w:val="22"/>
        </w:rPr>
        <w:t xml:space="preserve">ÉVALUATION DU PROJET </w:t>
      </w:r>
      <w:r w:rsidRPr="001800B7">
        <w:rPr>
          <w:bCs/>
          <w:szCs w:val="22"/>
        </w:rPr>
        <w:t>RELATIF À L</w:t>
      </w:r>
      <w:r w:rsidR="005311D6" w:rsidRPr="001800B7">
        <w:rPr>
          <w:bCs/>
          <w:szCs w:val="22"/>
        </w:rPr>
        <w:t>’</w:t>
      </w:r>
      <w:r w:rsidRPr="001800B7">
        <w:rPr>
          <w:bCs/>
          <w:szCs w:val="22"/>
        </w:rPr>
        <w:t>ÉLABORATION D</w:t>
      </w:r>
      <w:r w:rsidR="005311D6" w:rsidRPr="001800B7">
        <w:rPr>
          <w:bCs/>
          <w:szCs w:val="22"/>
        </w:rPr>
        <w:t>’</w:t>
      </w:r>
      <w:r w:rsidRPr="001800B7">
        <w:rPr>
          <w:bCs/>
          <w:szCs w:val="22"/>
        </w:rPr>
        <w:t>INSTRUMENTS D</w:t>
      </w:r>
      <w:r w:rsidR="005311D6" w:rsidRPr="001800B7">
        <w:rPr>
          <w:bCs/>
          <w:szCs w:val="22"/>
        </w:rPr>
        <w:t>’</w:t>
      </w:r>
      <w:r w:rsidRPr="001800B7">
        <w:rPr>
          <w:bCs/>
          <w:szCs w:val="22"/>
        </w:rPr>
        <w:t>ACCÈS À L</w:t>
      </w:r>
      <w:r w:rsidR="005311D6" w:rsidRPr="001800B7">
        <w:rPr>
          <w:bCs/>
          <w:szCs w:val="22"/>
        </w:rPr>
        <w:t>’</w:t>
      </w:r>
      <w:r w:rsidRPr="001800B7">
        <w:rPr>
          <w:bCs/>
          <w:szCs w:val="22"/>
        </w:rPr>
        <w:t>INFORMATION EN MATIÈRE DE BREVETS – PHASE II</w:t>
      </w:r>
    </w:p>
    <w:p w:rsidR="00CC0F0F" w:rsidRPr="001800B7" w:rsidRDefault="00CC0F0F" w:rsidP="00CF68DE">
      <w:pPr>
        <w:rPr>
          <w:bCs/>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CC0F0F">
        <w:tc>
          <w:tcPr>
            <w:tcW w:w="9501" w:type="dxa"/>
            <w:gridSpan w:val="2"/>
            <w:tcBorders>
              <w:top w:val="single" w:sz="4" w:space="0" w:color="auto"/>
              <w:left w:val="single" w:sz="4" w:space="0" w:color="auto"/>
              <w:bottom w:val="single" w:sz="4" w:space="0" w:color="auto"/>
              <w:right w:val="single" w:sz="4" w:space="0" w:color="auto"/>
            </w:tcBorders>
            <w:hideMark/>
          </w:tcPr>
          <w:p w:rsidR="0010628F" w:rsidRPr="001800B7" w:rsidRDefault="0010628F" w:rsidP="00CC0F0F">
            <w:pPr>
              <w:spacing w:before="120" w:after="120"/>
              <w:rPr>
                <w:szCs w:val="22"/>
              </w:rPr>
            </w:pPr>
            <w:r w:rsidRPr="001800B7">
              <w:rPr>
                <w:szCs w:val="22"/>
              </w:rPr>
              <w:t>RÉSUMÉ DU PROJET</w:t>
            </w:r>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hideMark/>
          </w:tcPr>
          <w:p w:rsidR="0010628F" w:rsidRPr="001800B7" w:rsidRDefault="0010628F" w:rsidP="00CC0F0F">
            <w:pPr>
              <w:spacing w:before="120" w:after="120"/>
              <w:rPr>
                <w:szCs w:val="22"/>
              </w:rPr>
            </w:pPr>
            <w:r w:rsidRPr="001800B7">
              <w:rPr>
                <w:szCs w:val="22"/>
              </w:rPr>
              <w:t>Code du projet</w:t>
            </w:r>
          </w:p>
        </w:tc>
        <w:tc>
          <w:tcPr>
            <w:tcW w:w="7266" w:type="dxa"/>
            <w:tcBorders>
              <w:top w:val="single" w:sz="4" w:space="0" w:color="auto"/>
              <w:left w:val="single" w:sz="4" w:space="0" w:color="auto"/>
              <w:bottom w:val="single" w:sz="4" w:space="0" w:color="auto"/>
              <w:right w:val="single" w:sz="4" w:space="0" w:color="auto"/>
            </w:tcBorders>
            <w:hideMark/>
          </w:tcPr>
          <w:p w:rsidR="0010628F" w:rsidRPr="001800B7" w:rsidRDefault="0010628F" w:rsidP="00CC0F0F">
            <w:pPr>
              <w:spacing w:before="120" w:after="120"/>
              <w:rPr>
                <w:szCs w:val="22"/>
              </w:rPr>
            </w:pPr>
            <w:r w:rsidRPr="001800B7">
              <w:rPr>
                <w:szCs w:val="22"/>
              </w:rPr>
              <w:t>DA_19_30_31_02</w:t>
            </w:r>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hideMark/>
          </w:tcPr>
          <w:p w:rsidR="0010628F" w:rsidRPr="001800B7" w:rsidRDefault="0010628F" w:rsidP="00CC0F0F">
            <w:pPr>
              <w:spacing w:before="120" w:after="120"/>
              <w:rPr>
                <w:szCs w:val="22"/>
              </w:rPr>
            </w:pPr>
            <w:r w:rsidRPr="001800B7">
              <w:rPr>
                <w:szCs w:val="22"/>
              </w:rPr>
              <w:t>Titre</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szCs w:val="22"/>
              </w:rPr>
              <w:t>Élaboration d</w:t>
            </w:r>
            <w:r w:rsidR="005311D6" w:rsidRPr="001800B7">
              <w:rPr>
                <w:szCs w:val="22"/>
              </w:rPr>
              <w:t>’</w:t>
            </w:r>
            <w:r w:rsidRPr="001800B7">
              <w:rPr>
                <w:szCs w:val="22"/>
              </w:rPr>
              <w:t>instruments permettant d</w:t>
            </w:r>
            <w:r w:rsidR="005311D6" w:rsidRPr="001800B7">
              <w:rPr>
                <w:szCs w:val="22"/>
              </w:rPr>
              <w:t>’</w:t>
            </w:r>
            <w:r w:rsidRPr="001800B7">
              <w:rPr>
                <w:szCs w:val="22"/>
              </w:rPr>
              <w:t>accéder à l</w:t>
            </w:r>
            <w:r w:rsidR="005311D6" w:rsidRPr="001800B7">
              <w:rPr>
                <w:szCs w:val="22"/>
              </w:rPr>
              <w:t>’</w:t>
            </w:r>
            <w:r w:rsidRPr="001800B7">
              <w:rPr>
                <w:szCs w:val="22"/>
              </w:rPr>
              <w:t>information en matière de brevets – phase II</w:t>
            </w:r>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szCs w:val="22"/>
              </w:rPr>
              <w:t>Recommandations du Plan d</w:t>
            </w:r>
            <w:r w:rsidR="005311D6" w:rsidRPr="001800B7">
              <w:rPr>
                <w:szCs w:val="22"/>
              </w:rPr>
              <w:t>’</w:t>
            </w:r>
            <w:r w:rsidRPr="001800B7">
              <w:rPr>
                <w:szCs w:val="22"/>
              </w:rPr>
              <w:t>action pour le développement</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i/>
                <w:szCs w:val="22"/>
              </w:rPr>
              <w:t>Recommandation n° 19</w:t>
            </w:r>
            <w:r w:rsidRPr="001800B7">
              <w:rPr>
                <w:szCs w:val="22"/>
              </w:rPr>
              <w:t> :</w:t>
            </w:r>
            <w:r w:rsidRPr="001800B7">
              <w:rPr>
                <w:i/>
                <w:szCs w:val="22"/>
              </w:rPr>
              <w:t xml:space="preserve"> </w:t>
            </w:r>
            <w:r w:rsidRPr="001800B7">
              <w:rPr>
                <w:szCs w:val="22"/>
              </w:rPr>
              <w:t>Engager les discussions sur les moyens à mettre en œuvre, dans le cadre du mandat de l</w:t>
            </w:r>
            <w:r w:rsidR="005311D6" w:rsidRPr="001800B7">
              <w:rPr>
                <w:szCs w:val="22"/>
              </w:rPr>
              <w:t>’</w:t>
            </w:r>
            <w:r w:rsidRPr="001800B7">
              <w:rPr>
                <w:szCs w:val="22"/>
              </w:rPr>
              <w:t>OMPI, pour faciliter davantage l</w:t>
            </w:r>
            <w:r w:rsidR="005311D6" w:rsidRPr="001800B7">
              <w:rPr>
                <w:szCs w:val="22"/>
              </w:rPr>
              <w:t>’</w:t>
            </w:r>
            <w:r w:rsidRPr="001800B7">
              <w:rPr>
                <w:szCs w:val="22"/>
              </w:rPr>
              <w:t>accès des pays en développement et des PMA aux savoirs et à la technologie afin de stimuler la créativité et l</w:t>
            </w:r>
            <w:r w:rsidR="005311D6" w:rsidRPr="001800B7">
              <w:rPr>
                <w:szCs w:val="22"/>
              </w:rPr>
              <w:t>’</w:t>
            </w:r>
            <w:r w:rsidRPr="001800B7">
              <w:rPr>
                <w:szCs w:val="22"/>
              </w:rPr>
              <w:t>innovation et de renforcer les activités déjà entreprises dans ce domaine au sein de l</w:t>
            </w:r>
            <w:r w:rsidR="005311D6" w:rsidRPr="001800B7">
              <w:rPr>
                <w:szCs w:val="22"/>
              </w:rPr>
              <w:t>’</w:t>
            </w:r>
            <w:r w:rsidRPr="001800B7">
              <w:rPr>
                <w:szCs w:val="22"/>
              </w:rPr>
              <w:t>OMPI..</w:t>
            </w:r>
          </w:p>
          <w:p w:rsidR="0010628F" w:rsidRPr="001800B7" w:rsidRDefault="0010628F" w:rsidP="00CC0F0F">
            <w:pPr>
              <w:spacing w:before="120" w:after="120"/>
              <w:rPr>
                <w:szCs w:val="22"/>
              </w:rPr>
            </w:pPr>
            <w:r w:rsidRPr="001800B7">
              <w:rPr>
                <w:i/>
                <w:szCs w:val="22"/>
              </w:rPr>
              <w:t>Recommandation n° 30</w:t>
            </w:r>
            <w:r w:rsidRPr="001800B7">
              <w:rPr>
                <w:szCs w:val="22"/>
              </w:rPr>
              <w:t> :</w:t>
            </w:r>
            <w:r w:rsidRPr="001800B7">
              <w:rPr>
                <w:i/>
                <w:szCs w:val="22"/>
              </w:rPr>
              <w:t xml:space="preserve"> </w:t>
            </w:r>
            <w:r w:rsidRPr="001800B7">
              <w:rPr>
                <w:szCs w:val="22"/>
              </w:rPr>
              <w:t>L</w:t>
            </w:r>
            <w:r w:rsidR="005311D6" w:rsidRPr="001800B7">
              <w:rPr>
                <w:szCs w:val="22"/>
              </w:rPr>
              <w:t>’</w:t>
            </w:r>
            <w:r w:rsidRPr="001800B7">
              <w:rPr>
                <w:szCs w:val="22"/>
              </w:rPr>
              <w:t>OMPI devrait coopérer avec d</w:t>
            </w:r>
            <w:r w:rsidR="005311D6" w:rsidRPr="001800B7">
              <w:rPr>
                <w:szCs w:val="22"/>
              </w:rPr>
              <w:t>’</w:t>
            </w:r>
            <w:r w:rsidRPr="001800B7">
              <w:rPr>
                <w:szCs w:val="22"/>
              </w:rPr>
              <w:t xml:space="preserve">autres organisations intergouvernementales pour fournir aux pays en développement, </w:t>
            </w:r>
            <w:r w:rsidR="005311D6" w:rsidRPr="001800B7">
              <w:rPr>
                <w:szCs w:val="22"/>
              </w:rPr>
              <w:t>y compris</w:t>
            </w:r>
            <w:r w:rsidRPr="001800B7">
              <w:rPr>
                <w:szCs w:val="22"/>
              </w:rPr>
              <w:t xml:space="preserve"> les PMA, sur demande, des conseils sur les moyens d</w:t>
            </w:r>
            <w:r w:rsidR="005311D6" w:rsidRPr="001800B7">
              <w:rPr>
                <w:szCs w:val="22"/>
              </w:rPr>
              <w:t>’</w:t>
            </w:r>
            <w:r w:rsidRPr="001800B7">
              <w:rPr>
                <w:szCs w:val="22"/>
              </w:rPr>
              <w:t>accéder à l</w:t>
            </w:r>
            <w:r w:rsidR="005311D6" w:rsidRPr="001800B7">
              <w:rPr>
                <w:szCs w:val="22"/>
              </w:rPr>
              <w:t>’</w:t>
            </w:r>
            <w:r w:rsidRPr="001800B7">
              <w:rPr>
                <w:szCs w:val="22"/>
              </w:rPr>
              <w:t>information technologique en rapport avec la propriété intellectuelle et d</w:t>
            </w:r>
            <w:r w:rsidR="005311D6" w:rsidRPr="001800B7">
              <w:rPr>
                <w:szCs w:val="22"/>
              </w:rPr>
              <w:t>’</w:t>
            </w:r>
            <w:r w:rsidRPr="001800B7">
              <w:rPr>
                <w:szCs w:val="22"/>
              </w:rPr>
              <w:t>en faire usage, notamment dans les domaines présentant un intérêt particulier pour les demandeurs.</w:t>
            </w:r>
          </w:p>
          <w:p w:rsidR="0010628F" w:rsidRPr="001800B7" w:rsidRDefault="0010628F" w:rsidP="00CC0F0F">
            <w:pPr>
              <w:spacing w:before="120" w:after="120"/>
              <w:rPr>
                <w:i/>
                <w:szCs w:val="22"/>
              </w:rPr>
            </w:pPr>
            <w:r w:rsidRPr="001800B7">
              <w:rPr>
                <w:i/>
                <w:szCs w:val="22"/>
              </w:rPr>
              <w:t>Recommandation n° 31</w:t>
            </w:r>
            <w:r w:rsidRPr="001800B7">
              <w:rPr>
                <w:szCs w:val="22"/>
              </w:rPr>
              <w:t> : Mettre en œuvre des initiatives arrêtées par les États membres qui contribuent au transfert de technologie en faveur des pays en développement, s</w:t>
            </w:r>
            <w:r w:rsidR="005311D6" w:rsidRPr="001800B7">
              <w:rPr>
                <w:szCs w:val="22"/>
              </w:rPr>
              <w:t>’</w:t>
            </w:r>
            <w:r w:rsidRPr="001800B7">
              <w:rPr>
                <w:szCs w:val="22"/>
              </w:rPr>
              <w:t>agissant par exemple de demander à l</w:t>
            </w:r>
            <w:r w:rsidR="005311D6" w:rsidRPr="001800B7">
              <w:rPr>
                <w:szCs w:val="22"/>
              </w:rPr>
              <w:t>’</w:t>
            </w:r>
            <w:r w:rsidRPr="001800B7">
              <w:rPr>
                <w:szCs w:val="22"/>
              </w:rPr>
              <w:t>OMPI de faciliter l</w:t>
            </w:r>
            <w:r w:rsidR="005311D6" w:rsidRPr="001800B7">
              <w:rPr>
                <w:szCs w:val="22"/>
              </w:rPr>
              <w:t>’</w:t>
            </w:r>
            <w:r w:rsidRPr="001800B7">
              <w:rPr>
                <w:szCs w:val="22"/>
              </w:rPr>
              <w:t>accès à l</w:t>
            </w:r>
            <w:r w:rsidR="005311D6" w:rsidRPr="001800B7">
              <w:rPr>
                <w:szCs w:val="22"/>
              </w:rPr>
              <w:t>’</w:t>
            </w:r>
            <w:r w:rsidRPr="001800B7">
              <w:rPr>
                <w:szCs w:val="22"/>
              </w:rPr>
              <w:t>information en matière de brevets accessible au public.</w:t>
            </w:r>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szCs w:val="22"/>
              </w:rPr>
              <w:t>Budget du projet</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szCs w:val="22"/>
              </w:rPr>
              <w:t>Dépenses autres que les dépenses de personnel : 292 000 francs suisses</w:t>
            </w:r>
          </w:p>
          <w:p w:rsidR="0010628F" w:rsidRPr="001800B7" w:rsidRDefault="0010628F" w:rsidP="00CC0F0F">
            <w:pPr>
              <w:spacing w:before="120" w:after="120"/>
              <w:rPr>
                <w:i/>
                <w:iCs/>
                <w:szCs w:val="22"/>
              </w:rPr>
            </w:pPr>
            <w:r w:rsidRPr="001800B7">
              <w:rPr>
                <w:szCs w:val="22"/>
              </w:rPr>
              <w:t>Ressources en personnel : aucune ressource en personnel n</w:t>
            </w:r>
            <w:r w:rsidR="005311D6" w:rsidRPr="001800B7">
              <w:rPr>
                <w:szCs w:val="22"/>
              </w:rPr>
              <w:t>’</w:t>
            </w:r>
            <w:r w:rsidRPr="001800B7">
              <w:rPr>
                <w:szCs w:val="22"/>
              </w:rPr>
              <w:t>a été prévue.</w:t>
            </w:r>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szCs w:val="22"/>
              </w:rPr>
              <w:t>Durée du projet</w:t>
            </w:r>
          </w:p>
        </w:tc>
        <w:tc>
          <w:tcPr>
            <w:tcW w:w="7266" w:type="dxa"/>
            <w:tcBorders>
              <w:top w:val="single" w:sz="4" w:space="0" w:color="auto"/>
              <w:left w:val="single" w:sz="4" w:space="0" w:color="auto"/>
              <w:bottom w:val="single" w:sz="4" w:space="0" w:color="auto"/>
              <w:right w:val="single" w:sz="4" w:space="0" w:color="auto"/>
            </w:tcBorders>
            <w:hideMark/>
          </w:tcPr>
          <w:p w:rsidR="0010628F" w:rsidRPr="001800B7" w:rsidRDefault="0010628F" w:rsidP="00CC0F0F">
            <w:pPr>
              <w:spacing w:before="120" w:after="120"/>
              <w:rPr>
                <w:iCs/>
                <w:szCs w:val="22"/>
              </w:rPr>
            </w:pPr>
            <w:r w:rsidRPr="001800B7">
              <w:rPr>
                <w:iCs/>
                <w:szCs w:val="22"/>
              </w:rPr>
              <w:t>14 mois</w:t>
            </w:r>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hideMark/>
          </w:tcPr>
          <w:p w:rsidR="0010628F" w:rsidRPr="001800B7" w:rsidRDefault="0010628F" w:rsidP="00CC0F0F">
            <w:pPr>
              <w:spacing w:before="120" w:after="120"/>
              <w:rPr>
                <w:szCs w:val="22"/>
              </w:rPr>
            </w:pPr>
            <w:r w:rsidRPr="001800B7">
              <w:rPr>
                <w:szCs w:val="22"/>
              </w:rPr>
              <w:t>Principaux secteurs de l</w:t>
            </w:r>
            <w:r w:rsidR="005311D6" w:rsidRPr="001800B7">
              <w:rPr>
                <w:szCs w:val="22"/>
              </w:rPr>
              <w:t>’</w:t>
            </w:r>
            <w:r w:rsidRPr="001800B7">
              <w:rPr>
                <w:szCs w:val="22"/>
              </w:rPr>
              <w:t>OMPI concernés et liens avec les programmes de l</w:t>
            </w:r>
            <w:r w:rsidR="005311D6" w:rsidRPr="001800B7">
              <w:rPr>
                <w:szCs w:val="22"/>
              </w:rPr>
              <w:t>’</w:t>
            </w:r>
            <w:r w:rsidRPr="001800B7">
              <w:rPr>
                <w:szCs w:val="22"/>
              </w:rPr>
              <w:t>OMPI</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szCs w:val="22"/>
              </w:rPr>
              <w:t>Le Secteur de l</w:t>
            </w:r>
            <w:r w:rsidR="005311D6" w:rsidRPr="001800B7">
              <w:rPr>
                <w:szCs w:val="22"/>
              </w:rPr>
              <w:t>’</w:t>
            </w:r>
            <w:r w:rsidRPr="001800B7">
              <w:rPr>
                <w:szCs w:val="22"/>
              </w:rPr>
              <w:t>infrastructure mondiale en collaboration avec le Département des savoirs traditionnels et des défis mondiaux, la Division de l</w:t>
            </w:r>
            <w:r w:rsidR="005311D6" w:rsidRPr="001800B7">
              <w:rPr>
                <w:szCs w:val="22"/>
              </w:rPr>
              <w:t>’</w:t>
            </w:r>
            <w:r w:rsidRPr="001800B7">
              <w:rPr>
                <w:szCs w:val="22"/>
              </w:rPr>
              <w:t>innovation, la Division des questions mondiales de propriété intellectuelle et la Division de l</w:t>
            </w:r>
            <w:r w:rsidR="005311D6" w:rsidRPr="001800B7">
              <w:rPr>
                <w:szCs w:val="22"/>
              </w:rPr>
              <w:t>’</w:t>
            </w:r>
            <w:r w:rsidRPr="001800B7">
              <w:rPr>
                <w:szCs w:val="22"/>
              </w:rPr>
              <w:t>économie et des statistiques.</w:t>
            </w:r>
          </w:p>
          <w:p w:rsidR="0010628F" w:rsidRPr="001800B7" w:rsidRDefault="0010628F" w:rsidP="00CC0F0F">
            <w:pPr>
              <w:spacing w:before="120" w:after="120"/>
              <w:rPr>
                <w:szCs w:val="22"/>
              </w:rPr>
            </w:pPr>
            <w:r w:rsidRPr="001800B7">
              <w:rPr>
                <w:szCs w:val="22"/>
              </w:rPr>
              <w:t xml:space="preserve">Liens avec </w:t>
            </w:r>
            <w:proofErr w:type="gramStart"/>
            <w:r w:rsidRPr="001800B7">
              <w:rPr>
                <w:szCs w:val="22"/>
              </w:rPr>
              <w:t>les programmes</w:t>
            </w:r>
            <w:proofErr w:type="gramEnd"/>
            <w:r w:rsidRPr="001800B7">
              <w:rPr>
                <w:szCs w:val="22"/>
              </w:rPr>
              <w:t xml:space="preserve"> 1, 5, 9, 16 et 18 de l</w:t>
            </w:r>
            <w:r w:rsidR="005311D6" w:rsidRPr="001800B7">
              <w:rPr>
                <w:szCs w:val="22"/>
              </w:rPr>
              <w:t>’</w:t>
            </w:r>
            <w:r w:rsidRPr="001800B7">
              <w:rPr>
                <w:szCs w:val="22"/>
              </w:rPr>
              <w:t>OMPI.</w:t>
            </w:r>
          </w:p>
        </w:tc>
      </w:tr>
      <w:tr w:rsidR="0010628F" w:rsidRPr="001800B7" w:rsidTr="00CC0F0F">
        <w:tc>
          <w:tcPr>
            <w:tcW w:w="2235"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szCs w:val="22"/>
              </w:rPr>
              <w:t>Brève description du projet</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szCs w:val="22"/>
              </w:rPr>
              <w:t xml:space="preserve">La phase II du projet relatif aux rapports panoramiques sur les brevets avait pour objectif de terminer les travaux commencés dans le cadre de la phase I, </w:t>
            </w:r>
            <w:r w:rsidR="005311D6" w:rsidRPr="001800B7">
              <w:rPr>
                <w:szCs w:val="22"/>
              </w:rPr>
              <w:t>à savoir</w:t>
            </w:r>
            <w:r w:rsidRPr="001800B7">
              <w:rPr>
                <w:szCs w:val="22"/>
              </w:rPr>
              <w:t xml:space="preserve"> perfectionner les instruments normalisés élaborés durant la phase I, promouvoir et faciliter la collaboration entre les offices de propriété intellectuelle actifs dans le domaine de l</w:t>
            </w:r>
            <w:r w:rsidR="005311D6" w:rsidRPr="001800B7">
              <w:rPr>
                <w:szCs w:val="22"/>
              </w:rPr>
              <w:t>’</w:t>
            </w:r>
            <w:r w:rsidRPr="001800B7">
              <w:rPr>
                <w:szCs w:val="22"/>
              </w:rPr>
              <w:t>analyse des brevets et déterminer l</w:t>
            </w:r>
            <w:r w:rsidR="005311D6" w:rsidRPr="001800B7">
              <w:rPr>
                <w:szCs w:val="22"/>
              </w:rPr>
              <w:t>’</w:t>
            </w:r>
            <w:r w:rsidRPr="001800B7">
              <w:rPr>
                <w:szCs w:val="22"/>
              </w:rPr>
              <w:t>utilité et l</w:t>
            </w:r>
            <w:r w:rsidR="005311D6" w:rsidRPr="001800B7">
              <w:rPr>
                <w:szCs w:val="22"/>
              </w:rPr>
              <w:t>’</w:t>
            </w:r>
            <w:r w:rsidRPr="001800B7">
              <w:rPr>
                <w:szCs w:val="22"/>
              </w:rPr>
              <w:t>impact des rapports.</w:t>
            </w:r>
          </w:p>
          <w:p w:rsidR="0010628F" w:rsidRPr="001800B7" w:rsidRDefault="0010628F" w:rsidP="00CC0F0F">
            <w:pPr>
              <w:spacing w:before="120" w:after="120"/>
              <w:rPr>
                <w:szCs w:val="22"/>
              </w:rPr>
            </w:pPr>
            <w:r w:rsidRPr="001800B7">
              <w:rPr>
                <w:szCs w:val="22"/>
              </w:rPr>
              <w:t>L</w:t>
            </w:r>
            <w:r w:rsidR="005311D6" w:rsidRPr="001800B7">
              <w:rPr>
                <w:szCs w:val="22"/>
              </w:rPr>
              <w:t>’</w:t>
            </w:r>
            <w:r w:rsidRPr="001800B7">
              <w:rPr>
                <w:szCs w:val="22"/>
              </w:rPr>
              <w:t>objectif de développement du projet intitulé “Élaboration d</w:t>
            </w:r>
            <w:r w:rsidR="005311D6" w:rsidRPr="001800B7">
              <w:rPr>
                <w:szCs w:val="22"/>
              </w:rPr>
              <w:t>’</w:t>
            </w:r>
            <w:r w:rsidRPr="001800B7">
              <w:rPr>
                <w:szCs w:val="22"/>
              </w:rPr>
              <w:t>instruments permettant d</w:t>
            </w:r>
            <w:r w:rsidR="005311D6" w:rsidRPr="001800B7">
              <w:rPr>
                <w:szCs w:val="22"/>
              </w:rPr>
              <w:t>’</w:t>
            </w:r>
            <w:r w:rsidRPr="001800B7">
              <w:rPr>
                <w:szCs w:val="22"/>
              </w:rPr>
              <w:t>accéder à l</w:t>
            </w:r>
            <w:r w:rsidR="005311D6" w:rsidRPr="001800B7">
              <w:rPr>
                <w:szCs w:val="22"/>
              </w:rPr>
              <w:t>’</w:t>
            </w:r>
            <w:r w:rsidRPr="001800B7">
              <w:rPr>
                <w:szCs w:val="22"/>
              </w:rPr>
              <w:t>information en matière de brevets” consistait à promouvoir l</w:t>
            </w:r>
            <w:r w:rsidR="005311D6" w:rsidRPr="001800B7">
              <w:rPr>
                <w:szCs w:val="22"/>
              </w:rPr>
              <w:t>’</w:t>
            </w:r>
            <w:r w:rsidRPr="001800B7">
              <w:rPr>
                <w:szCs w:val="22"/>
              </w:rPr>
              <w:t xml:space="preserve">innovation et la croissance économique dans les pays en développement et les pays les moins avancés en facilitant des </w:t>
            </w:r>
            <w:r w:rsidRPr="001800B7">
              <w:rPr>
                <w:szCs w:val="22"/>
              </w:rPr>
              <w:lastRenderedPageBreak/>
              <w:t>discussions sur la politique à mener et des décisions éclairées relatives à l</w:t>
            </w:r>
            <w:r w:rsidR="005311D6" w:rsidRPr="001800B7">
              <w:rPr>
                <w:szCs w:val="22"/>
              </w:rPr>
              <w:t>’</w:t>
            </w:r>
            <w:r w:rsidRPr="001800B7">
              <w:rPr>
                <w:szCs w:val="22"/>
              </w:rPr>
              <w:t>investissement en recherche</w:t>
            </w:r>
            <w:r w:rsidR="001800B7" w:rsidRPr="001800B7">
              <w:rPr>
                <w:szCs w:val="22"/>
              </w:rPr>
              <w:noBreakHyphen/>
            </w:r>
            <w:r w:rsidRPr="001800B7">
              <w:rPr>
                <w:szCs w:val="22"/>
              </w:rPr>
              <w:t>développement et au transfert de technologie moyennant la présentation de rapports panoramiques sur les brevets dans les domaines concernés.</w:t>
            </w:r>
          </w:p>
          <w:p w:rsidR="0010628F" w:rsidRPr="001800B7" w:rsidRDefault="0010628F" w:rsidP="00CC0F0F">
            <w:pPr>
              <w:spacing w:before="120" w:after="120"/>
              <w:rPr>
                <w:szCs w:val="22"/>
              </w:rPr>
            </w:pPr>
            <w:r w:rsidRPr="001800B7">
              <w:rPr>
                <w:szCs w:val="22"/>
              </w:rPr>
              <w:t>Le résultat escompté du projet était l</w:t>
            </w:r>
            <w:r w:rsidR="005311D6" w:rsidRPr="001800B7">
              <w:rPr>
                <w:szCs w:val="22"/>
              </w:rPr>
              <w:t>’</w:t>
            </w:r>
            <w:r w:rsidRPr="001800B7">
              <w:rPr>
                <w:szCs w:val="22"/>
              </w:rPr>
              <w:t>amélioration de l</w:t>
            </w:r>
            <w:r w:rsidR="005311D6" w:rsidRPr="001800B7">
              <w:rPr>
                <w:szCs w:val="22"/>
              </w:rPr>
              <w:t>’</w:t>
            </w:r>
            <w:r w:rsidRPr="001800B7">
              <w:rPr>
                <w:szCs w:val="22"/>
              </w:rPr>
              <w:t>accès aux technologies divulguées dans les publications de brevets et de la connaissance des tendances en matière de brevets et des modèles d</w:t>
            </w:r>
            <w:r w:rsidR="005311D6" w:rsidRPr="001800B7">
              <w:rPr>
                <w:szCs w:val="22"/>
              </w:rPr>
              <w:t>’</w:t>
            </w:r>
            <w:r w:rsidRPr="001800B7">
              <w:rPr>
                <w:szCs w:val="22"/>
              </w:rPr>
              <w:t>innovation dans les domaines techniques sur lesquels porteraient les rapports panoramiques sur les brevets ainsi que le renforcement des capacités pour ce qui était des pratiques recommandées et des méthodes de recherche de brevets dans ces domaines.</w:t>
            </w:r>
          </w:p>
          <w:p w:rsidR="0010628F" w:rsidRPr="001800B7" w:rsidRDefault="0010628F" w:rsidP="00CC0F0F">
            <w:pPr>
              <w:spacing w:before="120" w:after="120"/>
              <w:rPr>
                <w:szCs w:val="22"/>
              </w:rPr>
            </w:pPr>
            <w:r w:rsidRPr="001800B7">
              <w:rPr>
                <w:szCs w:val="22"/>
              </w:rPr>
              <w:t>La phase II du projet visait à contribuer à l</w:t>
            </w:r>
            <w:r w:rsidR="005311D6" w:rsidRPr="001800B7">
              <w:rPr>
                <w:szCs w:val="22"/>
              </w:rPr>
              <w:t>’</w:t>
            </w:r>
            <w:r w:rsidRPr="001800B7">
              <w:rPr>
                <w:szCs w:val="22"/>
              </w:rPr>
              <w:t>obtention de ce résultat et à la réalisation de cet objectif en poursuivant l</w:t>
            </w:r>
            <w:r w:rsidR="005311D6" w:rsidRPr="001800B7">
              <w:rPr>
                <w:szCs w:val="22"/>
              </w:rPr>
              <w:t>’</w:t>
            </w:r>
            <w:r w:rsidRPr="001800B7">
              <w:rPr>
                <w:szCs w:val="22"/>
              </w:rPr>
              <w:t xml:space="preserve">élaboration de nouveaux rapports panoramiques sur les brevets dans les domaines recensés dans phase I, </w:t>
            </w:r>
            <w:r w:rsidR="005311D6" w:rsidRPr="001800B7">
              <w:rPr>
                <w:szCs w:val="22"/>
              </w:rPr>
              <w:t>à savoir</w:t>
            </w:r>
            <w:r w:rsidRPr="001800B7">
              <w:rPr>
                <w:szCs w:val="22"/>
              </w:rPr>
              <w:t xml:space="preserve"> la santé publique, l</w:t>
            </w:r>
            <w:r w:rsidR="005311D6" w:rsidRPr="001800B7">
              <w:rPr>
                <w:szCs w:val="22"/>
              </w:rPr>
              <w:t>’</w:t>
            </w:r>
            <w:r w:rsidRPr="001800B7">
              <w:rPr>
                <w:szCs w:val="22"/>
              </w:rPr>
              <w:t>alimentation et l</w:t>
            </w:r>
            <w:r w:rsidR="005311D6" w:rsidRPr="001800B7">
              <w:rPr>
                <w:szCs w:val="22"/>
              </w:rPr>
              <w:t>’</w:t>
            </w:r>
            <w:r w:rsidRPr="001800B7">
              <w:rPr>
                <w:szCs w:val="22"/>
              </w:rPr>
              <w:t>agriculture, l</w:t>
            </w:r>
            <w:r w:rsidR="005311D6" w:rsidRPr="001800B7">
              <w:rPr>
                <w:szCs w:val="22"/>
              </w:rPr>
              <w:t>’</w:t>
            </w:r>
            <w:r w:rsidRPr="001800B7">
              <w:rPr>
                <w:szCs w:val="22"/>
              </w:rPr>
              <w:t>énergie et le changement climatique et les handicaps;  et en consolidant la diffusion et les activités de renforcement des capacités, en particulier en organisant une conférence régionale sur l</w:t>
            </w:r>
            <w:r w:rsidR="005311D6" w:rsidRPr="001800B7">
              <w:rPr>
                <w:szCs w:val="22"/>
              </w:rPr>
              <w:t>’</w:t>
            </w:r>
            <w:r w:rsidRPr="001800B7">
              <w:rPr>
                <w:szCs w:val="22"/>
              </w:rPr>
              <w:t>analyse des brevets en vue de rédiger des orientations méthodologiques aux fins de l</w:t>
            </w:r>
            <w:r w:rsidR="005311D6" w:rsidRPr="001800B7">
              <w:rPr>
                <w:szCs w:val="22"/>
              </w:rPr>
              <w:t>’</w:t>
            </w:r>
            <w:r w:rsidRPr="001800B7">
              <w:rPr>
                <w:szCs w:val="22"/>
              </w:rPr>
              <w:t>élaboration de rapports panoramiques sur les brevets et de la diffusion et de l</w:t>
            </w:r>
            <w:r w:rsidR="005311D6" w:rsidRPr="001800B7">
              <w:rPr>
                <w:szCs w:val="22"/>
              </w:rPr>
              <w:t>’</w:t>
            </w:r>
            <w:r w:rsidRPr="001800B7">
              <w:rPr>
                <w:szCs w:val="22"/>
              </w:rPr>
              <w:t>échange des pratiques recommandées entre les offices de propriété intellectuelle et les institutions actives dans ce domaine.</w:t>
            </w:r>
          </w:p>
        </w:tc>
      </w:tr>
    </w:tbl>
    <w:p w:rsidR="0010628F" w:rsidRPr="001800B7" w:rsidRDefault="0010628F" w:rsidP="00CC0F0F">
      <w:pPr>
        <w:rPr>
          <w:szCs w:val="22"/>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6"/>
      </w:tblGrid>
      <w:tr w:rsidR="001800B7" w:rsidRPr="001800B7" w:rsidTr="00CC0F0F">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CC0F0F">
            <w:pPr>
              <w:spacing w:before="120" w:after="120"/>
              <w:rPr>
                <w:szCs w:val="22"/>
              </w:rPr>
            </w:pPr>
            <w:r w:rsidRPr="001800B7">
              <w:rPr>
                <w:szCs w:val="22"/>
              </w:rPr>
              <w:t>Chef de projet</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iCs/>
                <w:szCs w:val="22"/>
              </w:rPr>
            </w:pPr>
            <w:r w:rsidRPr="001800B7">
              <w:rPr>
                <w:iCs/>
                <w:szCs w:val="22"/>
              </w:rPr>
              <w:t xml:space="preserve">M. Alejandro Roca </w:t>
            </w:r>
            <w:proofErr w:type="spellStart"/>
            <w:r w:rsidRPr="001800B7">
              <w:rPr>
                <w:iCs/>
                <w:szCs w:val="22"/>
              </w:rPr>
              <w:t>Campaña</w:t>
            </w:r>
            <w:proofErr w:type="spellEnd"/>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CC0F0F">
            <w:pPr>
              <w:spacing w:before="120" w:after="120"/>
              <w:rPr>
                <w:szCs w:val="22"/>
              </w:rPr>
            </w:pPr>
            <w:r w:rsidRPr="001800B7">
              <w:rPr>
                <w:szCs w:val="22"/>
                <w:u w:val="single"/>
              </w:rPr>
              <w:t>Liens avec les résultats escomptés dans le programme et budget pour 2012</w:t>
            </w:r>
            <w:r w:rsidR="001800B7" w:rsidRPr="001800B7">
              <w:rPr>
                <w:szCs w:val="22"/>
                <w:u w:val="single"/>
              </w:rPr>
              <w:noBreakHyphen/>
            </w:r>
            <w:r w:rsidRPr="001800B7">
              <w:rPr>
                <w:szCs w:val="22"/>
                <w:u w:val="single"/>
              </w:rPr>
              <w:t>2013</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i/>
                <w:szCs w:val="22"/>
              </w:rPr>
              <w:t>Résultat escompté II.2</w:t>
            </w:r>
            <w:r w:rsidRPr="001800B7">
              <w:rPr>
                <w:szCs w:val="22"/>
              </w:rPr>
              <w:t> :</w:t>
            </w:r>
            <w:r w:rsidRPr="001800B7">
              <w:rPr>
                <w:i/>
                <w:szCs w:val="22"/>
              </w:rPr>
              <w:t xml:space="preserve"> </w:t>
            </w:r>
            <w:r w:rsidRPr="001800B7">
              <w:rPr>
                <w:szCs w:val="22"/>
              </w:rPr>
              <w:t>renforcement des capacités en matière de ressources humaines pour pouvoir répondre aux nombreuses exigences en ce qui concerne l</w:t>
            </w:r>
            <w:r w:rsidR="005311D6" w:rsidRPr="001800B7">
              <w:rPr>
                <w:szCs w:val="22"/>
              </w:rPr>
              <w:t>’</w:t>
            </w:r>
            <w:r w:rsidRPr="001800B7">
              <w:rPr>
                <w:szCs w:val="22"/>
              </w:rPr>
              <w:t>utilisation efficace de la propriété intellectuelle au service du développement dans les pays en développement, les PMA et les pays en transition.</w:t>
            </w:r>
          </w:p>
          <w:p w:rsidR="0010628F" w:rsidRPr="001800B7" w:rsidRDefault="0010628F" w:rsidP="00CC0F0F">
            <w:pPr>
              <w:spacing w:before="120" w:after="120"/>
              <w:rPr>
                <w:szCs w:val="22"/>
              </w:rPr>
            </w:pPr>
            <w:r w:rsidRPr="001800B7">
              <w:rPr>
                <w:i/>
                <w:szCs w:val="22"/>
              </w:rPr>
              <w:t>Résultat escompté IV.2</w:t>
            </w:r>
            <w:r w:rsidRPr="001800B7">
              <w:rPr>
                <w:szCs w:val="22"/>
              </w:rPr>
              <w:t> : amélioration de l</w:t>
            </w:r>
            <w:r w:rsidR="005311D6" w:rsidRPr="001800B7">
              <w:rPr>
                <w:szCs w:val="22"/>
              </w:rPr>
              <w:t>’</w:t>
            </w:r>
            <w:r w:rsidRPr="001800B7">
              <w:rPr>
                <w:szCs w:val="22"/>
              </w:rPr>
              <w:t>accès aux informations et au savoir en matière de propriété intellectuelle et leur utilisation par les institutions de propriété intellectuelle et le public au service de l</w:t>
            </w:r>
            <w:r w:rsidR="005311D6" w:rsidRPr="001800B7">
              <w:rPr>
                <w:szCs w:val="22"/>
              </w:rPr>
              <w:t>’</w:t>
            </w:r>
            <w:r w:rsidRPr="001800B7">
              <w:rPr>
                <w:szCs w:val="22"/>
              </w:rPr>
              <w:t>innovation, et facilité d</w:t>
            </w:r>
            <w:r w:rsidR="005311D6" w:rsidRPr="001800B7">
              <w:rPr>
                <w:szCs w:val="22"/>
              </w:rPr>
              <w:t>’</w:t>
            </w:r>
            <w:r w:rsidRPr="001800B7">
              <w:rPr>
                <w:szCs w:val="22"/>
              </w:rPr>
              <w:t>accès aux œuvres créatives et aux œuvres créatives tombées dans le domaine public.</w:t>
            </w:r>
          </w:p>
          <w:p w:rsidR="0010628F" w:rsidRPr="001800B7" w:rsidRDefault="0010628F" w:rsidP="00CC0F0F">
            <w:pPr>
              <w:spacing w:before="120" w:after="120"/>
              <w:rPr>
                <w:i/>
                <w:szCs w:val="22"/>
              </w:rPr>
            </w:pPr>
            <w:r w:rsidRPr="001800B7">
              <w:rPr>
                <w:i/>
                <w:szCs w:val="22"/>
              </w:rPr>
              <w:t>Résultat escompté VII.3</w:t>
            </w:r>
            <w:r w:rsidRPr="001800B7">
              <w:rPr>
                <w:szCs w:val="22"/>
              </w:rPr>
              <w:t> :</w:t>
            </w:r>
            <w:r w:rsidRPr="001800B7">
              <w:rPr>
                <w:i/>
                <w:szCs w:val="22"/>
              </w:rPr>
              <w:t xml:space="preserve"> </w:t>
            </w:r>
            <w:r w:rsidRPr="001800B7">
              <w:rPr>
                <w:szCs w:val="22"/>
              </w:rPr>
              <w:t xml:space="preserve">les instruments axés sur la propriété intellectuelle sont utilisés pour le transfert de technologie entre les pays développés et les pays en développement, notamment les PMA, pour répondre aux défis mondiaux.  </w:t>
            </w:r>
            <w:r w:rsidRPr="001800B7">
              <w:rPr>
                <w:i/>
                <w:szCs w:val="22"/>
              </w:rPr>
              <w:t xml:space="preserve">Programme 18;  </w:t>
            </w:r>
            <w:r w:rsidRPr="001800B7">
              <w:rPr>
                <w:szCs w:val="22"/>
              </w:rPr>
              <w:t>Sources d</w:t>
            </w:r>
            <w:r w:rsidR="005311D6" w:rsidRPr="001800B7">
              <w:rPr>
                <w:szCs w:val="22"/>
              </w:rPr>
              <w:t>’</w:t>
            </w:r>
            <w:r w:rsidRPr="001800B7">
              <w:rPr>
                <w:szCs w:val="22"/>
              </w:rPr>
              <w:t>information spécifiques et concrètes combinant une analyse des politiques avec une meilleure utilisation de l</w:t>
            </w:r>
            <w:r w:rsidR="005311D6" w:rsidRPr="001800B7">
              <w:rPr>
                <w:szCs w:val="22"/>
              </w:rPr>
              <w:t>’</w:t>
            </w:r>
            <w:r w:rsidRPr="001800B7">
              <w:rPr>
                <w:szCs w:val="22"/>
              </w:rPr>
              <w:t>information en matière de brevets destinée aux responsables de l</w:t>
            </w:r>
            <w:r w:rsidR="005311D6" w:rsidRPr="001800B7">
              <w:rPr>
                <w:szCs w:val="22"/>
              </w:rPr>
              <w:t>’</w:t>
            </w:r>
            <w:r w:rsidRPr="001800B7">
              <w:rPr>
                <w:szCs w:val="22"/>
              </w:rPr>
              <w:t>élaboration des politiques et des instruments pratiques pour l</w:t>
            </w:r>
            <w:r w:rsidR="005311D6" w:rsidRPr="001800B7">
              <w:rPr>
                <w:szCs w:val="22"/>
              </w:rPr>
              <w:t>’</w:t>
            </w:r>
            <w:r w:rsidRPr="001800B7">
              <w:rPr>
                <w:szCs w:val="22"/>
              </w:rPr>
              <w:t>innovation.</w:t>
            </w:r>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shd w:val="clear" w:color="auto" w:fill="auto"/>
          </w:tcPr>
          <w:p w:rsidR="0010628F" w:rsidRPr="001800B7" w:rsidRDefault="0010628F" w:rsidP="00CC0F0F">
            <w:pPr>
              <w:spacing w:before="120" w:after="120"/>
              <w:rPr>
                <w:szCs w:val="22"/>
              </w:rPr>
            </w:pPr>
            <w:r w:rsidRPr="001800B7">
              <w:rPr>
                <w:szCs w:val="22"/>
              </w:rPr>
              <w:t>État d</w:t>
            </w:r>
            <w:r w:rsidR="005311D6" w:rsidRPr="001800B7">
              <w:rPr>
                <w:szCs w:val="22"/>
              </w:rPr>
              <w:t>’</w:t>
            </w:r>
            <w:r w:rsidRPr="001800B7">
              <w:rPr>
                <w:szCs w:val="22"/>
              </w:rPr>
              <w:t>avancement du projet</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tabs>
                <w:tab w:val="left" w:pos="709"/>
              </w:tabs>
              <w:spacing w:before="120" w:after="120"/>
              <w:rPr>
                <w:iCs/>
                <w:szCs w:val="22"/>
              </w:rPr>
            </w:pPr>
            <w:r w:rsidRPr="001800B7">
              <w:rPr>
                <w:iCs/>
                <w:szCs w:val="22"/>
              </w:rPr>
              <w:t>La section de l</w:t>
            </w:r>
            <w:r w:rsidR="005311D6" w:rsidRPr="001800B7">
              <w:rPr>
                <w:iCs/>
                <w:szCs w:val="22"/>
              </w:rPr>
              <w:t>’</w:t>
            </w:r>
            <w:r w:rsidRPr="001800B7">
              <w:rPr>
                <w:iCs/>
                <w:szCs w:val="22"/>
              </w:rPr>
              <w:t>information en matière de brevets a réussi à mettre en œuvre ce projet et à finaliser tous les résultats en 14 mois.  Elle a même dépassé les objectifs fixés en matière de résultats dans le descriptif du projet de phase II (CDIP/10/13), notamment :</w:t>
            </w:r>
          </w:p>
          <w:p w:rsidR="0010628F" w:rsidRPr="001800B7" w:rsidRDefault="0010628F" w:rsidP="00CC0F0F">
            <w:pPr>
              <w:pStyle w:val="ListParagraph"/>
              <w:numPr>
                <w:ilvl w:val="0"/>
                <w:numId w:val="33"/>
              </w:numPr>
              <w:tabs>
                <w:tab w:val="left" w:pos="851"/>
              </w:tabs>
              <w:spacing w:before="120" w:after="120"/>
              <w:ind w:left="284" w:firstLine="0"/>
              <w:contextualSpacing w:val="0"/>
              <w:rPr>
                <w:iCs/>
                <w:szCs w:val="22"/>
              </w:rPr>
            </w:pPr>
            <w:r w:rsidRPr="001800B7">
              <w:rPr>
                <w:iCs/>
                <w:szCs w:val="22"/>
              </w:rPr>
              <w:t xml:space="preserve">Six rapports panoramiques : quatre rapports panoramiques concernant de nouveaux thèmes, </w:t>
            </w:r>
            <w:r w:rsidR="005311D6" w:rsidRPr="001800B7">
              <w:rPr>
                <w:iCs/>
                <w:szCs w:val="22"/>
              </w:rPr>
              <w:t>à savoir</w:t>
            </w:r>
            <w:r w:rsidRPr="001800B7">
              <w:rPr>
                <w:iCs/>
                <w:szCs w:val="22"/>
              </w:rPr>
              <w:t xml:space="preserve"> : les technologies de recyclage des déchets électroniques en coopération avec le Programme des </w:t>
            </w:r>
            <w:r w:rsidR="005311D6" w:rsidRPr="001800B7">
              <w:rPr>
                <w:iCs/>
                <w:szCs w:val="22"/>
              </w:rPr>
              <w:t>Nations Unies</w:t>
            </w:r>
            <w:r w:rsidRPr="001800B7">
              <w:rPr>
                <w:iCs/>
                <w:szCs w:val="22"/>
              </w:rPr>
              <w:t xml:space="preserve"> pour l</w:t>
            </w:r>
            <w:r w:rsidR="005311D6" w:rsidRPr="001800B7">
              <w:rPr>
                <w:iCs/>
                <w:szCs w:val="22"/>
              </w:rPr>
              <w:t>’</w:t>
            </w:r>
            <w:r w:rsidRPr="001800B7">
              <w:rPr>
                <w:iCs/>
                <w:szCs w:val="22"/>
              </w:rPr>
              <w:t xml:space="preserve">environnement (PNUE) et le </w:t>
            </w:r>
            <w:r w:rsidRPr="001800B7">
              <w:rPr>
                <w:iCs/>
                <w:szCs w:val="22"/>
              </w:rPr>
              <w:lastRenderedPageBreak/>
              <w:t>Secrétariat de la Convention de Bâle;  L</w:t>
            </w:r>
            <w:r w:rsidR="005311D6" w:rsidRPr="001800B7">
              <w:rPr>
                <w:iCs/>
                <w:szCs w:val="22"/>
              </w:rPr>
              <w:t>’</w:t>
            </w:r>
            <w:r w:rsidRPr="001800B7">
              <w:rPr>
                <w:iCs/>
                <w:szCs w:val="22"/>
              </w:rPr>
              <w:t>activité liée aux brevets concernant les ressources génétiques animales en coopération avec l</w:t>
            </w:r>
            <w:r w:rsidR="005311D6" w:rsidRPr="001800B7">
              <w:rPr>
                <w:iCs/>
                <w:szCs w:val="22"/>
              </w:rPr>
              <w:t>’</w:t>
            </w:r>
            <w:r w:rsidRPr="001800B7">
              <w:rPr>
                <w:iCs/>
                <w:szCs w:val="22"/>
              </w:rPr>
              <w:t xml:space="preserve">Organisation des </w:t>
            </w:r>
            <w:r w:rsidR="005311D6" w:rsidRPr="001800B7">
              <w:rPr>
                <w:iCs/>
                <w:szCs w:val="22"/>
              </w:rPr>
              <w:t>Nations Unies</w:t>
            </w:r>
            <w:r w:rsidRPr="001800B7">
              <w:rPr>
                <w:iCs/>
                <w:szCs w:val="22"/>
              </w:rPr>
              <w:t xml:space="preserve"> pour l</w:t>
            </w:r>
            <w:r w:rsidR="005311D6" w:rsidRPr="001800B7">
              <w:rPr>
                <w:iCs/>
                <w:szCs w:val="22"/>
              </w:rPr>
              <w:t>’</w:t>
            </w:r>
            <w:r w:rsidRPr="001800B7">
              <w:rPr>
                <w:iCs/>
                <w:szCs w:val="22"/>
              </w:rPr>
              <w:t>alimentation et l</w:t>
            </w:r>
            <w:r w:rsidR="005311D6" w:rsidRPr="001800B7">
              <w:rPr>
                <w:iCs/>
                <w:szCs w:val="22"/>
              </w:rPr>
              <w:t>’</w:t>
            </w:r>
            <w:r w:rsidRPr="001800B7">
              <w:rPr>
                <w:iCs/>
                <w:szCs w:val="22"/>
              </w:rPr>
              <w:t>agriculture (FAO);  les technologies d</w:t>
            </w:r>
            <w:r w:rsidR="005311D6" w:rsidRPr="001800B7">
              <w:rPr>
                <w:iCs/>
                <w:szCs w:val="22"/>
              </w:rPr>
              <w:t>’</w:t>
            </w:r>
            <w:r w:rsidRPr="001800B7">
              <w:rPr>
                <w:iCs/>
                <w:szCs w:val="22"/>
              </w:rPr>
              <w:t>accélérateurs de particules et leurs applications industrielles et médicales en collaboration avec l</w:t>
            </w:r>
            <w:r w:rsidR="005311D6" w:rsidRPr="001800B7">
              <w:rPr>
                <w:iCs/>
                <w:szCs w:val="22"/>
              </w:rPr>
              <w:t>’</w:t>
            </w:r>
            <w:r w:rsidRPr="001800B7">
              <w:rPr>
                <w:iCs/>
                <w:szCs w:val="22"/>
              </w:rPr>
              <w:t>Organisation européenne pour la recherche nucléaire (CERN);  et un dernier rapport concernant les dispositifs et technologies d</w:t>
            </w:r>
            <w:r w:rsidR="005311D6" w:rsidRPr="001800B7">
              <w:rPr>
                <w:iCs/>
                <w:szCs w:val="22"/>
              </w:rPr>
              <w:t>’</w:t>
            </w:r>
            <w:r w:rsidRPr="001800B7">
              <w:rPr>
                <w:iCs/>
                <w:szCs w:val="22"/>
              </w:rPr>
              <w:t xml:space="preserve">assistance destinés aux personnes malvoyantes et malentendantes.  En outre, deux rapports déjà achevés et publiés concernant le </w:t>
            </w:r>
            <w:proofErr w:type="spellStart"/>
            <w:r w:rsidRPr="001800B7">
              <w:rPr>
                <w:iCs/>
                <w:szCs w:val="22"/>
              </w:rPr>
              <w:t>Ritonavir</w:t>
            </w:r>
            <w:proofErr w:type="spellEnd"/>
            <w:r w:rsidRPr="001800B7">
              <w:rPr>
                <w:iCs/>
                <w:szCs w:val="22"/>
              </w:rPr>
              <w:t xml:space="preserve"> et certaines maladies négligées ont été mis à jour.</w:t>
            </w:r>
          </w:p>
          <w:p w:rsidR="0010628F" w:rsidRPr="001800B7" w:rsidRDefault="0010628F" w:rsidP="00CC0F0F">
            <w:pPr>
              <w:pStyle w:val="ListParagraph"/>
              <w:numPr>
                <w:ilvl w:val="0"/>
                <w:numId w:val="33"/>
              </w:numPr>
              <w:tabs>
                <w:tab w:val="left" w:pos="851"/>
              </w:tabs>
              <w:spacing w:before="120" w:after="120"/>
              <w:ind w:left="284" w:firstLine="0"/>
              <w:contextualSpacing w:val="0"/>
              <w:rPr>
                <w:iCs/>
                <w:szCs w:val="22"/>
              </w:rPr>
            </w:pPr>
            <w:r w:rsidRPr="001800B7">
              <w:rPr>
                <w:iCs/>
                <w:szCs w:val="22"/>
              </w:rPr>
              <w:t>Le site Web des rapports panoramiques sur les brevets</w:t>
            </w:r>
            <w:r w:rsidRPr="001800B7">
              <w:rPr>
                <w:iCs/>
                <w:szCs w:val="22"/>
                <w:vertAlign w:val="superscript"/>
              </w:rPr>
              <w:footnoteReference w:id="11"/>
            </w:r>
            <w:r w:rsidRPr="001800B7">
              <w:rPr>
                <w:iCs/>
                <w:szCs w:val="22"/>
              </w:rPr>
              <w:t xml:space="preserve"> a été également amélioré avec l</w:t>
            </w:r>
            <w:r w:rsidR="005311D6" w:rsidRPr="001800B7">
              <w:rPr>
                <w:iCs/>
                <w:szCs w:val="22"/>
              </w:rPr>
              <w:t>’</w:t>
            </w:r>
            <w:r w:rsidRPr="001800B7">
              <w:rPr>
                <w:iCs/>
                <w:szCs w:val="22"/>
              </w:rPr>
              <w:t>ajout de 51 rapports.  L</w:t>
            </w:r>
            <w:r w:rsidR="005311D6" w:rsidRPr="001800B7">
              <w:rPr>
                <w:iCs/>
                <w:szCs w:val="22"/>
              </w:rPr>
              <w:t>’</w:t>
            </w:r>
            <w:r w:rsidRPr="001800B7">
              <w:rPr>
                <w:iCs/>
                <w:szCs w:val="22"/>
              </w:rPr>
              <w:t>infographie a été préparée aux fins de visualiser et faciliter la diffusion des principaux résultats de huit rapports panoramiques sur les brevets.</w:t>
            </w:r>
          </w:p>
          <w:p w:rsidR="0010628F" w:rsidRPr="001800B7" w:rsidRDefault="0010628F" w:rsidP="00CC0F0F">
            <w:pPr>
              <w:pStyle w:val="ListParagraph"/>
              <w:numPr>
                <w:ilvl w:val="0"/>
                <w:numId w:val="33"/>
              </w:numPr>
              <w:tabs>
                <w:tab w:val="left" w:pos="851"/>
              </w:tabs>
              <w:spacing w:before="120" w:after="120"/>
              <w:ind w:left="284" w:firstLine="0"/>
              <w:contextualSpacing w:val="0"/>
              <w:rPr>
                <w:iCs/>
                <w:szCs w:val="22"/>
              </w:rPr>
            </w:pPr>
            <w:r w:rsidRPr="001800B7">
              <w:rPr>
                <w:iCs/>
                <w:szCs w:val="22"/>
              </w:rPr>
              <w:t>Des orientations méthodologiques pour l</w:t>
            </w:r>
            <w:r w:rsidR="005311D6" w:rsidRPr="001800B7">
              <w:rPr>
                <w:iCs/>
                <w:szCs w:val="22"/>
              </w:rPr>
              <w:t>’</w:t>
            </w:r>
            <w:r w:rsidRPr="001800B7">
              <w:rPr>
                <w:iCs/>
                <w:szCs w:val="22"/>
              </w:rPr>
              <w:t>établissement de rapports panoramiques sur les brevets ont été préparées en collaboration avec un expert externe et en consultation avec divers offices de la propriété intellectuelle, lors de deux ateliers régionaux sur l</w:t>
            </w:r>
            <w:r w:rsidR="005311D6" w:rsidRPr="001800B7">
              <w:rPr>
                <w:iCs/>
                <w:szCs w:val="22"/>
              </w:rPr>
              <w:t>’</w:t>
            </w:r>
            <w:r w:rsidRPr="001800B7">
              <w:rPr>
                <w:iCs/>
                <w:szCs w:val="22"/>
              </w:rPr>
              <w:t>analyse des brevets organisés en 2013 à Rio de Janeiro (Brésil) et à Manille (Philippines) en coopération avec l</w:t>
            </w:r>
            <w:r w:rsidR="005311D6" w:rsidRPr="001800B7">
              <w:rPr>
                <w:iCs/>
                <w:szCs w:val="22"/>
              </w:rPr>
              <w:t>’</w:t>
            </w:r>
            <w:r w:rsidRPr="001800B7">
              <w:rPr>
                <w:iCs/>
                <w:szCs w:val="22"/>
              </w:rPr>
              <w:t>Institut national de la propriété intellectuelle (INPI) du Brésil et l</w:t>
            </w:r>
            <w:r w:rsidR="005311D6" w:rsidRPr="001800B7">
              <w:rPr>
                <w:iCs/>
                <w:szCs w:val="22"/>
              </w:rPr>
              <w:t>’</w:t>
            </w:r>
            <w:r w:rsidRPr="001800B7">
              <w:rPr>
                <w:iCs/>
                <w:szCs w:val="22"/>
              </w:rPr>
              <w:t>Office philippin de la propriété intellectuelle (IPOPHL) respectivement.</w:t>
            </w:r>
          </w:p>
          <w:p w:rsidR="0010628F" w:rsidRPr="001800B7" w:rsidRDefault="0010628F" w:rsidP="00CC0F0F">
            <w:pPr>
              <w:pStyle w:val="ListParagraph"/>
              <w:numPr>
                <w:ilvl w:val="0"/>
                <w:numId w:val="33"/>
              </w:numPr>
              <w:tabs>
                <w:tab w:val="left" w:pos="851"/>
              </w:tabs>
              <w:spacing w:before="120" w:after="120"/>
              <w:ind w:left="284" w:firstLine="0"/>
              <w:contextualSpacing w:val="0"/>
              <w:rPr>
                <w:i/>
                <w:iCs/>
                <w:szCs w:val="22"/>
              </w:rPr>
            </w:pPr>
            <w:r w:rsidRPr="001800B7">
              <w:rPr>
                <w:iCs/>
                <w:szCs w:val="22"/>
              </w:rPr>
              <w:t>Outre les activités de renforcement des capacités déployées par le biais des ateliers régionaux sur l</w:t>
            </w:r>
            <w:r w:rsidR="005311D6" w:rsidRPr="001800B7">
              <w:rPr>
                <w:iCs/>
                <w:szCs w:val="22"/>
              </w:rPr>
              <w:t>’</w:t>
            </w:r>
            <w:r w:rsidRPr="001800B7">
              <w:rPr>
                <w:iCs/>
                <w:szCs w:val="22"/>
              </w:rPr>
              <w:t>analyse des brevets susmentionnés au Brésil et aux Philippines, en 2013 deux autres ateliers nationaux ont également été organisés sur ce même thème aux Philippines ( à Cebu et Manilles) avec la participation de 100 membres des Offices de l</w:t>
            </w:r>
            <w:r w:rsidR="005311D6" w:rsidRPr="001800B7">
              <w:rPr>
                <w:iCs/>
                <w:szCs w:val="22"/>
              </w:rPr>
              <w:t>’</w:t>
            </w:r>
            <w:r w:rsidRPr="001800B7">
              <w:rPr>
                <w:iCs/>
                <w:szCs w:val="22"/>
              </w:rPr>
              <w:t>appui à l</w:t>
            </w:r>
            <w:r w:rsidR="005311D6" w:rsidRPr="001800B7">
              <w:rPr>
                <w:iCs/>
                <w:szCs w:val="22"/>
              </w:rPr>
              <w:t>’</w:t>
            </w:r>
            <w:r w:rsidRPr="001800B7">
              <w:rPr>
                <w:iCs/>
                <w:szCs w:val="22"/>
              </w:rPr>
              <w:t>innovation et à la technologie des Philippines (ITSOS).</w:t>
            </w:r>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CC0F0F">
            <w:pPr>
              <w:spacing w:before="120" w:after="120"/>
              <w:rPr>
                <w:szCs w:val="22"/>
              </w:rPr>
            </w:pPr>
            <w:r w:rsidRPr="001800B7">
              <w:rPr>
                <w:szCs w:val="22"/>
              </w:rPr>
              <w:lastRenderedPageBreak/>
              <w:t>Résultats/</w:t>
            </w:r>
            <w:r w:rsidR="00CC0F0F" w:rsidRPr="001800B7">
              <w:rPr>
                <w:szCs w:val="22"/>
              </w:rPr>
              <w:br/>
            </w:r>
            <w:r w:rsidRPr="001800B7">
              <w:rPr>
                <w:szCs w:val="22"/>
              </w:rPr>
              <w:t>incidences du projet et principaux enseignements à en tirer</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szCs w:val="22"/>
              </w:rPr>
            </w:pPr>
            <w:r w:rsidRPr="001800B7">
              <w:rPr>
                <w:szCs w:val="22"/>
              </w:rPr>
              <w:t>Concernant les résultats, le projet a atteint les objectifs fixés dans le descriptive de la Phase II du projet.  En dépit des courts délais de mise en œuvre, les résultats suivants ont été obtenus : six rapports panoramiques sur les brevets ont été achevés, de nouveaux partenaires de coopération ont été recensés, un nombre d</w:t>
            </w:r>
            <w:r w:rsidR="005311D6" w:rsidRPr="001800B7">
              <w:rPr>
                <w:szCs w:val="22"/>
              </w:rPr>
              <w:t>’</w:t>
            </w:r>
            <w:r w:rsidRPr="001800B7">
              <w:rPr>
                <w:szCs w:val="22"/>
              </w:rPr>
              <w:t>activités de renforcement des capacités supérieur aux prévisions initiales a été mis en œuvre dans le domaine de l</w:t>
            </w:r>
            <w:r w:rsidR="005311D6" w:rsidRPr="001800B7">
              <w:rPr>
                <w:szCs w:val="22"/>
              </w:rPr>
              <w:t>’</w:t>
            </w:r>
            <w:r w:rsidRPr="001800B7">
              <w:rPr>
                <w:szCs w:val="22"/>
              </w:rPr>
              <w:t xml:space="preserve">analyse des brevets, et les premières </w:t>
            </w:r>
            <w:r w:rsidRPr="001800B7">
              <w:rPr>
                <w:iCs/>
                <w:szCs w:val="22"/>
              </w:rPr>
              <w:t>orientations méthodologiques pour l</w:t>
            </w:r>
            <w:r w:rsidR="005311D6" w:rsidRPr="001800B7">
              <w:rPr>
                <w:iCs/>
                <w:szCs w:val="22"/>
              </w:rPr>
              <w:t>’</w:t>
            </w:r>
            <w:r w:rsidRPr="001800B7">
              <w:rPr>
                <w:iCs/>
                <w:szCs w:val="22"/>
              </w:rPr>
              <w:t>établissement de rapports panoramiques sur les brevets ont été préparées aux fins de faciliter l</w:t>
            </w:r>
            <w:r w:rsidR="005311D6" w:rsidRPr="001800B7">
              <w:rPr>
                <w:iCs/>
                <w:szCs w:val="22"/>
              </w:rPr>
              <w:t>’</w:t>
            </w:r>
            <w:r w:rsidRPr="001800B7">
              <w:rPr>
                <w:iCs/>
                <w:szCs w:val="22"/>
              </w:rPr>
              <w:t>accès aux informations en matière de brevets.  En outre, il convient de souligner la meilleure compréhension des informations fournies par le biais de l</w:t>
            </w:r>
            <w:r w:rsidR="005311D6" w:rsidRPr="001800B7">
              <w:rPr>
                <w:iCs/>
                <w:szCs w:val="22"/>
              </w:rPr>
              <w:t>’</w:t>
            </w:r>
            <w:r w:rsidRPr="001800B7">
              <w:rPr>
                <w:iCs/>
                <w:szCs w:val="22"/>
              </w:rPr>
              <w:t>analyse des brevets et la connaissance des instruments disponibles, des possibilités et des limites dans le domaine de l</w:t>
            </w:r>
            <w:r w:rsidR="005311D6" w:rsidRPr="001800B7">
              <w:rPr>
                <w:iCs/>
                <w:szCs w:val="22"/>
              </w:rPr>
              <w:t>’</w:t>
            </w:r>
            <w:r w:rsidRPr="001800B7">
              <w:rPr>
                <w:iCs/>
                <w:szCs w:val="22"/>
              </w:rPr>
              <w:t>analyse de brevets.</w:t>
            </w:r>
          </w:p>
          <w:p w:rsidR="0010628F" w:rsidRPr="001800B7" w:rsidRDefault="0010628F" w:rsidP="00CC0F0F">
            <w:pPr>
              <w:spacing w:before="120" w:after="120"/>
              <w:rPr>
                <w:szCs w:val="22"/>
              </w:rPr>
            </w:pPr>
            <w:r w:rsidRPr="001800B7">
              <w:rPr>
                <w:szCs w:val="22"/>
              </w:rPr>
              <w:t>Il ressort non seulement de l</w:t>
            </w:r>
            <w:r w:rsidR="005311D6" w:rsidRPr="001800B7">
              <w:rPr>
                <w:szCs w:val="22"/>
              </w:rPr>
              <w:t>’</w:t>
            </w:r>
            <w:r w:rsidRPr="001800B7">
              <w:rPr>
                <w:szCs w:val="22"/>
              </w:rPr>
              <w:t>enquête d</w:t>
            </w:r>
            <w:r w:rsidR="005311D6" w:rsidRPr="001800B7">
              <w:rPr>
                <w:szCs w:val="22"/>
              </w:rPr>
              <w:t>’</w:t>
            </w:r>
            <w:r w:rsidRPr="001800B7">
              <w:rPr>
                <w:szCs w:val="22"/>
              </w:rPr>
              <w:t>évaluation et des questionnaires de satisfaction réalisés mais également des observations formulées par les États membres et d</w:t>
            </w:r>
            <w:r w:rsidR="005311D6" w:rsidRPr="001800B7">
              <w:rPr>
                <w:szCs w:val="22"/>
              </w:rPr>
              <w:t>’</w:t>
            </w:r>
            <w:r w:rsidRPr="001800B7">
              <w:rPr>
                <w:szCs w:val="22"/>
              </w:rPr>
              <w:t xml:space="preserve">autres utilisateurs de rapports panoramiques sur les brevets, que les rapports, les activités de renforcement des capacités et les orientations tels que présentés dans leurs projets, ont été très appréciés par un public très divers.  En outre, certains rapports panoramiques sur les brevets ont fourni pour la première fois des </w:t>
            </w:r>
            <w:r w:rsidRPr="001800B7">
              <w:rPr>
                <w:szCs w:val="22"/>
              </w:rPr>
              <w:lastRenderedPageBreak/>
              <w:t>preuves fondées sur les brevets dans certains domaines.  Il s</w:t>
            </w:r>
            <w:r w:rsidR="005311D6" w:rsidRPr="001800B7">
              <w:rPr>
                <w:szCs w:val="22"/>
              </w:rPr>
              <w:t>’</w:t>
            </w:r>
            <w:r w:rsidRPr="001800B7">
              <w:rPr>
                <w:szCs w:val="22"/>
              </w:rPr>
              <w:t>agit notamment du rapport sur les ressources génétiques animales qui facilitera les débats concernant la santé et la production animale, menés au sein de l</w:t>
            </w:r>
            <w:r w:rsidR="005311D6" w:rsidRPr="001800B7">
              <w:rPr>
                <w:szCs w:val="22"/>
              </w:rPr>
              <w:t>’</w:t>
            </w:r>
            <w:r w:rsidRPr="001800B7">
              <w:rPr>
                <w:szCs w:val="22"/>
              </w:rPr>
              <w:t xml:space="preserve">Organisation des </w:t>
            </w:r>
            <w:r w:rsidR="005311D6" w:rsidRPr="001800B7">
              <w:rPr>
                <w:szCs w:val="22"/>
              </w:rPr>
              <w:t>Nations Unies</w:t>
            </w:r>
            <w:r w:rsidRPr="001800B7">
              <w:rPr>
                <w:szCs w:val="22"/>
              </w:rPr>
              <w:t xml:space="preserve"> pour l</w:t>
            </w:r>
            <w:r w:rsidR="005311D6" w:rsidRPr="001800B7">
              <w:rPr>
                <w:szCs w:val="22"/>
              </w:rPr>
              <w:t>’</w:t>
            </w:r>
            <w:r w:rsidRPr="001800B7">
              <w:rPr>
                <w:szCs w:val="22"/>
              </w:rPr>
              <w:t>alimentation et l</w:t>
            </w:r>
            <w:r w:rsidR="005311D6" w:rsidRPr="001800B7">
              <w:rPr>
                <w:szCs w:val="22"/>
              </w:rPr>
              <w:t>’</w:t>
            </w:r>
            <w:r w:rsidRPr="001800B7">
              <w:rPr>
                <w:szCs w:val="22"/>
              </w:rPr>
              <w:t>agriculture (FAO) ou le rapport panoramique sur les brevets relatifs au recyclage des déchets électroniques, thème présentant une incidence majeure sur l</w:t>
            </w:r>
            <w:r w:rsidR="005311D6" w:rsidRPr="001800B7">
              <w:rPr>
                <w:szCs w:val="22"/>
              </w:rPr>
              <w:t>’</w:t>
            </w:r>
            <w:r w:rsidRPr="001800B7">
              <w:rPr>
                <w:szCs w:val="22"/>
              </w:rPr>
              <w:t>environnement, la santé publique et le commerce d</w:t>
            </w:r>
            <w:r w:rsidR="005311D6" w:rsidRPr="001800B7">
              <w:rPr>
                <w:szCs w:val="22"/>
              </w:rPr>
              <w:t>’</w:t>
            </w:r>
            <w:r w:rsidRPr="001800B7">
              <w:rPr>
                <w:szCs w:val="22"/>
              </w:rPr>
              <w:t>un certain nombre de pays en développement, lequel rapport a fourni pour la première fois des renseignements concernant le point de vue de la propriété intellectuelle, les tendances et les principaux acteurs en matière de brevets, dans le domaine couvert par la Convention de Bâle (PNUD).  En outre, ces rapports fournissent matière pour divers débats menés au sein de l</w:t>
            </w:r>
            <w:r w:rsidR="005311D6" w:rsidRPr="001800B7">
              <w:rPr>
                <w:szCs w:val="22"/>
              </w:rPr>
              <w:t>’</w:t>
            </w:r>
            <w:r w:rsidRPr="001800B7">
              <w:rPr>
                <w:szCs w:val="22"/>
              </w:rPr>
              <w:t>OMPI, et notamment par le Comité permanent du droit des brevets (SCP), le Comité intergouvernemental de la propriété intellectuelle relative aux ressources génétiques, aux savoirs traditionnels et au folklore, ou complètent les travaux menés par d</w:t>
            </w:r>
            <w:r w:rsidR="005311D6" w:rsidRPr="001800B7">
              <w:rPr>
                <w:szCs w:val="22"/>
              </w:rPr>
              <w:t>’</w:t>
            </w:r>
            <w:r w:rsidRPr="001800B7">
              <w:rPr>
                <w:szCs w:val="22"/>
              </w:rPr>
              <w:t>autres secteurs de l</w:t>
            </w:r>
            <w:r w:rsidR="005311D6" w:rsidRPr="001800B7">
              <w:rPr>
                <w:szCs w:val="22"/>
              </w:rPr>
              <w:t>’</w:t>
            </w:r>
            <w:r w:rsidRPr="001800B7">
              <w:rPr>
                <w:szCs w:val="22"/>
              </w:rPr>
              <w:t>OMPI.  C</w:t>
            </w:r>
            <w:r w:rsidR="005311D6" w:rsidRPr="001800B7">
              <w:rPr>
                <w:szCs w:val="22"/>
              </w:rPr>
              <w:t>’</w:t>
            </w:r>
            <w:r w:rsidRPr="001800B7">
              <w:rPr>
                <w:szCs w:val="22"/>
              </w:rPr>
              <w:t>est en effet le cas du rapport panoramique concernant les dispositifs et technologies d</w:t>
            </w:r>
            <w:r w:rsidR="005311D6" w:rsidRPr="001800B7">
              <w:rPr>
                <w:szCs w:val="22"/>
              </w:rPr>
              <w:t>’</w:t>
            </w:r>
            <w:r w:rsidRPr="001800B7">
              <w:rPr>
                <w:szCs w:val="22"/>
              </w:rPr>
              <w:t>assistance destinés aux personnes malvoyantes et malentendantes, qui s</w:t>
            </w:r>
            <w:r w:rsidR="005311D6" w:rsidRPr="001800B7">
              <w:rPr>
                <w:szCs w:val="22"/>
              </w:rPr>
              <w:t>’</w:t>
            </w:r>
            <w:r w:rsidRPr="001800B7">
              <w:rPr>
                <w:szCs w:val="22"/>
              </w:rPr>
              <w:t>inscrit dans la lignée des travaux du Traité de Marrakech en recensant les domaines concernés par les technologies mentionnées dans le Traité.</w:t>
            </w:r>
          </w:p>
          <w:p w:rsidR="0010628F" w:rsidRPr="001800B7" w:rsidRDefault="0010628F" w:rsidP="00CC0F0F">
            <w:pPr>
              <w:spacing w:before="120" w:after="120"/>
              <w:rPr>
                <w:szCs w:val="22"/>
              </w:rPr>
            </w:pPr>
            <w:r w:rsidRPr="001800B7">
              <w:rPr>
                <w:szCs w:val="22"/>
              </w:rPr>
              <w:t>Les phases I et II du projet ont montré la complexité de la préparation des rapports panoramiques sur les brevets, tâche dont le succès et le respect des délais de réalisation sont fonction d</w:t>
            </w:r>
            <w:r w:rsidR="005311D6" w:rsidRPr="001800B7">
              <w:rPr>
                <w:szCs w:val="22"/>
              </w:rPr>
              <w:t>’</w:t>
            </w:r>
            <w:r w:rsidRPr="001800B7">
              <w:rPr>
                <w:szCs w:val="22"/>
              </w:rPr>
              <w:t>un certain nombre de parties prenantes et de facteurs externes.  Ce projet a également démontré qu</w:t>
            </w:r>
            <w:r w:rsidR="005311D6" w:rsidRPr="001800B7">
              <w:rPr>
                <w:szCs w:val="22"/>
              </w:rPr>
              <w:t>’</w:t>
            </w:r>
            <w:r w:rsidRPr="001800B7">
              <w:rPr>
                <w:szCs w:val="22"/>
              </w:rPr>
              <w:t>en fonction du thème concerné, des partenaires impliqués et des objectifs fixés, les défis qu</w:t>
            </w:r>
            <w:r w:rsidR="005311D6" w:rsidRPr="001800B7">
              <w:rPr>
                <w:szCs w:val="22"/>
              </w:rPr>
              <w:t>’</w:t>
            </w:r>
            <w:r w:rsidRPr="001800B7">
              <w:rPr>
                <w:szCs w:val="22"/>
              </w:rPr>
              <w:t>il conviendra de relever lors de l</w:t>
            </w:r>
            <w:r w:rsidR="005311D6" w:rsidRPr="001800B7">
              <w:rPr>
                <w:szCs w:val="22"/>
              </w:rPr>
              <w:t>’</w:t>
            </w:r>
            <w:r w:rsidRPr="001800B7">
              <w:rPr>
                <w:szCs w:val="22"/>
              </w:rPr>
              <w:t>établissement de chaque rapport différeront en matière de stratégie de recherches relatives aux brevets, et feront appel à des outils, des bases de données et des types d</w:t>
            </w:r>
            <w:r w:rsidR="005311D6" w:rsidRPr="001800B7">
              <w:rPr>
                <w:szCs w:val="22"/>
              </w:rPr>
              <w:t>’</w:t>
            </w:r>
            <w:r w:rsidRPr="001800B7">
              <w:rPr>
                <w:szCs w:val="22"/>
              </w:rPr>
              <w:t>analyses différents.  En conséquence, il est essentiel d</w:t>
            </w:r>
            <w:r w:rsidR="005311D6" w:rsidRPr="001800B7">
              <w:rPr>
                <w:szCs w:val="22"/>
              </w:rPr>
              <w:t>’</w:t>
            </w:r>
            <w:r w:rsidRPr="001800B7">
              <w:rPr>
                <w:szCs w:val="22"/>
              </w:rPr>
              <w:t>assurer une bonne coordination, d</w:t>
            </w:r>
            <w:r w:rsidR="005311D6" w:rsidRPr="001800B7">
              <w:rPr>
                <w:szCs w:val="22"/>
              </w:rPr>
              <w:t>’</w:t>
            </w:r>
            <w:r w:rsidRPr="001800B7">
              <w:rPr>
                <w:szCs w:val="22"/>
              </w:rPr>
              <w:t>établir des procédures lorsque cela est possible, de bien choisir le thème et les partenaires coopérant à cette tâche, ainsi que le type d</w:t>
            </w:r>
            <w:r w:rsidR="005311D6" w:rsidRPr="001800B7">
              <w:rPr>
                <w:szCs w:val="22"/>
              </w:rPr>
              <w:t>’</w:t>
            </w:r>
            <w:r w:rsidRPr="001800B7">
              <w:rPr>
                <w:szCs w:val="22"/>
              </w:rPr>
              <w:t>analyse de brevets à intégrer dans ces rapports.  L</w:t>
            </w:r>
            <w:r w:rsidR="005311D6" w:rsidRPr="001800B7">
              <w:rPr>
                <w:szCs w:val="22"/>
              </w:rPr>
              <w:t>’</w:t>
            </w:r>
            <w:r w:rsidRPr="001800B7">
              <w:rPr>
                <w:szCs w:val="22"/>
              </w:rPr>
              <w:t>expérience a montré que la création et le maintien d</w:t>
            </w:r>
            <w:r w:rsidR="005311D6" w:rsidRPr="001800B7">
              <w:rPr>
                <w:szCs w:val="22"/>
              </w:rPr>
              <w:t>’</w:t>
            </w:r>
            <w:r w:rsidRPr="001800B7">
              <w:rPr>
                <w:szCs w:val="22"/>
              </w:rPr>
              <w:t>un bon réseau dans divers secteurs de technologies et la présence de parties prenantes de profils différents, avec une expertise et des besoins différents, constituaient un facteur essentiel pour assurer la bonne diffusion et l</w:t>
            </w:r>
            <w:r w:rsidR="005311D6" w:rsidRPr="001800B7">
              <w:rPr>
                <w:szCs w:val="22"/>
              </w:rPr>
              <w:t>’</w:t>
            </w:r>
            <w:r w:rsidRPr="001800B7">
              <w:rPr>
                <w:szCs w:val="22"/>
              </w:rPr>
              <w:t>utilisation appropriée des informations de ces rapports aux fins de travaux ultérieurs.  En outre, cela jouait également un rôle majeur en permettant de sensibiliser des publics divers, peu habitués à utiliser ce type d</w:t>
            </w:r>
            <w:r w:rsidR="005311D6" w:rsidRPr="001800B7">
              <w:rPr>
                <w:szCs w:val="22"/>
              </w:rPr>
              <w:t>’</w:t>
            </w:r>
            <w:r w:rsidRPr="001800B7">
              <w:rPr>
                <w:szCs w:val="22"/>
              </w:rPr>
              <w:t>information et intégrer le point de vue de la propriété intellectuelle lors de leurs prises de décisions, et en soulignant l</w:t>
            </w:r>
            <w:r w:rsidR="005311D6" w:rsidRPr="001800B7">
              <w:rPr>
                <w:szCs w:val="22"/>
              </w:rPr>
              <w:t>’</w:t>
            </w:r>
            <w:r w:rsidRPr="001800B7">
              <w:rPr>
                <w:szCs w:val="22"/>
              </w:rPr>
              <w:t>importance des informations relatives aux brevets et de leur utilisation.  Une fois le rapport établi, l</w:t>
            </w:r>
            <w:r w:rsidR="005311D6" w:rsidRPr="001800B7">
              <w:rPr>
                <w:szCs w:val="22"/>
              </w:rPr>
              <w:t>’</w:t>
            </w:r>
            <w:r w:rsidRPr="001800B7">
              <w:rPr>
                <w:szCs w:val="22"/>
              </w:rPr>
              <w:t>engagement de chaque partenaire coopérant à ce projet a joué un rôle majeur en matière de diffusion et d</w:t>
            </w:r>
            <w:r w:rsidR="005311D6" w:rsidRPr="001800B7">
              <w:rPr>
                <w:szCs w:val="22"/>
              </w:rPr>
              <w:t>’</w:t>
            </w:r>
            <w:r w:rsidRPr="001800B7">
              <w:rPr>
                <w:szCs w:val="22"/>
              </w:rPr>
              <w:t>utilisation des rapports.  À titre d</w:t>
            </w:r>
            <w:r w:rsidR="005311D6" w:rsidRPr="001800B7">
              <w:rPr>
                <w:szCs w:val="22"/>
              </w:rPr>
              <w:t>’</w:t>
            </w:r>
            <w:proofErr w:type="spellStart"/>
            <w:r w:rsidRPr="001800B7">
              <w:rPr>
                <w:szCs w:val="22"/>
              </w:rPr>
              <w:t>exemple,à</w:t>
            </w:r>
            <w:proofErr w:type="spellEnd"/>
            <w:r w:rsidRPr="001800B7">
              <w:rPr>
                <w:szCs w:val="22"/>
              </w:rPr>
              <w:t xml:space="preserve"> la suite du rapport, la Convention de Bâle a organisé deux autres manifestations dont une à l</w:t>
            </w:r>
            <w:r w:rsidR="005311D6" w:rsidRPr="001800B7">
              <w:rPr>
                <w:szCs w:val="22"/>
              </w:rPr>
              <w:t>’</w:t>
            </w:r>
            <w:r w:rsidRPr="001800B7">
              <w:rPr>
                <w:szCs w:val="22"/>
              </w:rPr>
              <w:t>Union internationale des télécommunications (UIT) et des séminaires sur le Web pour les ministres de l</w:t>
            </w:r>
            <w:r w:rsidR="005311D6" w:rsidRPr="001800B7">
              <w:rPr>
                <w:szCs w:val="22"/>
              </w:rPr>
              <w:t>’</w:t>
            </w:r>
            <w:r w:rsidRPr="001800B7">
              <w:rPr>
                <w:szCs w:val="22"/>
              </w:rPr>
              <w:t xml:space="preserve">environnement et les instituts de la recherche environnementale sur les informations relatives aux brevets et les principaux résultats des travaux du rapport panoramique relatifs aux brevets en matière de recyclage des déchets électroniques.  Ces activités ont permis de diffuser les résultats du rapport dans les États membres à un public ciblé, pour lequel les rapports présentaient un </w:t>
            </w:r>
            <w:r w:rsidRPr="001800B7">
              <w:rPr>
                <w:szCs w:val="22"/>
              </w:rPr>
              <w:lastRenderedPageBreak/>
              <w:t>intérêt particulier.</w:t>
            </w:r>
          </w:p>
          <w:p w:rsidR="0010628F" w:rsidRPr="001800B7" w:rsidRDefault="0010628F" w:rsidP="00CC0F0F">
            <w:pPr>
              <w:spacing w:before="120" w:after="120"/>
              <w:rPr>
                <w:szCs w:val="22"/>
              </w:rPr>
            </w:pPr>
            <w:r w:rsidRPr="001800B7">
              <w:rPr>
                <w:szCs w:val="22"/>
              </w:rPr>
              <w:t>Les exercices de renforcement des capacités réalisés dans le domaine de l</w:t>
            </w:r>
            <w:r w:rsidR="005311D6" w:rsidRPr="001800B7">
              <w:rPr>
                <w:szCs w:val="22"/>
              </w:rPr>
              <w:t>’</w:t>
            </w:r>
            <w:r w:rsidRPr="001800B7">
              <w:rPr>
                <w:szCs w:val="22"/>
              </w:rPr>
              <w:t>analyse des brevets en 2013 ont mis en évidence non seulement l</w:t>
            </w:r>
            <w:r w:rsidR="005311D6" w:rsidRPr="001800B7">
              <w:rPr>
                <w:szCs w:val="22"/>
              </w:rPr>
              <w:t>’</w:t>
            </w:r>
            <w:r w:rsidRPr="001800B7">
              <w:rPr>
                <w:szCs w:val="22"/>
              </w:rPr>
              <w:t>intérêt que suscite cette question mais également le besoin d</w:t>
            </w:r>
            <w:r w:rsidR="005311D6" w:rsidRPr="001800B7">
              <w:rPr>
                <w:szCs w:val="22"/>
              </w:rPr>
              <w:t>’</w:t>
            </w:r>
            <w:r w:rsidRPr="001800B7">
              <w:rPr>
                <w:szCs w:val="22"/>
              </w:rPr>
              <w:t>appuis et de communication entre les offices de la propriété intellectuelle assurant ou souhaitant assurer des services d</w:t>
            </w:r>
            <w:r w:rsidR="005311D6" w:rsidRPr="001800B7">
              <w:rPr>
                <w:szCs w:val="22"/>
              </w:rPr>
              <w:t>’</w:t>
            </w:r>
            <w:r w:rsidRPr="001800B7">
              <w:rPr>
                <w:szCs w:val="22"/>
              </w:rPr>
              <w:t>analyses de brevets.  Ils ont également montré que d</w:t>
            </w:r>
            <w:r w:rsidR="005311D6" w:rsidRPr="001800B7">
              <w:rPr>
                <w:szCs w:val="22"/>
              </w:rPr>
              <w:t>’</w:t>
            </w:r>
            <w:r w:rsidRPr="001800B7">
              <w:rPr>
                <w:szCs w:val="22"/>
              </w:rPr>
              <w:t>autres publics souhaitent utiliser des outils d</w:t>
            </w:r>
            <w:r w:rsidR="005311D6" w:rsidRPr="001800B7">
              <w:rPr>
                <w:szCs w:val="22"/>
              </w:rPr>
              <w:t>’</w:t>
            </w:r>
            <w:r w:rsidRPr="001800B7">
              <w:rPr>
                <w:szCs w:val="22"/>
              </w:rPr>
              <w:t>analyses de brevets pour faciliter leur prise de décision, et c</w:t>
            </w:r>
            <w:r w:rsidR="005311D6" w:rsidRPr="001800B7">
              <w:rPr>
                <w:szCs w:val="22"/>
              </w:rPr>
              <w:t>’</w:t>
            </w:r>
            <w:r w:rsidRPr="001800B7">
              <w:rPr>
                <w:szCs w:val="22"/>
              </w:rPr>
              <w:t>est notamment le cas des pouvoirs publics, de certaines organisations intergouvernementales, d</w:t>
            </w:r>
            <w:r w:rsidR="005311D6" w:rsidRPr="001800B7">
              <w:rPr>
                <w:szCs w:val="22"/>
              </w:rPr>
              <w:t>’</w:t>
            </w:r>
            <w:r w:rsidRPr="001800B7">
              <w:rPr>
                <w:szCs w:val="22"/>
              </w:rPr>
              <w:t>ONG, d</w:t>
            </w:r>
            <w:r w:rsidR="005311D6" w:rsidRPr="001800B7">
              <w:rPr>
                <w:szCs w:val="22"/>
              </w:rPr>
              <w:t>’</w:t>
            </w:r>
            <w:r w:rsidRPr="001800B7">
              <w:rPr>
                <w:szCs w:val="22"/>
              </w:rPr>
              <w:t>instituts de recherches, d</w:t>
            </w:r>
            <w:r w:rsidR="005311D6" w:rsidRPr="001800B7">
              <w:rPr>
                <w:szCs w:val="22"/>
              </w:rPr>
              <w:t>’</w:t>
            </w:r>
            <w:r w:rsidRPr="001800B7">
              <w:rPr>
                <w:szCs w:val="22"/>
              </w:rPr>
              <w:t>académies et de PME.  Ces activités ont conduit à l</w:t>
            </w:r>
            <w:r w:rsidR="005311D6" w:rsidRPr="001800B7">
              <w:rPr>
                <w:szCs w:val="22"/>
              </w:rPr>
              <w:t>’</w:t>
            </w:r>
            <w:r w:rsidRPr="001800B7">
              <w:rPr>
                <w:szCs w:val="22"/>
              </w:rPr>
              <w:t>établissement d</w:t>
            </w:r>
            <w:r w:rsidR="005311D6" w:rsidRPr="001800B7">
              <w:rPr>
                <w:szCs w:val="22"/>
              </w:rPr>
              <w:t>’</w:t>
            </w:r>
            <w:r w:rsidRPr="001800B7">
              <w:rPr>
                <w:szCs w:val="22"/>
              </w:rPr>
              <w:t>un dialogue entre les divers offices de la propriété intellectuelle et se sont traduites également par l</w:t>
            </w:r>
            <w:r w:rsidR="005311D6" w:rsidRPr="001800B7">
              <w:rPr>
                <w:szCs w:val="22"/>
              </w:rPr>
              <w:t>’</w:t>
            </w:r>
            <w:r w:rsidRPr="001800B7">
              <w:rPr>
                <w:szCs w:val="22"/>
              </w:rPr>
              <w:t>élaboration de nouveaux rapports panoramiques sur les brevets et de projets d</w:t>
            </w:r>
            <w:r w:rsidR="005311D6" w:rsidRPr="001800B7">
              <w:rPr>
                <w:szCs w:val="22"/>
              </w:rPr>
              <w:t>’</w:t>
            </w:r>
            <w:r w:rsidRPr="001800B7">
              <w:rPr>
                <w:szCs w:val="22"/>
              </w:rPr>
              <w:t>analyses de brevets.</w:t>
            </w:r>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CC0F0F">
            <w:pPr>
              <w:spacing w:before="120" w:after="120"/>
              <w:rPr>
                <w:szCs w:val="22"/>
              </w:rPr>
            </w:pPr>
            <w:r w:rsidRPr="001800B7">
              <w:rPr>
                <w:szCs w:val="22"/>
              </w:rPr>
              <w:lastRenderedPageBreak/>
              <w:t>Risques et atténuation des risques</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iCs/>
                <w:szCs w:val="22"/>
              </w:rPr>
            </w:pPr>
            <w:r w:rsidRPr="001800B7">
              <w:rPr>
                <w:iCs/>
                <w:szCs w:val="22"/>
              </w:rPr>
              <w:t>Dans la proposition de projet (document CDIP/10/13), les risques suivants ont été mis en évidence et les méthodes d</w:t>
            </w:r>
            <w:r w:rsidR="005311D6" w:rsidRPr="001800B7">
              <w:rPr>
                <w:iCs/>
                <w:szCs w:val="22"/>
              </w:rPr>
              <w:t>’</w:t>
            </w:r>
            <w:r w:rsidRPr="001800B7">
              <w:rPr>
                <w:iCs/>
                <w:szCs w:val="22"/>
              </w:rPr>
              <w:t>atténuation de risques suivantes ont été proposées :</w:t>
            </w:r>
          </w:p>
          <w:p w:rsidR="0010628F" w:rsidRPr="001800B7" w:rsidRDefault="0010628F" w:rsidP="00CC0F0F">
            <w:pPr>
              <w:spacing w:before="120" w:after="120"/>
              <w:rPr>
                <w:iCs/>
                <w:szCs w:val="22"/>
              </w:rPr>
            </w:pPr>
            <w:r w:rsidRPr="001800B7">
              <w:rPr>
                <w:iCs/>
                <w:szCs w:val="22"/>
              </w:rPr>
              <w:t>Risque 1 : manque d</w:t>
            </w:r>
            <w:r w:rsidR="005311D6" w:rsidRPr="001800B7">
              <w:rPr>
                <w:iCs/>
                <w:szCs w:val="22"/>
              </w:rPr>
              <w:t>’</w:t>
            </w:r>
            <w:r w:rsidRPr="001800B7">
              <w:rPr>
                <w:iCs/>
                <w:szCs w:val="22"/>
              </w:rPr>
              <w:t>intérêt exprimé pour certains projets par les États membres ou les institutions des pays en développement en ce qui concerne de futurs rapports panoramiques.</w:t>
            </w:r>
          </w:p>
          <w:p w:rsidR="0010628F" w:rsidRPr="001800B7" w:rsidRDefault="0010628F" w:rsidP="00CC0F0F">
            <w:pPr>
              <w:spacing w:before="120" w:after="120"/>
              <w:rPr>
                <w:iCs/>
                <w:szCs w:val="22"/>
              </w:rPr>
            </w:pPr>
            <w:r w:rsidRPr="001800B7">
              <w:rPr>
                <w:iCs/>
                <w:szCs w:val="22"/>
              </w:rPr>
              <w:t>Risque 2 : utilisation insuffisante des rapports.</w:t>
            </w:r>
          </w:p>
          <w:p w:rsidR="0010628F" w:rsidRPr="001800B7" w:rsidRDefault="0010628F" w:rsidP="00CC0F0F">
            <w:pPr>
              <w:spacing w:before="120" w:after="120"/>
              <w:rPr>
                <w:iCs/>
                <w:szCs w:val="22"/>
              </w:rPr>
            </w:pPr>
            <w:r w:rsidRPr="001800B7">
              <w:rPr>
                <w:iCs/>
                <w:szCs w:val="22"/>
              </w:rPr>
              <w:t>Risque 3 : pertinence de la portée de chaque rapport.</w:t>
            </w:r>
          </w:p>
          <w:p w:rsidR="0010628F" w:rsidRPr="001800B7" w:rsidRDefault="0010628F" w:rsidP="00CC0F0F">
            <w:pPr>
              <w:pStyle w:val="Default"/>
              <w:spacing w:before="120" w:after="120"/>
              <w:rPr>
                <w:iCs/>
                <w:color w:val="auto"/>
                <w:sz w:val="22"/>
                <w:szCs w:val="22"/>
                <w:lang w:val="fr-FR"/>
              </w:rPr>
            </w:pPr>
            <w:r w:rsidRPr="001800B7">
              <w:rPr>
                <w:iCs/>
                <w:color w:val="auto"/>
                <w:sz w:val="22"/>
                <w:szCs w:val="22"/>
                <w:lang w:val="fr-FR"/>
              </w:rPr>
              <w:t>Au cours de la phase II, le risque mentionné plus haut de manque d</w:t>
            </w:r>
            <w:r w:rsidR="005311D6" w:rsidRPr="001800B7">
              <w:rPr>
                <w:iCs/>
                <w:color w:val="auto"/>
                <w:sz w:val="22"/>
                <w:szCs w:val="22"/>
                <w:lang w:val="fr-FR"/>
              </w:rPr>
              <w:t>’</w:t>
            </w:r>
            <w:r w:rsidRPr="001800B7">
              <w:rPr>
                <w:iCs/>
                <w:color w:val="auto"/>
                <w:sz w:val="22"/>
                <w:szCs w:val="22"/>
                <w:lang w:val="fr-FR"/>
              </w:rPr>
              <w:t>intérêt exprimé pour un thème spécifique par un État membre s</w:t>
            </w:r>
            <w:r w:rsidR="005311D6" w:rsidRPr="001800B7">
              <w:rPr>
                <w:iCs/>
                <w:color w:val="auto"/>
                <w:sz w:val="22"/>
                <w:szCs w:val="22"/>
                <w:lang w:val="fr-FR"/>
              </w:rPr>
              <w:t>’</w:t>
            </w:r>
            <w:r w:rsidRPr="001800B7">
              <w:rPr>
                <w:iCs/>
                <w:color w:val="auto"/>
                <w:sz w:val="22"/>
                <w:szCs w:val="22"/>
                <w:lang w:val="fr-FR"/>
              </w:rPr>
              <w:t>est partiellement concrétisé, en raison du manque de ressources humaines et des restrictions budgétaires, qui n</w:t>
            </w:r>
            <w:r w:rsidR="005311D6" w:rsidRPr="001800B7">
              <w:rPr>
                <w:iCs/>
                <w:color w:val="auto"/>
                <w:sz w:val="22"/>
                <w:szCs w:val="22"/>
                <w:lang w:val="fr-FR"/>
              </w:rPr>
              <w:t>’</w:t>
            </w:r>
            <w:r w:rsidRPr="001800B7">
              <w:rPr>
                <w:iCs/>
                <w:color w:val="auto"/>
                <w:sz w:val="22"/>
                <w:szCs w:val="22"/>
                <w:lang w:val="fr-FR"/>
              </w:rPr>
              <w:t>ont pas permis aux États membres de prendre d</w:t>
            </w:r>
            <w:r w:rsidR="005311D6" w:rsidRPr="001800B7">
              <w:rPr>
                <w:iCs/>
                <w:color w:val="auto"/>
                <w:sz w:val="22"/>
                <w:szCs w:val="22"/>
                <w:lang w:val="fr-FR"/>
              </w:rPr>
              <w:t>’</w:t>
            </w:r>
            <w:r w:rsidRPr="001800B7">
              <w:rPr>
                <w:iCs/>
                <w:color w:val="auto"/>
                <w:sz w:val="22"/>
                <w:szCs w:val="22"/>
                <w:lang w:val="fr-FR"/>
              </w:rPr>
              <w:t>autres initiatives.  Néanmoins, les activités de sensibilisation à la propriété intellectuelle et de renforcement des capacités menées au cours de la Phase II ont permis aux États membres d</w:t>
            </w:r>
            <w:r w:rsidR="005311D6" w:rsidRPr="001800B7">
              <w:rPr>
                <w:iCs/>
                <w:color w:val="auto"/>
                <w:sz w:val="22"/>
                <w:szCs w:val="22"/>
                <w:lang w:val="fr-FR"/>
              </w:rPr>
              <w:t>’</w:t>
            </w:r>
            <w:r w:rsidRPr="001800B7">
              <w:rPr>
                <w:iCs/>
                <w:color w:val="auto"/>
                <w:sz w:val="22"/>
                <w:szCs w:val="22"/>
                <w:lang w:val="fr-FR"/>
              </w:rPr>
              <w:t>exprimer un certain intérêt qui s</w:t>
            </w:r>
            <w:r w:rsidR="005311D6" w:rsidRPr="001800B7">
              <w:rPr>
                <w:iCs/>
                <w:color w:val="auto"/>
                <w:sz w:val="22"/>
                <w:szCs w:val="22"/>
                <w:lang w:val="fr-FR"/>
              </w:rPr>
              <w:t>’</w:t>
            </w:r>
            <w:r w:rsidRPr="001800B7">
              <w:rPr>
                <w:iCs/>
                <w:color w:val="auto"/>
                <w:sz w:val="22"/>
                <w:szCs w:val="22"/>
                <w:lang w:val="fr-FR"/>
              </w:rPr>
              <w:t>est traduit par la préparation actuelle des rapports panoramiques sur les brevets, prévus pour la période biennale de 2014</w:t>
            </w:r>
            <w:r w:rsidR="001800B7" w:rsidRPr="001800B7">
              <w:rPr>
                <w:iCs/>
                <w:color w:val="auto"/>
                <w:sz w:val="22"/>
                <w:szCs w:val="22"/>
                <w:lang w:val="fr-FR"/>
              </w:rPr>
              <w:noBreakHyphen/>
            </w:r>
            <w:r w:rsidRPr="001800B7">
              <w:rPr>
                <w:iCs/>
                <w:color w:val="auto"/>
                <w:sz w:val="22"/>
                <w:szCs w:val="22"/>
                <w:lang w:val="fr-FR"/>
              </w:rPr>
              <w:t>2015.</w:t>
            </w:r>
          </w:p>
          <w:p w:rsidR="0010628F" w:rsidRPr="001800B7" w:rsidRDefault="0010628F" w:rsidP="00CC0F0F">
            <w:pPr>
              <w:spacing w:before="120" w:after="120"/>
              <w:rPr>
                <w:iCs/>
                <w:szCs w:val="22"/>
              </w:rPr>
            </w:pPr>
            <w:r w:rsidRPr="001800B7">
              <w:rPr>
                <w:iCs/>
                <w:szCs w:val="22"/>
              </w:rPr>
              <w:t>Le deuxième risque a pu être atténué par le nombre accru de canaux et d</w:t>
            </w:r>
            <w:r w:rsidR="005311D6" w:rsidRPr="001800B7">
              <w:rPr>
                <w:iCs/>
                <w:szCs w:val="22"/>
              </w:rPr>
              <w:t>’</w:t>
            </w:r>
            <w:r w:rsidRPr="001800B7">
              <w:rPr>
                <w:iCs/>
                <w:szCs w:val="22"/>
              </w:rPr>
              <w:t>activité de diffusion qui ont permis de diffuser des données concernant les brevets à un public non habitué à utiliser des informations relatives aux brevets, tels que les ministères de l</w:t>
            </w:r>
            <w:r w:rsidR="005311D6" w:rsidRPr="001800B7">
              <w:rPr>
                <w:iCs/>
                <w:szCs w:val="22"/>
              </w:rPr>
              <w:t>’</w:t>
            </w:r>
            <w:r w:rsidRPr="001800B7">
              <w:rPr>
                <w:iCs/>
                <w:szCs w:val="22"/>
              </w:rPr>
              <w:t>environnement.  Le troisième risque ne s</w:t>
            </w:r>
            <w:r w:rsidR="005311D6" w:rsidRPr="001800B7">
              <w:rPr>
                <w:iCs/>
                <w:szCs w:val="22"/>
              </w:rPr>
              <w:t>’</w:t>
            </w:r>
            <w:r w:rsidRPr="001800B7">
              <w:rPr>
                <w:iCs/>
                <w:szCs w:val="22"/>
              </w:rPr>
              <w:t>est pas concrétisé en raison d</w:t>
            </w:r>
            <w:r w:rsidR="005311D6" w:rsidRPr="001800B7">
              <w:rPr>
                <w:iCs/>
                <w:szCs w:val="22"/>
              </w:rPr>
              <w:t>’</w:t>
            </w:r>
            <w:r w:rsidRPr="001800B7">
              <w:rPr>
                <w:iCs/>
                <w:szCs w:val="22"/>
              </w:rPr>
              <w:t>une sélection minutieuse des thèmes et des domaines d</w:t>
            </w:r>
            <w:r w:rsidR="005311D6" w:rsidRPr="001800B7">
              <w:rPr>
                <w:iCs/>
                <w:szCs w:val="22"/>
              </w:rPr>
              <w:t>’</w:t>
            </w:r>
            <w:r w:rsidRPr="001800B7">
              <w:rPr>
                <w:iCs/>
                <w:szCs w:val="22"/>
              </w:rPr>
              <w:t>application des rapports, effectuée en étroite collaboration avec des partenaires externes et internes.</w:t>
            </w:r>
          </w:p>
        </w:tc>
      </w:tr>
      <w:tr w:rsidR="001800B7" w:rsidRPr="001800B7" w:rsidTr="00CC0F0F">
        <w:trPr>
          <w:cantSplit/>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CC0F0F">
            <w:pPr>
              <w:spacing w:before="120" w:after="120"/>
              <w:rPr>
                <w:szCs w:val="22"/>
              </w:rPr>
            </w:pPr>
            <w:r w:rsidRPr="001800B7">
              <w:rPr>
                <w:szCs w:val="22"/>
              </w:rPr>
              <w:t>Taux d</w:t>
            </w:r>
            <w:r w:rsidR="005311D6" w:rsidRPr="001800B7">
              <w:rPr>
                <w:szCs w:val="22"/>
              </w:rPr>
              <w:t>’</w:t>
            </w:r>
            <w:r w:rsidRPr="001800B7">
              <w:rPr>
                <w:szCs w:val="22"/>
              </w:rPr>
              <w:t xml:space="preserve">exécution du projet </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spacing w:before="120" w:after="120"/>
              <w:rPr>
                <w:iCs/>
                <w:szCs w:val="22"/>
              </w:rPr>
            </w:pPr>
            <w:r w:rsidRPr="001800B7">
              <w:rPr>
                <w:iCs/>
                <w:szCs w:val="22"/>
              </w:rPr>
              <w:t>Le taux d</w:t>
            </w:r>
            <w:r w:rsidR="005311D6" w:rsidRPr="001800B7">
              <w:rPr>
                <w:iCs/>
                <w:szCs w:val="22"/>
              </w:rPr>
              <w:t>’</w:t>
            </w:r>
            <w:r w:rsidRPr="001800B7">
              <w:rPr>
                <w:iCs/>
                <w:szCs w:val="22"/>
              </w:rPr>
              <w:t>utilisation du budget à la fin du mois d</w:t>
            </w:r>
            <w:r w:rsidR="005311D6" w:rsidRPr="001800B7">
              <w:rPr>
                <w:iCs/>
                <w:szCs w:val="22"/>
              </w:rPr>
              <w:t>’</w:t>
            </w:r>
            <w:r w:rsidRPr="001800B7">
              <w:rPr>
                <w:iCs/>
                <w:szCs w:val="22"/>
              </w:rPr>
              <w:t>août 2014 s</w:t>
            </w:r>
            <w:r w:rsidR="005311D6" w:rsidRPr="001800B7">
              <w:rPr>
                <w:iCs/>
                <w:szCs w:val="22"/>
              </w:rPr>
              <w:t>’</w:t>
            </w:r>
            <w:r w:rsidRPr="001800B7">
              <w:rPr>
                <w:iCs/>
                <w:szCs w:val="22"/>
              </w:rPr>
              <w:t>élevait à</w:t>
            </w:r>
            <w:r w:rsidR="00CC0F0F" w:rsidRPr="001800B7">
              <w:rPr>
                <w:iCs/>
                <w:szCs w:val="22"/>
              </w:rPr>
              <w:t> </w:t>
            </w:r>
            <w:r w:rsidRPr="001800B7">
              <w:rPr>
                <w:iCs/>
                <w:szCs w:val="22"/>
              </w:rPr>
              <w:t>93%.</w:t>
            </w:r>
          </w:p>
        </w:tc>
      </w:tr>
      <w:tr w:rsidR="001800B7" w:rsidRPr="001800B7" w:rsidTr="00CC0F0F">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CC0F0F">
            <w:pPr>
              <w:spacing w:before="120" w:after="120"/>
              <w:rPr>
                <w:szCs w:val="22"/>
              </w:rPr>
            </w:pPr>
            <w:r w:rsidRPr="001800B7">
              <w:rPr>
                <w:szCs w:val="22"/>
              </w:rPr>
              <w:t>Rapports précédents</w:t>
            </w:r>
          </w:p>
        </w:tc>
        <w:tc>
          <w:tcPr>
            <w:tcW w:w="7266" w:type="dxa"/>
            <w:tcBorders>
              <w:top w:val="single" w:sz="4" w:space="0" w:color="auto"/>
              <w:left w:val="single" w:sz="4" w:space="0" w:color="auto"/>
              <w:bottom w:val="single" w:sz="4" w:space="0" w:color="auto"/>
              <w:right w:val="single" w:sz="4" w:space="0" w:color="auto"/>
            </w:tcBorders>
          </w:tcPr>
          <w:p w:rsidR="0010628F" w:rsidRPr="001800B7" w:rsidRDefault="0010628F" w:rsidP="00CC0F0F">
            <w:pPr>
              <w:pStyle w:val="Default"/>
              <w:spacing w:before="120" w:after="120"/>
              <w:rPr>
                <w:iCs/>
                <w:color w:val="auto"/>
                <w:sz w:val="22"/>
                <w:szCs w:val="22"/>
                <w:lang w:val="fr-FR"/>
              </w:rPr>
            </w:pPr>
            <w:r w:rsidRPr="001800B7">
              <w:rPr>
                <w:iCs/>
                <w:color w:val="auto"/>
                <w:sz w:val="22"/>
                <w:szCs w:val="22"/>
                <w:lang w:val="fr-FR"/>
              </w:rPr>
              <w:t>Le rapport sur l</w:t>
            </w:r>
            <w:r w:rsidR="005311D6" w:rsidRPr="001800B7">
              <w:rPr>
                <w:iCs/>
                <w:color w:val="auto"/>
                <w:sz w:val="22"/>
                <w:szCs w:val="22"/>
                <w:lang w:val="fr-FR"/>
              </w:rPr>
              <w:t>’</w:t>
            </w:r>
            <w:r w:rsidRPr="001800B7">
              <w:rPr>
                <w:iCs/>
                <w:color w:val="auto"/>
                <w:sz w:val="22"/>
                <w:szCs w:val="22"/>
                <w:lang w:val="fr-FR"/>
              </w:rPr>
              <w:t>état d</w:t>
            </w:r>
            <w:r w:rsidR="005311D6" w:rsidRPr="001800B7">
              <w:rPr>
                <w:iCs/>
                <w:color w:val="auto"/>
                <w:sz w:val="22"/>
                <w:szCs w:val="22"/>
                <w:lang w:val="fr-FR"/>
              </w:rPr>
              <w:t>’</w:t>
            </w:r>
            <w:r w:rsidRPr="001800B7">
              <w:rPr>
                <w:iCs/>
                <w:color w:val="auto"/>
                <w:sz w:val="22"/>
                <w:szCs w:val="22"/>
                <w:lang w:val="fr-FR"/>
              </w:rPr>
              <w:t>avancement de ce projet, figurant dans l</w:t>
            </w:r>
            <w:r w:rsidR="005311D6" w:rsidRPr="001800B7">
              <w:rPr>
                <w:iCs/>
                <w:color w:val="auto"/>
                <w:sz w:val="22"/>
                <w:szCs w:val="22"/>
                <w:lang w:val="fr-FR"/>
              </w:rPr>
              <w:t>’</w:t>
            </w:r>
            <w:r w:rsidRPr="001800B7">
              <w:rPr>
                <w:iCs/>
                <w:color w:val="auto"/>
                <w:sz w:val="22"/>
                <w:szCs w:val="22"/>
                <w:lang w:val="fr-FR"/>
              </w:rPr>
              <w:t>annexe I au document CDIP/12/2 a été soumis au Comité lors de sa douzième session, qui s</w:t>
            </w:r>
            <w:r w:rsidR="005311D6" w:rsidRPr="001800B7">
              <w:rPr>
                <w:iCs/>
                <w:color w:val="auto"/>
                <w:sz w:val="22"/>
                <w:szCs w:val="22"/>
                <w:lang w:val="fr-FR"/>
              </w:rPr>
              <w:t>’</w:t>
            </w:r>
            <w:r w:rsidRPr="001800B7">
              <w:rPr>
                <w:iCs/>
                <w:color w:val="auto"/>
                <w:sz w:val="22"/>
                <w:szCs w:val="22"/>
                <w:lang w:val="fr-FR"/>
              </w:rPr>
              <w:t>est tenue en novembre 2012.</w:t>
            </w:r>
          </w:p>
        </w:tc>
      </w:tr>
      <w:tr w:rsidR="0010628F" w:rsidRPr="001800B7" w:rsidTr="00CC0F0F">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10628F" w:rsidRPr="001800B7" w:rsidRDefault="0010628F" w:rsidP="00CC0F0F">
            <w:pPr>
              <w:spacing w:before="120" w:after="120"/>
              <w:rPr>
                <w:szCs w:val="22"/>
              </w:rPr>
            </w:pPr>
            <w:r w:rsidRPr="001800B7">
              <w:rPr>
                <w:szCs w:val="22"/>
              </w:rPr>
              <w:t>Suivi</w:t>
            </w:r>
          </w:p>
        </w:tc>
        <w:tc>
          <w:tcPr>
            <w:tcW w:w="7266" w:type="dxa"/>
            <w:tcBorders>
              <w:top w:val="single" w:sz="4" w:space="0" w:color="auto"/>
              <w:left w:val="single" w:sz="4" w:space="0" w:color="auto"/>
              <w:bottom w:val="single" w:sz="4" w:space="0" w:color="auto"/>
              <w:right w:val="single" w:sz="4" w:space="0" w:color="auto"/>
            </w:tcBorders>
            <w:hideMark/>
          </w:tcPr>
          <w:p w:rsidR="0010628F" w:rsidRPr="001800B7" w:rsidRDefault="0010628F" w:rsidP="00CC0F0F">
            <w:pPr>
              <w:pStyle w:val="Default"/>
              <w:spacing w:before="120" w:after="120"/>
              <w:rPr>
                <w:iCs/>
                <w:color w:val="auto"/>
                <w:sz w:val="22"/>
                <w:szCs w:val="22"/>
                <w:lang w:val="fr-FR"/>
              </w:rPr>
            </w:pPr>
            <w:r w:rsidRPr="001800B7">
              <w:rPr>
                <w:iCs/>
                <w:color w:val="auto"/>
                <w:sz w:val="22"/>
                <w:szCs w:val="22"/>
                <w:lang w:val="fr-FR"/>
              </w:rPr>
              <w:t>Le projet a été intégré en tant qu</w:t>
            </w:r>
            <w:r w:rsidR="005311D6" w:rsidRPr="001800B7">
              <w:rPr>
                <w:iCs/>
                <w:color w:val="auto"/>
                <w:sz w:val="22"/>
                <w:szCs w:val="22"/>
                <w:lang w:val="fr-FR"/>
              </w:rPr>
              <w:t>’</w:t>
            </w:r>
            <w:r w:rsidRPr="001800B7">
              <w:rPr>
                <w:iCs/>
                <w:color w:val="auto"/>
                <w:sz w:val="22"/>
                <w:szCs w:val="22"/>
                <w:lang w:val="fr-FR"/>
              </w:rPr>
              <w:t>activité régulière de l</w:t>
            </w:r>
            <w:r w:rsidR="005311D6" w:rsidRPr="001800B7">
              <w:rPr>
                <w:iCs/>
                <w:color w:val="auto"/>
                <w:sz w:val="22"/>
                <w:szCs w:val="22"/>
                <w:lang w:val="fr-FR"/>
              </w:rPr>
              <w:t>’</w:t>
            </w:r>
            <w:r w:rsidRPr="001800B7">
              <w:rPr>
                <w:iCs/>
                <w:color w:val="auto"/>
                <w:sz w:val="22"/>
                <w:szCs w:val="22"/>
                <w:lang w:val="fr-FR"/>
              </w:rPr>
              <w:t>OMPI.  À ce titre, il se poursuit par l</w:t>
            </w:r>
            <w:r w:rsidR="005311D6" w:rsidRPr="001800B7">
              <w:rPr>
                <w:iCs/>
                <w:color w:val="auto"/>
                <w:sz w:val="22"/>
                <w:szCs w:val="22"/>
                <w:lang w:val="fr-FR"/>
              </w:rPr>
              <w:t>’</w:t>
            </w:r>
            <w:r w:rsidRPr="001800B7">
              <w:rPr>
                <w:iCs/>
                <w:color w:val="auto"/>
                <w:sz w:val="22"/>
                <w:szCs w:val="22"/>
                <w:lang w:val="fr-FR"/>
              </w:rPr>
              <w:t xml:space="preserve">élaboration de rapports panoramiques sur les brevets concernant des thèmes présentant un intérêt pour les États membres, notamment les pays en développement.  Les orientations serviront de ressources et de matériel de formation pour les centres de technologie </w:t>
            </w:r>
            <w:r w:rsidRPr="001800B7">
              <w:rPr>
                <w:iCs/>
                <w:color w:val="auto"/>
                <w:sz w:val="22"/>
                <w:szCs w:val="22"/>
                <w:lang w:val="fr-FR"/>
              </w:rPr>
              <w:lastRenderedPageBreak/>
              <w:t>et d</w:t>
            </w:r>
            <w:r w:rsidR="005311D6" w:rsidRPr="001800B7">
              <w:rPr>
                <w:iCs/>
                <w:color w:val="auto"/>
                <w:sz w:val="22"/>
                <w:szCs w:val="22"/>
                <w:lang w:val="fr-FR"/>
              </w:rPr>
              <w:t>’</w:t>
            </w:r>
            <w:r w:rsidRPr="001800B7">
              <w:rPr>
                <w:iCs/>
                <w:color w:val="auto"/>
                <w:sz w:val="22"/>
                <w:szCs w:val="22"/>
                <w:lang w:val="fr-FR"/>
              </w:rPr>
              <w:t>appui à l</w:t>
            </w:r>
            <w:r w:rsidR="005311D6" w:rsidRPr="001800B7">
              <w:rPr>
                <w:iCs/>
                <w:color w:val="auto"/>
                <w:sz w:val="22"/>
                <w:szCs w:val="22"/>
                <w:lang w:val="fr-FR"/>
              </w:rPr>
              <w:t>’</w:t>
            </w:r>
            <w:r w:rsidRPr="001800B7">
              <w:rPr>
                <w:iCs/>
                <w:color w:val="auto"/>
                <w:sz w:val="22"/>
                <w:szCs w:val="22"/>
                <w:lang w:val="fr-FR"/>
              </w:rPr>
              <w:t>innovation ainsi que pour les activités de renforcement des capacités.  Les nouvelles orientations envisagées en matière d</w:t>
            </w:r>
            <w:r w:rsidR="005311D6" w:rsidRPr="001800B7">
              <w:rPr>
                <w:iCs/>
                <w:color w:val="auto"/>
                <w:sz w:val="22"/>
                <w:szCs w:val="22"/>
                <w:lang w:val="fr-FR"/>
              </w:rPr>
              <w:t>’</w:t>
            </w:r>
            <w:r w:rsidRPr="001800B7">
              <w:rPr>
                <w:iCs/>
                <w:color w:val="auto"/>
                <w:sz w:val="22"/>
                <w:szCs w:val="22"/>
                <w:lang w:val="fr-FR"/>
              </w:rPr>
              <w:t>utilisation d</w:t>
            </w:r>
            <w:r w:rsidR="005311D6" w:rsidRPr="001800B7">
              <w:rPr>
                <w:iCs/>
                <w:color w:val="auto"/>
                <w:sz w:val="22"/>
                <w:szCs w:val="22"/>
                <w:lang w:val="fr-FR"/>
              </w:rPr>
              <w:t>’</w:t>
            </w:r>
            <w:r w:rsidRPr="001800B7">
              <w:rPr>
                <w:iCs/>
                <w:color w:val="auto"/>
                <w:sz w:val="22"/>
                <w:szCs w:val="22"/>
                <w:lang w:val="fr-FR"/>
              </w:rPr>
              <w:t>outils d</w:t>
            </w:r>
            <w:r w:rsidR="005311D6" w:rsidRPr="001800B7">
              <w:rPr>
                <w:iCs/>
                <w:color w:val="auto"/>
                <w:sz w:val="22"/>
                <w:szCs w:val="22"/>
                <w:lang w:val="fr-FR"/>
              </w:rPr>
              <w:t>’</w:t>
            </w:r>
            <w:r w:rsidRPr="001800B7">
              <w:rPr>
                <w:iCs/>
                <w:color w:val="auto"/>
                <w:sz w:val="22"/>
                <w:szCs w:val="22"/>
                <w:lang w:val="fr-FR"/>
              </w:rPr>
              <w:t>analyses des brevets en libre accès peuvent être utilisées aux fins d</w:t>
            </w:r>
            <w:r w:rsidR="005311D6" w:rsidRPr="001800B7">
              <w:rPr>
                <w:iCs/>
                <w:color w:val="auto"/>
                <w:sz w:val="22"/>
                <w:szCs w:val="22"/>
                <w:lang w:val="fr-FR"/>
              </w:rPr>
              <w:t>’</w:t>
            </w:r>
            <w:r w:rsidRPr="001800B7">
              <w:rPr>
                <w:iCs/>
                <w:color w:val="auto"/>
                <w:sz w:val="22"/>
                <w:szCs w:val="22"/>
                <w:lang w:val="fr-FR"/>
              </w:rPr>
              <w:t>étudier la manière d</w:t>
            </w:r>
            <w:r w:rsidR="005311D6" w:rsidRPr="001800B7">
              <w:rPr>
                <w:iCs/>
                <w:color w:val="auto"/>
                <w:sz w:val="22"/>
                <w:szCs w:val="22"/>
                <w:lang w:val="fr-FR"/>
              </w:rPr>
              <w:t>’</w:t>
            </w:r>
            <w:r w:rsidRPr="001800B7">
              <w:rPr>
                <w:iCs/>
                <w:color w:val="auto"/>
                <w:sz w:val="22"/>
                <w:szCs w:val="22"/>
                <w:lang w:val="fr-FR"/>
              </w:rPr>
              <w:t>élaborer des rapports panoramiques sur les brevets uniquement à l</w:t>
            </w:r>
            <w:r w:rsidR="005311D6" w:rsidRPr="001800B7">
              <w:rPr>
                <w:iCs/>
                <w:color w:val="auto"/>
                <w:sz w:val="22"/>
                <w:szCs w:val="22"/>
                <w:lang w:val="fr-FR"/>
              </w:rPr>
              <w:t>’</w:t>
            </w:r>
            <w:r w:rsidRPr="001800B7">
              <w:rPr>
                <w:iCs/>
                <w:color w:val="auto"/>
                <w:sz w:val="22"/>
                <w:szCs w:val="22"/>
                <w:lang w:val="fr-FR"/>
              </w:rPr>
              <w:t>aide de bases de données gratuites, et d</w:t>
            </w:r>
            <w:r w:rsidR="005311D6" w:rsidRPr="001800B7">
              <w:rPr>
                <w:iCs/>
                <w:color w:val="auto"/>
                <w:sz w:val="22"/>
                <w:szCs w:val="22"/>
                <w:lang w:val="fr-FR"/>
              </w:rPr>
              <w:t>’</w:t>
            </w:r>
            <w:r w:rsidRPr="001800B7">
              <w:rPr>
                <w:iCs/>
                <w:color w:val="auto"/>
                <w:sz w:val="22"/>
                <w:szCs w:val="22"/>
                <w:lang w:val="fr-FR"/>
              </w:rPr>
              <w:t>outils d</w:t>
            </w:r>
            <w:r w:rsidR="005311D6" w:rsidRPr="001800B7">
              <w:rPr>
                <w:iCs/>
                <w:color w:val="auto"/>
                <w:sz w:val="22"/>
                <w:szCs w:val="22"/>
                <w:lang w:val="fr-FR"/>
              </w:rPr>
              <w:t>’</w:t>
            </w:r>
            <w:r w:rsidRPr="001800B7">
              <w:rPr>
                <w:iCs/>
                <w:color w:val="auto"/>
                <w:sz w:val="22"/>
                <w:szCs w:val="22"/>
                <w:lang w:val="fr-FR"/>
              </w:rPr>
              <w:t>analyse de brevets en libre accès.  Cela peut, en effet, constituer une autre solution permettant aux offices de la propriété intellectuelle et aux autres entités des pays en développement et des PMA d</w:t>
            </w:r>
            <w:r w:rsidR="005311D6" w:rsidRPr="001800B7">
              <w:rPr>
                <w:iCs/>
                <w:color w:val="auto"/>
                <w:sz w:val="22"/>
                <w:szCs w:val="22"/>
                <w:lang w:val="fr-FR"/>
              </w:rPr>
              <w:t>’</w:t>
            </w:r>
            <w:r w:rsidRPr="001800B7">
              <w:rPr>
                <w:iCs/>
                <w:color w:val="auto"/>
                <w:sz w:val="22"/>
                <w:szCs w:val="22"/>
                <w:lang w:val="fr-FR"/>
              </w:rPr>
              <w:t>exploiter les informations relatives aux brevets.</w:t>
            </w:r>
          </w:p>
          <w:p w:rsidR="0010628F" w:rsidRPr="001800B7" w:rsidRDefault="0010628F" w:rsidP="00CC0F0F">
            <w:pPr>
              <w:pStyle w:val="Default"/>
              <w:spacing w:before="120" w:after="120"/>
              <w:rPr>
                <w:iCs/>
                <w:color w:val="auto"/>
                <w:sz w:val="22"/>
                <w:szCs w:val="22"/>
                <w:lang w:val="fr-FR"/>
              </w:rPr>
            </w:pPr>
            <w:r w:rsidRPr="001800B7">
              <w:rPr>
                <w:iCs/>
                <w:color w:val="auto"/>
                <w:sz w:val="22"/>
                <w:szCs w:val="22"/>
                <w:lang w:val="fr-FR"/>
              </w:rPr>
              <w:t>Par ailleurs, les activités de suivi suivantes ont été envisagées :</w:t>
            </w:r>
          </w:p>
          <w:p w:rsidR="0010628F" w:rsidRPr="001800B7" w:rsidRDefault="001800B7" w:rsidP="00CC0F0F">
            <w:pPr>
              <w:pStyle w:val="Default"/>
              <w:spacing w:before="120" w:after="120"/>
              <w:rPr>
                <w:iCs/>
                <w:color w:val="auto"/>
                <w:sz w:val="22"/>
                <w:szCs w:val="22"/>
                <w:lang w:val="fr-FR"/>
              </w:rPr>
            </w:pPr>
            <w:r w:rsidRPr="001800B7">
              <w:rPr>
                <w:iCs/>
                <w:color w:val="auto"/>
                <w:sz w:val="22"/>
                <w:szCs w:val="22"/>
                <w:lang w:val="fr-FR"/>
              </w:rPr>
              <w:noBreakHyphen/>
            </w:r>
            <w:r w:rsidR="0010628F" w:rsidRPr="001800B7">
              <w:rPr>
                <w:iCs/>
                <w:color w:val="auto"/>
                <w:sz w:val="22"/>
                <w:szCs w:val="22"/>
                <w:lang w:val="fr-FR"/>
              </w:rPr>
              <w:t xml:space="preserve"> La traduction des </w:t>
            </w:r>
            <w:proofErr w:type="spellStart"/>
            <w:r w:rsidR="0010628F" w:rsidRPr="001800B7">
              <w:rPr>
                <w:iCs/>
                <w:color w:val="auto"/>
                <w:sz w:val="22"/>
                <w:szCs w:val="22"/>
                <w:lang w:val="fr-FR"/>
              </w:rPr>
              <w:t>ingraphies</w:t>
            </w:r>
            <w:proofErr w:type="spellEnd"/>
            <w:r w:rsidR="0010628F" w:rsidRPr="001800B7">
              <w:rPr>
                <w:iCs/>
                <w:color w:val="auto"/>
                <w:sz w:val="22"/>
                <w:szCs w:val="22"/>
                <w:lang w:val="fr-FR"/>
              </w:rPr>
              <w:t>/des résumés analytiques dans d</w:t>
            </w:r>
            <w:r w:rsidR="005311D6" w:rsidRPr="001800B7">
              <w:rPr>
                <w:iCs/>
                <w:color w:val="auto"/>
                <w:sz w:val="22"/>
                <w:szCs w:val="22"/>
                <w:lang w:val="fr-FR"/>
              </w:rPr>
              <w:t>’</w:t>
            </w:r>
            <w:r w:rsidR="0010628F" w:rsidRPr="001800B7">
              <w:rPr>
                <w:iCs/>
                <w:color w:val="auto"/>
                <w:sz w:val="22"/>
                <w:szCs w:val="22"/>
                <w:lang w:val="fr-FR"/>
              </w:rPr>
              <w:t>autres langues de travail de l</w:t>
            </w:r>
            <w:r w:rsidR="005311D6" w:rsidRPr="001800B7">
              <w:rPr>
                <w:iCs/>
                <w:color w:val="auto"/>
                <w:sz w:val="22"/>
                <w:szCs w:val="22"/>
                <w:lang w:val="fr-FR"/>
              </w:rPr>
              <w:t>’</w:t>
            </w:r>
            <w:r w:rsidR="0010628F" w:rsidRPr="001800B7">
              <w:rPr>
                <w:iCs/>
                <w:color w:val="auto"/>
                <w:sz w:val="22"/>
                <w:szCs w:val="22"/>
                <w:lang w:val="fr-FR"/>
              </w:rPr>
              <w:t>Organisation permettrait à d</w:t>
            </w:r>
            <w:r w:rsidR="005311D6" w:rsidRPr="001800B7">
              <w:rPr>
                <w:iCs/>
                <w:color w:val="auto"/>
                <w:sz w:val="22"/>
                <w:szCs w:val="22"/>
                <w:lang w:val="fr-FR"/>
              </w:rPr>
              <w:t>’</w:t>
            </w:r>
            <w:r w:rsidR="0010628F" w:rsidRPr="001800B7">
              <w:rPr>
                <w:iCs/>
                <w:color w:val="auto"/>
                <w:sz w:val="22"/>
                <w:szCs w:val="22"/>
                <w:lang w:val="fr-FR"/>
              </w:rPr>
              <w:t>autres États membres d</w:t>
            </w:r>
            <w:r w:rsidR="005311D6" w:rsidRPr="001800B7">
              <w:rPr>
                <w:iCs/>
                <w:color w:val="auto"/>
                <w:sz w:val="22"/>
                <w:szCs w:val="22"/>
                <w:lang w:val="fr-FR"/>
              </w:rPr>
              <w:t>’</w:t>
            </w:r>
            <w:r w:rsidR="0010628F" w:rsidRPr="001800B7">
              <w:rPr>
                <w:iCs/>
                <w:color w:val="auto"/>
                <w:sz w:val="22"/>
                <w:szCs w:val="22"/>
                <w:lang w:val="fr-FR"/>
              </w:rPr>
              <w:t>accéder aux informations figurant dans les rapports panoramiques sur les brevets.</w:t>
            </w:r>
          </w:p>
          <w:p w:rsidR="0010628F" w:rsidRPr="001800B7" w:rsidRDefault="001800B7" w:rsidP="00CC0F0F">
            <w:pPr>
              <w:pStyle w:val="Default"/>
              <w:spacing w:before="120" w:after="120"/>
              <w:rPr>
                <w:iCs/>
                <w:color w:val="auto"/>
                <w:sz w:val="22"/>
                <w:szCs w:val="22"/>
                <w:lang w:val="fr-FR"/>
              </w:rPr>
            </w:pPr>
            <w:r w:rsidRPr="001800B7">
              <w:rPr>
                <w:iCs/>
                <w:color w:val="auto"/>
                <w:sz w:val="22"/>
                <w:szCs w:val="22"/>
                <w:lang w:val="fr-FR"/>
              </w:rPr>
              <w:noBreakHyphen/>
            </w:r>
            <w:r w:rsidR="0010628F" w:rsidRPr="001800B7">
              <w:rPr>
                <w:iCs/>
                <w:color w:val="auto"/>
                <w:sz w:val="22"/>
                <w:szCs w:val="22"/>
                <w:lang w:val="fr-FR"/>
              </w:rPr>
              <w:t xml:space="preserve"> Une plus ample mobilisation des grands secteurs des États membres par le biais d</w:t>
            </w:r>
            <w:r w:rsidR="005311D6" w:rsidRPr="001800B7">
              <w:rPr>
                <w:iCs/>
                <w:color w:val="auto"/>
                <w:sz w:val="22"/>
                <w:szCs w:val="22"/>
                <w:lang w:val="fr-FR"/>
              </w:rPr>
              <w:t>’</w:t>
            </w:r>
            <w:r w:rsidR="0010628F" w:rsidRPr="001800B7">
              <w:rPr>
                <w:iCs/>
                <w:color w:val="auto"/>
                <w:sz w:val="22"/>
                <w:szCs w:val="22"/>
                <w:lang w:val="fr-FR"/>
              </w:rPr>
              <w:t>une coopération étroite avec les instituts intergouvernementaux car il s</w:t>
            </w:r>
            <w:r w:rsidR="005311D6" w:rsidRPr="001800B7">
              <w:rPr>
                <w:iCs/>
                <w:color w:val="auto"/>
                <w:sz w:val="22"/>
                <w:szCs w:val="22"/>
                <w:lang w:val="fr-FR"/>
              </w:rPr>
              <w:t>’</w:t>
            </w:r>
            <w:r w:rsidR="0010628F" w:rsidRPr="001800B7">
              <w:rPr>
                <w:iCs/>
                <w:color w:val="auto"/>
                <w:sz w:val="22"/>
                <w:szCs w:val="22"/>
                <w:lang w:val="fr-FR"/>
              </w:rPr>
              <w:t>agit d</w:t>
            </w:r>
            <w:r w:rsidR="005311D6" w:rsidRPr="001800B7">
              <w:rPr>
                <w:iCs/>
                <w:color w:val="auto"/>
                <w:sz w:val="22"/>
                <w:szCs w:val="22"/>
                <w:lang w:val="fr-FR"/>
              </w:rPr>
              <w:t>’</w:t>
            </w:r>
            <w:r w:rsidR="0010628F" w:rsidRPr="001800B7">
              <w:rPr>
                <w:iCs/>
                <w:color w:val="auto"/>
                <w:sz w:val="22"/>
                <w:szCs w:val="22"/>
                <w:lang w:val="fr-FR"/>
              </w:rPr>
              <w:t>une question cruciale pour assurer la sensibilisation du public aux activités existantes ainsi qu</w:t>
            </w:r>
            <w:r w:rsidR="005311D6" w:rsidRPr="001800B7">
              <w:rPr>
                <w:iCs/>
                <w:color w:val="auto"/>
                <w:sz w:val="22"/>
                <w:szCs w:val="22"/>
                <w:lang w:val="fr-FR"/>
              </w:rPr>
              <w:t>’</w:t>
            </w:r>
            <w:r w:rsidR="0010628F" w:rsidRPr="001800B7">
              <w:rPr>
                <w:iCs/>
                <w:color w:val="auto"/>
                <w:sz w:val="22"/>
                <w:szCs w:val="22"/>
                <w:lang w:val="fr-FR"/>
              </w:rPr>
              <w:t>une plus large diffusion des rapports.</w:t>
            </w:r>
          </w:p>
          <w:p w:rsidR="0010628F" w:rsidRPr="001800B7" w:rsidRDefault="001800B7" w:rsidP="00CC0F0F">
            <w:pPr>
              <w:pStyle w:val="Default"/>
              <w:spacing w:before="120" w:after="120"/>
              <w:rPr>
                <w:i/>
                <w:iCs/>
                <w:color w:val="auto"/>
                <w:sz w:val="22"/>
                <w:szCs w:val="22"/>
                <w:lang w:val="fr-FR"/>
              </w:rPr>
            </w:pPr>
            <w:r w:rsidRPr="001800B7">
              <w:rPr>
                <w:iCs/>
                <w:color w:val="auto"/>
                <w:sz w:val="22"/>
                <w:szCs w:val="22"/>
                <w:lang w:val="fr-FR"/>
              </w:rPr>
              <w:noBreakHyphen/>
            </w:r>
            <w:r w:rsidR="0010628F" w:rsidRPr="001800B7">
              <w:rPr>
                <w:iCs/>
                <w:color w:val="auto"/>
                <w:sz w:val="22"/>
                <w:szCs w:val="22"/>
                <w:lang w:val="fr-FR"/>
              </w:rPr>
              <w:t xml:space="preserve"> La fourniture de rapports panoramiques sur les brevets et d</w:t>
            </w:r>
            <w:r w:rsidR="005311D6" w:rsidRPr="001800B7">
              <w:rPr>
                <w:iCs/>
                <w:color w:val="auto"/>
                <w:sz w:val="22"/>
                <w:szCs w:val="22"/>
                <w:lang w:val="fr-FR"/>
              </w:rPr>
              <w:t>’</w:t>
            </w:r>
            <w:r w:rsidR="0010628F" w:rsidRPr="001800B7">
              <w:rPr>
                <w:iCs/>
                <w:color w:val="auto"/>
                <w:sz w:val="22"/>
                <w:szCs w:val="22"/>
                <w:lang w:val="fr-FR"/>
              </w:rPr>
              <w:t>orientations relatives à l</w:t>
            </w:r>
            <w:r w:rsidR="005311D6" w:rsidRPr="001800B7">
              <w:rPr>
                <w:iCs/>
                <w:color w:val="auto"/>
                <w:sz w:val="22"/>
                <w:szCs w:val="22"/>
                <w:lang w:val="fr-FR"/>
              </w:rPr>
              <w:t>’</w:t>
            </w:r>
            <w:r w:rsidR="0010628F" w:rsidRPr="001800B7">
              <w:rPr>
                <w:iCs/>
                <w:color w:val="auto"/>
                <w:sz w:val="22"/>
                <w:szCs w:val="22"/>
                <w:lang w:val="fr-FR"/>
              </w:rPr>
              <w:t>élaboration de ces rapports aux centres d</w:t>
            </w:r>
            <w:r w:rsidR="005311D6" w:rsidRPr="001800B7">
              <w:rPr>
                <w:iCs/>
                <w:color w:val="auto"/>
                <w:sz w:val="22"/>
                <w:szCs w:val="22"/>
                <w:lang w:val="fr-FR"/>
              </w:rPr>
              <w:t>’</w:t>
            </w:r>
            <w:r w:rsidR="0010628F" w:rsidRPr="001800B7">
              <w:rPr>
                <w:iCs/>
                <w:color w:val="auto"/>
                <w:sz w:val="22"/>
                <w:szCs w:val="22"/>
                <w:lang w:val="fr-FR"/>
              </w:rPr>
              <w:t>appui à la technologie et à l</w:t>
            </w:r>
            <w:r w:rsidR="005311D6" w:rsidRPr="001800B7">
              <w:rPr>
                <w:iCs/>
                <w:color w:val="auto"/>
                <w:sz w:val="22"/>
                <w:szCs w:val="22"/>
                <w:lang w:val="fr-FR"/>
              </w:rPr>
              <w:t>’</w:t>
            </w:r>
            <w:r w:rsidR="0010628F" w:rsidRPr="001800B7">
              <w:rPr>
                <w:iCs/>
                <w:color w:val="auto"/>
                <w:sz w:val="22"/>
                <w:szCs w:val="22"/>
                <w:lang w:val="fr-FR"/>
              </w:rPr>
              <w:t>innovation (TICS) à titre de supports pédagogiques et d</w:t>
            </w:r>
            <w:r w:rsidR="005311D6" w:rsidRPr="001800B7">
              <w:rPr>
                <w:iCs/>
                <w:color w:val="auto"/>
                <w:sz w:val="22"/>
                <w:szCs w:val="22"/>
                <w:lang w:val="fr-FR"/>
              </w:rPr>
              <w:t>’</w:t>
            </w:r>
            <w:r w:rsidR="0010628F" w:rsidRPr="001800B7">
              <w:rPr>
                <w:iCs/>
                <w:color w:val="auto"/>
                <w:sz w:val="22"/>
                <w:szCs w:val="22"/>
                <w:lang w:val="fr-FR"/>
              </w:rPr>
              <w:t>information, ce qui assurera le renforcement des capacités des TICS dans les divers États membres.  En outre, cela renforcera également leurs capacités en matière d</w:t>
            </w:r>
            <w:r w:rsidR="005311D6" w:rsidRPr="001800B7">
              <w:rPr>
                <w:iCs/>
                <w:color w:val="auto"/>
                <w:sz w:val="22"/>
                <w:szCs w:val="22"/>
                <w:lang w:val="fr-FR"/>
              </w:rPr>
              <w:t>’</w:t>
            </w:r>
            <w:r w:rsidR="0010628F" w:rsidRPr="001800B7">
              <w:rPr>
                <w:iCs/>
                <w:color w:val="auto"/>
                <w:sz w:val="22"/>
                <w:szCs w:val="22"/>
                <w:lang w:val="fr-FR"/>
              </w:rPr>
              <w:t>analyse des brevets par le biais d</w:t>
            </w:r>
            <w:r w:rsidR="005311D6" w:rsidRPr="001800B7">
              <w:rPr>
                <w:iCs/>
                <w:color w:val="auto"/>
                <w:sz w:val="22"/>
                <w:szCs w:val="22"/>
                <w:lang w:val="fr-FR"/>
              </w:rPr>
              <w:t>’</w:t>
            </w:r>
            <w:r w:rsidR="0010628F" w:rsidRPr="001800B7">
              <w:rPr>
                <w:iCs/>
                <w:color w:val="auto"/>
                <w:sz w:val="22"/>
                <w:szCs w:val="22"/>
                <w:lang w:val="fr-FR"/>
              </w:rPr>
              <w:t>une plus ample diffusion des informations relatives aux brevets figurant dans ces rapports.</w:t>
            </w:r>
          </w:p>
        </w:tc>
      </w:tr>
    </w:tbl>
    <w:p w:rsidR="00CC0F0F" w:rsidRPr="001800B7" w:rsidRDefault="00CC0F0F" w:rsidP="00CC0F0F">
      <w:pPr>
        <w:rPr>
          <w:szCs w:val="22"/>
        </w:rPr>
      </w:pPr>
    </w:p>
    <w:p w:rsidR="00CC0F0F" w:rsidRPr="001800B7" w:rsidRDefault="00CC0F0F" w:rsidP="00CC0F0F">
      <w:pPr>
        <w:rPr>
          <w:szCs w:val="22"/>
        </w:rPr>
      </w:pPr>
    </w:p>
    <w:p w:rsidR="00CC0F0F" w:rsidRPr="001800B7" w:rsidRDefault="00CC0F0F" w:rsidP="00CC0F0F">
      <w:pPr>
        <w:rPr>
          <w:rFonts w:eastAsia="Times New Roman"/>
          <w:szCs w:val="22"/>
          <w:lang w:eastAsia="en-US"/>
        </w:rPr>
      </w:pPr>
      <w:r w:rsidRPr="001800B7">
        <w:rPr>
          <w:rFonts w:eastAsia="Times New Roman"/>
          <w:szCs w:val="22"/>
          <w:lang w:eastAsia="en-US"/>
        </w:rPr>
        <w:br w:type="page"/>
      </w:r>
      <w:r w:rsidRPr="001800B7">
        <w:rPr>
          <w:rFonts w:eastAsia="Times New Roman"/>
          <w:szCs w:val="22"/>
          <w:lang w:eastAsia="en-US"/>
        </w:rPr>
        <w:lastRenderedPageBreak/>
        <w:t>AUTO</w:t>
      </w:r>
      <w:r w:rsidR="001800B7" w:rsidRPr="001800B7">
        <w:rPr>
          <w:rFonts w:eastAsia="Times New Roman"/>
          <w:szCs w:val="22"/>
          <w:lang w:eastAsia="en-US"/>
        </w:rPr>
        <w:noBreakHyphen/>
      </w:r>
      <w:r w:rsidRPr="001800B7">
        <w:rPr>
          <w:rFonts w:eastAsia="Times New Roman"/>
          <w:szCs w:val="22"/>
          <w:lang w:eastAsia="en-US"/>
        </w:rPr>
        <w:t>ÉVALUATION DU PROJET</w:t>
      </w:r>
    </w:p>
    <w:p w:rsidR="00CC0F0F" w:rsidRPr="001800B7" w:rsidRDefault="00CC0F0F" w:rsidP="00CC0F0F">
      <w:pPr>
        <w:rPr>
          <w:szCs w:val="22"/>
        </w:rPr>
      </w:pPr>
    </w:p>
    <w:p w:rsidR="00CC0F0F" w:rsidRPr="001800B7" w:rsidRDefault="00CC0F0F" w:rsidP="00CC0F0F">
      <w:pPr>
        <w:rPr>
          <w:rFonts w:eastAsia="Times New Roman"/>
          <w:szCs w:val="22"/>
          <w:lang w:eastAsia="en-US"/>
        </w:rPr>
      </w:pPr>
      <w:r w:rsidRPr="001800B7">
        <w:rPr>
          <w:rFonts w:eastAsia="Times New Roman"/>
          <w:szCs w:val="22"/>
          <w:lang w:eastAsia="en-US"/>
        </w:rPr>
        <w:t>Code d</w:t>
      </w:r>
      <w:r w:rsidR="005311D6" w:rsidRPr="001800B7">
        <w:rPr>
          <w:rFonts w:eastAsia="Times New Roman"/>
          <w:szCs w:val="22"/>
          <w:lang w:eastAsia="en-US"/>
        </w:rPr>
        <w:t>’</w:t>
      </w:r>
      <w:r w:rsidRPr="001800B7">
        <w:rPr>
          <w:rFonts w:eastAsia="Times New Roman"/>
          <w:szCs w:val="22"/>
          <w:lang w:eastAsia="en-US"/>
        </w:rPr>
        <w:t>évaluation</w:t>
      </w:r>
    </w:p>
    <w:p w:rsidR="00CC0F0F" w:rsidRPr="001800B7" w:rsidRDefault="00CC0F0F" w:rsidP="00CC0F0F">
      <w:pPr>
        <w:rPr>
          <w:rFonts w:eastAsia="Times New Roman"/>
          <w:szCs w:val="22"/>
          <w:lang w:eastAsia="en-US"/>
        </w:rPr>
      </w:pPr>
    </w:p>
    <w:tbl>
      <w:tblPr>
        <w:tblW w:w="95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0"/>
        <w:gridCol w:w="1900"/>
        <w:gridCol w:w="1900"/>
        <w:gridCol w:w="1900"/>
        <w:gridCol w:w="1901"/>
      </w:tblGrid>
      <w:tr w:rsidR="001800B7" w:rsidRPr="001800B7" w:rsidTr="007C1A09">
        <w:trPr>
          <w:cantSplit/>
        </w:trPr>
        <w:tc>
          <w:tcPr>
            <w:tcW w:w="1900" w:type="dxa"/>
            <w:shd w:val="clear" w:color="auto" w:fill="auto"/>
            <w:vAlign w:val="center"/>
          </w:tcPr>
          <w:p w:rsidR="00CC0F0F" w:rsidRPr="001800B7" w:rsidRDefault="00CC0F0F" w:rsidP="007C1A09">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CC0F0F" w:rsidRPr="001800B7" w:rsidRDefault="00CC0F0F" w:rsidP="007C1A09">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CC0F0F" w:rsidRPr="001800B7" w:rsidRDefault="00CC0F0F" w:rsidP="007C1A09">
            <w:pPr>
              <w:spacing w:before="120" w:after="120"/>
              <w:jc w:val="center"/>
              <w:rPr>
                <w:rFonts w:eastAsia="Times New Roman"/>
                <w:szCs w:val="22"/>
                <w:lang w:eastAsia="en-US"/>
              </w:rPr>
            </w:pPr>
            <w:r w:rsidRPr="001800B7">
              <w:rPr>
                <w:rFonts w:eastAsia="Times New Roman"/>
                <w:szCs w:val="22"/>
                <w:lang w:eastAsia="en-US"/>
              </w:rPr>
              <w:t>**</w:t>
            </w:r>
          </w:p>
        </w:tc>
        <w:tc>
          <w:tcPr>
            <w:tcW w:w="1900" w:type="dxa"/>
            <w:shd w:val="clear" w:color="auto" w:fill="auto"/>
            <w:vAlign w:val="center"/>
          </w:tcPr>
          <w:p w:rsidR="00CC0F0F" w:rsidRPr="001800B7" w:rsidRDefault="00CC0F0F" w:rsidP="007C1A09">
            <w:pPr>
              <w:spacing w:before="120" w:after="120"/>
              <w:jc w:val="center"/>
              <w:rPr>
                <w:rFonts w:eastAsia="Times New Roman"/>
                <w:szCs w:val="22"/>
                <w:lang w:eastAsia="en-US"/>
              </w:rPr>
            </w:pPr>
            <w:r w:rsidRPr="001800B7">
              <w:rPr>
                <w:rFonts w:eastAsia="Times New Roman"/>
                <w:szCs w:val="22"/>
                <w:lang w:eastAsia="en-US"/>
              </w:rPr>
              <w:t>AP</w:t>
            </w:r>
          </w:p>
        </w:tc>
        <w:tc>
          <w:tcPr>
            <w:tcW w:w="1901" w:type="dxa"/>
            <w:shd w:val="clear" w:color="auto" w:fill="auto"/>
            <w:vAlign w:val="center"/>
          </w:tcPr>
          <w:p w:rsidR="00CC0F0F" w:rsidRPr="001800B7" w:rsidRDefault="00CC0F0F" w:rsidP="007C1A09">
            <w:pPr>
              <w:spacing w:before="120" w:after="120"/>
              <w:jc w:val="center"/>
              <w:rPr>
                <w:rFonts w:eastAsia="Times New Roman"/>
                <w:szCs w:val="22"/>
                <w:lang w:eastAsia="en-US"/>
              </w:rPr>
            </w:pPr>
            <w:r w:rsidRPr="001800B7">
              <w:rPr>
                <w:rFonts w:eastAsia="Times New Roman"/>
                <w:szCs w:val="22"/>
                <w:lang w:eastAsia="en-US"/>
              </w:rPr>
              <w:t>NE</w:t>
            </w:r>
          </w:p>
        </w:tc>
      </w:tr>
      <w:tr w:rsidR="00CC0F0F" w:rsidRPr="001800B7" w:rsidTr="007C1A09">
        <w:trPr>
          <w:cantSplit/>
        </w:trPr>
        <w:tc>
          <w:tcPr>
            <w:tcW w:w="1900" w:type="dxa"/>
            <w:shd w:val="clear" w:color="auto" w:fill="auto"/>
            <w:vAlign w:val="center"/>
          </w:tcPr>
          <w:p w:rsidR="00CC0F0F" w:rsidRPr="001800B7" w:rsidRDefault="00CC0F0F" w:rsidP="007C1A09">
            <w:pPr>
              <w:spacing w:before="120" w:after="120"/>
              <w:jc w:val="center"/>
              <w:rPr>
                <w:rFonts w:eastAsia="Times New Roman"/>
                <w:szCs w:val="22"/>
                <w:lang w:eastAsia="en-US"/>
              </w:rPr>
            </w:pPr>
            <w:r w:rsidRPr="001800B7">
              <w:rPr>
                <w:rFonts w:eastAsia="Times New Roman"/>
                <w:szCs w:val="22"/>
                <w:lang w:eastAsia="en-US"/>
              </w:rPr>
              <w:t>Objectifs pleinement atteints</w:t>
            </w:r>
          </w:p>
        </w:tc>
        <w:tc>
          <w:tcPr>
            <w:tcW w:w="1900" w:type="dxa"/>
            <w:shd w:val="clear" w:color="auto" w:fill="auto"/>
            <w:vAlign w:val="center"/>
          </w:tcPr>
          <w:p w:rsidR="00CC0F0F" w:rsidRPr="001800B7" w:rsidRDefault="00CC0F0F" w:rsidP="007C1A09">
            <w:pPr>
              <w:spacing w:before="120" w:after="120"/>
              <w:jc w:val="center"/>
              <w:rPr>
                <w:rFonts w:eastAsia="Times New Roman"/>
                <w:szCs w:val="22"/>
                <w:lang w:eastAsia="en-US"/>
              </w:rPr>
            </w:pPr>
            <w:r w:rsidRPr="001800B7">
              <w:rPr>
                <w:rFonts w:eastAsia="Times New Roman"/>
                <w:szCs w:val="22"/>
                <w:lang w:eastAsia="en-US"/>
              </w:rPr>
              <w:t>Progrès considérables</w:t>
            </w:r>
          </w:p>
        </w:tc>
        <w:tc>
          <w:tcPr>
            <w:tcW w:w="1900" w:type="dxa"/>
            <w:shd w:val="clear" w:color="auto" w:fill="auto"/>
            <w:vAlign w:val="center"/>
          </w:tcPr>
          <w:p w:rsidR="00CC0F0F" w:rsidRPr="001800B7" w:rsidRDefault="00CC0F0F" w:rsidP="007C1A09">
            <w:pPr>
              <w:spacing w:before="120" w:after="120"/>
              <w:jc w:val="center"/>
              <w:rPr>
                <w:rFonts w:eastAsia="Times New Roman"/>
                <w:szCs w:val="22"/>
                <w:lang w:eastAsia="en-US"/>
              </w:rPr>
            </w:pPr>
            <w:r w:rsidRPr="001800B7">
              <w:rPr>
                <w:rFonts w:eastAsia="Times New Roman"/>
                <w:szCs w:val="22"/>
                <w:lang w:eastAsia="en-US"/>
              </w:rPr>
              <w:t>Quelques progrès</w:t>
            </w:r>
          </w:p>
        </w:tc>
        <w:tc>
          <w:tcPr>
            <w:tcW w:w="1900" w:type="dxa"/>
            <w:shd w:val="clear" w:color="auto" w:fill="auto"/>
            <w:vAlign w:val="center"/>
          </w:tcPr>
          <w:p w:rsidR="00CC0F0F" w:rsidRPr="001800B7" w:rsidRDefault="00CC0F0F" w:rsidP="007C1A09">
            <w:pPr>
              <w:spacing w:before="120" w:after="120"/>
              <w:jc w:val="center"/>
              <w:rPr>
                <w:rFonts w:eastAsia="Times New Roman"/>
                <w:szCs w:val="22"/>
                <w:lang w:eastAsia="en-US"/>
              </w:rPr>
            </w:pPr>
            <w:r w:rsidRPr="001800B7">
              <w:rPr>
                <w:rFonts w:eastAsia="Times New Roman"/>
                <w:szCs w:val="22"/>
                <w:lang w:eastAsia="en-US"/>
              </w:rPr>
              <w:t>Aucun</w:t>
            </w:r>
            <w:r w:rsidRPr="001800B7">
              <w:rPr>
                <w:rFonts w:eastAsia="Times New Roman"/>
                <w:szCs w:val="22"/>
                <w:lang w:eastAsia="en-US"/>
              </w:rPr>
              <w:br/>
              <w:t>progrès</w:t>
            </w:r>
          </w:p>
        </w:tc>
        <w:tc>
          <w:tcPr>
            <w:tcW w:w="1901" w:type="dxa"/>
            <w:shd w:val="clear" w:color="auto" w:fill="auto"/>
            <w:vAlign w:val="center"/>
          </w:tcPr>
          <w:p w:rsidR="00CC0F0F" w:rsidRPr="001800B7" w:rsidRDefault="00CC0F0F" w:rsidP="007C1A09">
            <w:pPr>
              <w:spacing w:before="120" w:after="120"/>
              <w:jc w:val="center"/>
              <w:rPr>
                <w:rFonts w:eastAsia="Times New Roman"/>
                <w:szCs w:val="22"/>
                <w:lang w:eastAsia="en-US"/>
              </w:rPr>
            </w:pPr>
            <w:r w:rsidRPr="001800B7">
              <w:rPr>
                <w:rFonts w:eastAsia="Times New Roman"/>
                <w:szCs w:val="22"/>
                <w:lang w:eastAsia="en-US"/>
              </w:rPr>
              <w:t>Non évalué/</w:t>
            </w:r>
            <w:r w:rsidRPr="001800B7">
              <w:rPr>
                <w:rFonts w:eastAsia="Times New Roman"/>
                <w:szCs w:val="22"/>
                <w:lang w:eastAsia="en-US"/>
              </w:rPr>
              <w:br/>
              <w:t>abandonné</w:t>
            </w:r>
          </w:p>
        </w:tc>
      </w:tr>
    </w:tbl>
    <w:p w:rsidR="00CC0F0F" w:rsidRPr="001800B7" w:rsidRDefault="00CC0F0F" w:rsidP="00CC0F0F">
      <w:pPr>
        <w:rPr>
          <w:szCs w:val="22"/>
          <w:lang w:eastAsia="en-US"/>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7"/>
        <w:gridCol w:w="2694"/>
        <w:gridCol w:w="2975"/>
        <w:gridCol w:w="1455"/>
      </w:tblGrid>
      <w:tr w:rsidR="001800B7" w:rsidRPr="001800B7" w:rsidTr="00CC0F0F">
        <w:tc>
          <w:tcPr>
            <w:tcW w:w="2366" w:type="dxa"/>
            <w:shd w:val="clear" w:color="auto" w:fill="auto"/>
            <w:vAlign w:val="center"/>
          </w:tcPr>
          <w:p w:rsidR="00CC0F0F" w:rsidRPr="001800B7" w:rsidRDefault="00CC0F0F" w:rsidP="00CC0F0F">
            <w:pPr>
              <w:spacing w:before="120" w:after="120"/>
              <w:jc w:val="center"/>
              <w:rPr>
                <w:rFonts w:eastAsia="Times New Roman"/>
                <w:szCs w:val="22"/>
                <w:lang w:eastAsia="en-US"/>
              </w:rPr>
            </w:pPr>
            <w:r w:rsidRPr="001800B7">
              <w:rPr>
                <w:rFonts w:eastAsia="Times New Roman"/>
                <w:szCs w:val="22"/>
                <w:u w:val="single"/>
                <w:lang w:eastAsia="en-US"/>
              </w:rPr>
              <w:t xml:space="preserve">Résultats du </w:t>
            </w:r>
            <w:proofErr w:type="gramStart"/>
            <w:r w:rsidRPr="001800B7">
              <w:rPr>
                <w:rFonts w:eastAsia="Times New Roman"/>
                <w:szCs w:val="22"/>
                <w:u w:val="single"/>
                <w:lang w:eastAsia="en-US"/>
              </w:rPr>
              <w:t>projet</w:t>
            </w:r>
            <w:proofErr w:type="gramEnd"/>
            <w:r w:rsidRPr="001800B7">
              <w:rPr>
                <w:rStyle w:val="FootnoteReference"/>
                <w:rFonts w:eastAsia="Times New Roman"/>
                <w:szCs w:val="22"/>
                <w:lang w:eastAsia="en-US"/>
              </w:rPr>
              <w:footnoteReference w:id="12"/>
            </w:r>
            <w:r w:rsidRPr="001800B7">
              <w:rPr>
                <w:rFonts w:eastAsia="Times New Roman"/>
                <w:szCs w:val="22"/>
                <w:u w:val="single"/>
                <w:lang w:eastAsia="en-US"/>
              </w:rPr>
              <w:br/>
            </w:r>
            <w:r w:rsidRPr="001800B7">
              <w:rPr>
                <w:rFonts w:eastAsia="Times New Roman"/>
                <w:szCs w:val="22"/>
                <w:lang w:eastAsia="en-US"/>
              </w:rPr>
              <w:t>(résultat escompté)</w:t>
            </w:r>
          </w:p>
        </w:tc>
        <w:tc>
          <w:tcPr>
            <w:tcW w:w="2694" w:type="dxa"/>
            <w:shd w:val="clear" w:color="auto" w:fill="auto"/>
            <w:vAlign w:val="center"/>
          </w:tcPr>
          <w:p w:rsidR="00CC0F0F" w:rsidRPr="001800B7" w:rsidRDefault="00CC0F0F" w:rsidP="00CC0F0F">
            <w:pPr>
              <w:spacing w:before="120" w:after="120"/>
              <w:jc w:val="center"/>
              <w:rPr>
                <w:rFonts w:eastAsia="Times New Roman"/>
                <w:szCs w:val="22"/>
                <w:lang w:eastAsia="en-US"/>
              </w:rPr>
            </w:pPr>
            <w:r w:rsidRPr="001800B7">
              <w:rPr>
                <w:rFonts w:eastAsia="Times New Roman"/>
                <w:szCs w:val="22"/>
                <w:u w:val="single"/>
                <w:lang w:eastAsia="en-US"/>
              </w:rPr>
              <w:t xml:space="preserve">Indicateurs </w:t>
            </w:r>
            <w:proofErr w:type="gramStart"/>
            <w:r w:rsidRPr="001800B7">
              <w:rPr>
                <w:rFonts w:eastAsia="Times New Roman"/>
                <w:szCs w:val="22"/>
                <w:u w:val="single"/>
                <w:lang w:eastAsia="en-US"/>
              </w:rPr>
              <w:t>d</w:t>
            </w:r>
            <w:r w:rsidR="005311D6" w:rsidRPr="001800B7">
              <w:rPr>
                <w:rFonts w:eastAsia="Times New Roman"/>
                <w:szCs w:val="22"/>
                <w:u w:val="single"/>
                <w:lang w:eastAsia="en-US"/>
              </w:rPr>
              <w:t>’</w:t>
            </w:r>
            <w:r w:rsidRPr="001800B7">
              <w:rPr>
                <w:rFonts w:eastAsia="Times New Roman"/>
                <w:szCs w:val="22"/>
                <w:u w:val="single"/>
                <w:lang w:eastAsia="en-US"/>
              </w:rPr>
              <w:t>exécution</w:t>
            </w:r>
            <w:proofErr w:type="gramEnd"/>
            <w:r w:rsidRPr="001800B7">
              <w:rPr>
                <w:rFonts w:eastAsia="Times New Roman"/>
                <w:szCs w:val="22"/>
                <w:lang w:eastAsia="en-US"/>
              </w:rPr>
              <w:br/>
              <w:t>(indicateurs de résultats)</w:t>
            </w:r>
          </w:p>
        </w:tc>
        <w:tc>
          <w:tcPr>
            <w:tcW w:w="2976" w:type="dxa"/>
            <w:shd w:val="clear" w:color="auto" w:fill="auto"/>
            <w:vAlign w:val="center"/>
          </w:tcPr>
          <w:p w:rsidR="00CC0F0F" w:rsidRPr="001800B7" w:rsidRDefault="00CC0F0F" w:rsidP="00CC0F0F">
            <w:pPr>
              <w:keepNext/>
              <w:spacing w:before="120" w:after="120"/>
              <w:jc w:val="center"/>
              <w:outlineLvl w:val="2"/>
              <w:rPr>
                <w:bCs/>
                <w:szCs w:val="22"/>
                <w:u w:val="single"/>
                <w:lang w:eastAsia="en-US"/>
              </w:rPr>
            </w:pPr>
            <w:r w:rsidRPr="001800B7">
              <w:rPr>
                <w:bCs/>
                <w:szCs w:val="22"/>
                <w:u w:val="single"/>
                <w:lang w:eastAsia="en-US"/>
              </w:rPr>
              <w:t>Données relatives à l</w:t>
            </w:r>
            <w:r w:rsidR="005311D6" w:rsidRPr="001800B7">
              <w:rPr>
                <w:bCs/>
                <w:szCs w:val="22"/>
                <w:u w:val="single"/>
                <w:lang w:eastAsia="en-US"/>
              </w:rPr>
              <w:t>’</w:t>
            </w:r>
            <w:r w:rsidRPr="001800B7">
              <w:rPr>
                <w:bCs/>
                <w:szCs w:val="22"/>
                <w:u w:val="single"/>
                <w:lang w:eastAsia="en-US"/>
              </w:rPr>
              <w:t>exécution</w:t>
            </w:r>
          </w:p>
        </w:tc>
        <w:tc>
          <w:tcPr>
            <w:tcW w:w="1455" w:type="dxa"/>
            <w:shd w:val="clear" w:color="auto" w:fill="auto"/>
            <w:vAlign w:val="center"/>
          </w:tcPr>
          <w:p w:rsidR="00CC0F0F" w:rsidRPr="001800B7" w:rsidRDefault="00CC0F0F" w:rsidP="00CC0F0F">
            <w:pPr>
              <w:keepNext/>
              <w:spacing w:before="120" w:after="120"/>
              <w:jc w:val="center"/>
              <w:outlineLvl w:val="2"/>
              <w:rPr>
                <w:bCs/>
                <w:szCs w:val="22"/>
                <w:u w:val="single"/>
                <w:lang w:eastAsia="en-US"/>
              </w:rPr>
            </w:pPr>
            <w:r w:rsidRPr="001800B7">
              <w:rPr>
                <w:bCs/>
                <w:szCs w:val="22"/>
                <w:u w:val="single"/>
                <w:lang w:eastAsia="en-US"/>
              </w:rPr>
              <w:t>Code d</w:t>
            </w:r>
            <w:r w:rsidR="005311D6" w:rsidRPr="001800B7">
              <w:rPr>
                <w:bCs/>
                <w:szCs w:val="22"/>
                <w:u w:val="single"/>
                <w:lang w:eastAsia="en-US"/>
              </w:rPr>
              <w:t>’</w:t>
            </w:r>
            <w:r w:rsidRPr="001800B7">
              <w:rPr>
                <w:bCs/>
                <w:szCs w:val="22"/>
                <w:u w:val="single"/>
                <w:lang w:eastAsia="en-US"/>
              </w:rPr>
              <w:t>évaluation</w:t>
            </w:r>
          </w:p>
        </w:tc>
      </w:tr>
      <w:tr w:rsidR="001800B7" w:rsidRPr="001800B7" w:rsidTr="00CC0F0F">
        <w:tc>
          <w:tcPr>
            <w:tcW w:w="2368"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bCs/>
                <w:szCs w:val="22"/>
              </w:rPr>
            </w:pPr>
            <w:r w:rsidRPr="001800B7">
              <w:rPr>
                <w:bCs/>
                <w:szCs w:val="22"/>
              </w:rPr>
              <w:t>Rapports panoramiques sur les brevets dans des domaines d</w:t>
            </w:r>
            <w:r w:rsidR="005311D6" w:rsidRPr="001800B7">
              <w:rPr>
                <w:bCs/>
                <w:szCs w:val="22"/>
              </w:rPr>
              <w:t>’</w:t>
            </w:r>
            <w:r w:rsidRPr="001800B7">
              <w:rPr>
                <w:bCs/>
                <w:szCs w:val="22"/>
              </w:rPr>
              <w:t>intérêt définis</w:t>
            </w:r>
          </w:p>
        </w:tc>
        <w:tc>
          <w:tcPr>
            <w:tcW w:w="2695"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bCs/>
                <w:szCs w:val="22"/>
              </w:rPr>
            </w:pPr>
            <w:r w:rsidRPr="001800B7">
              <w:rPr>
                <w:bCs/>
                <w:szCs w:val="22"/>
              </w:rPr>
              <w:t>Six nouveaux rapports panoramiques sur les brevets ont été réalisés durant la phase II du projet en collaboration avec au moins deux nouveaux partenaires de coopération.</w:t>
            </w:r>
          </w:p>
        </w:tc>
        <w:tc>
          <w:tcPr>
            <w:tcW w:w="2973"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numPr>
                <w:ilvl w:val="0"/>
                <w:numId w:val="11"/>
              </w:numPr>
              <w:spacing w:before="120" w:after="120"/>
              <w:ind w:left="0" w:firstLine="0"/>
              <w:rPr>
                <w:rFonts w:eastAsia="MS Mincho"/>
                <w:szCs w:val="22"/>
                <w:lang w:eastAsia="ja-JP" w:bidi="th-TH"/>
              </w:rPr>
            </w:pPr>
            <w:r w:rsidRPr="001800B7">
              <w:rPr>
                <w:szCs w:val="22"/>
              </w:rPr>
              <w:t>Technologies du recyclage des déchets électroniques en association avec le PNUE/Le Secrétariat de la Convention de Bâle;</w:t>
            </w:r>
          </w:p>
          <w:p w:rsidR="0010628F" w:rsidRPr="001800B7" w:rsidRDefault="0010628F" w:rsidP="00CC0F0F">
            <w:pPr>
              <w:numPr>
                <w:ilvl w:val="0"/>
                <w:numId w:val="11"/>
              </w:numPr>
              <w:spacing w:before="120" w:after="120"/>
              <w:ind w:left="0" w:firstLine="0"/>
              <w:rPr>
                <w:rFonts w:eastAsia="MS Mincho"/>
                <w:szCs w:val="22"/>
                <w:lang w:eastAsia="ja-JP" w:bidi="th-TH"/>
              </w:rPr>
            </w:pPr>
            <w:r w:rsidRPr="001800B7">
              <w:rPr>
                <w:szCs w:val="22"/>
              </w:rPr>
              <w:t>Ressources génétiques animales en coopération avec la Division santé animale de l</w:t>
            </w:r>
            <w:r w:rsidR="005311D6" w:rsidRPr="001800B7">
              <w:rPr>
                <w:szCs w:val="22"/>
              </w:rPr>
              <w:t>’</w:t>
            </w:r>
            <w:r w:rsidRPr="001800B7">
              <w:rPr>
                <w:szCs w:val="22"/>
              </w:rPr>
              <w:t xml:space="preserve">Organisation des </w:t>
            </w:r>
            <w:r w:rsidR="005311D6" w:rsidRPr="001800B7">
              <w:rPr>
                <w:szCs w:val="22"/>
              </w:rPr>
              <w:t>Nations Unies</w:t>
            </w:r>
            <w:r w:rsidRPr="001800B7">
              <w:rPr>
                <w:szCs w:val="22"/>
              </w:rPr>
              <w:t xml:space="preserve"> pour l</w:t>
            </w:r>
            <w:r w:rsidR="005311D6" w:rsidRPr="001800B7">
              <w:rPr>
                <w:szCs w:val="22"/>
              </w:rPr>
              <w:t>’</w:t>
            </w:r>
            <w:r w:rsidRPr="001800B7">
              <w:rPr>
                <w:szCs w:val="22"/>
              </w:rPr>
              <w:t>alimentation et l</w:t>
            </w:r>
            <w:r w:rsidR="005311D6" w:rsidRPr="001800B7">
              <w:rPr>
                <w:szCs w:val="22"/>
              </w:rPr>
              <w:t>’</w:t>
            </w:r>
            <w:r w:rsidRPr="001800B7">
              <w:rPr>
                <w:szCs w:val="22"/>
              </w:rPr>
              <w:t>agriculture (FAO);</w:t>
            </w:r>
          </w:p>
          <w:p w:rsidR="0010628F" w:rsidRPr="001800B7" w:rsidRDefault="0010628F" w:rsidP="00CC0F0F">
            <w:pPr>
              <w:numPr>
                <w:ilvl w:val="0"/>
                <w:numId w:val="11"/>
              </w:numPr>
              <w:spacing w:before="120" w:after="120"/>
              <w:ind w:left="0" w:firstLine="0"/>
              <w:rPr>
                <w:rFonts w:eastAsia="MS Mincho"/>
                <w:szCs w:val="22"/>
                <w:lang w:eastAsia="ja-JP" w:bidi="th-TH"/>
              </w:rPr>
            </w:pPr>
            <w:r w:rsidRPr="001800B7">
              <w:rPr>
                <w:szCs w:val="22"/>
              </w:rPr>
              <w:t>Technologies d</w:t>
            </w:r>
            <w:r w:rsidR="005311D6" w:rsidRPr="001800B7">
              <w:rPr>
                <w:szCs w:val="22"/>
              </w:rPr>
              <w:t>’</w:t>
            </w:r>
            <w:r w:rsidRPr="001800B7">
              <w:rPr>
                <w:szCs w:val="22"/>
              </w:rPr>
              <w:t>accélérateurs de particules et leurs applications médicales et industrielles en collaboration avec l</w:t>
            </w:r>
            <w:r w:rsidR="005311D6" w:rsidRPr="001800B7">
              <w:rPr>
                <w:szCs w:val="22"/>
              </w:rPr>
              <w:t>’</w:t>
            </w:r>
            <w:r w:rsidRPr="001800B7">
              <w:rPr>
                <w:szCs w:val="22"/>
              </w:rPr>
              <w:t>Organisation européenne pour la recherche nucléaire (CERN);</w:t>
            </w:r>
          </w:p>
          <w:p w:rsidR="0010628F" w:rsidRPr="001800B7" w:rsidRDefault="0010628F" w:rsidP="00CC0F0F">
            <w:pPr>
              <w:numPr>
                <w:ilvl w:val="0"/>
                <w:numId w:val="11"/>
              </w:numPr>
              <w:spacing w:before="120" w:after="120"/>
              <w:ind w:left="0" w:firstLine="0"/>
              <w:rPr>
                <w:rFonts w:eastAsia="MS Mincho"/>
                <w:szCs w:val="22"/>
                <w:lang w:eastAsia="ja-JP" w:bidi="th-TH"/>
              </w:rPr>
            </w:pPr>
            <w:r w:rsidRPr="001800B7">
              <w:rPr>
                <w:iCs/>
                <w:szCs w:val="22"/>
              </w:rPr>
              <w:t>Dispositifs et technologies d</w:t>
            </w:r>
            <w:r w:rsidR="005311D6" w:rsidRPr="001800B7">
              <w:rPr>
                <w:iCs/>
                <w:szCs w:val="22"/>
              </w:rPr>
              <w:t>’</w:t>
            </w:r>
            <w:r w:rsidRPr="001800B7">
              <w:rPr>
                <w:iCs/>
                <w:szCs w:val="22"/>
              </w:rPr>
              <w:t>assistance destinés aux personnes malvoyantes et malentendantes;</w:t>
            </w:r>
          </w:p>
          <w:p w:rsidR="0010628F" w:rsidRPr="001800B7" w:rsidRDefault="0010628F" w:rsidP="00CC0F0F">
            <w:pPr>
              <w:numPr>
                <w:ilvl w:val="0"/>
                <w:numId w:val="11"/>
              </w:numPr>
              <w:spacing w:before="120" w:after="120"/>
              <w:ind w:left="0" w:firstLine="0"/>
              <w:rPr>
                <w:rFonts w:eastAsia="MS Mincho"/>
                <w:szCs w:val="22"/>
                <w:lang w:eastAsia="ja-JP" w:bidi="th-TH"/>
              </w:rPr>
            </w:pPr>
            <w:r w:rsidRPr="001800B7">
              <w:rPr>
                <w:szCs w:val="22"/>
              </w:rPr>
              <w:t xml:space="preserve">Rapports sur le </w:t>
            </w:r>
            <w:proofErr w:type="spellStart"/>
            <w:r w:rsidRPr="001800B7">
              <w:rPr>
                <w:szCs w:val="22"/>
              </w:rPr>
              <w:t>Ritonavir</w:t>
            </w:r>
            <w:proofErr w:type="spellEnd"/>
            <w:r w:rsidRPr="001800B7">
              <w:rPr>
                <w:szCs w:val="22"/>
              </w:rPr>
              <w:t xml:space="preserve"> mis à jour;</w:t>
            </w:r>
          </w:p>
          <w:p w:rsidR="0010628F" w:rsidRPr="001800B7" w:rsidRDefault="0010628F" w:rsidP="00CC0F0F">
            <w:pPr>
              <w:numPr>
                <w:ilvl w:val="0"/>
                <w:numId w:val="11"/>
              </w:numPr>
              <w:spacing w:before="120" w:after="120"/>
              <w:ind w:left="0" w:firstLine="0"/>
              <w:rPr>
                <w:rFonts w:eastAsia="MS Mincho"/>
                <w:szCs w:val="22"/>
                <w:lang w:eastAsia="ja-JP" w:bidi="th-TH"/>
              </w:rPr>
            </w:pPr>
            <w:r w:rsidRPr="001800B7">
              <w:rPr>
                <w:szCs w:val="22"/>
              </w:rPr>
              <w:t>Certaines maladies négligées.</w:t>
            </w:r>
          </w:p>
          <w:p w:rsidR="0010628F" w:rsidRPr="001800B7" w:rsidRDefault="0010628F" w:rsidP="00CC0F0F">
            <w:pPr>
              <w:spacing w:before="120" w:after="120"/>
              <w:rPr>
                <w:szCs w:val="22"/>
              </w:rPr>
            </w:pPr>
            <w:r w:rsidRPr="001800B7">
              <w:rPr>
                <w:szCs w:val="22"/>
              </w:rPr>
              <w:t xml:space="preserve">Trois nouveaux partenaires au sein de cette coopération : Le PNUE </w:t>
            </w:r>
            <w:r w:rsidRPr="001800B7">
              <w:rPr>
                <w:szCs w:val="22"/>
              </w:rPr>
              <w:lastRenderedPageBreak/>
              <w:t>(Secrétariat de la Convention de Bales), le CERN et la division santé animale de la FAO.</w:t>
            </w:r>
          </w:p>
          <w:p w:rsidR="0010628F" w:rsidRPr="001800B7" w:rsidRDefault="0010628F" w:rsidP="00CC0F0F">
            <w:pPr>
              <w:spacing w:before="120" w:after="120"/>
              <w:rPr>
                <w:szCs w:val="22"/>
              </w:rPr>
            </w:pPr>
            <w:r w:rsidRPr="001800B7">
              <w:rPr>
                <w:szCs w:val="22"/>
              </w:rPr>
              <w:t>En outre, sept infographies ont été ajoutées sur le site Web des rapports panoramiques sur les brevets de l</w:t>
            </w:r>
            <w:r w:rsidR="005311D6" w:rsidRPr="001800B7">
              <w:rPr>
                <w:szCs w:val="22"/>
              </w:rPr>
              <w:t>’</w:t>
            </w:r>
            <w:r w:rsidRPr="001800B7">
              <w:rPr>
                <w:szCs w:val="22"/>
              </w:rPr>
              <w:t>OMPI intellectuelle.</w:t>
            </w:r>
          </w:p>
        </w:tc>
        <w:tc>
          <w:tcPr>
            <w:tcW w:w="1455"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szCs w:val="22"/>
              </w:rPr>
            </w:pPr>
            <w:r w:rsidRPr="001800B7">
              <w:rPr>
                <w:szCs w:val="22"/>
              </w:rPr>
              <w:lastRenderedPageBreak/>
              <w:t>****</w:t>
            </w:r>
          </w:p>
        </w:tc>
      </w:tr>
      <w:tr w:rsidR="001800B7" w:rsidRPr="001800B7" w:rsidTr="00CC0F0F">
        <w:tc>
          <w:tcPr>
            <w:tcW w:w="2368"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bCs/>
                <w:szCs w:val="22"/>
              </w:rPr>
            </w:pPr>
            <w:r w:rsidRPr="001800B7">
              <w:rPr>
                <w:szCs w:val="22"/>
              </w:rPr>
              <w:lastRenderedPageBreak/>
              <w:t>Amélioration du site Web consacré aux rapports panoramiques sur les brevets, qui contiennent des informations supplémentaires facilitant la diffusion.</w:t>
            </w:r>
          </w:p>
        </w:tc>
        <w:tc>
          <w:tcPr>
            <w:tcW w:w="2695"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szCs w:val="22"/>
              </w:rPr>
            </w:pPr>
            <w:r w:rsidRPr="001800B7">
              <w:rPr>
                <w:szCs w:val="22"/>
              </w:rPr>
              <w:t>20 rapports panoramiques sur les brevets supplémentaires, élaborés par l</w:t>
            </w:r>
            <w:r w:rsidR="005311D6" w:rsidRPr="001800B7">
              <w:rPr>
                <w:szCs w:val="22"/>
              </w:rPr>
              <w:t>’</w:t>
            </w:r>
            <w:r w:rsidRPr="001800B7">
              <w:rPr>
                <w:szCs w:val="22"/>
              </w:rPr>
              <w:t>OMPI et en externe, ont été publiés sur le site Web durant la phase II.</w:t>
            </w:r>
          </w:p>
        </w:tc>
        <w:tc>
          <w:tcPr>
            <w:tcW w:w="2973"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szCs w:val="22"/>
              </w:rPr>
            </w:pPr>
            <w:r w:rsidRPr="001800B7">
              <w:rPr>
                <w:szCs w:val="22"/>
              </w:rPr>
              <w:t>51 nouveaux rapports panoramiques sur les brevets élaborés en externes ont été publiés sur le site Web pendant la phase II.</w:t>
            </w:r>
          </w:p>
        </w:tc>
        <w:tc>
          <w:tcPr>
            <w:tcW w:w="1455"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szCs w:val="22"/>
              </w:rPr>
            </w:pPr>
            <w:r w:rsidRPr="001800B7">
              <w:rPr>
                <w:szCs w:val="22"/>
              </w:rPr>
              <w:t>****</w:t>
            </w:r>
          </w:p>
        </w:tc>
      </w:tr>
      <w:tr w:rsidR="001800B7" w:rsidRPr="001800B7" w:rsidTr="00CC0F0F">
        <w:tc>
          <w:tcPr>
            <w:tcW w:w="2368"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bCs/>
                <w:szCs w:val="22"/>
              </w:rPr>
            </w:pPr>
            <w:r w:rsidRPr="001800B7">
              <w:rPr>
                <w:bCs/>
                <w:szCs w:val="22"/>
              </w:rPr>
              <w:t>Échange de données d</w:t>
            </w:r>
            <w:r w:rsidR="005311D6" w:rsidRPr="001800B7">
              <w:rPr>
                <w:bCs/>
                <w:szCs w:val="22"/>
              </w:rPr>
              <w:t>’</w:t>
            </w:r>
            <w:r w:rsidRPr="001800B7">
              <w:rPr>
                <w:bCs/>
                <w:szCs w:val="22"/>
              </w:rPr>
              <w:t>expérience et de pratiques recommandées entre offices de la propriété intellectuelle et d</w:t>
            </w:r>
            <w:r w:rsidR="005311D6" w:rsidRPr="001800B7">
              <w:rPr>
                <w:bCs/>
                <w:szCs w:val="22"/>
              </w:rPr>
              <w:t>’</w:t>
            </w:r>
            <w:r w:rsidRPr="001800B7">
              <w:rPr>
                <w:bCs/>
                <w:szCs w:val="22"/>
              </w:rPr>
              <w:t>autres institutions spécialisées en propriété intellectuelle (TISC, services de transfert de technologie).</w:t>
            </w:r>
          </w:p>
        </w:tc>
        <w:tc>
          <w:tcPr>
            <w:tcW w:w="2695"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szCs w:val="22"/>
              </w:rPr>
            </w:pPr>
            <w:r w:rsidRPr="001800B7">
              <w:rPr>
                <w:szCs w:val="22"/>
              </w:rPr>
              <w:t>Organisation d</w:t>
            </w:r>
            <w:r w:rsidR="005311D6" w:rsidRPr="001800B7">
              <w:rPr>
                <w:szCs w:val="22"/>
              </w:rPr>
              <w:t>’</w:t>
            </w:r>
            <w:r w:rsidRPr="001800B7">
              <w:rPr>
                <w:szCs w:val="22"/>
              </w:rPr>
              <w:t>une conférence régionale/atelier sur l</w:t>
            </w:r>
            <w:r w:rsidR="005311D6" w:rsidRPr="001800B7">
              <w:rPr>
                <w:szCs w:val="22"/>
              </w:rPr>
              <w:t>’</w:t>
            </w:r>
            <w:r w:rsidRPr="001800B7">
              <w:rPr>
                <w:szCs w:val="22"/>
              </w:rPr>
              <w:t>analyse des brevets et participation.</w:t>
            </w:r>
          </w:p>
        </w:tc>
        <w:tc>
          <w:tcPr>
            <w:tcW w:w="2973"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szCs w:val="22"/>
              </w:rPr>
            </w:pPr>
            <w:r w:rsidRPr="001800B7">
              <w:rPr>
                <w:szCs w:val="22"/>
              </w:rPr>
              <w:t>Deux ateliers régionaux sur l</w:t>
            </w:r>
            <w:r w:rsidR="005311D6" w:rsidRPr="001800B7">
              <w:rPr>
                <w:szCs w:val="22"/>
              </w:rPr>
              <w:t>’</w:t>
            </w:r>
            <w:r w:rsidRPr="001800B7">
              <w:rPr>
                <w:szCs w:val="22"/>
              </w:rPr>
              <w:t xml:space="preserve">analyse des brevets ont été organisés </w:t>
            </w:r>
            <w:r w:rsidRPr="001800B7">
              <w:rPr>
                <w:iCs/>
                <w:szCs w:val="22"/>
              </w:rPr>
              <w:t>au Brésil (Rio de Janeiro) en aout 2013 et aux Philippines (Manille), en décembre 2013, avec la coopération de l</w:t>
            </w:r>
            <w:r w:rsidR="005311D6" w:rsidRPr="001800B7">
              <w:rPr>
                <w:iCs/>
                <w:szCs w:val="22"/>
              </w:rPr>
              <w:t>’</w:t>
            </w:r>
            <w:r w:rsidRPr="001800B7">
              <w:rPr>
                <w:iCs/>
                <w:szCs w:val="22"/>
              </w:rPr>
              <w:t>Institut national de la propriété industrielle (INPI) du Brésil et l</w:t>
            </w:r>
            <w:r w:rsidR="005311D6" w:rsidRPr="001800B7">
              <w:rPr>
                <w:iCs/>
                <w:szCs w:val="22"/>
              </w:rPr>
              <w:t>’</w:t>
            </w:r>
            <w:r w:rsidRPr="001800B7">
              <w:rPr>
                <w:iCs/>
                <w:szCs w:val="22"/>
              </w:rPr>
              <w:t>Office philippin de la propriété intellectuelle (IPOPHM), respectivement.  Les offices de la propriété intellectuelle de divers pays d</w:t>
            </w:r>
            <w:r w:rsidR="005311D6" w:rsidRPr="001800B7">
              <w:rPr>
                <w:iCs/>
                <w:szCs w:val="22"/>
              </w:rPr>
              <w:t>’</w:t>
            </w:r>
            <w:r w:rsidRPr="001800B7">
              <w:rPr>
                <w:iCs/>
                <w:szCs w:val="22"/>
              </w:rPr>
              <w:t>Amérique centrale et d</w:t>
            </w:r>
            <w:r w:rsidR="005311D6" w:rsidRPr="001800B7">
              <w:rPr>
                <w:iCs/>
                <w:szCs w:val="22"/>
              </w:rPr>
              <w:t>’</w:t>
            </w:r>
            <w:r w:rsidRPr="001800B7">
              <w:rPr>
                <w:iCs/>
                <w:szCs w:val="22"/>
              </w:rPr>
              <w:t>Amérique latine et de l</w:t>
            </w:r>
            <w:r w:rsidR="005311D6" w:rsidRPr="001800B7">
              <w:rPr>
                <w:iCs/>
                <w:szCs w:val="22"/>
              </w:rPr>
              <w:t>’</w:t>
            </w:r>
            <w:r w:rsidRPr="001800B7">
              <w:rPr>
                <w:iCs/>
                <w:szCs w:val="22"/>
              </w:rPr>
              <w:t>Asie du Sud</w:t>
            </w:r>
            <w:r w:rsidR="001800B7" w:rsidRPr="001800B7">
              <w:rPr>
                <w:iCs/>
                <w:szCs w:val="22"/>
              </w:rPr>
              <w:noBreakHyphen/>
            </w:r>
            <w:r w:rsidRPr="001800B7">
              <w:rPr>
                <w:iCs/>
                <w:szCs w:val="22"/>
              </w:rPr>
              <w:t>Est ont participé à ces ateliers et ont présenté leurs intérêts, ainsi que les défis qu</w:t>
            </w:r>
            <w:r w:rsidR="005311D6" w:rsidRPr="001800B7">
              <w:rPr>
                <w:iCs/>
                <w:szCs w:val="22"/>
              </w:rPr>
              <w:t>’</w:t>
            </w:r>
            <w:r w:rsidRPr="001800B7">
              <w:rPr>
                <w:iCs/>
                <w:szCs w:val="22"/>
              </w:rPr>
              <w:t>ils devaient relever et l</w:t>
            </w:r>
            <w:r w:rsidR="005311D6" w:rsidRPr="001800B7">
              <w:rPr>
                <w:iCs/>
                <w:szCs w:val="22"/>
              </w:rPr>
              <w:t>’</w:t>
            </w:r>
            <w:r w:rsidRPr="001800B7">
              <w:rPr>
                <w:iCs/>
                <w:szCs w:val="22"/>
              </w:rPr>
              <w:t>expérience qu</w:t>
            </w:r>
            <w:r w:rsidR="005311D6" w:rsidRPr="001800B7">
              <w:rPr>
                <w:iCs/>
                <w:szCs w:val="22"/>
              </w:rPr>
              <w:t>’</w:t>
            </w:r>
            <w:r w:rsidRPr="001800B7">
              <w:rPr>
                <w:iCs/>
                <w:szCs w:val="22"/>
              </w:rPr>
              <w:t>ils possédaient dans le domaine de l</w:t>
            </w:r>
            <w:r w:rsidR="005311D6" w:rsidRPr="001800B7">
              <w:rPr>
                <w:iCs/>
                <w:szCs w:val="22"/>
              </w:rPr>
              <w:t>’</w:t>
            </w:r>
            <w:r w:rsidRPr="001800B7">
              <w:rPr>
                <w:iCs/>
                <w:szCs w:val="22"/>
              </w:rPr>
              <w:t>analyse des brevets.</w:t>
            </w:r>
          </w:p>
        </w:tc>
        <w:tc>
          <w:tcPr>
            <w:tcW w:w="1455"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szCs w:val="22"/>
              </w:rPr>
            </w:pPr>
            <w:r w:rsidRPr="001800B7">
              <w:rPr>
                <w:szCs w:val="22"/>
              </w:rPr>
              <w:t>****</w:t>
            </w:r>
          </w:p>
        </w:tc>
      </w:tr>
      <w:tr w:rsidR="001800B7" w:rsidRPr="001800B7" w:rsidTr="00CC0F0F">
        <w:trPr>
          <w:cantSplit/>
        </w:trPr>
        <w:tc>
          <w:tcPr>
            <w:tcW w:w="2368"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bCs/>
                <w:szCs w:val="22"/>
              </w:rPr>
            </w:pPr>
            <w:r w:rsidRPr="001800B7">
              <w:rPr>
                <w:bCs/>
                <w:szCs w:val="22"/>
              </w:rPr>
              <w:lastRenderedPageBreak/>
              <w:t>Projet d</w:t>
            </w:r>
            <w:r w:rsidR="005311D6" w:rsidRPr="001800B7">
              <w:rPr>
                <w:bCs/>
                <w:szCs w:val="22"/>
              </w:rPr>
              <w:t>’</w:t>
            </w:r>
            <w:r w:rsidRPr="001800B7">
              <w:rPr>
                <w:bCs/>
                <w:szCs w:val="22"/>
              </w:rPr>
              <w:t>orientations méthodologiques aux fins de l</w:t>
            </w:r>
            <w:r w:rsidR="005311D6" w:rsidRPr="001800B7">
              <w:rPr>
                <w:bCs/>
                <w:szCs w:val="22"/>
              </w:rPr>
              <w:t>’</w:t>
            </w:r>
            <w:r w:rsidRPr="001800B7">
              <w:rPr>
                <w:bCs/>
                <w:szCs w:val="22"/>
              </w:rPr>
              <w:t>élaboration de rapports panoramiques sur les brevets</w:t>
            </w:r>
          </w:p>
        </w:tc>
        <w:tc>
          <w:tcPr>
            <w:tcW w:w="2695"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szCs w:val="22"/>
              </w:rPr>
            </w:pPr>
            <w:r w:rsidRPr="001800B7">
              <w:rPr>
                <w:szCs w:val="22"/>
              </w:rPr>
              <w:t>Réalisé dans un délai de 12 mois après le lancement de la phase II du projet.</w:t>
            </w:r>
          </w:p>
          <w:p w:rsidR="0010628F" w:rsidRPr="001800B7" w:rsidRDefault="0010628F" w:rsidP="00CC0F0F">
            <w:pPr>
              <w:spacing w:before="120" w:after="120"/>
              <w:ind w:firstLine="720"/>
              <w:rPr>
                <w:szCs w:val="22"/>
              </w:rPr>
            </w:pPr>
          </w:p>
        </w:tc>
        <w:tc>
          <w:tcPr>
            <w:tcW w:w="2973"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szCs w:val="22"/>
              </w:rPr>
            </w:pPr>
            <w:r w:rsidRPr="001800B7">
              <w:rPr>
                <w:szCs w:val="22"/>
              </w:rPr>
              <w:t>Ces orientations ont été élaborées par un expert externe avec la contribution de l</w:t>
            </w:r>
            <w:r w:rsidR="005311D6" w:rsidRPr="001800B7">
              <w:rPr>
                <w:szCs w:val="22"/>
              </w:rPr>
              <w:t>’</w:t>
            </w:r>
            <w:r w:rsidRPr="001800B7">
              <w:rPr>
                <w:szCs w:val="22"/>
              </w:rPr>
              <w:t>OMPI qui les a également révisées.  Les retours d</w:t>
            </w:r>
            <w:r w:rsidR="005311D6" w:rsidRPr="001800B7">
              <w:rPr>
                <w:szCs w:val="22"/>
              </w:rPr>
              <w:t>’</w:t>
            </w:r>
            <w:r w:rsidRPr="001800B7">
              <w:rPr>
                <w:szCs w:val="22"/>
              </w:rPr>
              <w:t>informations fournis par les offices de propriété intellectuelle et les participants lors des deux ateliers régionaux ont également été pris en compte.</w:t>
            </w:r>
          </w:p>
        </w:tc>
        <w:tc>
          <w:tcPr>
            <w:tcW w:w="1455" w:type="dxa"/>
            <w:tcBorders>
              <w:top w:val="single" w:sz="2" w:space="0" w:color="000000"/>
              <w:left w:val="single" w:sz="2" w:space="0" w:color="000000"/>
              <w:bottom w:val="single" w:sz="2" w:space="0" w:color="000000"/>
              <w:right w:val="single" w:sz="2" w:space="0" w:color="000000"/>
            </w:tcBorders>
          </w:tcPr>
          <w:p w:rsidR="0010628F" w:rsidRPr="001800B7" w:rsidRDefault="0010628F" w:rsidP="00CC0F0F">
            <w:pPr>
              <w:spacing w:before="120" w:after="120"/>
              <w:rPr>
                <w:szCs w:val="22"/>
              </w:rPr>
            </w:pPr>
            <w:r w:rsidRPr="001800B7">
              <w:rPr>
                <w:szCs w:val="22"/>
              </w:rPr>
              <w:t>****</w:t>
            </w:r>
          </w:p>
        </w:tc>
      </w:tr>
    </w:tbl>
    <w:p w:rsidR="0010628F" w:rsidRPr="001800B7" w:rsidRDefault="0010628F" w:rsidP="00CC0F0F">
      <w:pPr>
        <w:rPr>
          <w:szCs w:val="22"/>
        </w:rPr>
      </w:pPr>
    </w:p>
    <w:tbl>
      <w:tblPr>
        <w:tblW w:w="9491"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67"/>
        <w:gridCol w:w="2694"/>
        <w:gridCol w:w="2974"/>
        <w:gridCol w:w="1456"/>
      </w:tblGrid>
      <w:tr w:rsidR="001800B7" w:rsidRPr="001800B7" w:rsidTr="00CC0F0F">
        <w:tc>
          <w:tcPr>
            <w:tcW w:w="2366" w:type="dxa"/>
            <w:shd w:val="clear" w:color="auto" w:fill="auto"/>
            <w:vAlign w:val="center"/>
          </w:tcPr>
          <w:p w:rsidR="00CC0F0F" w:rsidRPr="001800B7" w:rsidRDefault="00CC0F0F" w:rsidP="007C1A09">
            <w:pPr>
              <w:spacing w:before="120" w:after="120"/>
              <w:jc w:val="center"/>
              <w:rPr>
                <w:szCs w:val="22"/>
                <w:u w:val="single"/>
              </w:rPr>
            </w:pPr>
            <w:r w:rsidRPr="001800B7">
              <w:rPr>
                <w:szCs w:val="22"/>
                <w:u w:val="single"/>
              </w:rPr>
              <w:t xml:space="preserve">Objectifs </w:t>
            </w:r>
            <w:r w:rsidRPr="001800B7">
              <w:rPr>
                <w:szCs w:val="22"/>
                <w:u w:val="single"/>
              </w:rPr>
              <w:br/>
              <w:t>du projet</w:t>
            </w:r>
          </w:p>
        </w:tc>
        <w:tc>
          <w:tcPr>
            <w:tcW w:w="2694" w:type="dxa"/>
            <w:shd w:val="clear" w:color="auto" w:fill="auto"/>
            <w:vAlign w:val="center"/>
          </w:tcPr>
          <w:p w:rsidR="00CC0F0F" w:rsidRPr="001800B7" w:rsidRDefault="00CC0F0F" w:rsidP="007C1A09">
            <w:pPr>
              <w:spacing w:before="120" w:after="120"/>
              <w:jc w:val="center"/>
              <w:rPr>
                <w:szCs w:val="22"/>
                <w:u w:val="single"/>
              </w:rPr>
            </w:pPr>
            <w:r w:rsidRPr="001800B7">
              <w:rPr>
                <w:szCs w:val="22"/>
                <w:u w:val="single"/>
              </w:rPr>
              <w:t xml:space="preserve">Indicateurs de réalisation des objectifs du </w:t>
            </w:r>
            <w:proofErr w:type="gramStart"/>
            <w:r w:rsidRPr="001800B7">
              <w:rPr>
                <w:szCs w:val="22"/>
                <w:u w:val="single"/>
              </w:rPr>
              <w:t>projet</w:t>
            </w:r>
            <w:proofErr w:type="gramEnd"/>
            <w:r w:rsidRPr="001800B7">
              <w:rPr>
                <w:szCs w:val="22"/>
                <w:u w:val="single"/>
              </w:rPr>
              <w:br/>
              <w:t>(indicateurs de réussite)</w:t>
            </w:r>
          </w:p>
        </w:tc>
        <w:tc>
          <w:tcPr>
            <w:tcW w:w="2975" w:type="dxa"/>
            <w:shd w:val="clear" w:color="auto" w:fill="auto"/>
            <w:vAlign w:val="center"/>
          </w:tcPr>
          <w:p w:rsidR="00CC0F0F" w:rsidRPr="001800B7" w:rsidRDefault="00CC0F0F" w:rsidP="007C1A09">
            <w:pPr>
              <w:spacing w:before="120" w:after="120"/>
              <w:jc w:val="center"/>
              <w:rPr>
                <w:szCs w:val="22"/>
                <w:u w:val="single"/>
              </w:rPr>
            </w:pPr>
            <w:r w:rsidRPr="001800B7">
              <w:rPr>
                <w:szCs w:val="22"/>
                <w:u w:val="single"/>
              </w:rPr>
              <w:t>Données relatives à l</w:t>
            </w:r>
            <w:r w:rsidR="005311D6" w:rsidRPr="001800B7">
              <w:rPr>
                <w:szCs w:val="22"/>
                <w:u w:val="single"/>
              </w:rPr>
              <w:t>’</w:t>
            </w:r>
            <w:r w:rsidRPr="001800B7">
              <w:rPr>
                <w:szCs w:val="22"/>
                <w:u w:val="single"/>
              </w:rPr>
              <w:t>exécution</w:t>
            </w:r>
          </w:p>
        </w:tc>
        <w:tc>
          <w:tcPr>
            <w:tcW w:w="1456" w:type="dxa"/>
            <w:shd w:val="clear" w:color="auto" w:fill="auto"/>
            <w:vAlign w:val="center"/>
          </w:tcPr>
          <w:p w:rsidR="00CC0F0F" w:rsidRPr="001800B7" w:rsidRDefault="00CC0F0F" w:rsidP="007C1A09">
            <w:pPr>
              <w:spacing w:before="120" w:after="120"/>
              <w:jc w:val="center"/>
              <w:rPr>
                <w:szCs w:val="22"/>
                <w:u w:val="single"/>
              </w:rPr>
            </w:pPr>
            <w:r w:rsidRPr="001800B7">
              <w:rPr>
                <w:szCs w:val="22"/>
                <w:u w:val="single"/>
              </w:rPr>
              <w:t>Code d</w:t>
            </w:r>
            <w:r w:rsidR="005311D6" w:rsidRPr="001800B7">
              <w:rPr>
                <w:szCs w:val="22"/>
                <w:u w:val="single"/>
              </w:rPr>
              <w:t>’</w:t>
            </w:r>
            <w:r w:rsidRPr="001800B7">
              <w:rPr>
                <w:szCs w:val="22"/>
                <w:u w:val="single"/>
              </w:rPr>
              <w:t>évaluation</w:t>
            </w:r>
          </w:p>
        </w:tc>
      </w:tr>
      <w:tr w:rsidR="001800B7" w:rsidRPr="001800B7" w:rsidTr="00CC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8" w:type="dxa"/>
            <w:tcBorders>
              <w:top w:val="single" w:sz="2" w:space="0" w:color="000000"/>
              <w:left w:val="single" w:sz="2" w:space="0" w:color="000000"/>
              <w:bottom w:val="single" w:sz="2" w:space="0" w:color="000000"/>
              <w:right w:val="single" w:sz="2" w:space="0" w:color="000000"/>
            </w:tcBorders>
          </w:tcPr>
          <w:p w:rsidR="0010628F" w:rsidRPr="001800B7" w:rsidRDefault="0010628F" w:rsidP="00AC163C">
            <w:pPr>
              <w:spacing w:before="120" w:after="120"/>
              <w:rPr>
                <w:szCs w:val="22"/>
              </w:rPr>
            </w:pPr>
            <w:r w:rsidRPr="001800B7">
              <w:rPr>
                <w:szCs w:val="22"/>
              </w:rPr>
              <w:t>Amélioration de l</w:t>
            </w:r>
            <w:r w:rsidR="005311D6" w:rsidRPr="001800B7">
              <w:rPr>
                <w:szCs w:val="22"/>
              </w:rPr>
              <w:t>’</w:t>
            </w:r>
            <w:r w:rsidRPr="001800B7">
              <w:rPr>
                <w:szCs w:val="22"/>
              </w:rPr>
              <w:t>accès aux technologies et des connaissances des tendances en matière de brevets et des modèles d</w:t>
            </w:r>
            <w:r w:rsidR="005311D6" w:rsidRPr="001800B7">
              <w:rPr>
                <w:szCs w:val="22"/>
              </w:rPr>
              <w:t>’</w:t>
            </w:r>
            <w:r w:rsidRPr="001800B7">
              <w:rPr>
                <w:szCs w:val="22"/>
              </w:rPr>
              <w:t>innovation dans des domaines techniques précis.</w:t>
            </w:r>
          </w:p>
        </w:tc>
        <w:tc>
          <w:tcPr>
            <w:tcW w:w="2695" w:type="dxa"/>
            <w:tcBorders>
              <w:top w:val="single" w:sz="2" w:space="0" w:color="000000"/>
              <w:left w:val="single" w:sz="2" w:space="0" w:color="000000"/>
              <w:bottom w:val="single" w:sz="2" w:space="0" w:color="000000"/>
              <w:right w:val="single" w:sz="2" w:space="0" w:color="000000"/>
            </w:tcBorders>
          </w:tcPr>
          <w:p w:rsidR="0010628F" w:rsidRPr="001800B7" w:rsidRDefault="001800B7" w:rsidP="00AC163C">
            <w:pPr>
              <w:spacing w:before="120" w:after="120"/>
              <w:rPr>
                <w:szCs w:val="22"/>
              </w:rPr>
            </w:pPr>
            <w:r w:rsidRPr="001800B7">
              <w:rPr>
                <w:szCs w:val="22"/>
              </w:rPr>
              <w:noBreakHyphen/>
            </w:r>
            <w:r w:rsidR="0010628F" w:rsidRPr="001800B7">
              <w:rPr>
                <w:szCs w:val="22"/>
              </w:rPr>
              <w:t xml:space="preserve"> 75% des partenaires immédiats de chaque rapport panoramique se disent satisfaits de la qualité du rapport;</w:t>
            </w:r>
          </w:p>
          <w:p w:rsidR="0010628F" w:rsidRPr="001800B7" w:rsidRDefault="001800B7" w:rsidP="00AC163C">
            <w:pPr>
              <w:spacing w:before="120" w:after="120"/>
              <w:rPr>
                <w:bCs/>
                <w:szCs w:val="22"/>
              </w:rPr>
            </w:pPr>
            <w:r w:rsidRPr="001800B7">
              <w:rPr>
                <w:bCs/>
                <w:szCs w:val="22"/>
              </w:rPr>
              <w:noBreakHyphen/>
            </w:r>
            <w:r w:rsidR="0010628F" w:rsidRPr="001800B7">
              <w:rPr>
                <w:bCs/>
                <w:szCs w:val="22"/>
              </w:rPr>
              <w:t xml:space="preserve"> 75% des partenaires immédiats jugent le rapport utile pour leurs propres activités;</w:t>
            </w:r>
          </w:p>
          <w:p w:rsidR="0010628F" w:rsidRPr="001800B7" w:rsidRDefault="001800B7" w:rsidP="00AC163C">
            <w:pPr>
              <w:spacing w:before="120" w:after="120"/>
              <w:rPr>
                <w:bCs/>
                <w:szCs w:val="22"/>
              </w:rPr>
            </w:pPr>
            <w:r w:rsidRPr="001800B7">
              <w:rPr>
                <w:bCs/>
                <w:szCs w:val="22"/>
              </w:rPr>
              <w:noBreakHyphen/>
            </w:r>
            <w:r w:rsidR="0010628F" w:rsidRPr="001800B7">
              <w:rPr>
                <w:bCs/>
                <w:szCs w:val="22"/>
              </w:rPr>
              <w:t xml:space="preserve"> Au moins 60% des autres utilisateurs ou lecteurs des rapports panoramiques sur les brevets se disent satisfaits de la qualité du contenu de chaque rapport (faits constatés et méthodes de recherche;  seuls les utilisateurs répondent aux enquêtes);</w:t>
            </w:r>
          </w:p>
          <w:p w:rsidR="0010628F" w:rsidRPr="001800B7" w:rsidRDefault="001800B7" w:rsidP="00AC163C">
            <w:pPr>
              <w:spacing w:before="120" w:after="120"/>
              <w:rPr>
                <w:bCs/>
                <w:szCs w:val="22"/>
              </w:rPr>
            </w:pPr>
            <w:r w:rsidRPr="001800B7">
              <w:rPr>
                <w:bCs/>
                <w:szCs w:val="22"/>
              </w:rPr>
              <w:noBreakHyphen/>
            </w:r>
            <w:r w:rsidR="0010628F" w:rsidRPr="001800B7">
              <w:rPr>
                <w:bCs/>
                <w:szCs w:val="22"/>
              </w:rPr>
              <w:t xml:space="preserve"> 30% des autres utilisateurs jugent les rapports utiles pour leurs propres activités (par exemple, la méthode de recherche);</w:t>
            </w:r>
          </w:p>
          <w:p w:rsidR="0010628F" w:rsidRPr="001800B7" w:rsidRDefault="001800B7" w:rsidP="00AC163C">
            <w:pPr>
              <w:spacing w:before="120" w:after="120"/>
              <w:rPr>
                <w:bCs/>
                <w:szCs w:val="22"/>
              </w:rPr>
            </w:pPr>
            <w:r w:rsidRPr="001800B7">
              <w:rPr>
                <w:bCs/>
                <w:szCs w:val="22"/>
              </w:rPr>
              <w:noBreakHyphen/>
            </w:r>
            <w:r w:rsidR="0010628F" w:rsidRPr="001800B7">
              <w:rPr>
                <w:bCs/>
                <w:szCs w:val="22"/>
              </w:rPr>
              <w:t xml:space="preserve"> Au moins 20% d</w:t>
            </w:r>
            <w:r w:rsidR="005311D6" w:rsidRPr="001800B7">
              <w:rPr>
                <w:bCs/>
                <w:szCs w:val="22"/>
              </w:rPr>
              <w:t>’</w:t>
            </w:r>
            <w:r w:rsidR="0010628F" w:rsidRPr="001800B7">
              <w:rPr>
                <w:bCs/>
                <w:szCs w:val="22"/>
              </w:rPr>
              <w:t>augmentation des consultations de page du site Web de l</w:t>
            </w:r>
            <w:r w:rsidR="005311D6" w:rsidRPr="001800B7">
              <w:rPr>
                <w:bCs/>
                <w:szCs w:val="22"/>
              </w:rPr>
              <w:t>’</w:t>
            </w:r>
            <w:r w:rsidR="0010628F" w:rsidRPr="001800B7">
              <w:rPr>
                <w:bCs/>
                <w:szCs w:val="22"/>
              </w:rPr>
              <w:t>OMPI consacré aux rapports panoramiques sur les brevets par comparaison avec la phase I;</w:t>
            </w:r>
          </w:p>
          <w:p w:rsidR="0010628F" w:rsidRPr="001800B7" w:rsidRDefault="001800B7" w:rsidP="00CC0F0F">
            <w:pPr>
              <w:spacing w:before="120" w:after="120"/>
              <w:rPr>
                <w:b/>
                <w:szCs w:val="22"/>
              </w:rPr>
            </w:pPr>
            <w:r w:rsidRPr="001800B7">
              <w:rPr>
                <w:bCs/>
                <w:szCs w:val="22"/>
              </w:rPr>
              <w:lastRenderedPageBreak/>
              <w:noBreakHyphen/>
            </w:r>
            <w:r w:rsidR="0010628F" w:rsidRPr="001800B7">
              <w:rPr>
                <w:bCs/>
                <w:szCs w:val="22"/>
              </w:rPr>
              <w:t xml:space="preserve"> 20% d</w:t>
            </w:r>
            <w:r w:rsidR="005311D6" w:rsidRPr="001800B7">
              <w:rPr>
                <w:bCs/>
                <w:szCs w:val="22"/>
              </w:rPr>
              <w:t>’</w:t>
            </w:r>
            <w:r w:rsidR="0010628F" w:rsidRPr="001800B7">
              <w:rPr>
                <w:bCs/>
                <w:szCs w:val="22"/>
              </w:rPr>
              <w:t>augmentation de la fréquence des téléchargements par comparaison avec la phase I.</w:t>
            </w:r>
          </w:p>
        </w:tc>
        <w:tc>
          <w:tcPr>
            <w:tcW w:w="2973" w:type="dxa"/>
            <w:tcBorders>
              <w:top w:val="single" w:sz="2" w:space="0" w:color="000000"/>
              <w:left w:val="single" w:sz="2" w:space="0" w:color="000000"/>
              <w:bottom w:val="single" w:sz="2" w:space="0" w:color="000000"/>
              <w:right w:val="single" w:sz="2" w:space="0" w:color="000000"/>
            </w:tcBorders>
          </w:tcPr>
          <w:p w:rsidR="0010628F" w:rsidRPr="001800B7" w:rsidRDefault="0010628F" w:rsidP="00AC163C">
            <w:pPr>
              <w:spacing w:before="120" w:after="120"/>
              <w:rPr>
                <w:bCs/>
                <w:szCs w:val="22"/>
              </w:rPr>
            </w:pPr>
            <w:r w:rsidRPr="001800B7">
              <w:rPr>
                <w:bCs/>
                <w:szCs w:val="22"/>
              </w:rPr>
              <w:lastRenderedPageBreak/>
              <w:t>Nombre de partenaires : environ 20</w:t>
            </w:r>
          </w:p>
          <w:p w:rsidR="0010628F" w:rsidRPr="001800B7" w:rsidRDefault="0010628F" w:rsidP="00AC163C">
            <w:pPr>
              <w:spacing w:before="120" w:after="120"/>
              <w:rPr>
                <w:bCs/>
                <w:szCs w:val="22"/>
              </w:rPr>
            </w:pPr>
            <w:r w:rsidRPr="001800B7">
              <w:rPr>
                <w:bCs/>
                <w:szCs w:val="22"/>
              </w:rPr>
              <w:t>Nombre de pages visitées : 19 401 (un seul clic)</w:t>
            </w:r>
          </w:p>
          <w:p w:rsidR="0010628F" w:rsidRPr="001800B7" w:rsidRDefault="0010628F" w:rsidP="00AC163C">
            <w:pPr>
              <w:spacing w:before="120" w:after="120"/>
              <w:rPr>
                <w:bCs/>
                <w:szCs w:val="22"/>
              </w:rPr>
            </w:pPr>
            <w:r w:rsidRPr="001800B7">
              <w:rPr>
                <w:bCs/>
                <w:szCs w:val="22"/>
              </w:rPr>
              <w:t>Nombre de téléchargements : 26 487 (PDF)</w:t>
            </w:r>
          </w:p>
          <w:p w:rsidR="0010628F" w:rsidRPr="001800B7" w:rsidRDefault="0010628F" w:rsidP="00AC163C">
            <w:pPr>
              <w:spacing w:before="120" w:after="120"/>
              <w:rPr>
                <w:bCs/>
                <w:szCs w:val="22"/>
              </w:rPr>
            </w:pPr>
            <w:r w:rsidRPr="001800B7">
              <w:rPr>
                <w:bCs/>
                <w:szCs w:val="22"/>
              </w:rPr>
              <w:t>Les rapports panoramiques sur les brevets relatifs aux déchets électroniques publiés le 12 décembre 2013 ont fait l</w:t>
            </w:r>
            <w:r w:rsidR="005311D6" w:rsidRPr="001800B7">
              <w:rPr>
                <w:bCs/>
                <w:szCs w:val="22"/>
              </w:rPr>
              <w:t>’</w:t>
            </w:r>
            <w:r w:rsidRPr="001800B7">
              <w:rPr>
                <w:bCs/>
                <w:szCs w:val="22"/>
              </w:rPr>
              <w:t>objet de plus de 1000 visites en deux semaines.</w:t>
            </w:r>
          </w:p>
          <w:p w:rsidR="0010628F" w:rsidRPr="001800B7" w:rsidRDefault="0010628F" w:rsidP="00AC163C">
            <w:pPr>
              <w:spacing w:before="120" w:after="120"/>
              <w:rPr>
                <w:bCs/>
                <w:szCs w:val="22"/>
              </w:rPr>
            </w:pPr>
            <w:r w:rsidRPr="001800B7">
              <w:rPr>
                <w:bCs/>
                <w:szCs w:val="22"/>
              </w:rPr>
              <w:t>Note : Il n</w:t>
            </w:r>
            <w:r w:rsidR="005311D6" w:rsidRPr="001800B7">
              <w:rPr>
                <w:bCs/>
                <w:szCs w:val="22"/>
              </w:rPr>
              <w:t>’</w:t>
            </w:r>
            <w:r w:rsidRPr="001800B7">
              <w:rPr>
                <w:bCs/>
                <w:szCs w:val="22"/>
              </w:rPr>
              <w:t>a pas été possible de comparer le nombre de pages visitées ou de téléchargements avec ceux de la phase I pour des raisons informatiques qui ne nous ont pas permis également de fournir des statistiques cohérentes pendant la phase I du projet en vue de les comparer à celles de la phase II.</w:t>
            </w:r>
          </w:p>
          <w:p w:rsidR="0010628F" w:rsidRPr="001800B7" w:rsidRDefault="0010628F" w:rsidP="00AC163C">
            <w:pPr>
              <w:spacing w:before="120" w:after="120"/>
              <w:rPr>
                <w:bCs/>
                <w:szCs w:val="22"/>
              </w:rPr>
            </w:pPr>
            <w:r w:rsidRPr="001800B7">
              <w:rPr>
                <w:bCs/>
                <w:szCs w:val="22"/>
              </w:rPr>
              <w:t xml:space="preserve">Une enquête de satisfaction relative aux rapports panoramiques sur les brevets a été effectuée en mars 2014 et a reçu 39 réponses (trois </w:t>
            </w:r>
            <w:r w:rsidRPr="001800B7">
              <w:rPr>
                <w:bCs/>
                <w:szCs w:val="22"/>
              </w:rPr>
              <w:lastRenderedPageBreak/>
              <w:t>utilisateurs de premier niveau;  36 utilisateurs de deuxième niveau).  Les résultats ont montré qu</w:t>
            </w:r>
            <w:r w:rsidR="005311D6" w:rsidRPr="001800B7">
              <w:rPr>
                <w:bCs/>
                <w:szCs w:val="22"/>
              </w:rPr>
              <w:t>’</w:t>
            </w:r>
            <w:r w:rsidRPr="001800B7">
              <w:rPr>
                <w:bCs/>
                <w:szCs w:val="22"/>
              </w:rPr>
              <w:t>environ 70% des utilisateurs étaient satisfaits de la qualité des rapports.</w:t>
            </w:r>
          </w:p>
          <w:p w:rsidR="0010628F" w:rsidRPr="001800B7" w:rsidRDefault="0010628F" w:rsidP="00AC163C">
            <w:pPr>
              <w:spacing w:before="120" w:after="120"/>
              <w:rPr>
                <w:bCs/>
                <w:szCs w:val="22"/>
              </w:rPr>
            </w:pPr>
            <w:r w:rsidRPr="001800B7">
              <w:rPr>
                <w:bCs/>
                <w:szCs w:val="22"/>
              </w:rPr>
              <w:t>78% des utilisateurs ont trouvé la présentation des sujets techniques excellente ou très bonne.</w:t>
            </w:r>
          </w:p>
          <w:p w:rsidR="0010628F" w:rsidRPr="001800B7" w:rsidRDefault="0010628F" w:rsidP="00AC163C">
            <w:pPr>
              <w:spacing w:before="120" w:after="120"/>
              <w:rPr>
                <w:bCs/>
                <w:szCs w:val="22"/>
              </w:rPr>
            </w:pPr>
            <w:r w:rsidRPr="001800B7">
              <w:rPr>
                <w:bCs/>
                <w:szCs w:val="22"/>
              </w:rPr>
              <w:t>69% ont trouvé la présentation des résultats excellente ou très bonne</w:t>
            </w:r>
          </w:p>
          <w:p w:rsidR="0010628F" w:rsidRPr="001800B7" w:rsidRDefault="0010628F" w:rsidP="00CC0F0F">
            <w:pPr>
              <w:spacing w:before="120" w:after="120"/>
              <w:rPr>
                <w:rFonts w:eastAsia="MS Mincho"/>
                <w:b/>
                <w:szCs w:val="22"/>
                <w:lang w:eastAsia="ja-JP"/>
              </w:rPr>
            </w:pPr>
            <w:r w:rsidRPr="001800B7">
              <w:rPr>
                <w:bCs/>
                <w:szCs w:val="22"/>
              </w:rPr>
              <w:t>69% ont trouvé les rapports en étroite relation ou en relation avec leurs travaux.</w:t>
            </w:r>
          </w:p>
        </w:tc>
        <w:tc>
          <w:tcPr>
            <w:tcW w:w="1455" w:type="dxa"/>
            <w:tcBorders>
              <w:top w:val="single" w:sz="2" w:space="0" w:color="000000"/>
              <w:left w:val="single" w:sz="2" w:space="0" w:color="000000"/>
              <w:bottom w:val="single" w:sz="2" w:space="0" w:color="000000"/>
              <w:right w:val="single" w:sz="2" w:space="0" w:color="000000"/>
            </w:tcBorders>
          </w:tcPr>
          <w:p w:rsidR="0010628F" w:rsidRPr="001800B7" w:rsidRDefault="0010628F" w:rsidP="00AC163C">
            <w:pPr>
              <w:spacing w:before="120" w:after="120"/>
              <w:jc w:val="center"/>
              <w:rPr>
                <w:szCs w:val="22"/>
              </w:rPr>
            </w:pPr>
            <w:r w:rsidRPr="001800B7">
              <w:rPr>
                <w:szCs w:val="22"/>
              </w:rPr>
              <w:lastRenderedPageBreak/>
              <w:t>****</w:t>
            </w:r>
          </w:p>
        </w:tc>
      </w:tr>
      <w:tr w:rsidR="001800B7" w:rsidRPr="001800B7" w:rsidTr="00CC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8" w:type="dxa"/>
            <w:tcBorders>
              <w:top w:val="single" w:sz="2" w:space="0" w:color="000000"/>
              <w:left w:val="single" w:sz="2" w:space="0" w:color="000000"/>
              <w:bottom w:val="single" w:sz="2" w:space="0" w:color="000000"/>
              <w:right w:val="single" w:sz="2" w:space="0" w:color="000000"/>
            </w:tcBorders>
          </w:tcPr>
          <w:p w:rsidR="0010628F" w:rsidRPr="001800B7" w:rsidRDefault="0010628F" w:rsidP="00AC163C">
            <w:pPr>
              <w:spacing w:before="120" w:after="120"/>
              <w:rPr>
                <w:b/>
                <w:szCs w:val="22"/>
              </w:rPr>
            </w:pPr>
            <w:r w:rsidRPr="001800B7">
              <w:rPr>
                <w:szCs w:val="22"/>
              </w:rPr>
              <w:lastRenderedPageBreak/>
              <w:t>Renforcement des institutions des pays en développement pour ce qui est de l</w:t>
            </w:r>
            <w:r w:rsidR="005311D6" w:rsidRPr="001800B7">
              <w:rPr>
                <w:szCs w:val="22"/>
              </w:rPr>
              <w:t>’</w:t>
            </w:r>
            <w:r w:rsidRPr="001800B7">
              <w:rPr>
                <w:szCs w:val="22"/>
              </w:rPr>
              <w:t>utilisation et de l</w:t>
            </w:r>
            <w:r w:rsidR="005311D6" w:rsidRPr="001800B7">
              <w:rPr>
                <w:szCs w:val="22"/>
              </w:rPr>
              <w:t>’</w:t>
            </w:r>
            <w:r w:rsidRPr="001800B7">
              <w:rPr>
                <w:szCs w:val="22"/>
              </w:rPr>
              <w:t>élaboration des rapports panoramiques sur les brevets.</w:t>
            </w:r>
          </w:p>
        </w:tc>
        <w:tc>
          <w:tcPr>
            <w:tcW w:w="2695" w:type="dxa"/>
            <w:tcBorders>
              <w:top w:val="single" w:sz="2" w:space="0" w:color="000000"/>
              <w:left w:val="single" w:sz="2" w:space="0" w:color="000000"/>
              <w:bottom w:val="single" w:sz="2" w:space="0" w:color="000000"/>
              <w:right w:val="single" w:sz="2" w:space="0" w:color="000000"/>
            </w:tcBorders>
          </w:tcPr>
          <w:p w:rsidR="0010628F" w:rsidRPr="001800B7" w:rsidRDefault="001800B7" w:rsidP="00AC163C">
            <w:pPr>
              <w:spacing w:before="120" w:after="120"/>
              <w:rPr>
                <w:szCs w:val="22"/>
              </w:rPr>
            </w:pPr>
            <w:r w:rsidRPr="001800B7">
              <w:rPr>
                <w:szCs w:val="22"/>
              </w:rPr>
              <w:noBreakHyphen/>
            </w:r>
            <w:r w:rsidR="0010628F" w:rsidRPr="001800B7">
              <w:rPr>
                <w:szCs w:val="22"/>
              </w:rPr>
              <w:t xml:space="preserve"> 75% des participants de la conférence ou de l</w:t>
            </w:r>
            <w:r w:rsidR="005311D6" w:rsidRPr="001800B7">
              <w:rPr>
                <w:szCs w:val="22"/>
              </w:rPr>
              <w:t>’</w:t>
            </w:r>
            <w:r w:rsidR="0010628F" w:rsidRPr="001800B7">
              <w:rPr>
                <w:szCs w:val="22"/>
              </w:rPr>
              <w:t>atelier régional trouvent que leur compréhension de l</w:t>
            </w:r>
            <w:r w:rsidR="005311D6" w:rsidRPr="001800B7">
              <w:rPr>
                <w:szCs w:val="22"/>
              </w:rPr>
              <w:t>’</w:t>
            </w:r>
            <w:r w:rsidR="0010628F" w:rsidRPr="001800B7">
              <w:rPr>
                <w:szCs w:val="22"/>
              </w:rPr>
              <w:t>analyse de brevets s</w:t>
            </w:r>
            <w:r w:rsidR="005311D6" w:rsidRPr="001800B7">
              <w:rPr>
                <w:szCs w:val="22"/>
              </w:rPr>
              <w:t>’</w:t>
            </w:r>
            <w:r w:rsidR="0010628F" w:rsidRPr="001800B7">
              <w:rPr>
                <w:szCs w:val="22"/>
              </w:rPr>
              <w:t>est considérablement améliorée;</w:t>
            </w:r>
          </w:p>
          <w:p w:rsidR="0010628F" w:rsidRPr="001800B7" w:rsidRDefault="001800B7" w:rsidP="00AC163C">
            <w:pPr>
              <w:spacing w:before="120" w:after="120"/>
              <w:rPr>
                <w:szCs w:val="22"/>
              </w:rPr>
            </w:pPr>
            <w:r w:rsidRPr="001800B7">
              <w:rPr>
                <w:szCs w:val="22"/>
              </w:rPr>
              <w:noBreakHyphen/>
            </w:r>
            <w:r w:rsidR="0010628F" w:rsidRPr="001800B7">
              <w:rPr>
                <w:szCs w:val="22"/>
              </w:rPr>
              <w:t xml:space="preserve"> 75% des utilisateurs/lecteurs des orientations méthodologiques aux fins de l</w:t>
            </w:r>
            <w:r w:rsidR="005311D6" w:rsidRPr="001800B7">
              <w:rPr>
                <w:szCs w:val="22"/>
              </w:rPr>
              <w:t>’</w:t>
            </w:r>
            <w:r w:rsidR="0010628F" w:rsidRPr="001800B7">
              <w:rPr>
                <w:szCs w:val="22"/>
              </w:rPr>
              <w:t>élaboration de rapports panoramiques se disent satisfaits de la qualité des orientations;</w:t>
            </w:r>
          </w:p>
          <w:p w:rsidR="0010628F" w:rsidRPr="001800B7" w:rsidRDefault="001800B7" w:rsidP="00AC163C">
            <w:pPr>
              <w:spacing w:before="120" w:after="120"/>
              <w:rPr>
                <w:b/>
                <w:szCs w:val="22"/>
              </w:rPr>
            </w:pPr>
            <w:r w:rsidRPr="001800B7">
              <w:rPr>
                <w:b/>
                <w:szCs w:val="22"/>
              </w:rPr>
              <w:noBreakHyphen/>
            </w:r>
            <w:r w:rsidR="0010628F" w:rsidRPr="00F10337">
              <w:rPr>
                <w:szCs w:val="22"/>
              </w:rPr>
              <w:t xml:space="preserve"> 30% des utilisateurs/lecteurs de ces orientations les jugent utiles pour leurs propres activités.</w:t>
            </w:r>
          </w:p>
        </w:tc>
        <w:tc>
          <w:tcPr>
            <w:tcW w:w="2973" w:type="dxa"/>
            <w:tcBorders>
              <w:top w:val="single" w:sz="2" w:space="0" w:color="000000"/>
              <w:left w:val="single" w:sz="2" w:space="0" w:color="000000"/>
              <w:bottom w:val="single" w:sz="2" w:space="0" w:color="000000"/>
              <w:right w:val="single" w:sz="2" w:space="0" w:color="000000"/>
            </w:tcBorders>
          </w:tcPr>
          <w:p w:rsidR="0010628F" w:rsidRPr="001800B7" w:rsidRDefault="0010628F" w:rsidP="00AC163C">
            <w:pPr>
              <w:spacing w:before="120" w:after="120"/>
              <w:rPr>
                <w:rFonts w:eastAsia="MS Mincho"/>
                <w:b/>
                <w:szCs w:val="22"/>
                <w:lang w:eastAsia="ja-JP"/>
              </w:rPr>
            </w:pPr>
            <w:r w:rsidRPr="001800B7">
              <w:rPr>
                <w:bCs/>
                <w:szCs w:val="22"/>
              </w:rPr>
              <w:t>L</w:t>
            </w:r>
            <w:r w:rsidR="005311D6" w:rsidRPr="001800B7">
              <w:rPr>
                <w:bCs/>
                <w:szCs w:val="22"/>
              </w:rPr>
              <w:t>’</w:t>
            </w:r>
            <w:r w:rsidRPr="001800B7">
              <w:rPr>
                <w:bCs/>
                <w:szCs w:val="22"/>
              </w:rPr>
              <w:t>analyse des questionnaires d</w:t>
            </w:r>
            <w:r w:rsidR="005311D6" w:rsidRPr="001800B7">
              <w:rPr>
                <w:bCs/>
                <w:szCs w:val="22"/>
              </w:rPr>
              <w:t>’</w:t>
            </w:r>
            <w:r w:rsidRPr="001800B7">
              <w:rPr>
                <w:bCs/>
                <w:szCs w:val="22"/>
              </w:rPr>
              <w:t>évaluation remplis par les participants aux ateliers de Rio de Janeiro et de Manille montre que 75% d</w:t>
            </w:r>
            <w:r w:rsidR="005311D6" w:rsidRPr="001800B7">
              <w:rPr>
                <w:bCs/>
                <w:szCs w:val="22"/>
              </w:rPr>
              <w:t>’</w:t>
            </w:r>
            <w:r w:rsidRPr="001800B7">
              <w:rPr>
                <w:bCs/>
                <w:szCs w:val="22"/>
              </w:rPr>
              <w:t>entre eux ont trouvé les ateliers très utiles pour leurs tâches quotidiennes et se sont montrés extrêmement positifs quant à l</w:t>
            </w:r>
            <w:r w:rsidR="005311D6" w:rsidRPr="001800B7">
              <w:rPr>
                <w:bCs/>
                <w:szCs w:val="22"/>
              </w:rPr>
              <w:t>’</w:t>
            </w:r>
            <w:r w:rsidRPr="001800B7">
              <w:rPr>
                <w:bCs/>
                <w:szCs w:val="22"/>
              </w:rPr>
              <w:t>utilité et la qualité des informations fournies.  Ces dernières étaient extraites de tous les chapitres des orientations, ce qui reflète ainsi la satisfaction des participants au sujet des orientations, dont un projet leur a été remis.  Une enquête séparée concernant les orientations en tant que telles n</w:t>
            </w:r>
            <w:r w:rsidR="005311D6" w:rsidRPr="001800B7">
              <w:rPr>
                <w:bCs/>
                <w:szCs w:val="22"/>
              </w:rPr>
              <w:t>’</w:t>
            </w:r>
            <w:r w:rsidRPr="001800B7">
              <w:rPr>
                <w:bCs/>
                <w:szCs w:val="22"/>
              </w:rPr>
              <w:t>a pas été élaborée, mais devrait suivre la publication de ces orientations.</w:t>
            </w:r>
          </w:p>
        </w:tc>
        <w:tc>
          <w:tcPr>
            <w:tcW w:w="1455" w:type="dxa"/>
            <w:tcBorders>
              <w:top w:val="single" w:sz="2" w:space="0" w:color="000000"/>
              <w:left w:val="single" w:sz="2" w:space="0" w:color="000000"/>
              <w:bottom w:val="single" w:sz="2" w:space="0" w:color="000000"/>
              <w:right w:val="single" w:sz="2" w:space="0" w:color="000000"/>
            </w:tcBorders>
          </w:tcPr>
          <w:p w:rsidR="0010628F" w:rsidRPr="001800B7" w:rsidRDefault="0010628F" w:rsidP="00AC163C">
            <w:pPr>
              <w:spacing w:before="120" w:after="120"/>
              <w:jc w:val="center"/>
              <w:rPr>
                <w:szCs w:val="22"/>
              </w:rPr>
            </w:pPr>
            <w:r w:rsidRPr="001800B7">
              <w:rPr>
                <w:szCs w:val="22"/>
              </w:rPr>
              <w:t>****</w:t>
            </w:r>
          </w:p>
        </w:tc>
      </w:tr>
    </w:tbl>
    <w:p w:rsidR="0010628F" w:rsidRPr="001800B7" w:rsidRDefault="0010628F" w:rsidP="00CC0F0F">
      <w:pPr>
        <w:rPr>
          <w:szCs w:val="22"/>
        </w:rPr>
      </w:pPr>
    </w:p>
    <w:p w:rsidR="00CC0F0F" w:rsidRPr="001800B7" w:rsidRDefault="00CC0F0F" w:rsidP="00CC0F0F">
      <w:pPr>
        <w:rPr>
          <w:szCs w:val="22"/>
        </w:rPr>
      </w:pPr>
    </w:p>
    <w:p w:rsidR="0010628F" w:rsidRPr="001800B7" w:rsidRDefault="0010628F" w:rsidP="00CC0F0F">
      <w:pPr>
        <w:rPr>
          <w:szCs w:val="22"/>
        </w:rPr>
      </w:pPr>
    </w:p>
    <w:p w:rsidR="0010628F" w:rsidRPr="001800B7" w:rsidRDefault="0010628F" w:rsidP="00CC0F0F">
      <w:pPr>
        <w:pStyle w:val="Endofdocument-Annex"/>
        <w:rPr>
          <w:szCs w:val="22"/>
        </w:rPr>
        <w:sectPr w:rsidR="0010628F" w:rsidRPr="001800B7" w:rsidSect="00AC163C">
          <w:headerReference w:type="default" r:id="rId72"/>
          <w:headerReference w:type="first" r:id="rId73"/>
          <w:endnotePr>
            <w:numFmt w:val="decimal"/>
          </w:endnotePr>
          <w:pgSz w:w="11907" w:h="16840" w:code="9"/>
          <w:pgMar w:top="567" w:right="1134" w:bottom="1418" w:left="1418" w:header="510" w:footer="1021" w:gutter="0"/>
          <w:pgNumType w:start="1"/>
          <w:cols w:space="720"/>
          <w:titlePg/>
          <w:docGrid w:linePitch="299"/>
        </w:sectPr>
      </w:pPr>
      <w:r w:rsidRPr="001800B7">
        <w:rPr>
          <w:szCs w:val="22"/>
        </w:rPr>
        <w:t>[L</w:t>
      </w:r>
      <w:r w:rsidR="005311D6" w:rsidRPr="001800B7">
        <w:rPr>
          <w:szCs w:val="22"/>
        </w:rPr>
        <w:t>’</w:t>
      </w:r>
      <w:r w:rsidRPr="001800B7">
        <w:rPr>
          <w:szCs w:val="22"/>
        </w:rPr>
        <w:t>annexe XII suit]</w:t>
      </w:r>
    </w:p>
    <w:p w:rsidR="0010628F" w:rsidRPr="001800B7" w:rsidRDefault="0010628F" w:rsidP="00320D80">
      <w:pPr>
        <w:rPr>
          <w:szCs w:val="22"/>
        </w:rPr>
      </w:pPr>
      <w:r w:rsidRPr="001800B7">
        <w:rPr>
          <w:i/>
          <w:szCs w:val="22"/>
        </w:rPr>
        <w:lastRenderedPageBreak/>
        <w:t>Recommandation n° 1</w:t>
      </w:r>
      <w:r w:rsidRPr="001800B7">
        <w:rPr>
          <w:szCs w:val="22"/>
        </w:rPr>
        <w:t> : L</w:t>
      </w:r>
      <w:r w:rsidR="005311D6" w:rsidRPr="001800B7">
        <w:rPr>
          <w:szCs w:val="22"/>
        </w:rPr>
        <w:t>’</w:t>
      </w:r>
      <w:r w:rsidRPr="001800B7">
        <w:rPr>
          <w:szCs w:val="22"/>
        </w:rPr>
        <w:t>assistance technique de l</w:t>
      </w:r>
      <w:r w:rsidR="005311D6" w:rsidRPr="001800B7">
        <w:rPr>
          <w:szCs w:val="22"/>
        </w:rPr>
        <w:t>’</w:t>
      </w:r>
      <w:r w:rsidRPr="001800B7">
        <w:rPr>
          <w:szCs w:val="22"/>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  À cet égard, les mécanismes d</w:t>
      </w:r>
      <w:r w:rsidR="005311D6" w:rsidRPr="001800B7">
        <w:rPr>
          <w:szCs w:val="22"/>
        </w:rPr>
        <w:t>’</w:t>
      </w:r>
      <w:r w:rsidRPr="001800B7">
        <w:rPr>
          <w:szCs w:val="22"/>
        </w:rPr>
        <w:t>établissement et d</w:t>
      </w:r>
      <w:r w:rsidR="005311D6" w:rsidRPr="001800B7">
        <w:rPr>
          <w:szCs w:val="22"/>
        </w:rPr>
        <w:t>’</w:t>
      </w:r>
      <w:r w:rsidRPr="001800B7">
        <w:rPr>
          <w:szCs w:val="22"/>
        </w:rPr>
        <w:t>exécution et procédures d</w:t>
      </w:r>
      <w:r w:rsidR="005311D6" w:rsidRPr="001800B7">
        <w:rPr>
          <w:szCs w:val="22"/>
        </w:rPr>
        <w:t>’</w:t>
      </w:r>
      <w:r w:rsidRPr="001800B7">
        <w:rPr>
          <w:szCs w:val="22"/>
        </w:rPr>
        <w:t>évaluation des programmes d</w:t>
      </w:r>
      <w:r w:rsidR="005311D6" w:rsidRPr="001800B7">
        <w:rPr>
          <w:szCs w:val="22"/>
        </w:rPr>
        <w:t>’</w:t>
      </w:r>
      <w:r w:rsidRPr="001800B7">
        <w:rPr>
          <w:szCs w:val="22"/>
        </w:rPr>
        <w:t>assistance technique doivent être ciblés par pays.</w:t>
      </w:r>
    </w:p>
    <w:p w:rsidR="00320D80" w:rsidRPr="001800B7" w:rsidRDefault="00320D80" w:rsidP="00320D80">
      <w:pPr>
        <w:rPr>
          <w:szCs w:val="22"/>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5"/>
        <w:gridCol w:w="7917"/>
      </w:tblGrid>
      <w:tr w:rsidR="001800B7" w:rsidRPr="001800B7" w:rsidTr="00320D80">
        <w:tc>
          <w:tcPr>
            <w:tcW w:w="6515" w:type="dxa"/>
            <w:shd w:val="clear" w:color="auto" w:fill="auto"/>
          </w:tcPr>
          <w:p w:rsidR="0010628F" w:rsidRPr="001800B7" w:rsidRDefault="0010628F" w:rsidP="00320D80">
            <w:pPr>
              <w:autoSpaceDE w:val="0"/>
              <w:spacing w:before="120" w:after="120"/>
              <w:outlineLvl w:val="2"/>
              <w:rPr>
                <w:szCs w:val="22"/>
              </w:rPr>
            </w:pPr>
            <w:r w:rsidRPr="001800B7">
              <w:rPr>
                <w:szCs w:val="22"/>
                <w:u w:val="single"/>
              </w:rPr>
              <w:t>Stratégies de mise en œuvre</w:t>
            </w:r>
          </w:p>
        </w:tc>
        <w:tc>
          <w:tcPr>
            <w:tcW w:w="7917" w:type="dxa"/>
            <w:tcBorders>
              <w:bottom w:val="single" w:sz="4" w:space="0" w:color="auto"/>
            </w:tcBorders>
            <w:shd w:val="clear" w:color="auto" w:fill="auto"/>
          </w:tcPr>
          <w:p w:rsidR="0010628F" w:rsidRPr="001800B7" w:rsidRDefault="0010628F" w:rsidP="00320D80">
            <w:pPr>
              <w:autoSpaceDE w:val="0"/>
              <w:spacing w:before="120" w:after="120"/>
              <w:outlineLvl w:val="2"/>
              <w:rPr>
                <w:szCs w:val="22"/>
              </w:rPr>
            </w:pPr>
            <w:r w:rsidRPr="001800B7">
              <w:rPr>
                <w:bCs/>
                <w:szCs w:val="22"/>
                <w:u w:val="single"/>
              </w:rPr>
              <w:t>Réalisations</w:t>
            </w:r>
          </w:p>
        </w:tc>
      </w:tr>
      <w:tr w:rsidR="001800B7" w:rsidRPr="001800B7" w:rsidTr="00320D80">
        <w:tblPrEx>
          <w:tblCellMar>
            <w:top w:w="108" w:type="dxa"/>
            <w:bottom w:w="108" w:type="dxa"/>
          </w:tblCellMar>
        </w:tblPrEx>
        <w:tc>
          <w:tcPr>
            <w:tcW w:w="6515" w:type="dxa"/>
            <w:shd w:val="clear" w:color="auto" w:fill="auto"/>
          </w:tcPr>
          <w:p w:rsidR="0010628F" w:rsidRPr="001800B7" w:rsidRDefault="0010628F" w:rsidP="00320D80">
            <w:pPr>
              <w:spacing w:before="120" w:after="120"/>
              <w:rPr>
                <w:szCs w:val="22"/>
              </w:rPr>
            </w:pPr>
            <w:r w:rsidRPr="001800B7">
              <w:rPr>
                <w:szCs w:val="22"/>
              </w:rPr>
              <w:t>Des activités d</w:t>
            </w:r>
            <w:r w:rsidR="005311D6" w:rsidRPr="001800B7">
              <w:rPr>
                <w:szCs w:val="22"/>
              </w:rPr>
              <w:t>’</w:t>
            </w:r>
            <w:r w:rsidRPr="001800B7">
              <w:rPr>
                <w:szCs w:val="22"/>
              </w:rPr>
              <w:t>assistance technique ont été menées à la demande des États membres;  elles ont été conçues, formulées et mises en œuvre en étroite collaboration avec les pays concernés afin de correspondre à leurs besoins spécifiques, à leurs priorités et à leur niveau de développement, en particulier en ce qui concerne les pays les moins avancés (PMA).</w:t>
            </w:r>
          </w:p>
          <w:p w:rsidR="0010628F" w:rsidRPr="001800B7" w:rsidRDefault="0010628F" w:rsidP="00320D80">
            <w:pPr>
              <w:spacing w:before="120" w:after="120"/>
              <w:rPr>
                <w:szCs w:val="22"/>
              </w:rPr>
            </w:pPr>
            <w:r w:rsidRPr="001800B7">
              <w:rPr>
                <w:szCs w:val="22"/>
              </w:rPr>
              <w:t>Des pays ont bénéficié d</w:t>
            </w:r>
            <w:r w:rsidR="005311D6" w:rsidRPr="001800B7">
              <w:rPr>
                <w:szCs w:val="22"/>
              </w:rPr>
              <w:t>’</w:t>
            </w:r>
            <w:r w:rsidRPr="001800B7">
              <w:rPr>
                <w:szCs w:val="22"/>
              </w:rPr>
              <w:t>une assistance pour formuler des stratégies nationales dans le domaine de la propriété intellectuelle, avec la participation de toutes les parties prenantes.  La finalité globale de ces plans et stratégies est de contribuer au développement économique, social, culturel et technologique des pays bénéficiaires grâce à une utilisation performante du système de la propriété intellectuelle.</w:t>
            </w:r>
          </w:p>
          <w:p w:rsidR="0010628F" w:rsidRPr="001800B7" w:rsidRDefault="0010628F" w:rsidP="00320D80">
            <w:pPr>
              <w:spacing w:before="120" w:after="120"/>
              <w:rPr>
                <w:szCs w:val="22"/>
              </w:rPr>
            </w:pPr>
            <w:r w:rsidRPr="001800B7">
              <w:rPr>
                <w:szCs w:val="22"/>
              </w:rPr>
              <w:t>La responsabilité première du processus revient aux pays concernés, l</w:t>
            </w:r>
            <w:r w:rsidR="005311D6" w:rsidRPr="001800B7">
              <w:rPr>
                <w:szCs w:val="22"/>
              </w:rPr>
              <w:t>’</w:t>
            </w:r>
            <w:r w:rsidRPr="001800B7">
              <w:rPr>
                <w:szCs w:val="22"/>
              </w:rPr>
              <w:t>OMPI assumant pleinement son engagement de fournir toute l</w:t>
            </w:r>
            <w:r w:rsidR="005311D6" w:rsidRPr="001800B7">
              <w:rPr>
                <w:szCs w:val="22"/>
              </w:rPr>
              <w:t>’</w:t>
            </w:r>
            <w:r w:rsidRPr="001800B7">
              <w:rPr>
                <w:szCs w:val="22"/>
              </w:rPr>
              <w:t>assistance technique et la coopération nécessaires de façon efficace et rationnelle et dans les délais.</w:t>
            </w:r>
          </w:p>
        </w:tc>
        <w:tc>
          <w:tcPr>
            <w:tcW w:w="7917" w:type="dxa"/>
            <w:shd w:val="clear" w:color="auto" w:fill="auto"/>
          </w:tcPr>
          <w:p w:rsidR="0010628F" w:rsidRPr="001800B7" w:rsidRDefault="0010628F" w:rsidP="00320D80">
            <w:pPr>
              <w:spacing w:before="120" w:after="120"/>
              <w:rPr>
                <w:szCs w:val="22"/>
              </w:rPr>
            </w:pPr>
            <w:r w:rsidRPr="001800B7">
              <w:rPr>
                <w:szCs w:val="22"/>
              </w:rPr>
              <w:t>Des activités d</w:t>
            </w:r>
            <w:r w:rsidR="005311D6" w:rsidRPr="001800B7">
              <w:rPr>
                <w:szCs w:val="22"/>
              </w:rPr>
              <w:t>’</w:t>
            </w:r>
            <w:r w:rsidRPr="001800B7">
              <w:rPr>
                <w:szCs w:val="22"/>
              </w:rPr>
              <w:t>assistance technique et des programmes de formation en matière de propriété intellectuelle ont été élaborés et exécutés dans toutes les régions compte tenu des besoins spécifiques et du niveau de développement des pays concernés.</w:t>
            </w:r>
          </w:p>
          <w:p w:rsidR="0010628F" w:rsidRPr="001800B7" w:rsidRDefault="0010628F" w:rsidP="00320D80">
            <w:pPr>
              <w:autoSpaceDE w:val="0"/>
              <w:spacing w:before="120" w:after="120"/>
              <w:rPr>
                <w:szCs w:val="22"/>
              </w:rPr>
            </w:pPr>
            <w:r w:rsidRPr="001800B7">
              <w:rPr>
                <w:szCs w:val="22"/>
              </w:rPr>
              <w:t>Les activités d</w:t>
            </w:r>
            <w:r w:rsidR="005311D6" w:rsidRPr="001800B7">
              <w:rPr>
                <w:szCs w:val="22"/>
              </w:rPr>
              <w:t>’</w:t>
            </w:r>
            <w:r w:rsidRPr="001800B7">
              <w:rPr>
                <w:szCs w:val="22"/>
              </w:rPr>
              <w:t>assistance technique entreprises pendant la période faisant l</w:t>
            </w:r>
            <w:r w:rsidR="005311D6" w:rsidRPr="001800B7">
              <w:rPr>
                <w:szCs w:val="22"/>
              </w:rPr>
              <w:t>’</w:t>
            </w:r>
            <w:r w:rsidRPr="001800B7">
              <w:rPr>
                <w:szCs w:val="22"/>
              </w:rPr>
              <w:t>objet du présent rapport sont décrites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qui est disponible à l</w:t>
            </w:r>
            <w:r w:rsidR="005311D6" w:rsidRPr="001800B7">
              <w:rPr>
                <w:szCs w:val="22"/>
              </w:rPr>
              <w:t>’</w:t>
            </w:r>
            <w:r w:rsidRPr="001800B7">
              <w:rPr>
                <w:szCs w:val="22"/>
              </w:rPr>
              <w:t xml:space="preserve">adresse suivante : </w:t>
            </w:r>
            <w:r w:rsidRPr="001800B7">
              <w:rPr>
                <w:szCs w:val="22"/>
                <w:u w:val="single"/>
              </w:rPr>
              <w:t>http://www.wipo.int/tad/en/</w:t>
            </w:r>
            <w:r w:rsidRPr="001800B7">
              <w:rPr>
                <w:szCs w:val="22"/>
              </w:rPr>
              <w:t>.</w:t>
            </w:r>
          </w:p>
          <w:p w:rsidR="0010628F" w:rsidRPr="001800B7" w:rsidRDefault="0010628F" w:rsidP="00320D80">
            <w:pPr>
              <w:spacing w:before="120" w:after="120"/>
              <w:rPr>
                <w:szCs w:val="22"/>
              </w:rPr>
            </w:pPr>
            <w:r w:rsidRPr="001800B7">
              <w:rPr>
                <w:bCs/>
                <w:szCs w:val="22"/>
              </w:rPr>
              <w:t>Concernant la propriété intellectuelle, les stratégies et plans nationaux ont été adoptés dans 11 pays (trois en Afrique, trois en Asie et dans le Pacifique, trois en Amérique latine et la région des Caraïbes et deux dans la région arabe) et lancés dans 32 pays (13 en Afrique, huit en Asie et dans le Pacifique, huit en Amérique latine et dans les Caraïbes et trois dans la région arabe).</w:t>
            </w:r>
          </w:p>
          <w:p w:rsidR="0010628F" w:rsidRPr="001800B7" w:rsidRDefault="0010628F" w:rsidP="00320D80">
            <w:pPr>
              <w:spacing w:before="120" w:after="12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réalisations liées à cette recommandation de 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 xml:space="preserve">2013 (document WO/PBC/22/8), en particulier les programmes 9 et 10.  </w:t>
            </w:r>
          </w:p>
        </w:tc>
      </w:tr>
    </w:tbl>
    <w:p w:rsidR="0010628F" w:rsidRPr="001800B7" w:rsidRDefault="0010628F" w:rsidP="0010628F">
      <w:pPr>
        <w:spacing w:before="120" w:after="120"/>
        <w:rPr>
          <w:bCs/>
          <w:i/>
          <w:szCs w:val="22"/>
        </w:rPr>
      </w:pPr>
    </w:p>
    <w:p w:rsidR="0010628F" w:rsidRPr="001800B7" w:rsidRDefault="0010628F" w:rsidP="00320D80">
      <w:pPr>
        <w:rPr>
          <w:szCs w:val="22"/>
        </w:rPr>
      </w:pPr>
      <w:r w:rsidRPr="001800B7">
        <w:rPr>
          <w:i/>
          <w:szCs w:val="22"/>
        </w:rPr>
        <w:br w:type="page"/>
      </w:r>
      <w:r w:rsidRPr="001800B7">
        <w:rPr>
          <w:i/>
          <w:szCs w:val="22"/>
        </w:rPr>
        <w:lastRenderedPageBreak/>
        <w:t xml:space="preserve">Recommandation n° 3 : </w:t>
      </w:r>
      <w:r w:rsidRPr="001800B7">
        <w:rPr>
          <w:szCs w:val="22"/>
        </w:rPr>
        <w:t>Accroître les ressources humaines et financières en faveur des programmes d</w:t>
      </w:r>
      <w:r w:rsidR="005311D6" w:rsidRPr="001800B7">
        <w:rPr>
          <w:szCs w:val="22"/>
        </w:rPr>
        <w:t>’</w:t>
      </w:r>
      <w:r w:rsidRPr="001800B7">
        <w:rPr>
          <w:szCs w:val="22"/>
        </w:rPr>
        <w:t>assistance technique de l</w:t>
      </w:r>
      <w:r w:rsidR="005311D6" w:rsidRPr="001800B7">
        <w:rPr>
          <w:szCs w:val="22"/>
        </w:rPr>
        <w:t>’</w:t>
      </w:r>
      <w:r w:rsidRPr="001800B7">
        <w:rPr>
          <w:szCs w:val="22"/>
        </w:rPr>
        <w:t>OMPI pour promouvoir notamment une culture de la propriété intellectuelle axée sur le développement, en mettant l</w:t>
      </w:r>
      <w:r w:rsidR="005311D6" w:rsidRPr="001800B7">
        <w:rPr>
          <w:szCs w:val="22"/>
        </w:rPr>
        <w:t>’</w:t>
      </w:r>
      <w:r w:rsidRPr="001800B7">
        <w:rPr>
          <w:szCs w:val="22"/>
        </w:rPr>
        <w:t>accent sur l</w:t>
      </w:r>
      <w:r w:rsidR="005311D6" w:rsidRPr="001800B7">
        <w:rPr>
          <w:szCs w:val="22"/>
        </w:rPr>
        <w:t>’</w:t>
      </w:r>
      <w:r w:rsidRPr="001800B7">
        <w:rPr>
          <w:szCs w:val="22"/>
        </w:rPr>
        <w:t>initiation à la propriété intellectuelle dans les programmes d</w:t>
      </w:r>
      <w:r w:rsidR="005311D6" w:rsidRPr="001800B7">
        <w:rPr>
          <w:szCs w:val="22"/>
        </w:rPr>
        <w:t>’</w:t>
      </w:r>
      <w:r w:rsidRPr="001800B7">
        <w:rPr>
          <w:szCs w:val="22"/>
        </w:rPr>
        <w:t>enseignement de différents niveaux et la sensibilisation accrue de l</w:t>
      </w:r>
      <w:r w:rsidR="005311D6" w:rsidRPr="001800B7">
        <w:rPr>
          <w:szCs w:val="22"/>
        </w:rPr>
        <w:t>’</w:t>
      </w:r>
      <w:r w:rsidRPr="001800B7">
        <w:rPr>
          <w:szCs w:val="22"/>
        </w:rPr>
        <w:t>opinion publique à la propriété intellectuelle</w:t>
      </w:r>
      <w:r w:rsidRPr="001800B7">
        <w:rPr>
          <w:i/>
          <w:szCs w:val="22"/>
        </w:rPr>
        <w:t>.</w:t>
      </w:r>
    </w:p>
    <w:p w:rsidR="0010628F" w:rsidRPr="001800B7" w:rsidRDefault="0010628F" w:rsidP="00320D80">
      <w:pPr>
        <w:rPr>
          <w:szCs w:val="22"/>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3"/>
        <w:gridCol w:w="9315"/>
      </w:tblGrid>
      <w:tr w:rsidR="001800B7" w:rsidRPr="001800B7" w:rsidTr="00320D80">
        <w:tc>
          <w:tcPr>
            <w:tcW w:w="6515" w:type="dxa"/>
            <w:shd w:val="clear" w:color="auto" w:fill="auto"/>
          </w:tcPr>
          <w:p w:rsidR="00320D80" w:rsidRPr="001800B7" w:rsidRDefault="00320D80" w:rsidP="007C1A09">
            <w:pPr>
              <w:autoSpaceDE w:val="0"/>
              <w:spacing w:before="120" w:after="120"/>
              <w:outlineLvl w:val="2"/>
              <w:rPr>
                <w:szCs w:val="22"/>
              </w:rPr>
            </w:pPr>
            <w:r w:rsidRPr="001800B7">
              <w:rPr>
                <w:szCs w:val="22"/>
                <w:u w:val="single"/>
              </w:rPr>
              <w:t>Stratégies de mise en œuvre</w:t>
            </w:r>
          </w:p>
        </w:tc>
        <w:tc>
          <w:tcPr>
            <w:tcW w:w="7917" w:type="dxa"/>
            <w:tcBorders>
              <w:bottom w:val="single" w:sz="4" w:space="0" w:color="auto"/>
            </w:tcBorders>
            <w:shd w:val="clear" w:color="auto" w:fill="auto"/>
          </w:tcPr>
          <w:p w:rsidR="00320D80" w:rsidRPr="001800B7" w:rsidRDefault="00320D80" w:rsidP="007C1A09">
            <w:pPr>
              <w:autoSpaceDE w:val="0"/>
              <w:spacing w:before="120" w:after="120"/>
              <w:outlineLvl w:val="2"/>
              <w:rPr>
                <w:szCs w:val="22"/>
              </w:rPr>
            </w:pPr>
            <w:r w:rsidRPr="001800B7">
              <w:rPr>
                <w:bCs/>
                <w:szCs w:val="22"/>
                <w:u w:val="single"/>
              </w:rPr>
              <w:t>Réalisations</w:t>
            </w:r>
          </w:p>
        </w:tc>
      </w:tr>
      <w:tr w:rsidR="001800B7" w:rsidRPr="001800B7" w:rsidTr="00320D80">
        <w:tblPrEx>
          <w:tblCellMar>
            <w:top w:w="108" w:type="dxa"/>
            <w:bottom w:w="108" w:type="dxa"/>
          </w:tblCellMar>
        </w:tblPrEx>
        <w:tc>
          <w:tcPr>
            <w:tcW w:w="6519" w:type="dxa"/>
            <w:tcBorders>
              <w:bottom w:val="single" w:sz="4" w:space="0" w:color="auto"/>
            </w:tcBorders>
            <w:shd w:val="clear" w:color="auto" w:fill="auto"/>
          </w:tcPr>
          <w:p w:rsidR="0010628F" w:rsidRPr="001800B7" w:rsidRDefault="0010628F" w:rsidP="00AC163C">
            <w:pPr>
              <w:autoSpaceDE w:val="0"/>
              <w:spacing w:before="120" w:after="120"/>
              <w:outlineLvl w:val="3"/>
              <w:rPr>
                <w:bCs/>
                <w:i/>
                <w:szCs w:val="22"/>
              </w:rPr>
            </w:pPr>
            <w:r w:rsidRPr="001800B7">
              <w:rPr>
                <w:bCs/>
                <w:i/>
                <w:szCs w:val="22"/>
              </w:rPr>
              <w:t>Promouvoir une culture de la propriété intellectuelle axée sur le développement et mieux sensibiliser l</w:t>
            </w:r>
            <w:r w:rsidR="005311D6" w:rsidRPr="001800B7">
              <w:rPr>
                <w:bCs/>
                <w:i/>
                <w:szCs w:val="22"/>
              </w:rPr>
              <w:t>’</w:t>
            </w:r>
            <w:r w:rsidRPr="001800B7">
              <w:rPr>
                <w:bCs/>
                <w:i/>
                <w:szCs w:val="22"/>
              </w:rPr>
              <w:t>opinion publique à la propriété intellectuelle</w:t>
            </w:r>
          </w:p>
          <w:p w:rsidR="0010628F" w:rsidRPr="001800B7" w:rsidRDefault="0010628F" w:rsidP="00AC163C">
            <w:pPr>
              <w:spacing w:before="120" w:after="120"/>
              <w:rPr>
                <w:szCs w:val="22"/>
              </w:rPr>
            </w:pPr>
            <w:r w:rsidRPr="001800B7">
              <w:rPr>
                <w:szCs w:val="22"/>
              </w:rPr>
              <w:t>La sensibilisation de tous les secteurs de la société au rôle essentiel de la propriété intellectuelle dans le développement des pays et la promotion d</w:t>
            </w:r>
            <w:r w:rsidR="005311D6" w:rsidRPr="001800B7">
              <w:rPr>
                <w:szCs w:val="22"/>
              </w:rPr>
              <w:t>’</w:t>
            </w:r>
            <w:r w:rsidRPr="001800B7">
              <w:rPr>
                <w:szCs w:val="22"/>
              </w:rPr>
              <w:t>un débat éclairé et équilibré sur les questions de propriété intellectuelle continuent de faire partie intégrante du programme et des activités de l</w:t>
            </w:r>
            <w:r w:rsidR="005311D6" w:rsidRPr="001800B7">
              <w:rPr>
                <w:szCs w:val="22"/>
              </w:rPr>
              <w:t>’</w:t>
            </w:r>
            <w:r w:rsidRPr="001800B7">
              <w:rPr>
                <w:szCs w:val="22"/>
              </w:rPr>
              <w:t>OMPI intellectuelle.  Aux fins de la promotion d</w:t>
            </w:r>
            <w:r w:rsidR="005311D6" w:rsidRPr="001800B7">
              <w:rPr>
                <w:szCs w:val="22"/>
              </w:rPr>
              <w:t>’</w:t>
            </w:r>
            <w:r w:rsidRPr="001800B7">
              <w:rPr>
                <w:szCs w:val="22"/>
              </w:rPr>
              <w:t>une culture de la propriété intellectuelle axée sur le développement, l</w:t>
            </w:r>
            <w:r w:rsidR="005311D6" w:rsidRPr="001800B7">
              <w:rPr>
                <w:szCs w:val="22"/>
              </w:rPr>
              <w:t>’</w:t>
            </w:r>
            <w:r w:rsidRPr="001800B7">
              <w:rPr>
                <w:szCs w:val="22"/>
              </w:rPr>
              <w:t xml:space="preserve">OMPI encourage la participation de toutes les parties prenantes au niveau national dans le cadre de divers programmes et activités.  Des programmes spécifiques sont adaptés aux besoins des organismes publics, parties prenantes dans le domaine de la propriété intellectuelle et utilisateurs, et ciblent différents secteurs de la société, notamment les universités et centres de recherche, les PME, les industries culturelles, les magistrats, les fonctionnaires nationaux et la société civile.  </w:t>
            </w:r>
          </w:p>
        </w:tc>
        <w:tc>
          <w:tcPr>
            <w:tcW w:w="7909" w:type="dxa"/>
            <w:tcBorders>
              <w:bottom w:val="single" w:sz="4" w:space="0" w:color="auto"/>
            </w:tcBorders>
            <w:shd w:val="clear" w:color="auto" w:fill="auto"/>
          </w:tcPr>
          <w:p w:rsidR="0010628F" w:rsidRPr="001800B7" w:rsidRDefault="0010628F" w:rsidP="00AC163C">
            <w:pPr>
              <w:spacing w:before="120" w:after="120"/>
              <w:rPr>
                <w:szCs w:val="22"/>
              </w:rPr>
            </w:pPr>
            <w:r w:rsidRPr="001800B7">
              <w:rPr>
                <w:szCs w:val="22"/>
              </w:rPr>
              <w:t>Le site Web de l</w:t>
            </w:r>
            <w:r w:rsidR="005311D6" w:rsidRPr="001800B7">
              <w:rPr>
                <w:szCs w:val="22"/>
              </w:rPr>
              <w:t>’</w:t>
            </w:r>
            <w:r w:rsidRPr="001800B7">
              <w:rPr>
                <w:szCs w:val="22"/>
              </w:rPr>
              <w:t>OMPI a été restructuré et lancé en novembre 2013 afin de répondre aux besoins des diverses parties prenantes.  Un retour d</w:t>
            </w:r>
            <w:r w:rsidR="005311D6" w:rsidRPr="001800B7">
              <w:rPr>
                <w:szCs w:val="22"/>
              </w:rPr>
              <w:t>’</w:t>
            </w:r>
            <w:r w:rsidRPr="001800B7">
              <w:rPr>
                <w:szCs w:val="22"/>
              </w:rPr>
              <w:t>information positif a été reçu de la part des utilisateurs.</w:t>
            </w:r>
            <w:r w:rsidR="00320D80" w:rsidRPr="001800B7">
              <w:rPr>
                <w:szCs w:val="22"/>
              </w:rPr>
              <w:br/>
            </w:r>
          </w:p>
          <w:p w:rsidR="0010628F" w:rsidRPr="001800B7" w:rsidRDefault="0010628F" w:rsidP="00AC163C">
            <w:pPr>
              <w:spacing w:before="120" w:after="120"/>
              <w:rPr>
                <w:szCs w:val="22"/>
              </w:rPr>
            </w:pPr>
            <w:r w:rsidRPr="001800B7">
              <w:rPr>
                <w:szCs w:val="22"/>
              </w:rPr>
              <w:t>Amélioration de l</w:t>
            </w:r>
            <w:r w:rsidR="005311D6" w:rsidRPr="001800B7">
              <w:rPr>
                <w:szCs w:val="22"/>
              </w:rPr>
              <w:t>’</w:t>
            </w:r>
            <w:r w:rsidRPr="001800B7">
              <w:rPr>
                <w:szCs w:val="22"/>
              </w:rPr>
              <w:t>accès à l</w:t>
            </w:r>
            <w:r w:rsidR="005311D6" w:rsidRPr="001800B7">
              <w:rPr>
                <w:szCs w:val="22"/>
              </w:rPr>
              <w:t>’</w:t>
            </w:r>
            <w:r w:rsidRPr="001800B7">
              <w:rPr>
                <w:szCs w:val="22"/>
              </w:rPr>
              <w:t>information et aux connaissances dans le domaine de la propriété intellectuelle, notamment par le biais de la présence officielle de l</w:t>
            </w:r>
            <w:r w:rsidR="005311D6" w:rsidRPr="001800B7">
              <w:rPr>
                <w:szCs w:val="22"/>
              </w:rPr>
              <w:t>’</w:t>
            </w:r>
            <w:r w:rsidRPr="001800B7">
              <w:rPr>
                <w:szCs w:val="22"/>
              </w:rPr>
              <w:t xml:space="preserve">Organisation dans des réseaux sociaux tels que Twitter, Flickr (partage de photos), </w:t>
            </w:r>
            <w:proofErr w:type="spellStart"/>
            <w:r w:rsidRPr="001800B7">
              <w:rPr>
                <w:szCs w:val="22"/>
              </w:rPr>
              <w:t>Scribd</w:t>
            </w:r>
            <w:proofErr w:type="spellEnd"/>
            <w:r w:rsidRPr="001800B7">
              <w:rPr>
                <w:szCs w:val="22"/>
              </w:rPr>
              <w:t xml:space="preserve"> (partage de documents en ligne).</w:t>
            </w:r>
          </w:p>
          <w:p w:rsidR="0010628F" w:rsidRPr="001800B7" w:rsidRDefault="0010628F" w:rsidP="00AC163C">
            <w:pPr>
              <w:spacing w:before="120" w:after="120"/>
              <w:rPr>
                <w:szCs w:val="22"/>
              </w:rPr>
            </w:pPr>
            <w:r w:rsidRPr="001800B7">
              <w:rPr>
                <w:szCs w:val="22"/>
              </w:rPr>
              <w:t>Parmi les responsables politiques et le grand public, meilleure compréhension du rôle que joue la propriété intellectuelle par le biais d</w:t>
            </w:r>
            <w:r w:rsidR="005311D6" w:rsidRPr="001800B7">
              <w:rPr>
                <w:szCs w:val="22"/>
              </w:rPr>
              <w:t>’</w:t>
            </w:r>
            <w:r w:rsidRPr="001800B7">
              <w:rPr>
                <w:szCs w:val="22"/>
              </w:rPr>
              <w:t>une utilisation intensive du canal de l</w:t>
            </w:r>
            <w:r w:rsidR="005311D6" w:rsidRPr="001800B7">
              <w:rPr>
                <w:szCs w:val="22"/>
              </w:rPr>
              <w:t>’</w:t>
            </w:r>
            <w:r w:rsidRPr="001800B7">
              <w:rPr>
                <w:szCs w:val="22"/>
              </w:rPr>
              <w:t xml:space="preserve">OMPI sur </w:t>
            </w:r>
            <w:proofErr w:type="spellStart"/>
            <w:r w:rsidRPr="001800B7">
              <w:rPr>
                <w:szCs w:val="22"/>
              </w:rPr>
              <w:t>Youtube</w:t>
            </w:r>
            <w:proofErr w:type="spellEnd"/>
            <w:r w:rsidRPr="001800B7">
              <w:rPr>
                <w:szCs w:val="22"/>
              </w:rPr>
              <w:t>.</w:t>
            </w:r>
          </w:p>
          <w:p w:rsidR="0010628F" w:rsidRPr="001800B7" w:rsidRDefault="0010628F" w:rsidP="00AC163C">
            <w:pPr>
              <w:spacing w:before="120" w:after="120"/>
              <w:rPr>
                <w:szCs w:val="22"/>
              </w:rPr>
            </w:pPr>
            <w:r w:rsidRPr="001800B7">
              <w:rPr>
                <w:szCs w:val="22"/>
              </w:rPr>
              <w:t xml:space="preserve">Extension de la base de données IP </w:t>
            </w:r>
            <w:proofErr w:type="spellStart"/>
            <w:r w:rsidRPr="001800B7">
              <w:rPr>
                <w:szCs w:val="22"/>
              </w:rPr>
              <w:t>Advantage</w:t>
            </w:r>
            <w:proofErr w:type="spellEnd"/>
            <w:r w:rsidRPr="001800B7">
              <w:rPr>
                <w:szCs w:val="22"/>
              </w:rPr>
              <w:t xml:space="preserve"> sur les réussites en matière de propriété intellectuelle qui a fait l</w:t>
            </w:r>
            <w:r w:rsidR="005311D6" w:rsidRPr="001800B7">
              <w:rPr>
                <w:szCs w:val="22"/>
              </w:rPr>
              <w:t>’</w:t>
            </w:r>
            <w:r w:rsidRPr="001800B7">
              <w:rPr>
                <w:szCs w:val="22"/>
              </w:rPr>
              <w:t>objet de plus de 312 000 visites en 2012</w:t>
            </w:r>
            <w:r w:rsidR="001800B7" w:rsidRPr="001800B7">
              <w:rPr>
                <w:szCs w:val="22"/>
              </w:rPr>
              <w:noBreakHyphen/>
            </w:r>
            <w:r w:rsidRPr="001800B7">
              <w:rPr>
                <w:szCs w:val="22"/>
              </w:rPr>
              <w:t>2013.</w:t>
            </w:r>
          </w:p>
          <w:p w:rsidR="0010628F" w:rsidRPr="001800B7" w:rsidRDefault="0010628F" w:rsidP="00AC163C">
            <w:pPr>
              <w:spacing w:before="120" w:after="12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réalisations liées à cette recommandation de 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2013 (document WO/PBC/22/8), en particulier le programme 19.</w:t>
            </w:r>
          </w:p>
        </w:tc>
      </w:tr>
      <w:tr w:rsidR="001800B7" w:rsidRPr="001800B7" w:rsidTr="00320D80">
        <w:tblPrEx>
          <w:tblCellMar>
            <w:top w:w="108" w:type="dxa"/>
            <w:bottom w:w="108" w:type="dxa"/>
          </w:tblCellMar>
        </w:tblPrEx>
        <w:trPr>
          <w:trHeight w:val="1035"/>
        </w:trPr>
        <w:tc>
          <w:tcPr>
            <w:tcW w:w="6519" w:type="dxa"/>
            <w:shd w:val="clear" w:color="auto" w:fill="auto"/>
          </w:tcPr>
          <w:p w:rsidR="0010628F" w:rsidRPr="001800B7" w:rsidRDefault="0010628F" w:rsidP="00AC163C">
            <w:pPr>
              <w:autoSpaceDE w:val="0"/>
              <w:spacing w:before="120" w:after="120"/>
              <w:outlineLvl w:val="3"/>
              <w:rPr>
                <w:bCs/>
                <w:i/>
                <w:szCs w:val="22"/>
              </w:rPr>
            </w:pPr>
            <w:r w:rsidRPr="001800B7">
              <w:rPr>
                <w:bCs/>
                <w:i/>
                <w:szCs w:val="22"/>
              </w:rPr>
              <w:lastRenderedPageBreak/>
              <w:t>Initiation à la propriété intellectuelle dans les programmes d</w:t>
            </w:r>
            <w:r w:rsidR="005311D6" w:rsidRPr="001800B7">
              <w:rPr>
                <w:bCs/>
                <w:i/>
                <w:szCs w:val="22"/>
              </w:rPr>
              <w:t>’</w:t>
            </w:r>
            <w:r w:rsidRPr="001800B7">
              <w:rPr>
                <w:bCs/>
                <w:i/>
                <w:szCs w:val="22"/>
              </w:rPr>
              <w:t>enseignement de différents niveaux</w:t>
            </w:r>
          </w:p>
          <w:p w:rsidR="0010628F" w:rsidRPr="001800B7" w:rsidRDefault="0010628F" w:rsidP="00AC163C">
            <w:pPr>
              <w:spacing w:before="120" w:after="120"/>
              <w:rPr>
                <w:szCs w:val="22"/>
                <w:u w:val="single"/>
              </w:rPr>
            </w:pPr>
            <w:r w:rsidRPr="001800B7">
              <w:rPr>
                <w:szCs w:val="22"/>
              </w:rPr>
              <w:t>L</w:t>
            </w:r>
            <w:r w:rsidR="005311D6" w:rsidRPr="001800B7">
              <w:rPr>
                <w:szCs w:val="22"/>
              </w:rPr>
              <w:t>’</w:t>
            </w:r>
            <w:r w:rsidRPr="001800B7">
              <w:rPr>
                <w:szCs w:val="22"/>
              </w:rPr>
              <w:t>OMPI a proposé et élaboré, en collaboration avec des établissements d</w:t>
            </w:r>
            <w:r w:rsidR="005311D6" w:rsidRPr="001800B7">
              <w:rPr>
                <w:szCs w:val="22"/>
              </w:rPr>
              <w:t>’</w:t>
            </w:r>
            <w:r w:rsidRPr="001800B7">
              <w:rPr>
                <w:szCs w:val="22"/>
              </w:rPr>
              <w:t>enseignement des programmes communs sanctionnés par des diplômes.  Elle a mis en place des partenariats stratégiques avec des établissements universitaires, notamment dans des pays en développement et des pays en transition.  Ces partenariats avec des établissements universitaires ont impliqué la mise au point de matériels d</w:t>
            </w:r>
            <w:r w:rsidR="005311D6" w:rsidRPr="001800B7">
              <w:rPr>
                <w:szCs w:val="22"/>
              </w:rPr>
              <w:t>’</w:t>
            </w:r>
            <w:r w:rsidRPr="001800B7">
              <w:rPr>
                <w:szCs w:val="22"/>
              </w:rPr>
              <w:t>enseignement et de formation ainsi que l</w:t>
            </w:r>
            <w:r w:rsidR="005311D6" w:rsidRPr="001800B7">
              <w:rPr>
                <w:szCs w:val="22"/>
              </w:rPr>
              <w:t>’</w:t>
            </w:r>
            <w:r w:rsidRPr="001800B7">
              <w:rPr>
                <w:szCs w:val="22"/>
              </w:rPr>
              <w:t>élaboration de programmes d</w:t>
            </w:r>
            <w:r w:rsidR="005311D6" w:rsidRPr="001800B7">
              <w:rPr>
                <w:szCs w:val="22"/>
              </w:rPr>
              <w:t>’</w:t>
            </w:r>
            <w:r w:rsidRPr="001800B7">
              <w:rPr>
                <w:szCs w:val="22"/>
              </w:rPr>
              <w:t>études en propriété intellectuelle.  De nouveaux cours d</w:t>
            </w:r>
            <w:r w:rsidR="005311D6" w:rsidRPr="001800B7">
              <w:rPr>
                <w:szCs w:val="22"/>
              </w:rPr>
              <w:t>’</w:t>
            </w:r>
            <w:r w:rsidRPr="001800B7">
              <w:rPr>
                <w:szCs w:val="22"/>
              </w:rPr>
              <w:t>enseignement à distance ont été élaborés et incorporés aux programmes des établissements.  L</w:t>
            </w:r>
            <w:r w:rsidR="005311D6" w:rsidRPr="001800B7">
              <w:rPr>
                <w:szCs w:val="22"/>
              </w:rPr>
              <w:t>’</w:t>
            </w:r>
            <w:r w:rsidRPr="001800B7">
              <w:rPr>
                <w:szCs w:val="22"/>
              </w:rPr>
              <w:t>accent a été mis en particulier sur la prise en considération dans les programmes de l</w:t>
            </w:r>
            <w:r w:rsidR="005311D6" w:rsidRPr="001800B7">
              <w:rPr>
                <w:szCs w:val="22"/>
              </w:rPr>
              <w:t>’</w:t>
            </w:r>
            <w:r w:rsidRPr="001800B7">
              <w:rPr>
                <w:szCs w:val="22"/>
              </w:rPr>
              <w:t>Académie de l</w:t>
            </w:r>
            <w:r w:rsidR="005311D6" w:rsidRPr="001800B7">
              <w:rPr>
                <w:szCs w:val="22"/>
              </w:rPr>
              <w:t>’</w:t>
            </w:r>
            <w:r w:rsidRPr="001800B7">
              <w:rPr>
                <w:szCs w:val="22"/>
              </w:rPr>
              <w:t>OMPI des aspects du système de la propriété intellectuelle qui touchent au développement.</w:t>
            </w:r>
          </w:p>
        </w:tc>
        <w:tc>
          <w:tcPr>
            <w:tcW w:w="7909" w:type="dxa"/>
            <w:tcBorders>
              <w:bottom w:val="single" w:sz="4" w:space="0" w:color="auto"/>
            </w:tcBorders>
            <w:shd w:val="clear" w:color="auto" w:fill="auto"/>
          </w:tcPr>
          <w:p w:rsidR="0010628F" w:rsidRPr="001800B7" w:rsidRDefault="0010628F" w:rsidP="00AC163C">
            <w:pPr>
              <w:spacing w:before="120" w:after="120"/>
              <w:rPr>
                <w:szCs w:val="22"/>
              </w:rPr>
            </w:pPr>
            <w:r w:rsidRPr="001800B7">
              <w:rPr>
                <w:szCs w:val="22"/>
              </w:rPr>
              <w:t>Les principes du Plan d</w:t>
            </w:r>
            <w:r w:rsidR="005311D6" w:rsidRPr="001800B7">
              <w:rPr>
                <w:szCs w:val="22"/>
              </w:rPr>
              <w:t>’</w:t>
            </w:r>
            <w:r w:rsidRPr="001800B7">
              <w:rPr>
                <w:szCs w:val="22"/>
              </w:rPr>
              <w:t>action pour le développement continuent d</w:t>
            </w:r>
            <w:r w:rsidR="005311D6" w:rsidRPr="001800B7">
              <w:rPr>
                <w:szCs w:val="22"/>
              </w:rPr>
              <w:t>’</w:t>
            </w:r>
            <w:r w:rsidRPr="001800B7">
              <w:rPr>
                <w:szCs w:val="22"/>
              </w:rPr>
              <w:t>être mieux intégrés dans les programmes de l</w:t>
            </w:r>
            <w:r w:rsidR="005311D6" w:rsidRPr="001800B7">
              <w:rPr>
                <w:szCs w:val="22"/>
              </w:rPr>
              <w:t>’</w:t>
            </w:r>
            <w:r w:rsidRPr="001800B7">
              <w:rPr>
                <w:szCs w:val="22"/>
              </w:rPr>
              <w:t>Académie.</w:t>
            </w:r>
          </w:p>
          <w:p w:rsidR="0010628F" w:rsidRPr="001800B7" w:rsidRDefault="0010628F" w:rsidP="00AC163C">
            <w:pPr>
              <w:spacing w:before="120" w:after="120"/>
              <w:rPr>
                <w:bCs/>
                <w:szCs w:val="22"/>
              </w:rPr>
            </w:pPr>
            <w:r w:rsidRPr="001800B7">
              <w:rPr>
                <w:bCs/>
                <w:szCs w:val="22"/>
              </w:rPr>
              <w:t>Une formation traditionnelle en face à face a été élaborée pour les fonctionnaires en partenariat avec les autorités en charge de la propriété industrielle et/ou du droit d</w:t>
            </w:r>
            <w:r w:rsidR="005311D6" w:rsidRPr="001800B7">
              <w:rPr>
                <w:bCs/>
                <w:szCs w:val="22"/>
              </w:rPr>
              <w:t>’</w:t>
            </w:r>
            <w:r w:rsidRPr="001800B7">
              <w:rPr>
                <w:bCs/>
                <w:szCs w:val="22"/>
              </w:rPr>
              <w:t>auteur dans un certain nombre de pays.</w:t>
            </w:r>
          </w:p>
          <w:p w:rsidR="0010628F" w:rsidRPr="001800B7" w:rsidRDefault="0010628F" w:rsidP="00AC163C">
            <w:pPr>
              <w:spacing w:before="120" w:after="120"/>
              <w:rPr>
                <w:rFonts w:eastAsia="MS Mincho"/>
                <w:szCs w:val="22"/>
                <w:lang w:eastAsia="ja-JP"/>
              </w:rPr>
            </w:pPr>
            <w:r w:rsidRPr="001800B7">
              <w:rPr>
                <w:rFonts w:eastAsia="MS Mincho"/>
                <w:szCs w:val="22"/>
                <w:lang w:eastAsia="ja-JP"/>
              </w:rPr>
              <w:t>Amélioration du programme d</w:t>
            </w:r>
            <w:r w:rsidR="005311D6" w:rsidRPr="001800B7">
              <w:rPr>
                <w:rFonts w:eastAsia="MS Mincho"/>
                <w:szCs w:val="22"/>
                <w:lang w:eastAsia="ja-JP"/>
              </w:rPr>
              <w:t>’</w:t>
            </w:r>
            <w:r w:rsidRPr="001800B7">
              <w:rPr>
                <w:rFonts w:eastAsia="MS Mincho"/>
                <w:szCs w:val="22"/>
                <w:lang w:eastAsia="ja-JP"/>
              </w:rPr>
              <w:t>enseignement à distance (DL) pour attirer des étudiants et d</w:t>
            </w:r>
            <w:r w:rsidR="005311D6" w:rsidRPr="001800B7">
              <w:rPr>
                <w:rFonts w:eastAsia="MS Mincho"/>
                <w:szCs w:val="22"/>
                <w:lang w:eastAsia="ja-JP"/>
              </w:rPr>
              <w:t>’</w:t>
            </w:r>
            <w:r w:rsidRPr="001800B7">
              <w:rPr>
                <w:rFonts w:eastAsia="MS Mincho"/>
                <w:szCs w:val="22"/>
                <w:lang w:eastAsia="ja-JP"/>
              </w:rPr>
              <w:t>autres participants du monde entier, avec une offre de 14 cours en 11 langues différentes et plus de 80 000 participants de 189 pays.</w:t>
            </w:r>
          </w:p>
          <w:p w:rsidR="0010628F" w:rsidRPr="001800B7" w:rsidRDefault="0010628F" w:rsidP="00AC163C">
            <w:pPr>
              <w:spacing w:before="120" w:after="120"/>
              <w:rPr>
                <w:bCs/>
                <w:szCs w:val="22"/>
              </w:rPr>
            </w:pPr>
            <w:r w:rsidRPr="001800B7">
              <w:rPr>
                <w:bCs/>
                <w:szCs w:val="22"/>
              </w:rPr>
              <w:t>Un certain nombre de programmes communs de Master en droit de la propriété intellectuelle, ainsi que d</w:t>
            </w:r>
            <w:r w:rsidR="005311D6" w:rsidRPr="001800B7">
              <w:rPr>
                <w:bCs/>
                <w:szCs w:val="22"/>
              </w:rPr>
              <w:t>’</w:t>
            </w:r>
            <w:r w:rsidRPr="001800B7">
              <w:rPr>
                <w:bCs/>
                <w:szCs w:val="22"/>
              </w:rPr>
              <w:t>autres activités, ont été élaborés et mis en œuvre dans le cadre du Programme des établissements univers aires aux fins de promouvoir l</w:t>
            </w:r>
            <w:r w:rsidR="005311D6" w:rsidRPr="001800B7">
              <w:rPr>
                <w:bCs/>
                <w:szCs w:val="22"/>
              </w:rPr>
              <w:t>’</w:t>
            </w:r>
            <w:r w:rsidRPr="001800B7">
              <w:rPr>
                <w:bCs/>
                <w:szCs w:val="22"/>
              </w:rPr>
              <w:t>éducation supérieure dans le domaine de la propriété intellectuelle.</w:t>
            </w:r>
          </w:p>
          <w:p w:rsidR="0010628F" w:rsidRPr="001800B7" w:rsidRDefault="0010628F" w:rsidP="00AC163C">
            <w:pPr>
              <w:spacing w:before="120" w:after="120"/>
              <w:rPr>
                <w:szCs w:val="22"/>
              </w:rPr>
            </w:pPr>
          </w:p>
          <w:p w:rsidR="0010628F" w:rsidRPr="001800B7" w:rsidRDefault="0010628F" w:rsidP="00AC163C">
            <w:pPr>
              <w:spacing w:before="120" w:after="120"/>
              <w:rPr>
                <w:szCs w:val="22"/>
              </w:rPr>
            </w:pPr>
            <w:r w:rsidRPr="001800B7">
              <w:rPr>
                <w:szCs w:val="22"/>
              </w:rPr>
              <w:t>Le dernier programme de formation et d</w:t>
            </w:r>
            <w:r w:rsidR="005311D6" w:rsidRPr="001800B7">
              <w:rPr>
                <w:szCs w:val="22"/>
              </w:rPr>
              <w:t>’</w:t>
            </w:r>
            <w:r w:rsidRPr="001800B7">
              <w:rPr>
                <w:szCs w:val="22"/>
              </w:rPr>
              <w:t>enseignement de l</w:t>
            </w:r>
            <w:r w:rsidR="005311D6" w:rsidRPr="001800B7">
              <w:rPr>
                <w:szCs w:val="22"/>
              </w:rPr>
              <w:t>’</w:t>
            </w:r>
            <w:r w:rsidRPr="001800B7">
              <w:rPr>
                <w:szCs w:val="22"/>
              </w:rPr>
              <w:t>Académie de l</w:t>
            </w:r>
            <w:r w:rsidR="005311D6" w:rsidRPr="001800B7">
              <w:rPr>
                <w:szCs w:val="22"/>
              </w:rPr>
              <w:t>’</w:t>
            </w:r>
            <w:r w:rsidRPr="001800B7">
              <w:rPr>
                <w:szCs w:val="22"/>
              </w:rPr>
              <w:t>OMPI a été publié fin 2013, présentant de manière claire et transparente le contenu et les partenaires de tous les programmes de formation de l</w:t>
            </w:r>
            <w:r w:rsidR="005311D6" w:rsidRPr="001800B7">
              <w:rPr>
                <w:szCs w:val="22"/>
              </w:rPr>
              <w:t>’</w:t>
            </w:r>
            <w:r w:rsidRPr="001800B7">
              <w:rPr>
                <w:szCs w:val="22"/>
              </w:rPr>
              <w:t>Académie.  Ce programme est disponible à l</w:t>
            </w:r>
            <w:r w:rsidR="005311D6" w:rsidRPr="001800B7">
              <w:rPr>
                <w:szCs w:val="22"/>
              </w:rPr>
              <w:t>’</w:t>
            </w:r>
            <w:r w:rsidRPr="001800B7">
              <w:rPr>
                <w:szCs w:val="22"/>
              </w:rPr>
              <w:t>adresse suivante : http://www.wipo.int/export/sites/www/freepublications/fr/training/467/wipo_pub_467_2014.pdf.</w:t>
            </w:r>
          </w:p>
          <w:p w:rsidR="0010628F" w:rsidRPr="001800B7" w:rsidRDefault="0010628F" w:rsidP="00320D80">
            <w:pPr>
              <w:spacing w:before="120" w:after="12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réalisations liées à cette recommandation de 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2013 (document WO/PBC/22/8), en particulier le programme 11.</w:t>
            </w:r>
          </w:p>
        </w:tc>
      </w:tr>
    </w:tbl>
    <w:p w:rsidR="0010628F" w:rsidRPr="001800B7" w:rsidRDefault="0010628F" w:rsidP="00320D80">
      <w:pPr>
        <w:rPr>
          <w:szCs w:val="22"/>
        </w:rPr>
      </w:pPr>
      <w:r w:rsidRPr="001800B7">
        <w:rPr>
          <w:i/>
          <w:szCs w:val="22"/>
        </w:rPr>
        <w:br w:type="page"/>
      </w:r>
      <w:r w:rsidRPr="001800B7">
        <w:rPr>
          <w:i/>
          <w:szCs w:val="22"/>
        </w:rPr>
        <w:lastRenderedPageBreak/>
        <w:t>Recommandation n° 4</w:t>
      </w:r>
      <w:r w:rsidRPr="001800B7">
        <w:rPr>
          <w:szCs w:val="22"/>
        </w:rPr>
        <w:t> : 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p w:rsidR="0010628F" w:rsidRPr="001800B7" w:rsidRDefault="0010628F" w:rsidP="00320D80">
      <w:pPr>
        <w:rPr>
          <w:szCs w:val="22"/>
        </w:rPr>
      </w:pPr>
    </w:p>
    <w:tbl>
      <w:tblPr>
        <w:tblW w:w="1451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8025"/>
      </w:tblGrid>
      <w:tr w:rsidR="001800B7" w:rsidRPr="001800B7" w:rsidTr="00320D80">
        <w:tc>
          <w:tcPr>
            <w:tcW w:w="6491" w:type="dxa"/>
            <w:shd w:val="clear" w:color="auto" w:fill="auto"/>
          </w:tcPr>
          <w:p w:rsidR="0010628F" w:rsidRPr="001800B7" w:rsidRDefault="0010628F" w:rsidP="00AC163C">
            <w:pPr>
              <w:autoSpaceDE w:val="0"/>
              <w:spacing w:before="120" w:after="120"/>
              <w:outlineLvl w:val="2"/>
              <w:rPr>
                <w:bCs/>
                <w:szCs w:val="22"/>
                <w:u w:val="single"/>
              </w:rPr>
            </w:pPr>
            <w:r w:rsidRPr="001800B7">
              <w:rPr>
                <w:bCs/>
                <w:szCs w:val="22"/>
                <w:u w:val="single"/>
              </w:rPr>
              <w:t>Stratégies de mise en œuvre</w:t>
            </w:r>
          </w:p>
        </w:tc>
        <w:tc>
          <w:tcPr>
            <w:tcW w:w="8025" w:type="dxa"/>
            <w:shd w:val="clear" w:color="auto" w:fill="auto"/>
            <w:vAlign w:val="center"/>
          </w:tcPr>
          <w:p w:rsidR="0010628F" w:rsidRPr="001800B7" w:rsidRDefault="0010628F" w:rsidP="00320D80">
            <w:pPr>
              <w:autoSpaceDE w:val="0"/>
              <w:spacing w:before="120" w:after="120"/>
              <w:outlineLvl w:val="2"/>
              <w:rPr>
                <w:szCs w:val="22"/>
              </w:rPr>
            </w:pPr>
            <w:r w:rsidRPr="001800B7">
              <w:rPr>
                <w:bCs/>
                <w:szCs w:val="22"/>
                <w:u w:val="single"/>
              </w:rPr>
              <w:t>Réalisations</w:t>
            </w:r>
          </w:p>
        </w:tc>
      </w:tr>
      <w:tr w:rsidR="001800B7" w:rsidRPr="001800B7" w:rsidTr="00320D80">
        <w:tblPrEx>
          <w:tblCellMar>
            <w:top w:w="108" w:type="dxa"/>
            <w:bottom w:w="108" w:type="dxa"/>
          </w:tblCellMar>
        </w:tblPrEx>
        <w:tc>
          <w:tcPr>
            <w:tcW w:w="6491" w:type="dxa"/>
            <w:shd w:val="clear" w:color="auto" w:fill="auto"/>
          </w:tcPr>
          <w:p w:rsidR="0010628F" w:rsidRPr="001800B7" w:rsidRDefault="0010628F" w:rsidP="00AC163C">
            <w:pPr>
              <w:autoSpaceDE w:val="0"/>
              <w:spacing w:before="120" w:after="120"/>
              <w:outlineLvl w:val="3"/>
              <w:rPr>
                <w:bCs/>
                <w:i/>
                <w:szCs w:val="22"/>
              </w:rPr>
            </w:pPr>
            <w:r w:rsidRPr="001800B7">
              <w:rPr>
                <w:bCs/>
                <w:i/>
                <w:szCs w:val="22"/>
              </w:rPr>
              <w:t>Stratégie pour les PME</w:t>
            </w:r>
          </w:p>
          <w:p w:rsidR="0010628F" w:rsidRPr="001800B7" w:rsidRDefault="0010628F" w:rsidP="00AC163C">
            <w:pPr>
              <w:spacing w:before="120" w:after="120"/>
              <w:rPr>
                <w:szCs w:val="22"/>
              </w:rPr>
            </w:pPr>
            <w:r w:rsidRPr="001800B7">
              <w:rPr>
                <w:szCs w:val="22"/>
              </w:rPr>
              <w:t>Faciliter l</w:t>
            </w:r>
            <w:r w:rsidR="005311D6" w:rsidRPr="001800B7">
              <w:rPr>
                <w:szCs w:val="22"/>
              </w:rPr>
              <w:t>’</w:t>
            </w:r>
            <w:r w:rsidRPr="001800B7">
              <w:rPr>
                <w:szCs w:val="22"/>
              </w:rPr>
              <w:t>élaboration par les États membres de politiques et de stratégies appropriées en matière de propriété intellectuelle pour les PME.</w:t>
            </w:r>
            <w:r w:rsidR="00320D80" w:rsidRPr="001800B7">
              <w:rPr>
                <w:szCs w:val="22"/>
              </w:rPr>
              <w:br/>
            </w:r>
            <w:r w:rsidR="00320D80" w:rsidRPr="001800B7">
              <w:rPr>
                <w:szCs w:val="22"/>
              </w:rPr>
              <w:br/>
            </w:r>
            <w:r w:rsidR="00320D80" w:rsidRPr="001800B7">
              <w:rPr>
                <w:szCs w:val="22"/>
              </w:rPr>
              <w:br/>
            </w:r>
            <w:r w:rsidR="00320D80" w:rsidRPr="001800B7">
              <w:rPr>
                <w:szCs w:val="22"/>
              </w:rPr>
              <w:br/>
            </w:r>
            <w:r w:rsidR="00320D80" w:rsidRPr="001800B7">
              <w:rPr>
                <w:szCs w:val="22"/>
              </w:rPr>
              <w:br/>
            </w:r>
            <w:r w:rsidR="00320D80" w:rsidRPr="001800B7">
              <w:rPr>
                <w:szCs w:val="22"/>
              </w:rPr>
              <w:br/>
            </w:r>
            <w:r w:rsidR="00320D80" w:rsidRPr="001800B7">
              <w:rPr>
                <w:szCs w:val="22"/>
              </w:rPr>
              <w:br/>
            </w:r>
          </w:p>
          <w:p w:rsidR="0010628F" w:rsidRPr="001800B7" w:rsidRDefault="0010628F" w:rsidP="00AC163C">
            <w:pPr>
              <w:spacing w:before="120" w:after="120"/>
              <w:rPr>
                <w:szCs w:val="22"/>
              </w:rPr>
            </w:pPr>
            <w:r w:rsidRPr="001800B7">
              <w:rPr>
                <w:szCs w:val="22"/>
              </w:rPr>
              <w:t>Renforcer la capacité des PME et des institutions d</w:t>
            </w:r>
            <w:r w:rsidR="005311D6" w:rsidRPr="001800B7">
              <w:rPr>
                <w:szCs w:val="22"/>
              </w:rPr>
              <w:t>’</w:t>
            </w:r>
            <w:r w:rsidRPr="001800B7">
              <w:rPr>
                <w:szCs w:val="22"/>
              </w:rPr>
              <w:t>appui aux PME aux fins de mieux utiliser le système de propriété intellectuelle et de renforcer leur compétitivité.</w:t>
            </w:r>
            <w:r w:rsidR="00320D80" w:rsidRPr="001800B7">
              <w:rPr>
                <w:szCs w:val="22"/>
              </w:rPr>
              <w:br/>
            </w:r>
            <w:r w:rsidR="00320D80" w:rsidRPr="001800B7">
              <w:rPr>
                <w:szCs w:val="22"/>
              </w:rPr>
              <w:br/>
            </w:r>
            <w:r w:rsidR="00320D80" w:rsidRPr="001800B7">
              <w:rPr>
                <w:szCs w:val="22"/>
              </w:rPr>
              <w:br/>
            </w:r>
            <w:r w:rsidR="00320D80" w:rsidRPr="001800B7">
              <w:rPr>
                <w:szCs w:val="22"/>
              </w:rPr>
              <w:br/>
            </w:r>
            <w:r w:rsidR="00320D80" w:rsidRPr="001800B7">
              <w:rPr>
                <w:szCs w:val="22"/>
              </w:rPr>
              <w:br/>
            </w:r>
          </w:p>
          <w:p w:rsidR="0010628F" w:rsidRPr="001800B7" w:rsidRDefault="0010628F" w:rsidP="00AC163C">
            <w:pPr>
              <w:spacing w:before="120" w:after="120"/>
              <w:rPr>
                <w:szCs w:val="22"/>
              </w:rPr>
            </w:pPr>
            <w:r w:rsidRPr="001800B7">
              <w:rPr>
                <w:szCs w:val="22"/>
              </w:rPr>
              <w:t>Élaboration d</w:t>
            </w:r>
            <w:r w:rsidR="005311D6" w:rsidRPr="001800B7">
              <w:rPr>
                <w:szCs w:val="22"/>
              </w:rPr>
              <w:t>’</w:t>
            </w:r>
            <w:r w:rsidRPr="001800B7">
              <w:rPr>
                <w:szCs w:val="22"/>
              </w:rPr>
              <w:t>un contenu concernant les PME et visant à orienter les activités de formation et de renforcement des capacités en ciblant essentiellement les institutions d</w:t>
            </w:r>
            <w:r w:rsidR="005311D6" w:rsidRPr="001800B7">
              <w:rPr>
                <w:szCs w:val="22"/>
              </w:rPr>
              <w:t>’</w:t>
            </w:r>
            <w:r w:rsidRPr="001800B7">
              <w:rPr>
                <w:szCs w:val="22"/>
              </w:rPr>
              <w:t>appui aux PME.</w:t>
            </w:r>
          </w:p>
          <w:p w:rsidR="0010628F" w:rsidRPr="001800B7" w:rsidRDefault="0010628F" w:rsidP="00AC163C">
            <w:pPr>
              <w:spacing w:before="120" w:after="120"/>
              <w:rPr>
                <w:szCs w:val="22"/>
              </w:rPr>
            </w:pPr>
          </w:p>
          <w:p w:rsidR="0010628F" w:rsidRPr="001800B7" w:rsidRDefault="0010628F" w:rsidP="00AC163C">
            <w:pPr>
              <w:spacing w:before="120" w:after="120"/>
              <w:rPr>
                <w:szCs w:val="22"/>
              </w:rPr>
            </w:pPr>
            <w:r w:rsidRPr="001800B7">
              <w:rPr>
                <w:szCs w:val="22"/>
              </w:rPr>
              <w:t xml:space="preserve">Des efforts particuliers ont été faits pour aider les pays en développement forgeant des liens plus forts avec les instituts de </w:t>
            </w:r>
            <w:r w:rsidRPr="001800B7">
              <w:rPr>
                <w:szCs w:val="22"/>
              </w:rPr>
              <w:lastRenderedPageBreak/>
              <w:t>recherche, l</w:t>
            </w:r>
            <w:r w:rsidR="005311D6" w:rsidRPr="001800B7">
              <w:rPr>
                <w:szCs w:val="22"/>
              </w:rPr>
              <w:t>’</w:t>
            </w:r>
            <w:r w:rsidRPr="001800B7">
              <w:rPr>
                <w:szCs w:val="22"/>
              </w:rPr>
              <w:t>industrie locale et les PME afin d</w:t>
            </w:r>
            <w:r w:rsidR="005311D6" w:rsidRPr="001800B7">
              <w:rPr>
                <w:szCs w:val="22"/>
              </w:rPr>
              <w:t>’</w:t>
            </w:r>
            <w:r w:rsidRPr="001800B7">
              <w:rPr>
                <w:szCs w:val="22"/>
              </w:rPr>
              <w:t>élaborer des partenariats entre organismes publics et privés en augmentant autant que possible la valeur des actifs de propriété intellectuelle, et de développer des synergies entre la science, les entreprises, les institutions culturelles et les organismes publics d</w:t>
            </w:r>
            <w:r w:rsidR="005311D6" w:rsidRPr="001800B7">
              <w:rPr>
                <w:szCs w:val="22"/>
              </w:rPr>
              <w:t>’</w:t>
            </w:r>
            <w:r w:rsidRPr="001800B7">
              <w:rPr>
                <w:szCs w:val="22"/>
              </w:rPr>
              <w:t>appui.</w:t>
            </w:r>
          </w:p>
          <w:p w:rsidR="0010628F" w:rsidRPr="001800B7" w:rsidRDefault="0010628F" w:rsidP="00AC163C">
            <w:pPr>
              <w:spacing w:before="120" w:after="120"/>
              <w:rPr>
                <w:szCs w:val="22"/>
              </w:rPr>
            </w:pPr>
            <w:r w:rsidRPr="001800B7">
              <w:rPr>
                <w:szCs w:val="22"/>
              </w:rPr>
              <w:t>En outre, grâce à différentes activités menées, l</w:t>
            </w:r>
            <w:r w:rsidR="005311D6" w:rsidRPr="001800B7">
              <w:rPr>
                <w:szCs w:val="22"/>
              </w:rPr>
              <w:t>’</w:t>
            </w:r>
            <w:r w:rsidRPr="001800B7">
              <w:rPr>
                <w:szCs w:val="22"/>
              </w:rPr>
              <w:t>OMPI a continué à sensibiliser d</w:t>
            </w:r>
            <w:r w:rsidR="005311D6" w:rsidRPr="001800B7">
              <w:rPr>
                <w:szCs w:val="22"/>
              </w:rPr>
              <w:t>’</w:t>
            </w:r>
            <w:r w:rsidRPr="001800B7">
              <w:rPr>
                <w:szCs w:val="22"/>
              </w:rPr>
              <w:t>une façon générale à l</w:t>
            </w:r>
            <w:r w:rsidR="005311D6" w:rsidRPr="001800B7">
              <w:rPr>
                <w:szCs w:val="22"/>
              </w:rPr>
              <w:t>’</w:t>
            </w:r>
            <w:r w:rsidRPr="001800B7">
              <w:rPr>
                <w:szCs w:val="22"/>
              </w:rPr>
              <w:t>importance de la propriété intellectuelle pour la compétitivité commerciale et à renforcer les capacités locales en formant des formateurs grâce à des ateliers, des séminaires et d</w:t>
            </w:r>
            <w:r w:rsidR="005311D6" w:rsidRPr="001800B7">
              <w:rPr>
                <w:szCs w:val="22"/>
              </w:rPr>
              <w:t>’</w:t>
            </w:r>
            <w:r w:rsidRPr="001800B7">
              <w:rPr>
                <w:szCs w:val="22"/>
              </w:rPr>
              <w:t>autres activités menées en face à face ainsi que grâce à la création et à la diffusion de matériel (contenu et publications accessibles en ligne et sur papier, produits multimédia, etc.) relatif à la propriété intellectuelle au service des entreprises.</w:t>
            </w:r>
          </w:p>
        </w:tc>
        <w:tc>
          <w:tcPr>
            <w:tcW w:w="8025" w:type="dxa"/>
            <w:shd w:val="clear" w:color="auto" w:fill="auto"/>
          </w:tcPr>
          <w:p w:rsidR="0010628F" w:rsidRPr="001800B7" w:rsidRDefault="0010628F" w:rsidP="00AC163C">
            <w:pPr>
              <w:spacing w:before="120" w:after="120"/>
              <w:rPr>
                <w:szCs w:val="22"/>
              </w:rPr>
            </w:pPr>
          </w:p>
          <w:p w:rsidR="0010628F" w:rsidRPr="001800B7" w:rsidRDefault="0010628F" w:rsidP="00AC163C">
            <w:pPr>
              <w:spacing w:before="120" w:after="120"/>
              <w:rPr>
                <w:szCs w:val="22"/>
              </w:rPr>
            </w:pPr>
            <w:r w:rsidRPr="001800B7">
              <w:rPr>
                <w:szCs w:val="22"/>
              </w:rPr>
              <w:t>20 tables rondes organisées dans 18 pays, lors de la mise en œuvre du programme de formation des formateurs dans le domaine de la gestion de la propriété intellectuelle ont fourni de précieuses informations aux décideurs politiques et aux institutions d</w:t>
            </w:r>
            <w:r w:rsidR="005311D6" w:rsidRPr="001800B7">
              <w:rPr>
                <w:szCs w:val="22"/>
              </w:rPr>
              <w:t>’</w:t>
            </w:r>
            <w:r w:rsidRPr="001800B7">
              <w:rPr>
                <w:szCs w:val="22"/>
              </w:rPr>
              <w:t>appui aux PME aux fins d</w:t>
            </w:r>
            <w:r w:rsidR="005311D6" w:rsidRPr="001800B7">
              <w:rPr>
                <w:szCs w:val="22"/>
              </w:rPr>
              <w:t>’</w:t>
            </w:r>
            <w:r w:rsidRPr="001800B7">
              <w:rPr>
                <w:szCs w:val="22"/>
              </w:rPr>
              <w:t>élaborer des stratégies de propriété intellectuelle pertinentes pour les PME.</w:t>
            </w:r>
          </w:p>
          <w:p w:rsidR="0010628F" w:rsidRPr="001800B7" w:rsidRDefault="0010628F" w:rsidP="00AC163C">
            <w:pPr>
              <w:spacing w:before="120" w:after="120"/>
              <w:rPr>
                <w:szCs w:val="22"/>
              </w:rPr>
            </w:pPr>
            <w:r w:rsidRPr="001800B7">
              <w:rPr>
                <w:szCs w:val="22"/>
              </w:rPr>
              <w:t>Des liens renvoyant vers les meilleures pratiques concernant la propriété intellectuelle et les PME, les recherches et les études dans ce domaine, ont été publiés dans le bulletin mensuel des PME aux fins de fournir d</w:t>
            </w:r>
            <w:r w:rsidR="005311D6" w:rsidRPr="001800B7">
              <w:rPr>
                <w:szCs w:val="22"/>
              </w:rPr>
              <w:t>’</w:t>
            </w:r>
            <w:r w:rsidRPr="001800B7">
              <w:rPr>
                <w:szCs w:val="22"/>
              </w:rPr>
              <w:t>autres informations aux institutions d</w:t>
            </w:r>
            <w:r w:rsidR="005311D6" w:rsidRPr="001800B7">
              <w:rPr>
                <w:szCs w:val="22"/>
              </w:rPr>
              <w:t>’</w:t>
            </w:r>
            <w:r w:rsidRPr="001800B7">
              <w:rPr>
                <w:szCs w:val="22"/>
              </w:rPr>
              <w:t>appui aux PME.</w:t>
            </w:r>
          </w:p>
          <w:p w:rsidR="0010628F" w:rsidRPr="001800B7" w:rsidRDefault="0010628F" w:rsidP="00AC163C">
            <w:pPr>
              <w:spacing w:before="120" w:after="120"/>
              <w:rPr>
                <w:szCs w:val="22"/>
              </w:rPr>
            </w:pPr>
            <w:r w:rsidRPr="001800B7">
              <w:rPr>
                <w:szCs w:val="22"/>
              </w:rPr>
              <w:t>20 programmes de formation des formateurs en matière de gestion efficace des actifs de propriété intellectuelle par les petites et moyennes entreprises ont été mis en œuvre dans 18 pays, de cinq régions, lesquels programmes ont été suivis par 1000 formateurs.</w:t>
            </w:r>
          </w:p>
          <w:p w:rsidR="0010628F" w:rsidRPr="001800B7" w:rsidRDefault="0010628F" w:rsidP="00AC163C">
            <w:pPr>
              <w:spacing w:before="120" w:after="120"/>
              <w:rPr>
                <w:szCs w:val="22"/>
              </w:rPr>
            </w:pPr>
            <w:r w:rsidRPr="001800B7">
              <w:rPr>
                <w:szCs w:val="22"/>
              </w:rPr>
              <w:t>Large diffusion du bulletin mensuel d</w:t>
            </w:r>
            <w:r w:rsidR="005311D6" w:rsidRPr="001800B7">
              <w:rPr>
                <w:szCs w:val="22"/>
              </w:rPr>
              <w:t>’</w:t>
            </w:r>
            <w:r w:rsidRPr="001800B7">
              <w:rPr>
                <w:szCs w:val="22"/>
              </w:rPr>
              <w:t>information électronique des PME, publié dans les six langues de l</w:t>
            </w:r>
            <w:r w:rsidR="005311D6" w:rsidRPr="001800B7">
              <w:rPr>
                <w:szCs w:val="22"/>
              </w:rPr>
              <w:t>’</w:t>
            </w:r>
            <w:r w:rsidRPr="001800B7">
              <w:rPr>
                <w:szCs w:val="22"/>
              </w:rPr>
              <w:t>ONU et adressé à plus de 40 000 abonnés dans le monde entier via la page Web des PME.</w:t>
            </w:r>
          </w:p>
          <w:p w:rsidR="0010628F" w:rsidRPr="001800B7" w:rsidRDefault="0010628F" w:rsidP="00AC163C">
            <w:pPr>
              <w:spacing w:before="120" w:after="120"/>
              <w:rPr>
                <w:szCs w:val="22"/>
              </w:rPr>
            </w:pPr>
            <w:r w:rsidRPr="001800B7">
              <w:rPr>
                <w:szCs w:val="22"/>
              </w:rPr>
              <w:t>Travaux concernant les nouvelles publications ou la mise à jour de publications existantes destinées PME finalisés ou encore en cours.</w:t>
            </w:r>
          </w:p>
          <w:p w:rsidR="0010628F" w:rsidRPr="001800B7" w:rsidRDefault="0010628F" w:rsidP="00AC163C">
            <w:pPr>
              <w:spacing w:before="120" w:after="120"/>
              <w:rPr>
                <w:szCs w:val="22"/>
              </w:rPr>
            </w:pPr>
            <w:r w:rsidRPr="001800B7">
              <w:rPr>
                <w:szCs w:val="22"/>
              </w:rPr>
              <w:t>Démarrage de travaux relatifs à une version mobile de l</w:t>
            </w:r>
            <w:r w:rsidR="005311D6" w:rsidRPr="001800B7">
              <w:rPr>
                <w:szCs w:val="22"/>
              </w:rPr>
              <w:t>’</w:t>
            </w:r>
            <w:r w:rsidRPr="001800B7">
              <w:rPr>
                <w:szCs w:val="22"/>
              </w:rPr>
              <w:t>instrument multimédia IP Panorama</w:t>
            </w:r>
            <w:r w:rsidRPr="001800B7">
              <w:rPr>
                <w:szCs w:val="22"/>
                <w:vertAlign w:val="superscript"/>
              </w:rPr>
              <w:t xml:space="preserve"> TM</w:t>
            </w:r>
            <w:r w:rsidR="00320D80" w:rsidRPr="001800B7">
              <w:rPr>
                <w:szCs w:val="22"/>
                <w:vertAlign w:val="superscript"/>
              </w:rPr>
              <w:br/>
            </w:r>
          </w:p>
          <w:p w:rsidR="0010628F" w:rsidRPr="001800B7" w:rsidRDefault="0010628F" w:rsidP="00AC163C">
            <w:pPr>
              <w:spacing w:before="120" w:after="12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 xml:space="preserve">TAD), prière pour obtenir de plus amples informations sur les réalisations liées à cette recommandation de </w:t>
            </w:r>
            <w:r w:rsidRPr="001800B7">
              <w:rPr>
                <w:szCs w:val="22"/>
              </w:rPr>
              <w:lastRenderedPageBreak/>
              <w:t>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2013 (document WO/PBC/22/8), en particulier le programme 30.</w:t>
            </w:r>
          </w:p>
        </w:tc>
      </w:tr>
      <w:tr w:rsidR="001800B7" w:rsidRPr="001800B7" w:rsidTr="00320D80">
        <w:tblPrEx>
          <w:tblCellMar>
            <w:top w:w="108" w:type="dxa"/>
            <w:bottom w:w="108" w:type="dxa"/>
          </w:tblCellMar>
        </w:tblPrEx>
        <w:tc>
          <w:tcPr>
            <w:tcW w:w="6491" w:type="dxa"/>
            <w:shd w:val="clear" w:color="auto" w:fill="auto"/>
          </w:tcPr>
          <w:p w:rsidR="0010628F" w:rsidRPr="001800B7" w:rsidRDefault="0010628F" w:rsidP="00AC163C">
            <w:pPr>
              <w:autoSpaceDE w:val="0"/>
              <w:spacing w:before="120" w:after="120"/>
              <w:outlineLvl w:val="3"/>
              <w:rPr>
                <w:bCs/>
                <w:i/>
                <w:szCs w:val="22"/>
              </w:rPr>
            </w:pPr>
            <w:r w:rsidRPr="001800B7">
              <w:rPr>
                <w:bCs/>
                <w:i/>
                <w:szCs w:val="22"/>
              </w:rPr>
              <w:lastRenderedPageBreak/>
              <w:t>Stratégie pour les industries de la création</w:t>
            </w:r>
          </w:p>
          <w:p w:rsidR="0010628F" w:rsidRPr="001800B7" w:rsidRDefault="0010628F" w:rsidP="00AC163C">
            <w:pPr>
              <w:spacing w:before="120" w:after="120"/>
              <w:rPr>
                <w:szCs w:val="22"/>
              </w:rPr>
            </w:pPr>
            <w:r w:rsidRPr="001800B7">
              <w:rPr>
                <w:szCs w:val="22"/>
              </w:rPr>
              <w:t>Des études ont été menées sur la contribution économique des industries du droit d</w:t>
            </w:r>
            <w:r w:rsidR="005311D6" w:rsidRPr="001800B7">
              <w:rPr>
                <w:szCs w:val="22"/>
              </w:rPr>
              <w:t>’</w:t>
            </w:r>
            <w:r w:rsidRPr="001800B7">
              <w:rPr>
                <w:szCs w:val="22"/>
              </w:rPr>
              <w:t>auteur.  Ces études ont essentiellement visé à permettre aux pays de recenser les secteurs concernés par le droit d</w:t>
            </w:r>
            <w:r w:rsidR="005311D6" w:rsidRPr="001800B7">
              <w:rPr>
                <w:szCs w:val="22"/>
              </w:rPr>
              <w:t>’</w:t>
            </w:r>
            <w:r w:rsidRPr="001800B7">
              <w:rPr>
                <w:szCs w:val="22"/>
              </w:rPr>
              <w:t>auteur.  Elles leur ont également permis de réaliser une analyse comparative de la contribution de tels secteurs par rapport aux autres branches de l</w:t>
            </w:r>
            <w:r w:rsidR="005311D6" w:rsidRPr="001800B7">
              <w:rPr>
                <w:szCs w:val="22"/>
              </w:rPr>
              <w:t>’</w:t>
            </w:r>
            <w:r w:rsidRPr="001800B7">
              <w:rPr>
                <w:szCs w:val="22"/>
              </w:rPr>
              <w:t>économie de leur pays ou par rapport à d</w:t>
            </w:r>
            <w:r w:rsidR="005311D6" w:rsidRPr="001800B7">
              <w:rPr>
                <w:szCs w:val="22"/>
              </w:rPr>
              <w:t>’</w:t>
            </w:r>
            <w:r w:rsidRPr="001800B7">
              <w:rPr>
                <w:szCs w:val="22"/>
              </w:rPr>
              <w:t>autres secteurs semblables mais dans d</w:t>
            </w:r>
            <w:r w:rsidR="005311D6" w:rsidRPr="001800B7">
              <w:rPr>
                <w:szCs w:val="22"/>
              </w:rPr>
              <w:t>’</w:t>
            </w:r>
            <w:r w:rsidRPr="001800B7">
              <w:rPr>
                <w:szCs w:val="22"/>
              </w:rPr>
              <w:t>autres pays.  Ces études ont également permis aux responsables politiques de mettre en évidence les solutions pouvant être mises en œuvre dans ce domaine.</w:t>
            </w:r>
          </w:p>
          <w:p w:rsidR="0010628F" w:rsidRPr="001800B7" w:rsidRDefault="0010628F" w:rsidP="00AC163C">
            <w:pPr>
              <w:spacing w:before="120" w:after="120"/>
              <w:rPr>
                <w:szCs w:val="22"/>
              </w:rPr>
            </w:pPr>
            <w:r w:rsidRPr="001800B7">
              <w:rPr>
                <w:szCs w:val="22"/>
              </w:rPr>
              <w:t>Des instruments pratiques destinés à certains secteurs de la création ont aussi été élaborés pour répondre aux besoins spécifiques par secteur et utilisés dans le cadre de séminaires dans un certain nombre de pays.</w:t>
            </w:r>
          </w:p>
          <w:p w:rsidR="0010628F" w:rsidRPr="001800B7" w:rsidRDefault="0010628F" w:rsidP="00AC163C">
            <w:pPr>
              <w:spacing w:before="120" w:after="120"/>
              <w:rPr>
                <w:szCs w:val="22"/>
              </w:rPr>
            </w:pPr>
            <w:r w:rsidRPr="001800B7">
              <w:rPr>
                <w:szCs w:val="22"/>
              </w:rPr>
              <w:t xml:space="preserve">Des partenariats avec les gouvernements et les organisations </w:t>
            </w:r>
            <w:r w:rsidRPr="001800B7">
              <w:rPr>
                <w:szCs w:val="22"/>
              </w:rPr>
              <w:lastRenderedPageBreak/>
              <w:t>internationales intéressés ont été recherchés et renforcés.</w:t>
            </w:r>
          </w:p>
        </w:tc>
        <w:tc>
          <w:tcPr>
            <w:tcW w:w="8025" w:type="dxa"/>
            <w:shd w:val="clear" w:color="auto" w:fill="auto"/>
          </w:tcPr>
          <w:p w:rsidR="0010628F" w:rsidRPr="001800B7" w:rsidRDefault="0010628F" w:rsidP="00AC163C">
            <w:pPr>
              <w:spacing w:before="120" w:after="120"/>
              <w:rPr>
                <w:szCs w:val="22"/>
              </w:rPr>
            </w:pPr>
            <w:r w:rsidRPr="001800B7">
              <w:rPr>
                <w:szCs w:val="22"/>
              </w:rPr>
              <w:lastRenderedPageBreak/>
              <w:t>Assistance fournie aux pays pour donner des preuves de la performance de leurs secteurs de création.</w:t>
            </w:r>
          </w:p>
          <w:p w:rsidR="0010628F" w:rsidRPr="001800B7" w:rsidRDefault="0010628F" w:rsidP="00AC163C">
            <w:pPr>
              <w:spacing w:before="120" w:after="120"/>
              <w:rPr>
                <w:szCs w:val="22"/>
              </w:rPr>
            </w:pPr>
            <w:r w:rsidRPr="001800B7">
              <w:rPr>
                <w:szCs w:val="22"/>
              </w:rPr>
              <w:t>Nombre accru d</w:t>
            </w:r>
            <w:r w:rsidR="005311D6" w:rsidRPr="001800B7">
              <w:rPr>
                <w:szCs w:val="22"/>
              </w:rPr>
              <w:t>’</w:t>
            </w:r>
            <w:r w:rsidRPr="001800B7">
              <w:rPr>
                <w:szCs w:val="22"/>
              </w:rPr>
              <w:t>activités de sensibilisation et de renforcement des capacités dans le domaine des industries de la création dans des pays de toutes les régions.</w:t>
            </w:r>
          </w:p>
          <w:p w:rsidR="0010628F" w:rsidRPr="001800B7" w:rsidRDefault="0010628F" w:rsidP="00AC163C">
            <w:pPr>
              <w:spacing w:before="120" w:after="120"/>
              <w:rPr>
                <w:szCs w:val="22"/>
              </w:rPr>
            </w:pPr>
            <w:r w:rsidRPr="001800B7">
              <w:rPr>
                <w:szCs w:val="22"/>
              </w:rPr>
              <w:t>Des instruments pour créateurs ont été élaborés et utilisés à grande échelle dans les activités de sensibilisation et de renforcement des capacités.  Ces instruments ont été traduits en espagnol et en français et certains en arabe, chinois et russe afin d</w:t>
            </w:r>
            <w:r w:rsidR="005311D6" w:rsidRPr="001800B7">
              <w:rPr>
                <w:szCs w:val="22"/>
              </w:rPr>
              <w:t>’</w:t>
            </w:r>
            <w:r w:rsidRPr="001800B7">
              <w:rPr>
                <w:szCs w:val="22"/>
              </w:rPr>
              <w:t>en permettre une plus large utilisation.</w:t>
            </w:r>
          </w:p>
          <w:p w:rsidR="0010628F" w:rsidRPr="001800B7" w:rsidRDefault="0010628F" w:rsidP="00AC163C">
            <w:pPr>
              <w:spacing w:before="120" w:after="120"/>
              <w:rPr>
                <w:szCs w:val="22"/>
              </w:rPr>
            </w:pPr>
            <w:r w:rsidRPr="001800B7">
              <w:rPr>
                <w:szCs w:val="22"/>
              </w:rPr>
              <w:t>Études de l</w:t>
            </w:r>
            <w:r w:rsidR="005311D6" w:rsidRPr="001800B7">
              <w:rPr>
                <w:szCs w:val="22"/>
              </w:rPr>
              <w:t>’</w:t>
            </w:r>
            <w:r w:rsidRPr="001800B7">
              <w:rPr>
                <w:szCs w:val="22"/>
              </w:rPr>
              <w:t>OMPI utilisées par trois pays pour élaborer des stratégies relatives aux industries de la création.</w:t>
            </w:r>
          </w:p>
          <w:p w:rsidR="0010628F" w:rsidRPr="001800B7" w:rsidRDefault="0010628F" w:rsidP="00AC163C">
            <w:pPr>
              <w:spacing w:before="120" w:after="12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réalisations liées à cette recommandation de 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 xml:space="preserve">2013 (document </w:t>
            </w:r>
            <w:r w:rsidRPr="001800B7">
              <w:rPr>
                <w:szCs w:val="22"/>
              </w:rPr>
              <w:lastRenderedPageBreak/>
              <w:t xml:space="preserve">WO/PBC/22/8), en particulier le programme 3.  </w:t>
            </w:r>
          </w:p>
        </w:tc>
      </w:tr>
      <w:tr w:rsidR="001800B7" w:rsidRPr="001800B7" w:rsidTr="00320D80">
        <w:tblPrEx>
          <w:tblCellMar>
            <w:top w:w="108" w:type="dxa"/>
            <w:bottom w:w="108" w:type="dxa"/>
          </w:tblCellMar>
        </w:tblPrEx>
        <w:tc>
          <w:tcPr>
            <w:tcW w:w="6491" w:type="dxa"/>
            <w:shd w:val="clear" w:color="auto" w:fill="auto"/>
          </w:tcPr>
          <w:p w:rsidR="0010628F" w:rsidRPr="001800B7" w:rsidRDefault="0010628F" w:rsidP="00AC163C">
            <w:pPr>
              <w:autoSpaceDE w:val="0"/>
              <w:spacing w:before="120" w:after="120"/>
              <w:outlineLvl w:val="3"/>
              <w:rPr>
                <w:bCs/>
                <w:i/>
                <w:szCs w:val="22"/>
              </w:rPr>
            </w:pPr>
            <w:r w:rsidRPr="001800B7">
              <w:rPr>
                <w:bCs/>
                <w:i/>
                <w:szCs w:val="22"/>
              </w:rPr>
              <w:lastRenderedPageBreak/>
              <w:t>Stratégie pour les universités et les instituts de recherche</w:t>
            </w:r>
          </w:p>
          <w:p w:rsidR="0010628F" w:rsidRPr="001800B7" w:rsidRDefault="0010628F" w:rsidP="00AC163C">
            <w:pPr>
              <w:spacing w:before="120" w:after="120"/>
              <w:rPr>
                <w:szCs w:val="22"/>
              </w:rPr>
            </w:pPr>
            <w:r w:rsidRPr="001800B7">
              <w:rPr>
                <w:szCs w:val="22"/>
              </w:rPr>
              <w:t>Compte tenu de la demande croissante émanant des États membres, les activités d</w:t>
            </w:r>
            <w:r w:rsidR="005311D6" w:rsidRPr="001800B7">
              <w:rPr>
                <w:szCs w:val="22"/>
              </w:rPr>
              <w:t>’</w:t>
            </w:r>
            <w:r w:rsidRPr="001800B7">
              <w:rPr>
                <w:szCs w:val="22"/>
              </w:rPr>
              <w:t>appui aux institutions de recherche (</w:t>
            </w:r>
            <w:r w:rsidR="005311D6" w:rsidRPr="001800B7">
              <w:rPr>
                <w:szCs w:val="22"/>
              </w:rPr>
              <w:t>y compris</w:t>
            </w:r>
            <w:r w:rsidRPr="001800B7">
              <w:rPr>
                <w:szCs w:val="22"/>
              </w:rPr>
              <w:t xml:space="preserve"> les universités) ont été considérablement renforcées.  L</w:t>
            </w:r>
            <w:r w:rsidR="005311D6" w:rsidRPr="001800B7">
              <w:rPr>
                <w:szCs w:val="22"/>
              </w:rPr>
              <w:t>’</w:t>
            </w:r>
            <w:r w:rsidRPr="001800B7">
              <w:rPr>
                <w:szCs w:val="22"/>
              </w:rPr>
              <w:t>aide fournie a été essentiellement axée sur trois types d</w:t>
            </w:r>
            <w:r w:rsidR="005311D6" w:rsidRPr="001800B7">
              <w:rPr>
                <w:szCs w:val="22"/>
              </w:rPr>
              <w:t>’</w:t>
            </w:r>
            <w:r w:rsidRPr="001800B7">
              <w:rPr>
                <w:szCs w:val="22"/>
              </w:rPr>
              <w:t>activités.  Premièrement, les instituts de recherche</w:t>
            </w:r>
            <w:r w:rsidR="001800B7" w:rsidRPr="001800B7">
              <w:rPr>
                <w:szCs w:val="22"/>
              </w:rPr>
              <w:noBreakHyphen/>
            </w:r>
            <w:r w:rsidRPr="001800B7">
              <w:rPr>
                <w:szCs w:val="22"/>
              </w:rPr>
              <w:t>développement et les universités ont été encouragés à élaborer des politiques institutionnelles en matière de propriété intellectuelle afin de faciliter la gestion des actifs de propriété intellectuelle conformément à leur mandat.  Deuxièmement, l</w:t>
            </w:r>
            <w:r w:rsidR="005311D6" w:rsidRPr="001800B7">
              <w:rPr>
                <w:szCs w:val="22"/>
              </w:rPr>
              <w:t>’</w:t>
            </w:r>
            <w:r w:rsidRPr="001800B7">
              <w:rPr>
                <w:szCs w:val="22"/>
              </w:rPr>
              <w:t>OMPI a appuyé la création de réseaux regroupant les instituts de recherche</w:t>
            </w:r>
            <w:r w:rsidR="001800B7" w:rsidRPr="001800B7">
              <w:rPr>
                <w:szCs w:val="22"/>
              </w:rPr>
              <w:noBreakHyphen/>
            </w:r>
            <w:r w:rsidRPr="001800B7">
              <w:rPr>
                <w:szCs w:val="22"/>
              </w:rPr>
              <w:t>développement autour de pôles de centralisation des données de propriété intellectuelle afin de favoriser la mise en place dans les États membres d</w:t>
            </w:r>
            <w:r w:rsidR="005311D6" w:rsidRPr="001800B7">
              <w:rPr>
                <w:szCs w:val="22"/>
              </w:rPr>
              <w:t>’</w:t>
            </w:r>
            <w:r w:rsidRPr="001800B7">
              <w:rPr>
                <w:szCs w:val="22"/>
              </w:rPr>
              <w:t>infrastructures performantes en matière d</w:t>
            </w:r>
            <w:r w:rsidR="005311D6" w:rsidRPr="001800B7">
              <w:rPr>
                <w:szCs w:val="22"/>
              </w:rPr>
              <w:t>’</w:t>
            </w:r>
            <w:r w:rsidRPr="001800B7">
              <w:rPr>
                <w:szCs w:val="22"/>
              </w:rPr>
              <w:t>innovation.</w:t>
            </w:r>
          </w:p>
          <w:p w:rsidR="0010628F" w:rsidRPr="001800B7" w:rsidRDefault="0010628F" w:rsidP="00320D80">
            <w:pPr>
              <w:spacing w:before="120" w:after="120"/>
              <w:rPr>
                <w:szCs w:val="22"/>
                <w:u w:val="single"/>
              </w:rPr>
            </w:pPr>
            <w:r w:rsidRPr="001800B7">
              <w:rPr>
                <w:szCs w:val="22"/>
              </w:rPr>
              <w:t>Troisièmement, l</w:t>
            </w:r>
            <w:r w:rsidR="005311D6" w:rsidRPr="001800B7">
              <w:rPr>
                <w:szCs w:val="22"/>
              </w:rPr>
              <w:t>’</w:t>
            </w:r>
            <w:r w:rsidRPr="001800B7">
              <w:rPr>
                <w:szCs w:val="22"/>
              </w:rPr>
              <w:t>OMPI a élaboré, sur demande, des programmes pratiques et sur mesure de formation à la concession de licences de technologie, l</w:t>
            </w:r>
            <w:r w:rsidR="005311D6" w:rsidRPr="001800B7">
              <w:rPr>
                <w:szCs w:val="22"/>
              </w:rPr>
              <w:t>’</w:t>
            </w:r>
            <w:r w:rsidRPr="001800B7">
              <w:rPr>
                <w:szCs w:val="22"/>
              </w:rPr>
              <w:t>évaluation des brevets, la rédaction des demandes de brevet et la gestion et la commercialisation des technologies, à l</w:t>
            </w:r>
            <w:r w:rsidR="005311D6" w:rsidRPr="001800B7">
              <w:rPr>
                <w:szCs w:val="22"/>
              </w:rPr>
              <w:t>’</w:t>
            </w:r>
            <w:r w:rsidRPr="001800B7">
              <w:rPr>
                <w:szCs w:val="22"/>
              </w:rPr>
              <w:t>intention des instituts de recherche</w:t>
            </w:r>
            <w:r w:rsidR="001800B7" w:rsidRPr="001800B7">
              <w:rPr>
                <w:szCs w:val="22"/>
              </w:rPr>
              <w:noBreakHyphen/>
            </w:r>
            <w:r w:rsidRPr="001800B7">
              <w:rPr>
                <w:szCs w:val="22"/>
              </w:rPr>
              <w:t>développement et des universités.</w:t>
            </w:r>
          </w:p>
        </w:tc>
        <w:tc>
          <w:tcPr>
            <w:tcW w:w="8025" w:type="dxa"/>
            <w:shd w:val="clear" w:color="auto" w:fill="auto"/>
          </w:tcPr>
          <w:p w:rsidR="0010628F" w:rsidRPr="001800B7" w:rsidRDefault="0010628F" w:rsidP="00AC163C">
            <w:pPr>
              <w:autoSpaceDE w:val="0"/>
              <w:spacing w:before="120" w:after="120"/>
              <w:outlineLvl w:val="2"/>
              <w:rPr>
                <w:bCs/>
                <w:szCs w:val="22"/>
              </w:rPr>
            </w:pPr>
            <w:r w:rsidRPr="001800B7">
              <w:rPr>
                <w:bCs/>
                <w:szCs w:val="22"/>
              </w:rPr>
              <w:t>Meilleure compréhension du rôle majeur joué par un cadre juridique en matière de gestion des droits de la propriété intellectuelle et une infrastructure organisationnelle pertinente (unités de gestion des technologies) aux fins d</w:t>
            </w:r>
            <w:r w:rsidR="005311D6" w:rsidRPr="001800B7">
              <w:rPr>
                <w:bCs/>
                <w:szCs w:val="22"/>
              </w:rPr>
              <w:t>’</w:t>
            </w:r>
            <w:r w:rsidRPr="001800B7">
              <w:rPr>
                <w:bCs/>
                <w:szCs w:val="22"/>
              </w:rPr>
              <w:t>assurer un transfert des connaissances systématique et efficace entre les universités et les instituts de recherche et développement d</w:t>
            </w:r>
            <w:r w:rsidR="005311D6" w:rsidRPr="001800B7">
              <w:rPr>
                <w:bCs/>
                <w:szCs w:val="22"/>
              </w:rPr>
              <w:t>’</w:t>
            </w:r>
            <w:r w:rsidRPr="001800B7">
              <w:rPr>
                <w:bCs/>
                <w:szCs w:val="22"/>
              </w:rPr>
              <w:t>une part et les partenaires industriels d</w:t>
            </w:r>
            <w:r w:rsidR="005311D6" w:rsidRPr="001800B7">
              <w:rPr>
                <w:bCs/>
                <w:szCs w:val="22"/>
              </w:rPr>
              <w:t>’</w:t>
            </w:r>
            <w:r w:rsidRPr="001800B7">
              <w:rPr>
                <w:bCs/>
                <w:szCs w:val="22"/>
              </w:rPr>
              <w:t>autre part.  Renforcement des capacités des experts nationaux en vue de définir des politiques institutionnelles en matière de droit de la propriété intellectuelle pour les institutions académiques.  Ce renforcement a été assuré par le biais de formations visant à renforcer les capacités en matière de rédaction de politiques institutionnelles dans le domaine de la propriété intellectuelle, d</w:t>
            </w:r>
            <w:r w:rsidR="005311D6" w:rsidRPr="001800B7">
              <w:rPr>
                <w:bCs/>
                <w:szCs w:val="22"/>
              </w:rPr>
              <w:t>’</w:t>
            </w:r>
            <w:r w:rsidRPr="001800B7">
              <w:rPr>
                <w:bCs/>
                <w:szCs w:val="22"/>
              </w:rPr>
              <w:t>apports de méthodologies et d</w:t>
            </w:r>
            <w:r w:rsidR="005311D6" w:rsidRPr="001800B7">
              <w:rPr>
                <w:bCs/>
                <w:szCs w:val="22"/>
              </w:rPr>
              <w:t>’</w:t>
            </w:r>
            <w:r w:rsidRPr="001800B7">
              <w:rPr>
                <w:bCs/>
                <w:szCs w:val="22"/>
              </w:rPr>
              <w:t>orientations adaptées et également d</w:t>
            </w:r>
            <w:r w:rsidR="005311D6" w:rsidRPr="001800B7">
              <w:rPr>
                <w:bCs/>
                <w:szCs w:val="22"/>
              </w:rPr>
              <w:t>’</w:t>
            </w:r>
            <w:r w:rsidRPr="001800B7">
              <w:rPr>
                <w:bCs/>
                <w:szCs w:val="22"/>
              </w:rPr>
              <w:t>exemples pertinents de telles politiques.</w:t>
            </w:r>
          </w:p>
          <w:p w:rsidR="0010628F" w:rsidRPr="001800B7" w:rsidRDefault="0010628F" w:rsidP="00AC163C">
            <w:pPr>
              <w:autoSpaceDE w:val="0"/>
              <w:spacing w:before="120" w:after="120"/>
              <w:outlineLvl w:val="2"/>
              <w:rPr>
                <w:bCs/>
                <w:szCs w:val="22"/>
              </w:rPr>
            </w:pPr>
            <w:r w:rsidRPr="001800B7">
              <w:rPr>
                <w:bCs/>
                <w:szCs w:val="22"/>
              </w:rPr>
              <w:t>Renforcement des connaissances et création de compétences pour plus de 1000 experts nationaux de pays en développement et de pays en transition par le biais de 24 formations sur mesure dispensées dans les États membres de l</w:t>
            </w:r>
            <w:r w:rsidR="005311D6" w:rsidRPr="001800B7">
              <w:rPr>
                <w:bCs/>
                <w:szCs w:val="22"/>
              </w:rPr>
              <w:t>’</w:t>
            </w:r>
            <w:r w:rsidRPr="001800B7">
              <w:rPr>
                <w:bCs/>
                <w:szCs w:val="22"/>
              </w:rPr>
              <w:t>OMPI en une année, dans le domaine de la gestion des droits de la propriété intellectuelle, du transfert de technologies et de l</w:t>
            </w:r>
            <w:r w:rsidR="005311D6" w:rsidRPr="001800B7">
              <w:rPr>
                <w:bCs/>
                <w:szCs w:val="22"/>
              </w:rPr>
              <w:t>’</w:t>
            </w:r>
            <w:r w:rsidRPr="001800B7">
              <w:rPr>
                <w:bCs/>
                <w:szCs w:val="22"/>
              </w:rPr>
              <w:t>innovation, de la rédaction de demandes de brevet, de l</w:t>
            </w:r>
            <w:r w:rsidR="005311D6" w:rsidRPr="001800B7">
              <w:rPr>
                <w:bCs/>
                <w:szCs w:val="22"/>
              </w:rPr>
              <w:t>’</w:t>
            </w:r>
            <w:r w:rsidRPr="001800B7">
              <w:rPr>
                <w:bCs/>
                <w:szCs w:val="22"/>
              </w:rPr>
              <w:t>évaluation de la propriété intellectuelle et de la concession de licences de technologie réussie.</w:t>
            </w:r>
          </w:p>
          <w:p w:rsidR="0010628F" w:rsidRPr="001800B7" w:rsidRDefault="0010628F" w:rsidP="00AC163C">
            <w:pPr>
              <w:autoSpaceDE w:val="0"/>
              <w:spacing w:before="120" w:after="120"/>
              <w:outlineLvl w:val="2"/>
              <w:rPr>
                <w:bCs/>
                <w:szCs w:val="22"/>
              </w:rPr>
            </w:pPr>
            <w:r w:rsidRPr="001800B7">
              <w:rPr>
                <w:bCs/>
                <w:szCs w:val="22"/>
              </w:rPr>
              <w:t>Renforcement de la sensibilisation aux avantages tirés d</w:t>
            </w:r>
            <w:r w:rsidR="005311D6" w:rsidRPr="001800B7">
              <w:rPr>
                <w:bCs/>
                <w:szCs w:val="22"/>
              </w:rPr>
              <w:t>’</w:t>
            </w:r>
            <w:r w:rsidRPr="001800B7">
              <w:rPr>
                <w:bCs/>
                <w:szCs w:val="22"/>
              </w:rPr>
              <w:t>un travail en réseau sur la propriété intellectuelle tant au niveau national qu</w:t>
            </w:r>
            <w:r w:rsidR="005311D6" w:rsidRPr="001800B7">
              <w:rPr>
                <w:bCs/>
                <w:szCs w:val="22"/>
              </w:rPr>
              <w:t>’</w:t>
            </w:r>
            <w:r w:rsidRPr="001800B7">
              <w:rPr>
                <w:bCs/>
                <w:szCs w:val="22"/>
              </w:rPr>
              <w:t>international par le biais de réunions et de forums organisés pour les agences de transfert de technologies et les responsables des services de technologies visant à créer des conditions favorables pour le travail en réseau et la coopération professionnelle.</w:t>
            </w:r>
          </w:p>
          <w:p w:rsidR="0010628F" w:rsidRPr="001800B7" w:rsidRDefault="0010628F" w:rsidP="00320D80">
            <w:pPr>
              <w:autoSpaceDE w:val="0"/>
              <w:spacing w:before="120" w:after="120"/>
              <w:outlineLvl w:val="2"/>
              <w:rPr>
                <w:szCs w:val="22"/>
              </w:rPr>
            </w:pPr>
            <w:r w:rsidRPr="001800B7">
              <w:rPr>
                <w:bCs/>
                <w:szCs w:val="22"/>
              </w:rPr>
              <w:t>En dehors des activités qui figurent dans la base de données de l</w:t>
            </w:r>
            <w:r w:rsidR="005311D6" w:rsidRPr="001800B7">
              <w:rPr>
                <w:bCs/>
                <w:szCs w:val="22"/>
              </w:rPr>
              <w:t>’</w:t>
            </w:r>
            <w:r w:rsidRPr="001800B7">
              <w:rPr>
                <w:bCs/>
                <w:szCs w:val="22"/>
              </w:rPr>
              <w:t>assistance technique en matière de propriété intellectuelle (IP</w:t>
            </w:r>
            <w:r w:rsidR="001800B7" w:rsidRPr="001800B7">
              <w:rPr>
                <w:bCs/>
                <w:szCs w:val="22"/>
              </w:rPr>
              <w:noBreakHyphen/>
            </w:r>
            <w:r w:rsidRPr="001800B7">
              <w:rPr>
                <w:bCs/>
                <w:szCs w:val="22"/>
              </w:rPr>
              <w:t>TAD), prière pour obtenir de plus amples informations sur les réalisations liées à cette recommandation de se référer au rapport sur l</w:t>
            </w:r>
            <w:r w:rsidR="005311D6" w:rsidRPr="001800B7">
              <w:rPr>
                <w:bCs/>
                <w:szCs w:val="22"/>
              </w:rPr>
              <w:t>’</w:t>
            </w:r>
            <w:r w:rsidRPr="001800B7">
              <w:rPr>
                <w:bCs/>
                <w:szCs w:val="22"/>
              </w:rPr>
              <w:t>exécution du programme en 2012</w:t>
            </w:r>
            <w:r w:rsidR="001800B7" w:rsidRPr="001800B7">
              <w:rPr>
                <w:bCs/>
                <w:szCs w:val="22"/>
              </w:rPr>
              <w:noBreakHyphen/>
            </w:r>
            <w:r w:rsidRPr="001800B7">
              <w:rPr>
                <w:bCs/>
                <w:szCs w:val="22"/>
              </w:rPr>
              <w:t>2013 (document WO/PBC/22/8), en particulier le programme 30.</w:t>
            </w:r>
          </w:p>
        </w:tc>
      </w:tr>
      <w:tr w:rsidR="001800B7" w:rsidRPr="001800B7" w:rsidTr="00320D80">
        <w:tblPrEx>
          <w:tblCellMar>
            <w:top w:w="108" w:type="dxa"/>
            <w:bottom w:w="108" w:type="dxa"/>
          </w:tblCellMar>
        </w:tblPrEx>
        <w:tc>
          <w:tcPr>
            <w:tcW w:w="6491" w:type="dxa"/>
            <w:shd w:val="clear" w:color="auto" w:fill="auto"/>
          </w:tcPr>
          <w:p w:rsidR="0010628F" w:rsidRPr="001800B7" w:rsidRDefault="0010628F" w:rsidP="00AC163C">
            <w:pPr>
              <w:autoSpaceDE w:val="0"/>
              <w:spacing w:before="120" w:after="120"/>
              <w:outlineLvl w:val="3"/>
              <w:rPr>
                <w:bCs/>
                <w:i/>
                <w:szCs w:val="22"/>
              </w:rPr>
            </w:pPr>
            <w:r w:rsidRPr="001800B7">
              <w:rPr>
                <w:bCs/>
                <w:i/>
                <w:szCs w:val="22"/>
              </w:rPr>
              <w:lastRenderedPageBreak/>
              <w:t>Stratégie pour appuyer l</w:t>
            </w:r>
            <w:r w:rsidR="005311D6" w:rsidRPr="001800B7">
              <w:rPr>
                <w:bCs/>
                <w:i/>
                <w:szCs w:val="22"/>
              </w:rPr>
              <w:t>’</w:t>
            </w:r>
            <w:r w:rsidRPr="001800B7">
              <w:rPr>
                <w:bCs/>
                <w:i/>
                <w:szCs w:val="22"/>
              </w:rPr>
              <w:t>élaboration de stratégies nationales en matière de propriété intellectuelle</w:t>
            </w:r>
          </w:p>
          <w:p w:rsidR="0010628F" w:rsidRPr="001800B7" w:rsidRDefault="0010628F" w:rsidP="00320D80">
            <w:pPr>
              <w:spacing w:before="120" w:after="120"/>
              <w:rPr>
                <w:szCs w:val="22"/>
                <w:u w:val="single"/>
              </w:rPr>
            </w:pPr>
            <w:r w:rsidRPr="001800B7">
              <w:rPr>
                <w:szCs w:val="22"/>
              </w:rPr>
              <w:t>Assistance en ce qui concerne l</w:t>
            </w:r>
            <w:r w:rsidR="005311D6" w:rsidRPr="001800B7">
              <w:rPr>
                <w:szCs w:val="22"/>
              </w:rPr>
              <w:t>’</w:t>
            </w:r>
            <w:r w:rsidRPr="001800B7">
              <w:rPr>
                <w:szCs w:val="22"/>
              </w:rPr>
              <w:t>intégration de stratégies de propriété intellectuelle dans les programmes de développement économique nationaux.  Cela a supposé l</w:t>
            </w:r>
            <w:r w:rsidR="005311D6" w:rsidRPr="001800B7">
              <w:rPr>
                <w:szCs w:val="22"/>
              </w:rPr>
              <w:t>’</w:t>
            </w:r>
            <w:r w:rsidRPr="001800B7">
              <w:rPr>
                <w:szCs w:val="22"/>
              </w:rPr>
              <w:t>élaboration d</w:t>
            </w:r>
            <w:r w:rsidR="005311D6" w:rsidRPr="001800B7">
              <w:rPr>
                <w:szCs w:val="22"/>
              </w:rPr>
              <w:t>’</w:t>
            </w:r>
            <w:r w:rsidRPr="001800B7">
              <w:rPr>
                <w:szCs w:val="22"/>
              </w:rPr>
              <w:t>instruments pratiques mettant en évidence l</w:t>
            </w:r>
            <w:r w:rsidR="005311D6" w:rsidRPr="001800B7">
              <w:rPr>
                <w:szCs w:val="22"/>
              </w:rPr>
              <w:t>’</w:t>
            </w:r>
            <w:r w:rsidRPr="001800B7">
              <w:rPr>
                <w:szCs w:val="22"/>
              </w:rPr>
              <w:t>importance des choix nationaux dans la définition et la mise en œuvre des stratégies de propriété intellectuelle.  Les besoins des PME, des institutions chargées de la recherche scientifique et des industries culturelles sont pris en considération dans le cadre de l</w:t>
            </w:r>
            <w:r w:rsidR="005311D6" w:rsidRPr="001800B7">
              <w:rPr>
                <w:szCs w:val="22"/>
              </w:rPr>
              <w:t>’</w:t>
            </w:r>
            <w:r w:rsidRPr="001800B7">
              <w:rPr>
                <w:szCs w:val="22"/>
              </w:rPr>
              <w:t>élaboration de stratégies nationales de propriété intellectuelle.</w:t>
            </w:r>
          </w:p>
        </w:tc>
        <w:tc>
          <w:tcPr>
            <w:tcW w:w="8025" w:type="dxa"/>
            <w:shd w:val="clear" w:color="auto" w:fill="auto"/>
          </w:tcPr>
          <w:p w:rsidR="0010628F" w:rsidRPr="001800B7" w:rsidRDefault="0010628F" w:rsidP="00AC163C">
            <w:pPr>
              <w:spacing w:before="120" w:after="120"/>
              <w:rPr>
                <w:szCs w:val="22"/>
              </w:rPr>
            </w:pPr>
            <w:r w:rsidRPr="001800B7">
              <w:rPr>
                <w:bCs/>
                <w:szCs w:val="22"/>
              </w:rPr>
              <w:t>Méthodologie pour l</w:t>
            </w:r>
            <w:r w:rsidR="005311D6" w:rsidRPr="001800B7">
              <w:rPr>
                <w:bCs/>
                <w:szCs w:val="22"/>
              </w:rPr>
              <w:t>’</w:t>
            </w:r>
            <w:r w:rsidRPr="001800B7">
              <w:rPr>
                <w:bCs/>
                <w:szCs w:val="22"/>
              </w:rPr>
              <w:t xml:space="preserve">élaboration de stratégies nationales en matière de propriété intellectuelle, </w:t>
            </w:r>
            <w:proofErr w:type="spellStart"/>
            <w:r w:rsidRPr="001800B7">
              <w:rPr>
                <w:bCs/>
                <w:szCs w:val="22"/>
              </w:rPr>
              <w:t>conçe</w:t>
            </w:r>
            <w:proofErr w:type="spellEnd"/>
            <w:r w:rsidRPr="001800B7">
              <w:rPr>
                <w:bCs/>
                <w:szCs w:val="22"/>
              </w:rPr>
              <w:t xml:space="preserve"> sous la forme d</w:t>
            </w:r>
            <w:r w:rsidR="005311D6" w:rsidRPr="001800B7">
              <w:rPr>
                <w:bCs/>
                <w:szCs w:val="22"/>
              </w:rPr>
              <w:t>’</w:t>
            </w:r>
            <w:r w:rsidRPr="001800B7">
              <w:rPr>
                <w:bCs/>
                <w:szCs w:val="22"/>
              </w:rPr>
              <w:t>un ensemble d</w:t>
            </w:r>
            <w:r w:rsidR="005311D6" w:rsidRPr="001800B7">
              <w:rPr>
                <w:bCs/>
                <w:szCs w:val="22"/>
              </w:rPr>
              <w:t>’</w:t>
            </w:r>
            <w:r w:rsidRPr="001800B7">
              <w:rPr>
                <w:bCs/>
                <w:szCs w:val="22"/>
              </w:rPr>
              <w:t>outils pratiques dans le cadre du projet relatif au renforcement des capacités des institutions de propriété intellectuelle et des utilisateurs aux niveaux national, sous</w:t>
            </w:r>
            <w:r w:rsidR="001800B7" w:rsidRPr="001800B7">
              <w:rPr>
                <w:bCs/>
                <w:szCs w:val="22"/>
              </w:rPr>
              <w:noBreakHyphen/>
            </w:r>
            <w:r w:rsidRPr="001800B7">
              <w:rPr>
                <w:bCs/>
                <w:szCs w:val="22"/>
              </w:rPr>
              <w:t>régional et régional (CDIP/3/INF/2).</w:t>
            </w:r>
          </w:p>
          <w:p w:rsidR="0010628F" w:rsidRPr="001800B7" w:rsidRDefault="0010628F" w:rsidP="00AC163C">
            <w:pPr>
              <w:spacing w:before="120" w:after="120"/>
              <w:rPr>
                <w:szCs w:val="22"/>
              </w:rPr>
            </w:pPr>
            <w:r w:rsidRPr="001800B7">
              <w:rPr>
                <w:szCs w:val="22"/>
              </w:rPr>
              <w:t>Stratégies nationales en matière de propriété intellectuelle utilisant la méthodologie de l</w:t>
            </w:r>
            <w:r w:rsidR="005311D6" w:rsidRPr="001800B7">
              <w:rPr>
                <w:szCs w:val="22"/>
              </w:rPr>
              <w:t>’</w:t>
            </w:r>
            <w:r w:rsidRPr="001800B7">
              <w:rPr>
                <w:szCs w:val="22"/>
              </w:rPr>
              <w:t>OMPI finalisées dans six pays pilotes.  Cette méthodologie a été intégrée dans les travaux réguliers de l</w:t>
            </w:r>
            <w:r w:rsidR="005311D6" w:rsidRPr="001800B7">
              <w:rPr>
                <w:szCs w:val="22"/>
              </w:rPr>
              <w:t>’</w:t>
            </w:r>
            <w:r w:rsidRPr="001800B7">
              <w:rPr>
                <w:szCs w:val="22"/>
              </w:rPr>
              <w:t>Organisation.</w:t>
            </w:r>
          </w:p>
          <w:p w:rsidR="0010628F" w:rsidRPr="001800B7" w:rsidRDefault="0010628F" w:rsidP="00AC163C">
            <w:pPr>
              <w:spacing w:before="120" w:after="120"/>
              <w:rPr>
                <w:szCs w:val="22"/>
              </w:rPr>
            </w:pPr>
            <w:r w:rsidRPr="001800B7">
              <w:rPr>
                <w:szCs w:val="22"/>
              </w:rPr>
              <w:t>Un grand nombre d</w:t>
            </w:r>
            <w:r w:rsidR="005311D6" w:rsidRPr="001800B7">
              <w:rPr>
                <w:szCs w:val="22"/>
              </w:rPr>
              <w:t>’</w:t>
            </w:r>
            <w:r w:rsidRPr="001800B7">
              <w:rPr>
                <w:szCs w:val="22"/>
              </w:rPr>
              <w:t>États membres ont bénéficié de l</w:t>
            </w:r>
            <w:r w:rsidR="005311D6" w:rsidRPr="001800B7">
              <w:rPr>
                <w:szCs w:val="22"/>
              </w:rPr>
              <w:t>’</w:t>
            </w:r>
            <w:r w:rsidRPr="001800B7">
              <w:rPr>
                <w:szCs w:val="22"/>
              </w:rPr>
              <w:t>assistance de l</w:t>
            </w:r>
            <w:r w:rsidR="005311D6" w:rsidRPr="001800B7">
              <w:rPr>
                <w:szCs w:val="22"/>
              </w:rPr>
              <w:t>’</w:t>
            </w:r>
            <w:r w:rsidRPr="001800B7">
              <w:rPr>
                <w:szCs w:val="22"/>
              </w:rPr>
              <w:t>OMPI dans leurs processus de réalisation d</w:t>
            </w:r>
            <w:r w:rsidR="005311D6" w:rsidRPr="001800B7">
              <w:rPr>
                <w:szCs w:val="22"/>
              </w:rPr>
              <w:t>’</w:t>
            </w:r>
            <w:r w:rsidRPr="001800B7">
              <w:rPr>
                <w:szCs w:val="22"/>
              </w:rPr>
              <w:t>évaluations/audits nationaux de propriété intellectuelle et aux fins de l</w:t>
            </w:r>
            <w:r w:rsidR="005311D6" w:rsidRPr="001800B7">
              <w:rPr>
                <w:szCs w:val="22"/>
              </w:rPr>
              <w:t>’</w:t>
            </w:r>
            <w:r w:rsidRPr="001800B7">
              <w:rPr>
                <w:szCs w:val="22"/>
              </w:rPr>
              <w:t>élaboration de stratégies nationales de propriété intellectuelle.</w:t>
            </w:r>
          </w:p>
          <w:p w:rsidR="0010628F" w:rsidRPr="001800B7" w:rsidRDefault="0010628F" w:rsidP="00AC163C">
            <w:pPr>
              <w:spacing w:before="120" w:after="12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réalisations liées à cette recommandation de 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 xml:space="preserve">2013 (Document WO/PBC/22/8), en particulier les programmes 9 et 10.  </w:t>
            </w:r>
          </w:p>
        </w:tc>
      </w:tr>
      <w:tr w:rsidR="001800B7" w:rsidRPr="001800B7" w:rsidTr="00320D80">
        <w:tblPrEx>
          <w:tblCellMar>
            <w:top w:w="108" w:type="dxa"/>
            <w:bottom w:w="108" w:type="dxa"/>
          </w:tblCellMar>
        </w:tblPrEx>
        <w:trPr>
          <w:cantSplit/>
        </w:trPr>
        <w:tc>
          <w:tcPr>
            <w:tcW w:w="6491" w:type="dxa"/>
            <w:shd w:val="clear" w:color="auto" w:fill="auto"/>
          </w:tcPr>
          <w:p w:rsidR="0010628F" w:rsidRPr="001800B7" w:rsidRDefault="0010628F" w:rsidP="00AC163C">
            <w:pPr>
              <w:spacing w:before="120" w:after="120"/>
              <w:rPr>
                <w:szCs w:val="22"/>
              </w:rPr>
            </w:pPr>
            <w:r w:rsidRPr="001800B7">
              <w:rPr>
                <w:szCs w:val="22"/>
              </w:rPr>
              <w:t>Un projet relatif à la propriété intellectuelle et la création de marques de produits aux fins de développement des entreprises dans les pays en développement et les pays les moins avancés (PMA) (CDIP/5/5) a contribué à la mise en œuvre de la recommandation n° 4.</w:t>
            </w:r>
          </w:p>
        </w:tc>
        <w:tc>
          <w:tcPr>
            <w:tcW w:w="8025" w:type="dxa"/>
            <w:shd w:val="clear" w:color="auto" w:fill="auto"/>
          </w:tcPr>
          <w:p w:rsidR="0010628F" w:rsidRPr="001800B7" w:rsidRDefault="0010628F" w:rsidP="00AC163C">
            <w:pPr>
              <w:spacing w:before="120" w:after="120"/>
              <w:rPr>
                <w:szCs w:val="22"/>
              </w:rPr>
            </w:pPr>
            <w:r w:rsidRPr="001800B7">
              <w:rPr>
                <w:szCs w:val="22"/>
              </w:rPr>
              <w:t>Projet mis en œuvre dans trois pays pilotes, notamment, le Panama, la Thaïlande et l</w:t>
            </w:r>
            <w:r w:rsidR="005311D6" w:rsidRPr="001800B7">
              <w:rPr>
                <w:szCs w:val="22"/>
              </w:rPr>
              <w:t>’</w:t>
            </w:r>
            <w:r w:rsidRPr="001800B7">
              <w:rPr>
                <w:szCs w:val="22"/>
              </w:rPr>
              <w:t>Ouganda</w:t>
            </w:r>
            <w:r w:rsidRPr="001800B7">
              <w:rPr>
                <w:rStyle w:val="FootnoteReference"/>
                <w:szCs w:val="22"/>
              </w:rPr>
              <w:footnoteReference w:id="13"/>
            </w:r>
            <w:r w:rsidRPr="001800B7">
              <w:rPr>
                <w:szCs w:val="22"/>
              </w:rPr>
              <w:t>.</w:t>
            </w:r>
          </w:p>
          <w:p w:rsidR="0010628F" w:rsidRPr="001800B7" w:rsidRDefault="0010628F" w:rsidP="00AC163C">
            <w:pPr>
              <w:spacing w:before="120" w:after="120"/>
              <w:rPr>
                <w:szCs w:val="22"/>
              </w:rPr>
            </w:pPr>
            <w:r w:rsidRPr="001800B7">
              <w:rPr>
                <w:szCs w:val="22"/>
              </w:rPr>
              <w:t>Des stratégies de marques et de propriété intellectuelle propres aux produits conçues dans le but de conférer une valeur ajoutée aux caractéristiques uniques des produits ainsi qu</w:t>
            </w:r>
            <w:r w:rsidR="005311D6" w:rsidRPr="001800B7">
              <w:rPr>
                <w:szCs w:val="22"/>
              </w:rPr>
              <w:t>’</w:t>
            </w:r>
            <w:r w:rsidRPr="001800B7">
              <w:rPr>
                <w:szCs w:val="22"/>
              </w:rPr>
              <w:t>à leur image de marque potentielle.</w:t>
            </w:r>
          </w:p>
          <w:p w:rsidR="0010628F" w:rsidRPr="001800B7" w:rsidRDefault="0010628F" w:rsidP="00AC163C">
            <w:pPr>
              <w:spacing w:before="120" w:after="120"/>
              <w:rPr>
                <w:szCs w:val="22"/>
              </w:rPr>
            </w:pPr>
            <w:r w:rsidRPr="001800B7">
              <w:rPr>
                <w:szCs w:val="22"/>
              </w:rPr>
              <w:t>Voir les rapports sur l</w:t>
            </w:r>
            <w:r w:rsidR="005311D6" w:rsidRPr="001800B7">
              <w:rPr>
                <w:szCs w:val="22"/>
              </w:rPr>
              <w:t>’</w:t>
            </w:r>
            <w:r w:rsidRPr="001800B7">
              <w:rPr>
                <w:szCs w:val="22"/>
              </w:rPr>
              <w:t>état d</w:t>
            </w:r>
            <w:r w:rsidR="005311D6" w:rsidRPr="001800B7">
              <w:rPr>
                <w:szCs w:val="22"/>
              </w:rPr>
              <w:t>’</w:t>
            </w:r>
            <w:r w:rsidRPr="001800B7">
              <w:rPr>
                <w:szCs w:val="22"/>
              </w:rPr>
              <w:t>avancement et les rapports d</w:t>
            </w:r>
            <w:r w:rsidR="005311D6" w:rsidRPr="001800B7">
              <w:rPr>
                <w:szCs w:val="22"/>
              </w:rPr>
              <w:t>’</w:t>
            </w:r>
            <w:r w:rsidRPr="001800B7">
              <w:rPr>
                <w:szCs w:val="22"/>
              </w:rPr>
              <w:t xml:space="preserve">évaluation qui figurant dans les documents </w:t>
            </w:r>
            <w:hyperlink r:id="rId74" w:tgtFrame="_self" w:history="1">
              <w:r w:rsidRPr="001800B7">
                <w:rPr>
                  <w:rStyle w:val="Hyperlink"/>
                  <w:color w:val="auto"/>
                  <w:szCs w:val="22"/>
                </w:rPr>
                <w:t>CDIP/8/2</w:t>
              </w:r>
            </w:hyperlink>
            <w:r w:rsidRPr="001800B7">
              <w:rPr>
                <w:szCs w:val="22"/>
              </w:rPr>
              <w:t xml:space="preserve">, </w:t>
            </w:r>
            <w:hyperlink r:id="rId75" w:tgtFrame="_self" w:history="1">
              <w:r w:rsidRPr="001800B7">
                <w:rPr>
                  <w:rStyle w:val="Hyperlink"/>
                  <w:color w:val="auto"/>
                  <w:szCs w:val="22"/>
                </w:rPr>
                <w:t>CDIP/10/2</w:t>
              </w:r>
            </w:hyperlink>
            <w:r w:rsidRPr="001800B7">
              <w:rPr>
                <w:szCs w:val="22"/>
              </w:rPr>
              <w:t xml:space="preserve"> et </w:t>
            </w:r>
            <w:hyperlink r:id="rId76" w:tgtFrame="_self" w:history="1">
              <w:r w:rsidRPr="001800B7">
                <w:rPr>
                  <w:rStyle w:val="Hyperlink"/>
                  <w:color w:val="auto"/>
                  <w:szCs w:val="22"/>
                </w:rPr>
                <w:t>CDIP/12/2</w:t>
              </w:r>
            </w:hyperlink>
            <w:r w:rsidRPr="001800B7">
              <w:rPr>
                <w:szCs w:val="22"/>
              </w:rPr>
              <w:t xml:space="preserve"> et le rapport d</w:t>
            </w:r>
            <w:r w:rsidR="005311D6" w:rsidRPr="001800B7">
              <w:rPr>
                <w:szCs w:val="22"/>
              </w:rPr>
              <w:t>’</w:t>
            </w:r>
            <w:r w:rsidRPr="001800B7">
              <w:rPr>
                <w:szCs w:val="22"/>
              </w:rPr>
              <w:t xml:space="preserve">évaluation dans le document </w:t>
            </w:r>
            <w:hyperlink r:id="rId77" w:tgtFrame="_self" w:history="1">
              <w:r w:rsidRPr="001800B7">
                <w:rPr>
                  <w:rStyle w:val="Hyperlink"/>
                  <w:color w:val="auto"/>
                  <w:szCs w:val="22"/>
                </w:rPr>
                <w:t>CDIP/13/3</w:t>
              </w:r>
            </w:hyperlink>
            <w:r w:rsidRPr="001800B7">
              <w:rPr>
                <w:rStyle w:val="Hyperlink"/>
                <w:color w:val="auto"/>
                <w:szCs w:val="22"/>
              </w:rPr>
              <w:t>.</w:t>
            </w:r>
          </w:p>
        </w:tc>
      </w:tr>
    </w:tbl>
    <w:p w:rsidR="00320D80" w:rsidRPr="001800B7" w:rsidRDefault="00320D80" w:rsidP="0010628F">
      <w:pPr>
        <w:spacing w:before="120" w:after="120"/>
        <w:rPr>
          <w:i/>
          <w:szCs w:val="22"/>
        </w:rPr>
      </w:pPr>
    </w:p>
    <w:p w:rsidR="0010628F" w:rsidRPr="001800B7" w:rsidRDefault="00320D80" w:rsidP="00320D80">
      <w:pPr>
        <w:rPr>
          <w:b/>
          <w:szCs w:val="22"/>
        </w:rPr>
      </w:pPr>
      <w:r w:rsidRPr="001800B7">
        <w:rPr>
          <w:i/>
          <w:szCs w:val="22"/>
        </w:rPr>
        <w:br w:type="page"/>
      </w:r>
      <w:r w:rsidR="0010628F" w:rsidRPr="001800B7">
        <w:rPr>
          <w:i/>
          <w:szCs w:val="22"/>
        </w:rPr>
        <w:lastRenderedPageBreak/>
        <w:t>Recommandation n° 6</w:t>
      </w:r>
      <w:r w:rsidR="0010628F" w:rsidRPr="001800B7">
        <w:rPr>
          <w:szCs w:val="22"/>
        </w:rPr>
        <w:t> : Le personnel et les consultants chargés de l</w:t>
      </w:r>
      <w:r w:rsidR="005311D6" w:rsidRPr="001800B7">
        <w:rPr>
          <w:szCs w:val="22"/>
        </w:rPr>
        <w:t>’</w:t>
      </w:r>
      <w:r w:rsidR="0010628F" w:rsidRPr="001800B7">
        <w:rPr>
          <w:szCs w:val="22"/>
        </w:rPr>
        <w:t>assistance technique au sein de l</w:t>
      </w:r>
      <w:r w:rsidR="005311D6" w:rsidRPr="001800B7">
        <w:rPr>
          <w:szCs w:val="22"/>
        </w:rPr>
        <w:t>’</w:t>
      </w:r>
      <w:r w:rsidR="0010628F" w:rsidRPr="001800B7">
        <w:rPr>
          <w:szCs w:val="22"/>
        </w:rPr>
        <w:t>OMPI devront conserver leur neutralité et rendre compte de leurs activités, en accordant une attention particulière au code de déontologie existant et en évitant les conflits d</w:t>
      </w:r>
      <w:r w:rsidR="005311D6" w:rsidRPr="001800B7">
        <w:rPr>
          <w:szCs w:val="22"/>
        </w:rPr>
        <w:t>’</w:t>
      </w:r>
      <w:r w:rsidR="0010628F" w:rsidRPr="001800B7">
        <w:rPr>
          <w:szCs w:val="22"/>
        </w:rPr>
        <w:t>intérêts potentiels.  L</w:t>
      </w:r>
      <w:r w:rsidR="005311D6" w:rsidRPr="001800B7">
        <w:rPr>
          <w:szCs w:val="22"/>
        </w:rPr>
        <w:t>’</w:t>
      </w:r>
      <w:r w:rsidR="0010628F" w:rsidRPr="001800B7">
        <w:rPr>
          <w:szCs w:val="22"/>
        </w:rPr>
        <w:t>OMPI établira une liste des consultants chargés de l</w:t>
      </w:r>
      <w:r w:rsidR="005311D6" w:rsidRPr="001800B7">
        <w:rPr>
          <w:szCs w:val="22"/>
        </w:rPr>
        <w:t>’</w:t>
      </w:r>
      <w:r w:rsidR="0010628F" w:rsidRPr="001800B7">
        <w:rPr>
          <w:szCs w:val="22"/>
        </w:rPr>
        <w:t>assistance technique au sein de l</w:t>
      </w:r>
      <w:r w:rsidR="005311D6" w:rsidRPr="001800B7">
        <w:rPr>
          <w:szCs w:val="22"/>
        </w:rPr>
        <w:t>’</w:t>
      </w:r>
      <w:r w:rsidR="0010628F" w:rsidRPr="001800B7">
        <w:rPr>
          <w:szCs w:val="22"/>
        </w:rPr>
        <w:t>OMPI et la diffusera largement auprès des États membres.</w:t>
      </w:r>
    </w:p>
    <w:p w:rsidR="0010628F" w:rsidRPr="001800B7" w:rsidRDefault="0010628F" w:rsidP="00320D80">
      <w:pPr>
        <w:rPr>
          <w:b/>
          <w:szCs w:val="22"/>
        </w:rPr>
      </w:pPr>
    </w:p>
    <w:tbl>
      <w:tblPr>
        <w:tblW w:w="1451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7"/>
        <w:gridCol w:w="10009"/>
      </w:tblGrid>
      <w:tr w:rsidR="001800B7" w:rsidRPr="001800B7" w:rsidTr="00320D80">
        <w:tc>
          <w:tcPr>
            <w:tcW w:w="4507" w:type="dxa"/>
            <w:shd w:val="clear" w:color="auto" w:fill="auto"/>
          </w:tcPr>
          <w:p w:rsidR="0010628F" w:rsidRPr="001800B7" w:rsidRDefault="0010628F" w:rsidP="00AC163C">
            <w:pPr>
              <w:autoSpaceDE w:val="0"/>
              <w:spacing w:before="120" w:after="120"/>
              <w:outlineLvl w:val="2"/>
              <w:rPr>
                <w:bCs/>
                <w:szCs w:val="22"/>
                <w:u w:val="single"/>
              </w:rPr>
            </w:pPr>
            <w:r w:rsidRPr="001800B7">
              <w:rPr>
                <w:bCs/>
                <w:szCs w:val="22"/>
                <w:u w:val="single"/>
              </w:rPr>
              <w:t>Stratégies de mise en œuvre</w:t>
            </w:r>
          </w:p>
        </w:tc>
        <w:tc>
          <w:tcPr>
            <w:tcW w:w="10009" w:type="dxa"/>
            <w:shd w:val="clear" w:color="auto" w:fill="auto"/>
            <w:vAlign w:val="center"/>
          </w:tcPr>
          <w:p w:rsidR="0010628F" w:rsidRPr="001800B7" w:rsidRDefault="0010628F" w:rsidP="00320D80">
            <w:pPr>
              <w:autoSpaceDE w:val="0"/>
              <w:spacing w:before="120" w:after="120"/>
              <w:outlineLvl w:val="2"/>
              <w:rPr>
                <w:szCs w:val="22"/>
              </w:rPr>
            </w:pPr>
            <w:r w:rsidRPr="001800B7">
              <w:rPr>
                <w:bCs/>
                <w:szCs w:val="22"/>
                <w:u w:val="single"/>
              </w:rPr>
              <w:t>Réalisations</w:t>
            </w:r>
          </w:p>
        </w:tc>
      </w:tr>
      <w:tr w:rsidR="001800B7" w:rsidRPr="001800B7" w:rsidTr="00320D80">
        <w:tblPrEx>
          <w:tblCellMar>
            <w:top w:w="108" w:type="dxa"/>
            <w:bottom w:w="108" w:type="dxa"/>
          </w:tblCellMar>
        </w:tblPrEx>
        <w:tc>
          <w:tcPr>
            <w:tcW w:w="4507" w:type="dxa"/>
            <w:shd w:val="clear" w:color="auto" w:fill="auto"/>
          </w:tcPr>
          <w:p w:rsidR="0010628F" w:rsidRPr="001800B7" w:rsidRDefault="0010628F" w:rsidP="00320D80">
            <w:pPr>
              <w:spacing w:before="120" w:after="120"/>
              <w:rPr>
                <w:szCs w:val="22"/>
              </w:rPr>
            </w:pPr>
            <w:r w:rsidRPr="001800B7">
              <w:rPr>
                <w:szCs w:val="22"/>
              </w:rPr>
              <w:t xml:space="preserve">Intégrer les normes de conduite requises des fonctionnaires internationaux du système des </w:t>
            </w:r>
            <w:r w:rsidR="005311D6" w:rsidRPr="001800B7">
              <w:rPr>
                <w:szCs w:val="22"/>
              </w:rPr>
              <w:t>Nations Unies</w:t>
            </w:r>
            <w:r w:rsidRPr="001800B7">
              <w:rPr>
                <w:szCs w:val="22"/>
              </w:rPr>
              <w:t xml:space="preserve"> dans les contrats de tous les membres du personnel de l</w:t>
            </w:r>
            <w:r w:rsidR="005311D6" w:rsidRPr="001800B7">
              <w:rPr>
                <w:szCs w:val="22"/>
              </w:rPr>
              <w:t>’</w:t>
            </w:r>
            <w:r w:rsidRPr="001800B7">
              <w:rPr>
                <w:szCs w:val="22"/>
              </w:rPr>
              <w:t xml:space="preserve">OMPI, </w:t>
            </w:r>
            <w:r w:rsidR="005311D6" w:rsidRPr="001800B7">
              <w:rPr>
                <w:szCs w:val="22"/>
              </w:rPr>
              <w:t>y compris</w:t>
            </w:r>
            <w:r w:rsidRPr="001800B7">
              <w:rPr>
                <w:szCs w:val="22"/>
              </w:rPr>
              <w:t xml:space="preserve"> les consultants recrutés par l</w:t>
            </w:r>
            <w:r w:rsidR="005311D6" w:rsidRPr="001800B7">
              <w:rPr>
                <w:szCs w:val="22"/>
              </w:rPr>
              <w:t>’</w:t>
            </w:r>
            <w:r w:rsidRPr="001800B7">
              <w:rPr>
                <w:szCs w:val="22"/>
              </w:rPr>
              <w:t>Organisation.</w:t>
            </w:r>
          </w:p>
        </w:tc>
        <w:tc>
          <w:tcPr>
            <w:tcW w:w="10009" w:type="dxa"/>
            <w:shd w:val="clear" w:color="auto" w:fill="auto"/>
          </w:tcPr>
          <w:p w:rsidR="0010628F" w:rsidRPr="001800B7" w:rsidRDefault="0010628F" w:rsidP="00AC163C">
            <w:pPr>
              <w:spacing w:before="120" w:after="120"/>
              <w:rPr>
                <w:szCs w:val="22"/>
              </w:rPr>
            </w:pPr>
            <w:r w:rsidRPr="001800B7">
              <w:rPr>
                <w:szCs w:val="22"/>
              </w:rPr>
              <w:t>Les normes de conduite requises des fonctionnaires internationaux édictées par la Commission de la fonction publique internationale (CFPI) ont été officiellement incorporées dans le règlement et statut révisé du personnel de l</w:t>
            </w:r>
            <w:r w:rsidR="005311D6" w:rsidRPr="001800B7">
              <w:rPr>
                <w:szCs w:val="22"/>
              </w:rPr>
              <w:t>’</w:t>
            </w:r>
            <w:r w:rsidRPr="001800B7">
              <w:rPr>
                <w:szCs w:val="22"/>
              </w:rPr>
              <w:t>Organisation à compter du 1er janvier 2013.</w:t>
            </w:r>
          </w:p>
        </w:tc>
      </w:tr>
      <w:tr w:rsidR="001800B7" w:rsidRPr="001800B7" w:rsidTr="00320D80">
        <w:tblPrEx>
          <w:tblCellMar>
            <w:top w:w="108" w:type="dxa"/>
            <w:bottom w:w="108" w:type="dxa"/>
          </w:tblCellMar>
        </w:tblPrEx>
        <w:tc>
          <w:tcPr>
            <w:tcW w:w="4507" w:type="dxa"/>
            <w:shd w:val="clear" w:color="auto" w:fill="auto"/>
          </w:tcPr>
          <w:p w:rsidR="0010628F" w:rsidRPr="001800B7" w:rsidRDefault="0010628F" w:rsidP="00320D80">
            <w:pPr>
              <w:spacing w:before="120" w:after="120"/>
              <w:rPr>
                <w:szCs w:val="22"/>
              </w:rPr>
            </w:pPr>
            <w:r w:rsidRPr="001800B7">
              <w:rPr>
                <w:szCs w:val="22"/>
              </w:rPr>
              <w:t>Prise de conscience et meilleure compréhension de l</w:t>
            </w:r>
            <w:r w:rsidR="005311D6" w:rsidRPr="001800B7">
              <w:rPr>
                <w:szCs w:val="22"/>
              </w:rPr>
              <w:t>’</w:t>
            </w:r>
            <w:r w:rsidRPr="001800B7">
              <w:rPr>
                <w:szCs w:val="22"/>
              </w:rPr>
              <w:t>importance des principes d</w:t>
            </w:r>
            <w:r w:rsidR="005311D6" w:rsidRPr="001800B7">
              <w:rPr>
                <w:szCs w:val="22"/>
              </w:rPr>
              <w:t>’</w:t>
            </w:r>
            <w:r w:rsidRPr="001800B7">
              <w:rPr>
                <w:szCs w:val="22"/>
              </w:rPr>
              <w:t>éthique et d</w:t>
            </w:r>
            <w:r w:rsidR="005311D6" w:rsidRPr="001800B7">
              <w:rPr>
                <w:szCs w:val="22"/>
              </w:rPr>
              <w:t>’</w:t>
            </w:r>
            <w:r w:rsidRPr="001800B7">
              <w:rPr>
                <w:szCs w:val="22"/>
              </w:rPr>
              <w:t>intégrité.</w:t>
            </w:r>
          </w:p>
        </w:tc>
        <w:tc>
          <w:tcPr>
            <w:tcW w:w="10009" w:type="dxa"/>
            <w:shd w:val="clear" w:color="auto" w:fill="auto"/>
          </w:tcPr>
          <w:p w:rsidR="0010628F" w:rsidRPr="001800B7" w:rsidRDefault="0010628F" w:rsidP="009B7B20">
            <w:pPr>
              <w:spacing w:before="120" w:after="120"/>
              <w:rPr>
                <w:szCs w:val="22"/>
              </w:rPr>
            </w:pPr>
            <w:r w:rsidRPr="001800B7">
              <w:rPr>
                <w:szCs w:val="22"/>
              </w:rPr>
              <w:t>Un Bureau de la déontologie de l</w:t>
            </w:r>
            <w:r w:rsidR="005311D6" w:rsidRPr="001800B7">
              <w:rPr>
                <w:szCs w:val="22"/>
              </w:rPr>
              <w:t>’</w:t>
            </w:r>
            <w:r w:rsidRPr="001800B7">
              <w:rPr>
                <w:szCs w:val="22"/>
              </w:rPr>
              <w:t>OMPI et un code de la déontologie ont été créés suite à de nombreuses consultations avec le Conseil du personnel de l</w:t>
            </w:r>
            <w:r w:rsidR="005311D6" w:rsidRPr="001800B7">
              <w:rPr>
                <w:szCs w:val="22"/>
              </w:rPr>
              <w:t>’</w:t>
            </w:r>
            <w:r w:rsidRPr="001800B7">
              <w:rPr>
                <w:szCs w:val="22"/>
              </w:rPr>
              <w:t xml:space="preserve">OMPI et la totalité du personnel.  La recommandation a été intégrée dans le </w:t>
            </w:r>
            <w:r w:rsidR="009B7B20" w:rsidRPr="001800B7">
              <w:rPr>
                <w:szCs w:val="22"/>
              </w:rPr>
              <w:t>programme et budget</w:t>
            </w:r>
            <w:r w:rsidRPr="001800B7">
              <w:rPr>
                <w:szCs w:val="22"/>
              </w:rPr>
              <w:t xml:space="preserve"> de l</w:t>
            </w:r>
            <w:r w:rsidR="005311D6" w:rsidRPr="001800B7">
              <w:rPr>
                <w:szCs w:val="22"/>
              </w:rPr>
              <w:t>’</w:t>
            </w:r>
            <w:r w:rsidRPr="001800B7">
              <w:rPr>
                <w:szCs w:val="22"/>
              </w:rPr>
              <w:t>OMPI, notamment avec l</w:t>
            </w:r>
            <w:r w:rsidR="005311D6" w:rsidRPr="001800B7">
              <w:rPr>
                <w:szCs w:val="22"/>
              </w:rPr>
              <w:t>’</w:t>
            </w:r>
            <w:r w:rsidRPr="001800B7">
              <w:rPr>
                <w:szCs w:val="22"/>
              </w:rPr>
              <w:t>achèvement en 2013 du Programme de formation complet à la déontologie et à l</w:t>
            </w:r>
            <w:r w:rsidR="005311D6" w:rsidRPr="001800B7">
              <w:rPr>
                <w:szCs w:val="22"/>
              </w:rPr>
              <w:t>’</w:t>
            </w:r>
            <w:r w:rsidRPr="001800B7">
              <w:rPr>
                <w:szCs w:val="22"/>
              </w:rPr>
              <w:t>intégrité.</w:t>
            </w:r>
          </w:p>
        </w:tc>
      </w:tr>
      <w:tr w:rsidR="001800B7" w:rsidRPr="001800B7" w:rsidTr="00320D80">
        <w:tblPrEx>
          <w:tblCellMar>
            <w:top w:w="108" w:type="dxa"/>
            <w:bottom w:w="108" w:type="dxa"/>
          </w:tblCellMar>
        </w:tblPrEx>
        <w:tc>
          <w:tcPr>
            <w:tcW w:w="4507" w:type="dxa"/>
            <w:shd w:val="clear" w:color="auto" w:fill="auto"/>
          </w:tcPr>
          <w:p w:rsidR="0010628F" w:rsidRPr="001800B7" w:rsidRDefault="0010628F" w:rsidP="00320D80">
            <w:pPr>
              <w:spacing w:before="120" w:after="120"/>
              <w:rPr>
                <w:szCs w:val="22"/>
              </w:rPr>
            </w:pPr>
            <w:r w:rsidRPr="001800B7">
              <w:rPr>
                <w:szCs w:val="22"/>
              </w:rPr>
              <w:t>Développer les capacités d</w:t>
            </w:r>
            <w:r w:rsidR="005311D6" w:rsidRPr="001800B7">
              <w:rPr>
                <w:szCs w:val="22"/>
              </w:rPr>
              <w:t>’</w:t>
            </w:r>
            <w:r w:rsidRPr="001800B7">
              <w:rPr>
                <w:szCs w:val="22"/>
              </w:rPr>
              <w:t>investigation de l</w:t>
            </w:r>
            <w:r w:rsidR="005311D6" w:rsidRPr="001800B7">
              <w:rPr>
                <w:szCs w:val="22"/>
              </w:rPr>
              <w:t>’</w:t>
            </w:r>
            <w:r w:rsidRPr="001800B7">
              <w:rPr>
                <w:szCs w:val="22"/>
              </w:rPr>
              <w:t>OMPI sur les manquements commis au sein de l</w:t>
            </w:r>
            <w:r w:rsidR="005311D6" w:rsidRPr="001800B7">
              <w:rPr>
                <w:szCs w:val="22"/>
              </w:rPr>
              <w:t>’</w:t>
            </w:r>
            <w:r w:rsidRPr="001800B7">
              <w:rPr>
                <w:szCs w:val="22"/>
              </w:rPr>
              <w:t>Organisation.</w:t>
            </w:r>
          </w:p>
        </w:tc>
        <w:tc>
          <w:tcPr>
            <w:tcW w:w="10009" w:type="dxa"/>
            <w:shd w:val="clear" w:color="auto" w:fill="auto"/>
          </w:tcPr>
          <w:p w:rsidR="0010628F" w:rsidRPr="001800B7" w:rsidRDefault="0010628F" w:rsidP="00AC163C">
            <w:pPr>
              <w:autoSpaceDE w:val="0"/>
              <w:spacing w:before="120" w:after="120"/>
              <w:outlineLvl w:val="2"/>
              <w:rPr>
                <w:szCs w:val="22"/>
              </w:rPr>
            </w:pPr>
            <w:r w:rsidRPr="001800B7">
              <w:rPr>
                <w:szCs w:val="22"/>
              </w:rPr>
              <w:t>Le Manuel relatif à la procédure en matière d</w:t>
            </w:r>
            <w:r w:rsidR="005311D6" w:rsidRPr="001800B7">
              <w:rPr>
                <w:szCs w:val="22"/>
              </w:rPr>
              <w:t>’</w:t>
            </w:r>
            <w:r w:rsidRPr="001800B7">
              <w:rPr>
                <w:szCs w:val="22"/>
              </w:rPr>
              <w:t>enquêtes, qui prévoit un ensemble complet de règles régissant les enquêtes, a été publié en août 2010 (</w:t>
            </w:r>
            <w:hyperlink r:id="rId78" w:history="1">
              <w:r w:rsidRPr="001800B7">
                <w:rPr>
                  <w:rStyle w:val="Hyperlink"/>
                  <w:color w:val="auto"/>
                  <w:szCs w:val="22"/>
                </w:rPr>
                <w:t>http://www.wipo.int/export/sites/www/about</w:t>
              </w:r>
              <w:r w:rsidR="001800B7" w:rsidRPr="001800B7">
                <w:rPr>
                  <w:rStyle w:val="Hyperlink"/>
                  <w:color w:val="auto"/>
                  <w:szCs w:val="22"/>
                </w:rPr>
                <w:noBreakHyphen/>
              </w:r>
              <w:r w:rsidRPr="001800B7">
                <w:rPr>
                  <w:rStyle w:val="Hyperlink"/>
                  <w:color w:val="auto"/>
                  <w:szCs w:val="22"/>
                </w:rPr>
                <w:t>wipo/fr/oversight/iaod/investigations/pdf/investigation_procedure_manual.pdf</w:t>
              </w:r>
            </w:hyperlink>
            <w:r w:rsidRPr="001800B7">
              <w:rPr>
                <w:szCs w:val="22"/>
              </w:rPr>
              <w:t>)</w:t>
            </w:r>
          </w:p>
          <w:p w:rsidR="0010628F" w:rsidRPr="001800B7" w:rsidRDefault="0010628F" w:rsidP="00AC163C">
            <w:pPr>
              <w:autoSpaceDE w:val="0"/>
              <w:spacing w:before="120" w:after="120"/>
              <w:outlineLvl w:val="2"/>
              <w:rPr>
                <w:szCs w:val="22"/>
              </w:rPr>
            </w:pPr>
            <w:r w:rsidRPr="001800B7">
              <w:rPr>
                <w:szCs w:val="22"/>
              </w:rPr>
              <w:t>Ultérieurement, la Politique en matière d</w:t>
            </w:r>
            <w:r w:rsidR="005311D6" w:rsidRPr="001800B7">
              <w:rPr>
                <w:szCs w:val="22"/>
              </w:rPr>
              <w:t>’</w:t>
            </w:r>
            <w:r w:rsidRPr="001800B7">
              <w:rPr>
                <w:szCs w:val="22"/>
              </w:rPr>
              <w:t xml:space="preserve">enquêtes </w:t>
            </w:r>
            <w:hyperlink r:id="rId79" w:history="1">
              <w:r w:rsidRPr="001800B7">
                <w:rPr>
                  <w:rStyle w:val="Hyperlink"/>
                  <w:color w:val="auto"/>
                  <w:szCs w:val="22"/>
                </w:rPr>
                <w:t>http://www.wipo.int/export/sites/www/about</w:t>
              </w:r>
              <w:r w:rsidR="001800B7" w:rsidRPr="001800B7">
                <w:rPr>
                  <w:rStyle w:val="Hyperlink"/>
                  <w:color w:val="auto"/>
                  <w:szCs w:val="22"/>
                </w:rPr>
                <w:noBreakHyphen/>
              </w:r>
              <w:r w:rsidRPr="001800B7">
                <w:rPr>
                  <w:rStyle w:val="Hyperlink"/>
                  <w:color w:val="auto"/>
                  <w:szCs w:val="22"/>
                </w:rPr>
                <w:t>wipo/en/oversight/iaod/investigations/pdf/investigation_policy_2014.pdf</w:t>
              </w:r>
            </w:hyperlink>
            <w:r w:rsidRPr="001800B7">
              <w:rPr>
                <w:szCs w:val="22"/>
              </w:rPr>
              <w:t xml:space="preserve"> ), qui fournit un cadre et élabore des principes directeurs pour la réalisation d</w:t>
            </w:r>
            <w:r w:rsidR="005311D6" w:rsidRPr="001800B7">
              <w:rPr>
                <w:szCs w:val="22"/>
              </w:rPr>
              <w:t>’</w:t>
            </w:r>
            <w:r w:rsidRPr="001800B7">
              <w:rPr>
                <w:szCs w:val="22"/>
              </w:rPr>
              <w:t>enquêtes, a été préparée en consultation avec des États membres et publiée le 24 janvier 2014.  Le Manuel sur la procédure à suivre en cas d</w:t>
            </w:r>
            <w:r w:rsidR="005311D6" w:rsidRPr="001800B7">
              <w:rPr>
                <w:szCs w:val="22"/>
              </w:rPr>
              <w:t>’</w:t>
            </w:r>
            <w:r w:rsidRPr="001800B7">
              <w:rPr>
                <w:szCs w:val="22"/>
              </w:rPr>
              <w:t>enquêtes a été révisé aux fins de prendre en compte le cadre établi par la politique, et la deuxième édition a été publiée le 24 janvier 2014.  (</w:t>
            </w:r>
            <w:hyperlink r:id="rId80" w:history="1">
              <w:r w:rsidRPr="001800B7">
                <w:rPr>
                  <w:rStyle w:val="Hyperlink"/>
                  <w:color w:val="auto"/>
                  <w:szCs w:val="22"/>
                </w:rPr>
                <w:t>http://www.wipo.int/export/sites/www/about</w:t>
              </w:r>
              <w:r w:rsidR="001800B7" w:rsidRPr="001800B7">
                <w:rPr>
                  <w:rStyle w:val="Hyperlink"/>
                  <w:color w:val="auto"/>
                  <w:szCs w:val="22"/>
                </w:rPr>
                <w:noBreakHyphen/>
              </w:r>
              <w:r w:rsidRPr="001800B7">
                <w:rPr>
                  <w:rStyle w:val="Hyperlink"/>
                  <w:color w:val="auto"/>
                  <w:szCs w:val="22"/>
                </w:rPr>
                <w:t>wipo/en/oversight/iaod/investigations/pdf/investigation_procedures_manual_2nd_edition.pdf</w:t>
              </w:r>
            </w:hyperlink>
            <w:r w:rsidRPr="001800B7">
              <w:rPr>
                <w:szCs w:val="22"/>
              </w:rPr>
              <w:t xml:space="preserve"> ).</w:t>
            </w:r>
          </w:p>
          <w:p w:rsidR="0010628F" w:rsidRPr="001800B7" w:rsidRDefault="0010628F" w:rsidP="00AC163C">
            <w:pPr>
              <w:spacing w:before="120" w:after="120"/>
              <w:rPr>
                <w:szCs w:val="22"/>
              </w:rPr>
            </w:pPr>
            <w:r w:rsidRPr="001800B7">
              <w:rPr>
                <w:szCs w:val="22"/>
              </w:rPr>
              <w:t>La révision de 2012 du Statut et règlement du personnel a réaffirmé l</w:t>
            </w:r>
            <w:r w:rsidR="005311D6" w:rsidRPr="001800B7">
              <w:rPr>
                <w:szCs w:val="22"/>
              </w:rPr>
              <w:t>’</w:t>
            </w:r>
            <w:r w:rsidRPr="001800B7">
              <w:rPr>
                <w:szCs w:val="22"/>
              </w:rPr>
              <w:t xml:space="preserve">obligation pour tout le </w:t>
            </w:r>
            <w:r w:rsidRPr="001800B7">
              <w:rPr>
                <w:szCs w:val="22"/>
              </w:rPr>
              <w:lastRenderedPageBreak/>
              <w:t xml:space="preserve">personnel de signaler toute irrégularité commise (article 1.7 </w:t>
            </w:r>
            <w:hyperlink r:id="rId81" w:history="1">
              <w:r w:rsidRPr="001800B7">
                <w:rPr>
                  <w:rStyle w:val="Hyperlink"/>
                  <w:color w:val="auto"/>
                  <w:szCs w:val="22"/>
                </w:rPr>
                <w:t>http://www.wipo.int/export/sites/www/erecruitment/en/pdf/staff_rules_part_a.pdf</w:t>
              </w:r>
            </w:hyperlink>
            <w:r w:rsidRPr="001800B7">
              <w:rPr>
                <w:szCs w:val="22"/>
              </w:rPr>
              <w:t xml:space="preserve"> ).</w:t>
            </w:r>
          </w:p>
          <w:p w:rsidR="0010628F" w:rsidRPr="001800B7" w:rsidRDefault="0010628F" w:rsidP="00320D80">
            <w:pPr>
              <w:spacing w:before="120" w:after="120"/>
              <w:rPr>
                <w:szCs w:val="22"/>
              </w:rPr>
            </w:pPr>
            <w:r w:rsidRPr="001800B7">
              <w:rPr>
                <w:szCs w:val="22"/>
              </w:rPr>
              <w:t>La même révision du Statut et règlement du personnel a défini la protection des lanceurs d</w:t>
            </w:r>
            <w:r w:rsidR="005311D6" w:rsidRPr="001800B7">
              <w:rPr>
                <w:szCs w:val="22"/>
              </w:rPr>
              <w:t>’</w:t>
            </w:r>
            <w:r w:rsidRPr="001800B7">
              <w:rPr>
                <w:szCs w:val="22"/>
              </w:rPr>
              <w:t>alerte.  Les principes ont été ultérieurement définis dans un ordre de service sur la politique de protection des lanceurs d</w:t>
            </w:r>
            <w:r w:rsidR="005311D6" w:rsidRPr="001800B7">
              <w:rPr>
                <w:szCs w:val="22"/>
              </w:rPr>
              <w:t>’</w:t>
            </w:r>
            <w:r w:rsidRPr="001800B7">
              <w:rPr>
                <w:szCs w:val="22"/>
              </w:rPr>
              <w:t>alerte, laquelle politique est applicable à tout le personnel de l</w:t>
            </w:r>
            <w:r w:rsidR="005311D6" w:rsidRPr="001800B7">
              <w:rPr>
                <w:szCs w:val="22"/>
              </w:rPr>
              <w:t>’</w:t>
            </w:r>
            <w:r w:rsidRPr="001800B7">
              <w:rPr>
                <w:szCs w:val="22"/>
              </w:rPr>
              <w:t>OMPI</w:t>
            </w:r>
          </w:p>
        </w:tc>
      </w:tr>
      <w:tr w:rsidR="001800B7" w:rsidRPr="001800B7" w:rsidTr="00320D80">
        <w:tblPrEx>
          <w:tblCellMar>
            <w:top w:w="108" w:type="dxa"/>
            <w:bottom w:w="108" w:type="dxa"/>
          </w:tblCellMar>
        </w:tblPrEx>
        <w:tc>
          <w:tcPr>
            <w:tcW w:w="4507" w:type="dxa"/>
            <w:shd w:val="clear" w:color="auto" w:fill="auto"/>
          </w:tcPr>
          <w:p w:rsidR="0010628F" w:rsidRPr="001800B7" w:rsidRDefault="0010628F" w:rsidP="00AC163C">
            <w:pPr>
              <w:spacing w:before="120" w:after="120"/>
              <w:rPr>
                <w:szCs w:val="22"/>
              </w:rPr>
            </w:pPr>
            <w:r w:rsidRPr="001800B7">
              <w:rPr>
                <w:szCs w:val="22"/>
              </w:rPr>
              <w:lastRenderedPageBreak/>
              <w:t>Établir et mettre à disposition une liste de consultants de l</w:t>
            </w:r>
            <w:r w:rsidR="005311D6" w:rsidRPr="001800B7">
              <w:rPr>
                <w:szCs w:val="22"/>
              </w:rPr>
              <w:t>’</w:t>
            </w:r>
            <w:r w:rsidRPr="001800B7">
              <w:rPr>
                <w:szCs w:val="22"/>
              </w:rPr>
              <w:t>OMPI chargés de fournir une assistance technique.</w:t>
            </w:r>
          </w:p>
        </w:tc>
        <w:tc>
          <w:tcPr>
            <w:tcW w:w="10009" w:type="dxa"/>
            <w:shd w:val="clear" w:color="auto" w:fill="auto"/>
          </w:tcPr>
          <w:p w:rsidR="0010628F" w:rsidRPr="001800B7" w:rsidRDefault="0010628F" w:rsidP="00320D80">
            <w:pPr>
              <w:autoSpaceDE w:val="0"/>
              <w:spacing w:before="120" w:after="120"/>
              <w:rPr>
                <w:szCs w:val="22"/>
              </w:rPr>
            </w:pPr>
            <w:r w:rsidRPr="001800B7">
              <w:rPr>
                <w:szCs w:val="22"/>
              </w:rPr>
              <w:t>La liste des consultants a été actualisée et intégrée au projet sur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 xml:space="preserve">TAD).  </w:t>
            </w:r>
            <w:r w:rsidRPr="001800B7">
              <w:rPr>
                <w:szCs w:val="22"/>
              </w:rPr>
              <w:br/>
              <w:t>La base de données est disponible à l</w:t>
            </w:r>
            <w:r w:rsidR="005311D6" w:rsidRPr="001800B7">
              <w:rPr>
                <w:szCs w:val="22"/>
              </w:rPr>
              <w:t>’</w:t>
            </w:r>
            <w:r w:rsidRPr="001800B7">
              <w:rPr>
                <w:szCs w:val="22"/>
              </w:rPr>
              <w:t>adresse suivante : http://www.wipo.int/roc/fr/index.jsp</w:t>
            </w:r>
          </w:p>
        </w:tc>
      </w:tr>
    </w:tbl>
    <w:p w:rsidR="0010628F" w:rsidRPr="001800B7" w:rsidRDefault="0010628F" w:rsidP="0010628F">
      <w:pPr>
        <w:spacing w:before="120" w:after="120"/>
        <w:rPr>
          <w:szCs w:val="22"/>
        </w:rPr>
      </w:pPr>
    </w:p>
    <w:p w:rsidR="0010628F" w:rsidRPr="001800B7" w:rsidRDefault="0010628F" w:rsidP="00320D80">
      <w:pPr>
        <w:rPr>
          <w:bCs/>
          <w:szCs w:val="22"/>
        </w:rPr>
      </w:pPr>
      <w:r w:rsidRPr="001800B7">
        <w:rPr>
          <w:szCs w:val="22"/>
        </w:rPr>
        <w:br w:type="page"/>
      </w:r>
      <w:r w:rsidRPr="001800B7">
        <w:rPr>
          <w:i/>
          <w:szCs w:val="22"/>
        </w:rPr>
        <w:lastRenderedPageBreak/>
        <w:t>Recommandation n° 7</w:t>
      </w:r>
      <w:r w:rsidRPr="001800B7">
        <w:rPr>
          <w:szCs w:val="22"/>
        </w:rPr>
        <w:t> : 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w:t>
      </w:r>
      <w:r w:rsidR="005311D6" w:rsidRPr="001800B7">
        <w:rPr>
          <w:szCs w:val="22"/>
        </w:rPr>
        <w:t>’</w:t>
      </w:r>
      <w:r w:rsidRPr="001800B7">
        <w:rPr>
          <w:szCs w:val="22"/>
        </w:rPr>
        <w:t>interface entre les droits de propriété intellectuelle et les politiques en matière de concurrence</w:t>
      </w:r>
      <w:r w:rsidRPr="001800B7">
        <w:rPr>
          <w:i/>
          <w:szCs w:val="22"/>
        </w:rPr>
        <w:t>.</w:t>
      </w:r>
    </w:p>
    <w:p w:rsidR="0010628F" w:rsidRPr="001800B7" w:rsidRDefault="0010628F" w:rsidP="00320D80">
      <w:pPr>
        <w:rPr>
          <w:b/>
          <w:szCs w:val="22"/>
        </w:rPr>
      </w:pPr>
    </w:p>
    <w:tbl>
      <w:tblPr>
        <w:tblW w:w="1451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1"/>
        <w:gridCol w:w="8025"/>
      </w:tblGrid>
      <w:tr w:rsidR="001800B7" w:rsidRPr="001800B7" w:rsidTr="00320D80">
        <w:trPr>
          <w:trHeight w:val="392"/>
          <w:tblHeader/>
        </w:trPr>
        <w:tc>
          <w:tcPr>
            <w:tcW w:w="6491" w:type="dxa"/>
            <w:shd w:val="clear" w:color="auto" w:fill="auto"/>
          </w:tcPr>
          <w:p w:rsidR="0010628F" w:rsidRPr="001800B7" w:rsidRDefault="0010628F" w:rsidP="00AC163C">
            <w:pPr>
              <w:autoSpaceDE w:val="0"/>
              <w:spacing w:before="120" w:after="120"/>
              <w:outlineLvl w:val="2"/>
              <w:rPr>
                <w:bCs/>
                <w:szCs w:val="22"/>
                <w:u w:val="single"/>
              </w:rPr>
            </w:pPr>
            <w:r w:rsidRPr="001800B7">
              <w:rPr>
                <w:bCs/>
                <w:szCs w:val="22"/>
                <w:u w:val="single"/>
              </w:rPr>
              <w:t>Stratégies de mise en œuvre</w:t>
            </w:r>
          </w:p>
        </w:tc>
        <w:tc>
          <w:tcPr>
            <w:tcW w:w="8025" w:type="dxa"/>
            <w:shd w:val="clear" w:color="auto" w:fill="auto"/>
            <w:vAlign w:val="center"/>
          </w:tcPr>
          <w:p w:rsidR="0010628F" w:rsidRPr="001800B7" w:rsidRDefault="0010628F" w:rsidP="001B7E93">
            <w:pPr>
              <w:autoSpaceDE w:val="0"/>
              <w:spacing w:before="120" w:after="120"/>
              <w:outlineLvl w:val="2"/>
              <w:rPr>
                <w:szCs w:val="22"/>
              </w:rPr>
            </w:pPr>
            <w:r w:rsidRPr="001800B7">
              <w:rPr>
                <w:bCs/>
                <w:szCs w:val="22"/>
                <w:u w:val="single"/>
              </w:rPr>
              <w:t>Réalisations</w:t>
            </w:r>
          </w:p>
        </w:tc>
      </w:tr>
      <w:tr w:rsidR="001800B7" w:rsidRPr="001800B7" w:rsidTr="00320D80">
        <w:tblPrEx>
          <w:tblCellMar>
            <w:top w:w="108" w:type="dxa"/>
            <w:bottom w:w="108" w:type="dxa"/>
          </w:tblCellMar>
        </w:tblPrEx>
        <w:trPr>
          <w:trHeight w:val="935"/>
        </w:trPr>
        <w:tc>
          <w:tcPr>
            <w:tcW w:w="6491" w:type="dxa"/>
            <w:shd w:val="clear" w:color="auto" w:fill="auto"/>
          </w:tcPr>
          <w:p w:rsidR="0010628F" w:rsidRPr="001800B7" w:rsidRDefault="0010628F" w:rsidP="00AC163C">
            <w:pPr>
              <w:spacing w:before="120" w:after="120"/>
              <w:rPr>
                <w:szCs w:val="22"/>
              </w:rPr>
            </w:pPr>
            <w:r w:rsidRPr="001800B7">
              <w:rPr>
                <w:szCs w:val="22"/>
              </w:rPr>
              <w:t>Sur demande, l</w:t>
            </w:r>
            <w:r w:rsidR="005311D6" w:rsidRPr="001800B7">
              <w:rPr>
                <w:szCs w:val="22"/>
              </w:rPr>
              <w:t>’</w:t>
            </w:r>
            <w:r w:rsidRPr="001800B7">
              <w:rPr>
                <w:szCs w:val="22"/>
              </w:rPr>
              <w:t>OMPI fournit une assistance et des conseils législatifs pour prévenir les pratiques anticoncurrentielles dans le domaine de la propriété intellectuelle ou y mettre un terme.  Cela vise notamment l</w:t>
            </w:r>
            <w:r w:rsidR="005311D6" w:rsidRPr="001800B7">
              <w:rPr>
                <w:szCs w:val="22"/>
              </w:rPr>
              <w:t>’</w:t>
            </w:r>
            <w:r w:rsidRPr="001800B7">
              <w:rPr>
                <w:szCs w:val="22"/>
              </w:rPr>
              <w:t xml:space="preserve">examen de la portée même des droits de propriété intellectuelle exclusifs, </w:t>
            </w:r>
            <w:r w:rsidR="005311D6" w:rsidRPr="001800B7">
              <w:rPr>
                <w:szCs w:val="22"/>
              </w:rPr>
              <w:t>y compris</w:t>
            </w:r>
            <w:r w:rsidRPr="001800B7">
              <w:rPr>
                <w:szCs w:val="22"/>
              </w:rPr>
              <w:t xml:space="preserve"> les exceptions et limitations à ces droits, ainsi que l</w:t>
            </w:r>
            <w:r w:rsidR="005311D6" w:rsidRPr="001800B7">
              <w:rPr>
                <w:szCs w:val="22"/>
              </w:rPr>
              <w:t>’</w:t>
            </w:r>
            <w:r w:rsidRPr="001800B7">
              <w:rPr>
                <w:szCs w:val="22"/>
              </w:rPr>
              <w:t>utilisation de mécanismes juridiques tels que les licences obligatoires ou d</w:t>
            </w:r>
            <w:r w:rsidR="005311D6" w:rsidRPr="001800B7">
              <w:rPr>
                <w:szCs w:val="22"/>
              </w:rPr>
              <w:t>’</w:t>
            </w:r>
            <w:r w:rsidRPr="001800B7">
              <w:rPr>
                <w:szCs w:val="22"/>
              </w:rPr>
              <w:t>autres mesures autorisées en application des normes internationales.  Sur demande, des conseils sont aussi fournis sur des questions relatives aux clauses commerciales restrictives et à d</w:t>
            </w:r>
            <w:r w:rsidR="005311D6" w:rsidRPr="001800B7">
              <w:rPr>
                <w:szCs w:val="22"/>
              </w:rPr>
              <w:t>’</w:t>
            </w:r>
            <w:r w:rsidRPr="001800B7">
              <w:rPr>
                <w:szCs w:val="22"/>
              </w:rPr>
              <w:t>autres dispositions figurant dans les contrats de licence en matière de propriété intellectuelle pouvant avoir un impact négatif sur la concurrence.</w:t>
            </w:r>
          </w:p>
          <w:p w:rsidR="0010628F" w:rsidRPr="001800B7" w:rsidRDefault="0010628F" w:rsidP="001B7E93">
            <w:pPr>
              <w:spacing w:before="120" w:after="120"/>
              <w:rPr>
                <w:szCs w:val="22"/>
              </w:rPr>
            </w:pPr>
            <w:r w:rsidRPr="001800B7">
              <w:rPr>
                <w:szCs w:val="22"/>
              </w:rPr>
              <w:t>En outre, en vertu de cette recommandation, un projet thématique relatif à la propriété intellectuelle et à la politique en matière de concurrence (CDIP/4/4 </w:t>
            </w:r>
            <w:proofErr w:type="spellStart"/>
            <w:r w:rsidRPr="001800B7">
              <w:rPr>
                <w:szCs w:val="22"/>
              </w:rPr>
              <w:t>Rev</w:t>
            </w:r>
            <w:proofErr w:type="spellEnd"/>
            <w:r w:rsidRPr="001800B7">
              <w:rPr>
                <w:szCs w:val="22"/>
              </w:rPr>
              <w:t>.) a été élaboré et mis en œuvre.</w:t>
            </w:r>
          </w:p>
        </w:tc>
        <w:tc>
          <w:tcPr>
            <w:tcW w:w="8025" w:type="dxa"/>
            <w:shd w:val="clear" w:color="auto" w:fill="auto"/>
          </w:tcPr>
          <w:p w:rsidR="0010628F" w:rsidRPr="001800B7" w:rsidRDefault="0010628F" w:rsidP="00AC163C">
            <w:pPr>
              <w:spacing w:before="120" w:after="120"/>
              <w:rPr>
                <w:rFonts w:eastAsia="Times New Roman"/>
                <w:szCs w:val="22"/>
                <w:lang w:eastAsia="en-US"/>
              </w:rPr>
            </w:pPr>
            <w:r w:rsidRPr="001800B7">
              <w:rPr>
                <w:rFonts w:eastAsia="Times New Roman"/>
                <w:szCs w:val="22"/>
                <w:lang w:eastAsia="en-US"/>
              </w:rPr>
              <w:t>Promotion de la coopération, formelle ou informelle, entre les offices nationaux de propriété intellectuelle et les autorités chargées de la concurrence afin de promouvoir un échange régulier d</w:t>
            </w:r>
            <w:r w:rsidR="005311D6" w:rsidRPr="001800B7">
              <w:rPr>
                <w:rFonts w:eastAsia="Times New Roman"/>
                <w:szCs w:val="22"/>
                <w:lang w:eastAsia="en-US"/>
              </w:rPr>
              <w:t>’</w:t>
            </w:r>
            <w:r w:rsidRPr="001800B7">
              <w:rPr>
                <w:rFonts w:eastAsia="Times New Roman"/>
                <w:szCs w:val="22"/>
                <w:lang w:eastAsia="en-US"/>
              </w:rPr>
              <w:t>informations.</w:t>
            </w:r>
          </w:p>
          <w:p w:rsidR="0010628F" w:rsidRPr="001800B7" w:rsidRDefault="0010628F" w:rsidP="00AC163C">
            <w:pPr>
              <w:spacing w:before="120" w:after="120"/>
              <w:rPr>
                <w:rFonts w:eastAsia="Times New Roman"/>
                <w:szCs w:val="22"/>
                <w:lang w:eastAsia="en-US"/>
              </w:rPr>
            </w:pPr>
            <w:r w:rsidRPr="001800B7">
              <w:rPr>
                <w:rFonts w:eastAsia="Times New Roman"/>
                <w:szCs w:val="22"/>
                <w:lang w:eastAsia="en-US"/>
              </w:rPr>
              <w:t>Meilleure compréhension de l</w:t>
            </w:r>
            <w:r w:rsidR="005311D6" w:rsidRPr="001800B7">
              <w:rPr>
                <w:rFonts w:eastAsia="Times New Roman"/>
                <w:szCs w:val="22"/>
                <w:lang w:eastAsia="en-US"/>
              </w:rPr>
              <w:t>’</w:t>
            </w:r>
            <w:r w:rsidRPr="001800B7">
              <w:rPr>
                <w:rFonts w:eastAsia="Times New Roman"/>
                <w:szCs w:val="22"/>
                <w:lang w:eastAsia="en-US"/>
              </w:rPr>
              <w:t>interface entre la propriété intellectuelle et la concurrence dans un nombre de domaines complexes tels que les refus d</w:t>
            </w:r>
            <w:r w:rsidR="005311D6" w:rsidRPr="001800B7">
              <w:rPr>
                <w:rFonts w:eastAsia="Times New Roman"/>
                <w:szCs w:val="22"/>
                <w:lang w:eastAsia="en-US"/>
              </w:rPr>
              <w:t>’</w:t>
            </w:r>
            <w:r w:rsidRPr="001800B7">
              <w:rPr>
                <w:rFonts w:eastAsia="Times New Roman"/>
                <w:szCs w:val="22"/>
                <w:lang w:eastAsia="en-US"/>
              </w:rPr>
              <w:t>accorder des licences, les communautés de brevets, la concession de licences et l</w:t>
            </w:r>
            <w:r w:rsidR="005311D6" w:rsidRPr="001800B7">
              <w:rPr>
                <w:rFonts w:eastAsia="Times New Roman"/>
                <w:szCs w:val="22"/>
                <w:lang w:eastAsia="en-US"/>
              </w:rPr>
              <w:t>’</w:t>
            </w:r>
            <w:r w:rsidRPr="001800B7">
              <w:rPr>
                <w:rFonts w:eastAsia="Times New Roman"/>
                <w:szCs w:val="22"/>
                <w:lang w:eastAsia="en-US"/>
              </w:rPr>
              <w:t>acquisition et l</w:t>
            </w:r>
            <w:r w:rsidR="005311D6" w:rsidRPr="001800B7">
              <w:rPr>
                <w:rFonts w:eastAsia="Times New Roman"/>
                <w:szCs w:val="22"/>
                <w:lang w:eastAsia="en-US"/>
              </w:rPr>
              <w:t>’</w:t>
            </w:r>
            <w:r w:rsidRPr="001800B7">
              <w:rPr>
                <w:rFonts w:eastAsia="Times New Roman"/>
                <w:szCs w:val="22"/>
                <w:lang w:eastAsia="en-US"/>
              </w:rPr>
              <w:t>application de brevets dans l</w:t>
            </w:r>
            <w:r w:rsidR="005311D6" w:rsidRPr="001800B7">
              <w:rPr>
                <w:rFonts w:eastAsia="Times New Roman"/>
                <w:szCs w:val="22"/>
                <w:lang w:eastAsia="en-US"/>
              </w:rPr>
              <w:t>’</w:t>
            </w:r>
            <w:r w:rsidRPr="001800B7">
              <w:rPr>
                <w:rFonts w:eastAsia="Times New Roman"/>
                <w:szCs w:val="22"/>
                <w:lang w:eastAsia="en-US"/>
              </w:rPr>
              <w:t>industrie des téléphones cellulaires multifonctions.</w:t>
            </w:r>
          </w:p>
          <w:p w:rsidR="0010628F" w:rsidRPr="001800B7" w:rsidRDefault="0010628F" w:rsidP="00AC163C">
            <w:pPr>
              <w:spacing w:before="120" w:after="120"/>
              <w:rPr>
                <w:rFonts w:eastAsia="Times New Roman"/>
                <w:szCs w:val="22"/>
                <w:lang w:eastAsia="en-US"/>
              </w:rPr>
            </w:pPr>
            <w:r w:rsidRPr="001800B7">
              <w:rPr>
                <w:szCs w:val="22"/>
              </w:rPr>
              <w:t>Renforcement de la coopération et de la coordination avec les Secrétariats de l</w:t>
            </w:r>
            <w:r w:rsidR="005311D6" w:rsidRPr="001800B7">
              <w:rPr>
                <w:szCs w:val="22"/>
              </w:rPr>
              <w:t>’</w:t>
            </w:r>
            <w:r w:rsidRPr="001800B7">
              <w:rPr>
                <w:szCs w:val="22"/>
              </w:rPr>
              <w:t>OCDE, du CNUCED, de l</w:t>
            </w:r>
            <w:r w:rsidR="005311D6" w:rsidRPr="001800B7">
              <w:rPr>
                <w:szCs w:val="22"/>
              </w:rPr>
              <w:t>’</w:t>
            </w:r>
            <w:r w:rsidRPr="001800B7">
              <w:rPr>
                <w:szCs w:val="22"/>
              </w:rPr>
              <w:t>OMPI et de l</w:t>
            </w:r>
            <w:r w:rsidR="005311D6" w:rsidRPr="001800B7">
              <w:rPr>
                <w:szCs w:val="22"/>
              </w:rPr>
              <w:t>’</w:t>
            </w:r>
            <w:r w:rsidRPr="001800B7">
              <w:rPr>
                <w:szCs w:val="22"/>
              </w:rPr>
              <w:t>OMC.</w:t>
            </w:r>
          </w:p>
          <w:p w:rsidR="0010628F" w:rsidRPr="001800B7" w:rsidRDefault="0010628F" w:rsidP="00AC163C">
            <w:pPr>
              <w:spacing w:before="120" w:after="120"/>
              <w:rPr>
                <w:rFonts w:eastAsia="Times New Roman"/>
                <w:szCs w:val="22"/>
                <w:lang w:eastAsia="en-US"/>
              </w:rPr>
            </w:pPr>
            <w:r w:rsidRPr="001800B7">
              <w:rPr>
                <w:rFonts w:eastAsia="Times New Roman"/>
                <w:szCs w:val="22"/>
                <w:lang w:eastAsia="en-US"/>
              </w:rPr>
              <w:t>Le projet relatif à la propriété intellectuelle et à la politique en matière de concurrence (CDIP/4/4 </w:t>
            </w:r>
            <w:proofErr w:type="spellStart"/>
            <w:r w:rsidRPr="001800B7">
              <w:rPr>
                <w:rFonts w:eastAsia="Times New Roman"/>
                <w:szCs w:val="22"/>
                <w:lang w:eastAsia="en-US"/>
              </w:rPr>
              <w:t>Rev</w:t>
            </w:r>
            <w:proofErr w:type="spellEnd"/>
            <w:r w:rsidRPr="001800B7">
              <w:rPr>
                <w:szCs w:val="22"/>
              </w:rPr>
              <w:t>.</w:t>
            </w:r>
            <w:r w:rsidRPr="001800B7">
              <w:rPr>
                <w:rFonts w:eastAsia="Times New Roman"/>
                <w:szCs w:val="22"/>
                <w:lang w:eastAsia="en-US"/>
              </w:rPr>
              <w:t>) a été mis en œuvre avec succès.</w:t>
            </w:r>
            <w:r w:rsidRPr="001800B7">
              <w:rPr>
                <w:szCs w:val="22"/>
              </w:rPr>
              <w:t xml:space="preserve">  </w:t>
            </w:r>
            <w:r w:rsidRPr="001800B7">
              <w:rPr>
                <w:rFonts w:eastAsia="Times New Roman"/>
                <w:szCs w:val="22"/>
                <w:lang w:eastAsia="en-US"/>
              </w:rPr>
              <w:t>Un rapport d</w:t>
            </w:r>
            <w:r w:rsidR="005311D6" w:rsidRPr="001800B7">
              <w:rPr>
                <w:rFonts w:eastAsia="Times New Roman"/>
                <w:szCs w:val="22"/>
                <w:lang w:eastAsia="en-US"/>
              </w:rPr>
              <w:t>’</w:t>
            </w:r>
            <w:r w:rsidRPr="001800B7">
              <w:rPr>
                <w:rFonts w:eastAsia="Times New Roman"/>
                <w:szCs w:val="22"/>
                <w:lang w:eastAsia="en-US"/>
              </w:rPr>
              <w:t xml:space="preserve">évaluation du projet a été présenté à la neuvième session du CDIP (CDIP/9/8). </w:t>
            </w:r>
            <w:r w:rsidRPr="001800B7">
              <w:rPr>
                <w:szCs w:val="22"/>
              </w:rPr>
              <w:t xml:space="preserve"> </w:t>
            </w:r>
            <w:r w:rsidRPr="001800B7">
              <w:rPr>
                <w:rFonts w:eastAsia="Times New Roman"/>
                <w:szCs w:val="22"/>
                <w:lang w:eastAsia="en-US"/>
              </w:rPr>
              <w:t>L</w:t>
            </w:r>
            <w:r w:rsidR="005311D6" w:rsidRPr="001800B7">
              <w:rPr>
                <w:rFonts w:eastAsia="Times New Roman"/>
                <w:szCs w:val="22"/>
                <w:lang w:eastAsia="en-US"/>
              </w:rPr>
              <w:t>’</w:t>
            </w:r>
            <w:r w:rsidRPr="001800B7">
              <w:rPr>
                <w:rFonts w:eastAsia="Times New Roman"/>
                <w:szCs w:val="22"/>
                <w:lang w:eastAsia="en-US"/>
              </w:rPr>
              <w:t>intégration des recommandations faites par l</w:t>
            </w:r>
            <w:r w:rsidR="005311D6" w:rsidRPr="001800B7">
              <w:rPr>
                <w:rFonts w:eastAsia="Times New Roman"/>
                <w:szCs w:val="22"/>
                <w:lang w:eastAsia="en-US"/>
              </w:rPr>
              <w:t>’</w:t>
            </w:r>
            <w:r w:rsidRPr="001800B7">
              <w:rPr>
                <w:rFonts w:eastAsia="Times New Roman"/>
                <w:szCs w:val="22"/>
                <w:lang w:eastAsia="en-US"/>
              </w:rPr>
              <w:t>évaluateur est en cours.</w:t>
            </w:r>
          </w:p>
          <w:p w:rsidR="0010628F" w:rsidRPr="001800B7" w:rsidRDefault="0010628F" w:rsidP="001B7E93">
            <w:pPr>
              <w:spacing w:before="120" w:after="12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réalisations liées à cette recommandation de 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2013 (document WO/PBC/22/8), en particulier le programme 18.</w:t>
            </w:r>
          </w:p>
        </w:tc>
      </w:tr>
    </w:tbl>
    <w:p w:rsidR="0010628F" w:rsidRPr="001800B7" w:rsidRDefault="0010628F" w:rsidP="001B7E93">
      <w:pPr>
        <w:rPr>
          <w:bCs/>
          <w:szCs w:val="22"/>
        </w:rPr>
      </w:pPr>
      <w:r w:rsidRPr="001800B7">
        <w:rPr>
          <w:b/>
          <w:szCs w:val="22"/>
        </w:rPr>
        <w:br w:type="page"/>
      </w:r>
      <w:r w:rsidRPr="001800B7">
        <w:rPr>
          <w:i/>
          <w:szCs w:val="22"/>
        </w:rPr>
        <w:lastRenderedPageBreak/>
        <w:t>Recommandation n° 11</w:t>
      </w:r>
      <w:r w:rsidRPr="001800B7">
        <w:rPr>
          <w:szCs w:val="22"/>
        </w:rPr>
        <w:t> : 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5311D6" w:rsidRPr="001800B7">
        <w:rPr>
          <w:szCs w:val="22"/>
        </w:rPr>
        <w:t>’</w:t>
      </w:r>
      <w:r w:rsidRPr="001800B7">
        <w:rPr>
          <w:szCs w:val="22"/>
        </w:rPr>
        <w:t>OMPI.</w:t>
      </w:r>
    </w:p>
    <w:p w:rsidR="0010628F" w:rsidRPr="001800B7" w:rsidRDefault="0010628F" w:rsidP="001B7E93">
      <w:pPr>
        <w:rPr>
          <w:bCs/>
          <w:szCs w:val="22"/>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6"/>
        <w:gridCol w:w="8442"/>
      </w:tblGrid>
      <w:tr w:rsidR="001800B7" w:rsidRPr="001800B7" w:rsidTr="001B7E93">
        <w:trPr>
          <w:trHeight w:val="392"/>
          <w:tblHeader/>
        </w:trPr>
        <w:tc>
          <w:tcPr>
            <w:tcW w:w="6066" w:type="dxa"/>
            <w:shd w:val="clear" w:color="auto" w:fill="auto"/>
          </w:tcPr>
          <w:p w:rsidR="0010628F" w:rsidRPr="001800B7" w:rsidRDefault="0010628F" w:rsidP="00AC163C">
            <w:pPr>
              <w:autoSpaceDE w:val="0"/>
              <w:spacing w:before="120" w:after="120"/>
              <w:outlineLvl w:val="2"/>
              <w:rPr>
                <w:bCs/>
                <w:szCs w:val="22"/>
                <w:u w:val="single"/>
              </w:rPr>
            </w:pPr>
            <w:r w:rsidRPr="001800B7">
              <w:rPr>
                <w:bCs/>
                <w:szCs w:val="22"/>
                <w:u w:val="single"/>
              </w:rPr>
              <w:t>Stratégies de mise en œuvre</w:t>
            </w:r>
          </w:p>
        </w:tc>
        <w:tc>
          <w:tcPr>
            <w:tcW w:w="8442" w:type="dxa"/>
            <w:shd w:val="clear" w:color="auto" w:fill="auto"/>
            <w:vAlign w:val="center"/>
          </w:tcPr>
          <w:p w:rsidR="0010628F" w:rsidRPr="001800B7" w:rsidRDefault="0010628F" w:rsidP="001B7E93">
            <w:pPr>
              <w:autoSpaceDE w:val="0"/>
              <w:spacing w:before="120" w:after="120"/>
              <w:outlineLvl w:val="2"/>
              <w:rPr>
                <w:szCs w:val="22"/>
              </w:rPr>
            </w:pPr>
            <w:r w:rsidRPr="001800B7">
              <w:rPr>
                <w:bCs/>
                <w:szCs w:val="22"/>
                <w:u w:val="single"/>
              </w:rPr>
              <w:t>Réalisations</w:t>
            </w:r>
          </w:p>
        </w:tc>
      </w:tr>
      <w:tr w:rsidR="001800B7" w:rsidRPr="001800B7" w:rsidTr="001B7E93">
        <w:tblPrEx>
          <w:tblCellMar>
            <w:top w:w="108" w:type="dxa"/>
            <w:bottom w:w="108" w:type="dxa"/>
          </w:tblCellMar>
        </w:tblPrEx>
        <w:tc>
          <w:tcPr>
            <w:tcW w:w="6066" w:type="dxa"/>
            <w:shd w:val="clear" w:color="auto" w:fill="auto"/>
          </w:tcPr>
          <w:p w:rsidR="0010628F" w:rsidRPr="001800B7" w:rsidRDefault="0010628F" w:rsidP="00AC163C">
            <w:pPr>
              <w:spacing w:before="120" w:after="120"/>
              <w:rPr>
                <w:szCs w:val="22"/>
              </w:rPr>
            </w:pPr>
            <w:r w:rsidRPr="001800B7">
              <w:rPr>
                <w:szCs w:val="22"/>
              </w:rPr>
              <w:t>Cours de formation sur la protection de la propriété intellectuelle et la rédaction de demandes de brevet destinés aux scientifiques, aux chercheurs, aux responsables de services de technologies, aux inventeurs et aux mandataires en brevets dans le but d</w:t>
            </w:r>
            <w:r w:rsidR="005311D6" w:rsidRPr="001800B7">
              <w:rPr>
                <w:szCs w:val="22"/>
              </w:rPr>
              <w:t>’</w:t>
            </w:r>
            <w:r w:rsidRPr="001800B7">
              <w:rPr>
                <w:szCs w:val="22"/>
              </w:rPr>
              <w:t>améliorer leurs connaissances dans le domaine de la protection intellectuelle et du système de brevets.  Ces cours visent également à permettre aux générateurs nationaux de propriété intellectuelle, aux universités et aux instituts de R</w:t>
            </w:r>
            <w:r w:rsidR="001800B7" w:rsidRPr="001800B7">
              <w:rPr>
                <w:szCs w:val="22"/>
              </w:rPr>
              <w:noBreakHyphen/>
            </w:r>
            <w:r w:rsidRPr="001800B7">
              <w:rPr>
                <w:szCs w:val="22"/>
              </w:rPr>
              <w:t>D de mieux utiliser le système des brevets, en appliquant des stratégies différentes et en utilisant les outils disponibles en matière de brevets aux fins d</w:t>
            </w:r>
            <w:r w:rsidR="005311D6" w:rsidRPr="001800B7">
              <w:rPr>
                <w:szCs w:val="22"/>
              </w:rPr>
              <w:t>’</w:t>
            </w:r>
            <w:r w:rsidRPr="001800B7">
              <w:rPr>
                <w:szCs w:val="22"/>
              </w:rPr>
              <w:t>exploiter leurs créations de manière efficace et d</w:t>
            </w:r>
            <w:r w:rsidR="005311D6" w:rsidRPr="001800B7">
              <w:rPr>
                <w:szCs w:val="22"/>
              </w:rPr>
              <w:t>’</w:t>
            </w:r>
            <w:r w:rsidRPr="001800B7">
              <w:rPr>
                <w:szCs w:val="22"/>
              </w:rPr>
              <w:t>assurer le développement durable des pays en développement et des PMA.</w:t>
            </w:r>
          </w:p>
          <w:p w:rsidR="0010628F" w:rsidRPr="001800B7" w:rsidRDefault="0010628F" w:rsidP="00AC163C">
            <w:pPr>
              <w:spacing w:before="120" w:after="120"/>
              <w:rPr>
                <w:szCs w:val="22"/>
              </w:rPr>
            </w:pPr>
            <w:r w:rsidRPr="001800B7">
              <w:rPr>
                <w:szCs w:val="22"/>
              </w:rPr>
              <w:t>Mise au point d</w:t>
            </w:r>
            <w:r w:rsidR="005311D6" w:rsidRPr="001800B7">
              <w:rPr>
                <w:szCs w:val="22"/>
              </w:rPr>
              <w:t>’</w:t>
            </w:r>
            <w:r w:rsidRPr="001800B7">
              <w:rPr>
                <w:szCs w:val="22"/>
              </w:rPr>
              <w:t>instruments concrets visant à aider les États membres et leurs instituts de recherche</w:t>
            </w:r>
            <w:r w:rsidR="001800B7" w:rsidRPr="001800B7">
              <w:rPr>
                <w:szCs w:val="22"/>
              </w:rPr>
              <w:noBreakHyphen/>
            </w:r>
            <w:r w:rsidRPr="001800B7">
              <w:rPr>
                <w:szCs w:val="22"/>
              </w:rPr>
              <w:t>développement à définir et à mettre en œuvre des systèmes efficaces de transfert de technologie.</w:t>
            </w:r>
          </w:p>
          <w:p w:rsidR="0010628F" w:rsidRPr="001800B7" w:rsidRDefault="0010628F" w:rsidP="00AC163C">
            <w:pPr>
              <w:spacing w:before="120" w:after="120"/>
              <w:rPr>
                <w:szCs w:val="22"/>
              </w:rPr>
            </w:pPr>
            <w:r w:rsidRPr="001800B7">
              <w:rPr>
                <w:szCs w:val="22"/>
              </w:rPr>
              <w:t>Améliorer l</w:t>
            </w:r>
            <w:r w:rsidR="005311D6" w:rsidRPr="001800B7">
              <w:rPr>
                <w:szCs w:val="22"/>
              </w:rPr>
              <w:t>’</w:t>
            </w:r>
            <w:r w:rsidRPr="001800B7">
              <w:rPr>
                <w:szCs w:val="22"/>
              </w:rPr>
              <w:t>utilisation de l</w:t>
            </w:r>
            <w:r w:rsidR="005311D6" w:rsidRPr="001800B7">
              <w:rPr>
                <w:szCs w:val="22"/>
              </w:rPr>
              <w:t>’</w:t>
            </w:r>
            <w:r w:rsidRPr="001800B7">
              <w:rPr>
                <w:szCs w:val="22"/>
              </w:rPr>
              <w:t>information en matière de brevets et l</w:t>
            </w:r>
            <w:r w:rsidR="005311D6" w:rsidRPr="001800B7">
              <w:rPr>
                <w:szCs w:val="22"/>
              </w:rPr>
              <w:t>’</w:t>
            </w:r>
            <w:r w:rsidRPr="001800B7">
              <w:rPr>
                <w:szCs w:val="22"/>
              </w:rPr>
              <w:t>accès à celle</w:t>
            </w:r>
            <w:r w:rsidR="001800B7" w:rsidRPr="001800B7">
              <w:rPr>
                <w:szCs w:val="22"/>
              </w:rPr>
              <w:noBreakHyphen/>
            </w:r>
            <w:r w:rsidRPr="001800B7">
              <w:rPr>
                <w:szCs w:val="22"/>
              </w:rPr>
              <w:t>ci.</w:t>
            </w:r>
          </w:p>
        </w:tc>
        <w:tc>
          <w:tcPr>
            <w:tcW w:w="8442" w:type="dxa"/>
            <w:shd w:val="clear" w:color="auto" w:fill="auto"/>
          </w:tcPr>
          <w:p w:rsidR="0010628F" w:rsidRPr="001800B7" w:rsidRDefault="0010628F" w:rsidP="00AC163C">
            <w:pPr>
              <w:spacing w:before="120" w:after="120"/>
              <w:rPr>
                <w:szCs w:val="22"/>
              </w:rPr>
            </w:pPr>
            <w:r w:rsidRPr="001800B7">
              <w:rPr>
                <w:szCs w:val="22"/>
              </w:rPr>
              <w:t>Neuf ateliers de rédaction de demande de brevet et sept cours d</w:t>
            </w:r>
            <w:r w:rsidR="005311D6" w:rsidRPr="001800B7">
              <w:rPr>
                <w:szCs w:val="22"/>
              </w:rPr>
              <w:t>’</w:t>
            </w:r>
            <w:r w:rsidRPr="001800B7">
              <w:rPr>
                <w:szCs w:val="22"/>
              </w:rPr>
              <w:t>enseignement à distance sur la rédaction des revendications de brevets ont été organisés aux fins de renforcer les compétences des scientifiques, des responsables de services de technologies et des mandataires en brevets dans les pays en développement et dans les PMA en matière de protection de leurs inventions, de rédaction de demandes de brevet et d</w:t>
            </w:r>
            <w:r w:rsidR="005311D6" w:rsidRPr="001800B7">
              <w:rPr>
                <w:szCs w:val="22"/>
              </w:rPr>
              <w:t>’</w:t>
            </w:r>
            <w:r w:rsidRPr="001800B7">
              <w:rPr>
                <w:szCs w:val="22"/>
              </w:rPr>
              <w:t>élaboration de stratégies commerciales et en matière de brevets.  Ces ateliers et ces cours ont souligné l</w:t>
            </w:r>
            <w:r w:rsidR="005311D6" w:rsidRPr="001800B7">
              <w:rPr>
                <w:szCs w:val="22"/>
              </w:rPr>
              <w:t>’</w:t>
            </w:r>
            <w:r w:rsidRPr="001800B7">
              <w:rPr>
                <w:szCs w:val="22"/>
              </w:rPr>
              <w:t>importance dans ce domaine de l</w:t>
            </w:r>
            <w:r w:rsidR="005311D6" w:rsidRPr="001800B7">
              <w:rPr>
                <w:szCs w:val="22"/>
              </w:rPr>
              <w:t>’</w:t>
            </w:r>
            <w:r w:rsidRPr="001800B7">
              <w:rPr>
                <w:szCs w:val="22"/>
              </w:rPr>
              <w:t>utilisation des informations relatives aux brevets et des avantages des systèmes de propriété intellectuelle et des mécanismes d</w:t>
            </w:r>
            <w:r w:rsidR="005311D6" w:rsidRPr="001800B7">
              <w:rPr>
                <w:szCs w:val="22"/>
              </w:rPr>
              <w:t>’</w:t>
            </w:r>
            <w:r w:rsidRPr="001800B7">
              <w:rPr>
                <w:szCs w:val="22"/>
              </w:rPr>
              <w:t>enregistrement, dont le PCT.</w:t>
            </w:r>
          </w:p>
          <w:p w:rsidR="0010628F" w:rsidRPr="001800B7" w:rsidRDefault="0010628F" w:rsidP="00AC163C">
            <w:pPr>
              <w:spacing w:before="120" w:after="120"/>
              <w:rPr>
                <w:szCs w:val="22"/>
              </w:rPr>
            </w:pPr>
            <w:r w:rsidRPr="001800B7">
              <w:rPr>
                <w:szCs w:val="22"/>
              </w:rPr>
              <w:t>Renforcement des capacités des universités et des instituts de R</w:t>
            </w:r>
            <w:r w:rsidR="001800B7" w:rsidRPr="001800B7">
              <w:rPr>
                <w:szCs w:val="22"/>
              </w:rPr>
              <w:noBreakHyphen/>
            </w:r>
            <w:r w:rsidRPr="001800B7">
              <w:rPr>
                <w:szCs w:val="22"/>
              </w:rPr>
              <w:t>D en matière de transfert des connaissances et des technologies à destination de l</w:t>
            </w:r>
            <w:r w:rsidR="005311D6" w:rsidRPr="001800B7">
              <w:rPr>
                <w:szCs w:val="22"/>
              </w:rPr>
              <w:t>’</w:t>
            </w:r>
            <w:r w:rsidRPr="001800B7">
              <w:rPr>
                <w:szCs w:val="22"/>
              </w:rPr>
              <w:t>industrie par le biais d</w:t>
            </w:r>
            <w:r w:rsidR="005311D6" w:rsidRPr="001800B7">
              <w:rPr>
                <w:szCs w:val="22"/>
              </w:rPr>
              <w:t>’</w:t>
            </w:r>
            <w:r w:rsidRPr="001800B7">
              <w:rPr>
                <w:szCs w:val="22"/>
              </w:rPr>
              <w:t>un appui à la mise en place d</w:t>
            </w:r>
            <w:r w:rsidR="005311D6" w:rsidRPr="001800B7">
              <w:rPr>
                <w:szCs w:val="22"/>
              </w:rPr>
              <w:t>’</w:t>
            </w:r>
            <w:r w:rsidRPr="001800B7">
              <w:rPr>
                <w:szCs w:val="22"/>
              </w:rPr>
              <w:t>un personnel qualifié et de ressources humaines dans le secteur de la gestion des technologies, aptes à gérer la création, l</w:t>
            </w:r>
            <w:r w:rsidR="005311D6" w:rsidRPr="001800B7">
              <w:rPr>
                <w:szCs w:val="22"/>
              </w:rPr>
              <w:t>’</w:t>
            </w:r>
            <w:r w:rsidRPr="001800B7">
              <w:rPr>
                <w:szCs w:val="22"/>
              </w:rPr>
              <w:t>élaboration et la commercialisation d</w:t>
            </w:r>
            <w:r w:rsidR="005311D6" w:rsidRPr="001800B7">
              <w:rPr>
                <w:szCs w:val="22"/>
              </w:rPr>
              <w:t>’</w:t>
            </w:r>
            <w:r w:rsidRPr="001800B7">
              <w:rPr>
                <w:szCs w:val="22"/>
              </w:rPr>
              <w:t>actifs intangibles dans le cadre de la R</w:t>
            </w:r>
            <w:r w:rsidR="001800B7" w:rsidRPr="001800B7">
              <w:rPr>
                <w:szCs w:val="22"/>
              </w:rPr>
              <w:noBreakHyphen/>
            </w:r>
            <w:r w:rsidRPr="001800B7">
              <w:rPr>
                <w:szCs w:val="22"/>
              </w:rPr>
              <w:t>D.  Dans ce but</w:t>
            </w:r>
            <w:proofErr w:type="gramStart"/>
            <w:r w:rsidRPr="001800B7">
              <w:rPr>
                <w:szCs w:val="22"/>
              </w:rPr>
              <w:t>,15</w:t>
            </w:r>
            <w:proofErr w:type="gramEnd"/>
            <w:r w:rsidRPr="001800B7">
              <w:rPr>
                <w:szCs w:val="22"/>
              </w:rPr>
              <w:t> cours de commercialisation de la propriété intellectuelle ont été dispensés dans les pays en développement et les pays en transition sur la gestion des droits de la propriété intellectuelle, l</w:t>
            </w:r>
            <w:r w:rsidR="005311D6" w:rsidRPr="001800B7">
              <w:rPr>
                <w:szCs w:val="22"/>
              </w:rPr>
              <w:t>’</w:t>
            </w:r>
            <w:r w:rsidRPr="001800B7">
              <w:rPr>
                <w:szCs w:val="22"/>
              </w:rPr>
              <w:t>évaluation de la propriété intellectuelle et l</w:t>
            </w:r>
            <w:r w:rsidR="005311D6" w:rsidRPr="001800B7">
              <w:rPr>
                <w:szCs w:val="22"/>
              </w:rPr>
              <w:t>’</w:t>
            </w:r>
            <w:r w:rsidRPr="001800B7">
              <w:rPr>
                <w:szCs w:val="22"/>
              </w:rPr>
              <w:t>octroi de licences.</w:t>
            </w:r>
          </w:p>
          <w:p w:rsidR="0010628F" w:rsidRPr="001800B7" w:rsidRDefault="0010628F" w:rsidP="00AC163C">
            <w:pPr>
              <w:spacing w:before="120" w:after="120"/>
              <w:rPr>
                <w:szCs w:val="22"/>
              </w:rPr>
            </w:pPr>
            <w:r w:rsidRPr="001800B7">
              <w:rPr>
                <w:szCs w:val="22"/>
              </w:rPr>
              <w:t>Meilleure compréhension du potentiel commercial et des risques d</w:t>
            </w:r>
            <w:r w:rsidR="005311D6" w:rsidRPr="001800B7">
              <w:rPr>
                <w:szCs w:val="22"/>
              </w:rPr>
              <w:t>’</w:t>
            </w:r>
            <w:r w:rsidRPr="001800B7">
              <w:rPr>
                <w:szCs w:val="22"/>
              </w:rPr>
              <w:t>un contrat de licence en ce qui concerne la protection des intérêts commerciaux.</w:t>
            </w:r>
          </w:p>
          <w:p w:rsidR="0010628F" w:rsidRPr="001800B7" w:rsidRDefault="0010628F" w:rsidP="00AC163C">
            <w:pPr>
              <w:spacing w:before="120" w:after="120"/>
              <w:rPr>
                <w:szCs w:val="22"/>
              </w:rPr>
            </w:pPr>
            <w:r w:rsidRPr="001800B7">
              <w:rPr>
                <w:szCs w:val="22"/>
              </w:rPr>
              <w:t>Renforcement des compétences des responsables des services de technologies qui sont ainsi plus à même de participer activement aux négociations et à la teneur des contrats de transfert de technologies.</w:t>
            </w:r>
          </w:p>
          <w:p w:rsidR="0010628F" w:rsidRPr="001800B7" w:rsidRDefault="0010628F" w:rsidP="00AC163C">
            <w:pPr>
              <w:spacing w:before="120" w:after="120"/>
              <w:rPr>
                <w:szCs w:val="22"/>
              </w:rPr>
            </w:pPr>
            <w:r w:rsidRPr="001800B7">
              <w:rPr>
                <w:szCs w:val="22"/>
              </w:rPr>
              <w:t>Élaboration d</w:t>
            </w:r>
            <w:r w:rsidR="005311D6" w:rsidRPr="001800B7">
              <w:rPr>
                <w:szCs w:val="22"/>
              </w:rPr>
              <w:t>’</w:t>
            </w:r>
            <w:r w:rsidRPr="001800B7">
              <w:rPr>
                <w:szCs w:val="22"/>
              </w:rPr>
              <w:t>un nouveau mécanisme de retour d</w:t>
            </w:r>
            <w:r w:rsidR="005311D6" w:rsidRPr="001800B7">
              <w:rPr>
                <w:szCs w:val="22"/>
              </w:rPr>
              <w:t>’</w:t>
            </w:r>
            <w:r w:rsidRPr="001800B7">
              <w:rPr>
                <w:szCs w:val="22"/>
              </w:rPr>
              <w:t>informations afin d</w:t>
            </w:r>
            <w:r w:rsidR="005311D6" w:rsidRPr="001800B7">
              <w:rPr>
                <w:szCs w:val="22"/>
              </w:rPr>
              <w:t>’</w:t>
            </w:r>
            <w:r w:rsidRPr="001800B7">
              <w:rPr>
                <w:szCs w:val="22"/>
              </w:rPr>
              <w:t xml:space="preserve">assurer un appui plus adapté aux États membres et leurs institutions dans le domaine de la commercialisation et de la protection de la propriété intellectuelle.  Traduction des outils de transfert de technologies pratiques dans les langues des pays concernés </w:t>
            </w:r>
            <w:r w:rsidRPr="001800B7">
              <w:rPr>
                <w:szCs w:val="22"/>
              </w:rPr>
              <w:lastRenderedPageBreak/>
              <w:t>pour faciliter la diffusion des connaissances dans les pays en développement.  Amélioration des compétences requises pour effectuer des recherches dans les bases de données des brevets et meilleures compréhension et interprétation des documents de brevet.</w:t>
            </w:r>
          </w:p>
          <w:p w:rsidR="0010628F" w:rsidRPr="001800B7" w:rsidRDefault="0010628F" w:rsidP="00AC163C">
            <w:pPr>
              <w:spacing w:before="120" w:after="120"/>
              <w:rPr>
                <w:rStyle w:val="Hyperlink"/>
                <w:color w:val="auto"/>
                <w:szCs w:val="22"/>
              </w:rPr>
            </w:pPr>
            <w:r w:rsidRPr="001800B7">
              <w:rPr>
                <w:rStyle w:val="Hyperlink"/>
                <w:color w:val="auto"/>
                <w:szCs w:val="22"/>
                <w:u w:val="none"/>
              </w:rPr>
              <w:t xml:space="preserve">Accès amélioré à la propriété intellectuelle et aux savoirs via la base de données WIPO </w:t>
            </w:r>
            <w:proofErr w:type="spellStart"/>
            <w:r w:rsidRPr="001800B7">
              <w:rPr>
                <w:rStyle w:val="Hyperlink"/>
                <w:color w:val="auto"/>
                <w:szCs w:val="22"/>
                <w:u w:val="none"/>
              </w:rPr>
              <w:t>Re:Search</w:t>
            </w:r>
            <w:proofErr w:type="spellEnd"/>
            <w:r w:rsidRPr="001800B7">
              <w:rPr>
                <w:rStyle w:val="Hyperlink"/>
                <w:color w:val="auto"/>
                <w:szCs w:val="22"/>
                <w:u w:val="none"/>
              </w:rPr>
              <w:t>, disponible à l</w:t>
            </w:r>
            <w:r w:rsidR="005311D6" w:rsidRPr="001800B7">
              <w:rPr>
                <w:rStyle w:val="Hyperlink"/>
                <w:color w:val="auto"/>
                <w:szCs w:val="22"/>
                <w:u w:val="none"/>
              </w:rPr>
              <w:t>’</w:t>
            </w:r>
            <w:r w:rsidRPr="001800B7">
              <w:rPr>
                <w:rStyle w:val="Hyperlink"/>
                <w:color w:val="auto"/>
                <w:szCs w:val="22"/>
                <w:u w:val="none"/>
              </w:rPr>
              <w:t xml:space="preserve">adresse suivante : </w:t>
            </w:r>
            <w:r w:rsidRPr="001800B7">
              <w:rPr>
                <w:rStyle w:val="Hyperlink"/>
                <w:color w:val="auto"/>
                <w:szCs w:val="22"/>
              </w:rPr>
              <w:t>http://www.wipo.int/research/fr/</w:t>
            </w:r>
          </w:p>
          <w:p w:rsidR="0010628F" w:rsidRPr="001800B7" w:rsidRDefault="0010628F" w:rsidP="00AC163C">
            <w:pPr>
              <w:spacing w:before="120" w:after="120"/>
              <w:rPr>
                <w:szCs w:val="22"/>
              </w:rPr>
            </w:pPr>
            <w:r w:rsidRPr="001800B7">
              <w:rPr>
                <w:szCs w:val="22"/>
              </w:rPr>
              <w:t>Services aux institutions de propriété intellectuelle et aux petites et moyennes entreprises (PME) fournis par les Services d</w:t>
            </w:r>
            <w:r w:rsidR="005311D6" w:rsidRPr="001800B7">
              <w:rPr>
                <w:szCs w:val="22"/>
              </w:rPr>
              <w:t>’</w:t>
            </w:r>
            <w:r w:rsidRPr="001800B7">
              <w:rPr>
                <w:szCs w:val="22"/>
              </w:rPr>
              <w:t>information en matière de brevets de l</w:t>
            </w:r>
            <w:r w:rsidR="005311D6" w:rsidRPr="001800B7">
              <w:rPr>
                <w:szCs w:val="22"/>
              </w:rPr>
              <w:t>’</w:t>
            </w:r>
            <w:r w:rsidRPr="001800B7">
              <w:rPr>
                <w:szCs w:val="22"/>
              </w:rPr>
              <w:t>OMPI (WPIS) pour les pays en développement.</w:t>
            </w:r>
          </w:p>
          <w:p w:rsidR="0010628F" w:rsidRPr="001800B7" w:rsidRDefault="0010628F" w:rsidP="00AC163C">
            <w:pPr>
              <w:spacing w:before="120" w:after="120"/>
              <w:rPr>
                <w:szCs w:val="22"/>
              </w:rPr>
            </w:pPr>
            <w:r w:rsidRPr="001800B7">
              <w:rPr>
                <w:szCs w:val="22"/>
              </w:rPr>
              <w:t>En outre, les projets DA de la phase II concernant l</w:t>
            </w:r>
            <w:r w:rsidR="005311D6" w:rsidRPr="001800B7">
              <w:rPr>
                <w:szCs w:val="22"/>
              </w:rPr>
              <w:t>’</w:t>
            </w:r>
            <w:r w:rsidRPr="001800B7">
              <w:rPr>
                <w:szCs w:val="22"/>
              </w:rPr>
              <w:t>accès à des bases de données spécialisées et l</w:t>
            </w:r>
            <w:r w:rsidR="005311D6" w:rsidRPr="001800B7">
              <w:rPr>
                <w:szCs w:val="22"/>
              </w:rPr>
              <w:t>’</w:t>
            </w:r>
            <w:r w:rsidRPr="001800B7">
              <w:rPr>
                <w:szCs w:val="22"/>
              </w:rPr>
              <w:t>appui (CDIP/9/9) et l</w:t>
            </w:r>
            <w:r w:rsidR="005311D6" w:rsidRPr="001800B7">
              <w:rPr>
                <w:szCs w:val="22"/>
              </w:rPr>
              <w:t>’</w:t>
            </w:r>
            <w:r w:rsidRPr="001800B7">
              <w:rPr>
                <w:szCs w:val="22"/>
              </w:rPr>
              <w:t>élaboration d</w:t>
            </w:r>
            <w:r w:rsidR="005311D6" w:rsidRPr="001800B7">
              <w:rPr>
                <w:szCs w:val="22"/>
              </w:rPr>
              <w:t>’</w:t>
            </w:r>
            <w:r w:rsidRPr="001800B7">
              <w:rPr>
                <w:szCs w:val="22"/>
              </w:rPr>
              <w:t>instruments permettant d</w:t>
            </w:r>
            <w:r w:rsidR="005311D6" w:rsidRPr="001800B7">
              <w:rPr>
                <w:szCs w:val="22"/>
              </w:rPr>
              <w:t>’</w:t>
            </w:r>
            <w:r w:rsidRPr="001800B7">
              <w:rPr>
                <w:szCs w:val="22"/>
              </w:rPr>
              <w:t>accéder à l</w:t>
            </w:r>
            <w:r w:rsidR="005311D6" w:rsidRPr="001800B7">
              <w:rPr>
                <w:szCs w:val="22"/>
              </w:rPr>
              <w:t>’</w:t>
            </w:r>
            <w:r w:rsidRPr="001800B7">
              <w:rPr>
                <w:szCs w:val="22"/>
              </w:rPr>
              <w:t>information en matière de brevets (CDIP/10/13) sont achevés.  Les rapports d</w:t>
            </w:r>
            <w:r w:rsidR="005311D6" w:rsidRPr="001800B7">
              <w:rPr>
                <w:szCs w:val="22"/>
              </w:rPr>
              <w:t>’</w:t>
            </w:r>
            <w:r w:rsidRPr="001800B7">
              <w:rPr>
                <w:szCs w:val="22"/>
              </w:rPr>
              <w:t>évaluation sur ces projets seront soumis au CDIP lors de la présente session.  Une phase II du Projet du CDIP sur le renforcement des capacités d</w:t>
            </w:r>
            <w:r w:rsidR="005311D6" w:rsidRPr="001800B7">
              <w:rPr>
                <w:szCs w:val="22"/>
              </w:rPr>
              <w:t>’</w:t>
            </w:r>
            <w:r w:rsidRPr="001800B7">
              <w:rPr>
                <w:szCs w:val="22"/>
              </w:rPr>
              <w:t>utilisation de technologies appropriées – d</w:t>
            </w:r>
            <w:r w:rsidR="005311D6" w:rsidRPr="001800B7">
              <w:rPr>
                <w:szCs w:val="22"/>
              </w:rPr>
              <w:t>’</w:t>
            </w:r>
            <w:r w:rsidRPr="001800B7">
              <w:rPr>
                <w:szCs w:val="22"/>
              </w:rPr>
              <w:t>informations techniques et scientifiques spécifiques comme solution à certains problèmes de développement (CDIP/13/9) a été adoptée au cours de la treizième session du Comité et est actuellement mise en œuvre.</w:t>
            </w:r>
          </w:p>
          <w:p w:rsidR="0010628F" w:rsidRPr="001800B7" w:rsidRDefault="0010628F" w:rsidP="00AC163C">
            <w:pPr>
              <w:spacing w:before="120" w:after="120"/>
              <w:rPr>
                <w:szCs w:val="22"/>
              </w:rPr>
            </w:pPr>
            <w:r w:rsidRPr="001800B7">
              <w:rPr>
                <w:szCs w:val="22"/>
              </w:rPr>
              <w:t>Outre les activités figurant dans le projet relatif à la base de données sur l</w:t>
            </w:r>
            <w:r w:rsidR="005311D6" w:rsidRPr="001800B7">
              <w:rPr>
                <w:szCs w:val="22"/>
              </w:rPr>
              <w:t>’</w:t>
            </w:r>
            <w:r w:rsidRPr="001800B7">
              <w:rPr>
                <w:szCs w:val="22"/>
              </w:rPr>
              <w:t>assistance technique dans le domaine de la propriété intellectuelle (IP</w:t>
            </w:r>
            <w:r w:rsidR="001800B7" w:rsidRPr="001800B7">
              <w:rPr>
                <w:szCs w:val="22"/>
              </w:rPr>
              <w:noBreakHyphen/>
            </w:r>
            <w:r w:rsidRPr="001800B7">
              <w:rPr>
                <w:szCs w:val="22"/>
              </w:rPr>
              <w:t>TAD), pour plus d</w:t>
            </w:r>
            <w:r w:rsidR="005311D6" w:rsidRPr="001800B7">
              <w:rPr>
                <w:szCs w:val="22"/>
              </w:rPr>
              <w:t>’</w:t>
            </w:r>
            <w:r w:rsidRPr="001800B7">
              <w:rPr>
                <w:szCs w:val="22"/>
              </w:rPr>
              <w:t>informations concernant les réalisations liées à cette recommandation, veuillez</w:t>
            </w:r>
            <w:r w:rsidR="001800B7" w:rsidRPr="001800B7">
              <w:rPr>
                <w:szCs w:val="22"/>
              </w:rPr>
              <w:noBreakHyphen/>
            </w:r>
            <w:r w:rsidRPr="001800B7">
              <w:rPr>
                <w:szCs w:val="22"/>
              </w:rPr>
              <w:t>vous reporter aux documents suivants : a) Rapport sur l</w:t>
            </w:r>
            <w:r w:rsidR="005311D6" w:rsidRPr="001800B7">
              <w:rPr>
                <w:szCs w:val="22"/>
              </w:rPr>
              <w:t>’</w:t>
            </w:r>
            <w:r w:rsidRPr="001800B7">
              <w:rPr>
                <w:szCs w:val="22"/>
              </w:rPr>
              <w:t>exécution du programme pour 2012</w:t>
            </w:r>
            <w:r w:rsidR="001800B7" w:rsidRPr="001800B7">
              <w:rPr>
                <w:szCs w:val="22"/>
              </w:rPr>
              <w:noBreakHyphen/>
            </w:r>
            <w:r w:rsidRPr="001800B7">
              <w:rPr>
                <w:szCs w:val="22"/>
              </w:rPr>
              <w:t xml:space="preserve">2013 ( Document WO/PBC/22/8), en particulier les </w:t>
            </w:r>
            <w:r w:rsidR="009B7B20" w:rsidRPr="001800B7">
              <w:rPr>
                <w:szCs w:val="22"/>
              </w:rPr>
              <w:t>programme</w:t>
            </w:r>
            <w:r w:rsidRPr="001800B7">
              <w:rPr>
                <w:szCs w:val="22"/>
              </w:rPr>
              <w:t>s 1, 14, 30 et b) État d</w:t>
            </w:r>
            <w:r w:rsidR="005311D6" w:rsidRPr="001800B7">
              <w:rPr>
                <w:szCs w:val="22"/>
              </w:rPr>
              <w:t>’</w:t>
            </w:r>
            <w:r w:rsidRPr="001800B7">
              <w:rPr>
                <w:szCs w:val="22"/>
              </w:rPr>
              <w:t>avancement du Projet relatif au renforcement des capacités d</w:t>
            </w:r>
            <w:r w:rsidR="005311D6" w:rsidRPr="001800B7">
              <w:rPr>
                <w:szCs w:val="22"/>
              </w:rPr>
              <w:t>’</w:t>
            </w:r>
            <w:r w:rsidRPr="001800B7">
              <w:rPr>
                <w:szCs w:val="22"/>
              </w:rPr>
              <w:t>utilisation de l</w:t>
            </w:r>
            <w:r w:rsidR="005311D6" w:rsidRPr="001800B7">
              <w:rPr>
                <w:szCs w:val="22"/>
              </w:rPr>
              <w:t>’</w:t>
            </w:r>
            <w:r w:rsidRPr="001800B7">
              <w:rPr>
                <w:szCs w:val="22"/>
              </w:rPr>
              <w:t>information technique et scientifique axée sur les technologies appropriées pour répondre à certains enjeux de développement</w:t>
            </w:r>
            <w:r w:rsidR="001800B7" w:rsidRPr="001800B7">
              <w:rPr>
                <w:szCs w:val="22"/>
              </w:rPr>
              <w:noBreakHyphen/>
            </w:r>
            <w:r w:rsidRPr="001800B7">
              <w:rPr>
                <w:szCs w:val="22"/>
              </w:rPr>
              <w:t xml:space="preserve"> Phase II figurant dans l</w:t>
            </w:r>
            <w:r w:rsidR="005311D6" w:rsidRPr="001800B7">
              <w:rPr>
                <w:szCs w:val="22"/>
              </w:rPr>
              <w:t>’</w:t>
            </w:r>
            <w:r w:rsidRPr="001800B7">
              <w:rPr>
                <w:szCs w:val="22"/>
              </w:rPr>
              <w:t>Annexe VII au présent document.</w:t>
            </w:r>
          </w:p>
        </w:tc>
      </w:tr>
      <w:tr w:rsidR="001800B7" w:rsidRPr="001800B7" w:rsidTr="001B7E93">
        <w:tblPrEx>
          <w:tblCellMar>
            <w:top w:w="108" w:type="dxa"/>
            <w:bottom w:w="108" w:type="dxa"/>
          </w:tblCellMar>
        </w:tblPrEx>
        <w:trPr>
          <w:trHeight w:val="900"/>
        </w:trPr>
        <w:tc>
          <w:tcPr>
            <w:tcW w:w="6066" w:type="dxa"/>
            <w:shd w:val="clear" w:color="auto" w:fill="auto"/>
          </w:tcPr>
          <w:p w:rsidR="0010628F" w:rsidRPr="001800B7" w:rsidRDefault="0010628F" w:rsidP="001B7E93">
            <w:pPr>
              <w:spacing w:before="120" w:after="120"/>
              <w:rPr>
                <w:szCs w:val="22"/>
              </w:rPr>
            </w:pPr>
            <w:r w:rsidRPr="001800B7">
              <w:rPr>
                <w:szCs w:val="22"/>
              </w:rPr>
              <w:lastRenderedPageBreak/>
              <w:t>Sensibilisation aux aspects pratiques et théoriques de la gestion collective de différentes catégories d</w:t>
            </w:r>
            <w:r w:rsidR="005311D6" w:rsidRPr="001800B7">
              <w:rPr>
                <w:szCs w:val="22"/>
              </w:rPr>
              <w:t>’</w:t>
            </w:r>
            <w:r w:rsidRPr="001800B7">
              <w:rPr>
                <w:szCs w:val="22"/>
              </w:rPr>
              <w:t>œuvres protégées par le droit d</w:t>
            </w:r>
            <w:r w:rsidR="005311D6" w:rsidRPr="001800B7">
              <w:rPr>
                <w:szCs w:val="22"/>
              </w:rPr>
              <w:t>’</w:t>
            </w:r>
            <w:r w:rsidRPr="001800B7">
              <w:rPr>
                <w:szCs w:val="22"/>
              </w:rPr>
              <w:t>auteur et en ce qui concerne les artistes interprètes ou exécutants.</w:t>
            </w:r>
          </w:p>
        </w:tc>
        <w:tc>
          <w:tcPr>
            <w:tcW w:w="8442" w:type="dxa"/>
            <w:shd w:val="clear" w:color="auto" w:fill="auto"/>
          </w:tcPr>
          <w:p w:rsidR="0010628F" w:rsidRPr="001800B7" w:rsidRDefault="0010628F" w:rsidP="00AC163C">
            <w:pPr>
              <w:spacing w:before="120" w:after="120"/>
              <w:rPr>
                <w:bCs/>
                <w:szCs w:val="22"/>
              </w:rPr>
            </w:pPr>
            <w:r w:rsidRPr="001800B7">
              <w:rPr>
                <w:bCs/>
                <w:szCs w:val="22"/>
              </w:rPr>
              <w:t>Sensibilisation accrue et renforcement des capacités des États membres pour ce qui est des questions émergentes relatives à la gestion collective du droit d</w:t>
            </w:r>
            <w:r w:rsidR="005311D6" w:rsidRPr="001800B7">
              <w:rPr>
                <w:bCs/>
                <w:szCs w:val="22"/>
              </w:rPr>
              <w:t>’</w:t>
            </w:r>
            <w:r w:rsidRPr="001800B7">
              <w:rPr>
                <w:bCs/>
                <w:szCs w:val="22"/>
              </w:rPr>
              <w:t>auteur.</w:t>
            </w:r>
          </w:p>
          <w:p w:rsidR="0010628F" w:rsidRPr="001800B7" w:rsidRDefault="0010628F" w:rsidP="00AC163C">
            <w:pPr>
              <w:spacing w:before="120" w:after="120"/>
              <w:rPr>
                <w:bCs/>
                <w:szCs w:val="22"/>
              </w:rPr>
            </w:pPr>
            <w:r w:rsidRPr="001800B7">
              <w:rPr>
                <w:bCs/>
                <w:szCs w:val="22"/>
              </w:rPr>
              <w:t>À cet égard, l</w:t>
            </w:r>
            <w:r w:rsidR="005311D6" w:rsidRPr="001800B7">
              <w:rPr>
                <w:bCs/>
                <w:szCs w:val="22"/>
              </w:rPr>
              <w:t>’</w:t>
            </w:r>
            <w:r w:rsidRPr="001800B7">
              <w:rPr>
                <w:bCs/>
                <w:szCs w:val="22"/>
              </w:rPr>
              <w:t>étude sur la négociation collective des droits et la gestion collective des droits dans le secteur de l</w:t>
            </w:r>
            <w:r w:rsidR="005311D6" w:rsidRPr="001800B7">
              <w:rPr>
                <w:bCs/>
                <w:szCs w:val="22"/>
              </w:rPr>
              <w:t>’</w:t>
            </w:r>
            <w:r w:rsidRPr="001800B7">
              <w:rPr>
                <w:bCs/>
                <w:szCs w:val="22"/>
              </w:rPr>
              <w:t>audiovisuel entreprise dans le cadre du projet sur le renforcement et le développement du secteur de l</w:t>
            </w:r>
            <w:r w:rsidR="005311D6" w:rsidRPr="001800B7">
              <w:rPr>
                <w:bCs/>
                <w:szCs w:val="22"/>
              </w:rPr>
              <w:t>’</w:t>
            </w:r>
            <w:r w:rsidRPr="001800B7">
              <w:rPr>
                <w:bCs/>
                <w:szCs w:val="22"/>
              </w:rPr>
              <w:t>audiovisuel au Burkina Faso et dans certains pays africains (CDIP/9/13) sera présentée au CDIP lors de la présente session.</w:t>
            </w:r>
          </w:p>
          <w:p w:rsidR="0010628F" w:rsidRPr="001800B7" w:rsidRDefault="0010628F" w:rsidP="004F4733">
            <w:pPr>
              <w:spacing w:before="120" w:after="12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réalisations liées à cette recommandation de 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2013 (document WO/PBC/22/8), en particulier le programme</w:t>
            </w:r>
            <w:r w:rsidR="004F4733" w:rsidRPr="001800B7">
              <w:rPr>
                <w:szCs w:val="22"/>
              </w:rPr>
              <w:t> </w:t>
            </w:r>
            <w:r w:rsidRPr="001800B7">
              <w:rPr>
                <w:szCs w:val="22"/>
              </w:rPr>
              <w:t xml:space="preserve">3.  </w:t>
            </w:r>
          </w:p>
        </w:tc>
      </w:tr>
    </w:tbl>
    <w:p w:rsidR="0010628F" w:rsidRPr="001800B7" w:rsidRDefault="0010628F" w:rsidP="001B7E93">
      <w:pPr>
        <w:rPr>
          <w:szCs w:val="22"/>
        </w:rPr>
      </w:pPr>
    </w:p>
    <w:p w:rsidR="0010628F" w:rsidRPr="001800B7" w:rsidRDefault="0010628F" w:rsidP="004F4733">
      <w:pPr>
        <w:rPr>
          <w:bCs/>
          <w:szCs w:val="22"/>
        </w:rPr>
      </w:pPr>
      <w:r w:rsidRPr="001800B7">
        <w:rPr>
          <w:szCs w:val="22"/>
        </w:rPr>
        <w:br w:type="page"/>
      </w:r>
      <w:r w:rsidRPr="001800B7">
        <w:rPr>
          <w:i/>
          <w:szCs w:val="22"/>
        </w:rPr>
        <w:lastRenderedPageBreak/>
        <w:t>Recommandation n° 12</w:t>
      </w:r>
      <w:r w:rsidRPr="001800B7">
        <w:rPr>
          <w:szCs w:val="22"/>
        </w:rPr>
        <w:t> : Intégrer davantage la dimension du développement dans les activités et délibérations de l</w:t>
      </w:r>
      <w:r w:rsidR="005311D6" w:rsidRPr="001800B7">
        <w:rPr>
          <w:szCs w:val="22"/>
        </w:rPr>
        <w:t>’</w:t>
      </w:r>
      <w:r w:rsidRPr="001800B7">
        <w:rPr>
          <w:szCs w:val="22"/>
        </w:rPr>
        <w:t>OMPI portant sur les questions de fond et l</w:t>
      </w:r>
      <w:r w:rsidR="005311D6" w:rsidRPr="001800B7">
        <w:rPr>
          <w:szCs w:val="22"/>
        </w:rPr>
        <w:t>’</w:t>
      </w:r>
      <w:r w:rsidRPr="001800B7">
        <w:rPr>
          <w:szCs w:val="22"/>
        </w:rPr>
        <w:t>assistance technique, conformément au mandat de l</w:t>
      </w:r>
      <w:r w:rsidR="005311D6" w:rsidRPr="001800B7">
        <w:rPr>
          <w:szCs w:val="22"/>
        </w:rPr>
        <w:t>’</w:t>
      </w:r>
      <w:r w:rsidRPr="001800B7">
        <w:rPr>
          <w:szCs w:val="22"/>
        </w:rPr>
        <w:t>Organisation.</w:t>
      </w:r>
    </w:p>
    <w:p w:rsidR="0010628F" w:rsidRPr="001800B7" w:rsidRDefault="0010628F" w:rsidP="004F4733">
      <w:pPr>
        <w:rPr>
          <w:b/>
          <w:szCs w:val="22"/>
        </w:rPr>
      </w:pPr>
    </w:p>
    <w:tbl>
      <w:tblPr>
        <w:tblW w:w="1451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8025"/>
      </w:tblGrid>
      <w:tr w:rsidR="001800B7" w:rsidRPr="001800B7" w:rsidTr="004F4733">
        <w:trPr>
          <w:trHeight w:val="392"/>
        </w:trPr>
        <w:tc>
          <w:tcPr>
            <w:tcW w:w="6491" w:type="dxa"/>
            <w:shd w:val="clear" w:color="auto" w:fill="auto"/>
          </w:tcPr>
          <w:p w:rsidR="0010628F" w:rsidRPr="001800B7" w:rsidRDefault="0010628F" w:rsidP="00AC163C">
            <w:pPr>
              <w:autoSpaceDE w:val="0"/>
              <w:spacing w:before="120" w:after="120"/>
              <w:outlineLvl w:val="2"/>
              <w:rPr>
                <w:bCs/>
                <w:szCs w:val="22"/>
                <w:u w:val="single"/>
              </w:rPr>
            </w:pPr>
            <w:r w:rsidRPr="001800B7">
              <w:rPr>
                <w:bCs/>
                <w:szCs w:val="22"/>
                <w:u w:val="single"/>
              </w:rPr>
              <w:t>Stratégies de mise en œuvre</w:t>
            </w:r>
          </w:p>
        </w:tc>
        <w:tc>
          <w:tcPr>
            <w:tcW w:w="8025" w:type="dxa"/>
            <w:shd w:val="clear" w:color="auto" w:fill="auto"/>
            <w:vAlign w:val="center"/>
          </w:tcPr>
          <w:p w:rsidR="0010628F" w:rsidRPr="001800B7" w:rsidRDefault="0010628F" w:rsidP="004F4733">
            <w:pPr>
              <w:autoSpaceDE w:val="0"/>
              <w:spacing w:before="120" w:after="120"/>
              <w:outlineLvl w:val="2"/>
              <w:rPr>
                <w:szCs w:val="22"/>
              </w:rPr>
            </w:pPr>
            <w:r w:rsidRPr="001800B7">
              <w:rPr>
                <w:bCs/>
                <w:szCs w:val="22"/>
                <w:u w:val="single"/>
              </w:rPr>
              <w:t>Réalisations</w:t>
            </w:r>
          </w:p>
        </w:tc>
      </w:tr>
      <w:tr w:rsidR="001800B7" w:rsidRPr="001800B7" w:rsidTr="004F4733">
        <w:tblPrEx>
          <w:tblCellMar>
            <w:top w:w="108" w:type="dxa"/>
            <w:bottom w:w="108" w:type="dxa"/>
          </w:tblCellMar>
        </w:tblPrEx>
        <w:tc>
          <w:tcPr>
            <w:tcW w:w="6491" w:type="dxa"/>
            <w:shd w:val="clear" w:color="auto" w:fill="auto"/>
          </w:tcPr>
          <w:p w:rsidR="0010628F" w:rsidRPr="001800B7" w:rsidRDefault="0010628F" w:rsidP="00AC163C">
            <w:pPr>
              <w:spacing w:before="120" w:after="120"/>
              <w:rPr>
                <w:szCs w:val="22"/>
              </w:rPr>
            </w:pPr>
            <w:r w:rsidRPr="001800B7">
              <w:rPr>
                <w:szCs w:val="22"/>
              </w:rPr>
              <w:t>Afin d</w:t>
            </w:r>
            <w:r w:rsidR="005311D6" w:rsidRPr="001800B7">
              <w:rPr>
                <w:szCs w:val="22"/>
              </w:rPr>
              <w:t>’</w:t>
            </w:r>
            <w:r w:rsidRPr="001800B7">
              <w:rPr>
                <w:szCs w:val="22"/>
              </w:rPr>
              <w:t>intégrer davantage la dimension du développement dans tous les domaines d</w:t>
            </w:r>
            <w:r w:rsidR="005311D6" w:rsidRPr="001800B7">
              <w:rPr>
                <w:szCs w:val="22"/>
              </w:rPr>
              <w:t>’</w:t>
            </w:r>
            <w:r w:rsidRPr="001800B7">
              <w:rPr>
                <w:szCs w:val="22"/>
              </w:rPr>
              <w:t>activités de l</w:t>
            </w:r>
            <w:r w:rsidR="005311D6" w:rsidRPr="001800B7">
              <w:rPr>
                <w:szCs w:val="22"/>
              </w:rPr>
              <w:t>’</w:t>
            </w:r>
            <w:r w:rsidRPr="001800B7">
              <w:rPr>
                <w:szCs w:val="22"/>
              </w:rPr>
              <w:t>OMPI, et en particulier dans les activités portant sur les questions de fond et l</w:t>
            </w:r>
            <w:r w:rsidR="005311D6" w:rsidRPr="001800B7">
              <w:rPr>
                <w:szCs w:val="22"/>
              </w:rPr>
              <w:t>’</w:t>
            </w:r>
            <w:r w:rsidRPr="001800B7">
              <w:rPr>
                <w:szCs w:val="22"/>
              </w:rPr>
              <w:t>assistance technique, le programme et budget tient compte des recommandations adoptées dans le cadre du Plan d</w:t>
            </w:r>
            <w:r w:rsidR="005311D6" w:rsidRPr="001800B7">
              <w:rPr>
                <w:szCs w:val="22"/>
              </w:rPr>
              <w:t>’</w:t>
            </w:r>
            <w:r w:rsidRPr="001800B7">
              <w:rPr>
                <w:szCs w:val="22"/>
              </w:rPr>
              <w:t>action de l</w:t>
            </w:r>
            <w:r w:rsidR="005311D6" w:rsidRPr="001800B7">
              <w:rPr>
                <w:szCs w:val="22"/>
              </w:rPr>
              <w:t>’</w:t>
            </w:r>
            <w:r w:rsidRPr="001800B7">
              <w:rPr>
                <w:szCs w:val="22"/>
              </w:rPr>
              <w:t>OMPI pour le développement dans chacun des programmes pertinents.</w:t>
            </w:r>
          </w:p>
          <w:p w:rsidR="0010628F" w:rsidRPr="001800B7" w:rsidRDefault="0010628F" w:rsidP="00AC163C">
            <w:pPr>
              <w:spacing w:before="120" w:after="120"/>
              <w:rPr>
                <w:szCs w:val="22"/>
              </w:rPr>
            </w:pPr>
            <w:r w:rsidRPr="001800B7">
              <w:rPr>
                <w:szCs w:val="22"/>
              </w:rPr>
              <w:t>En particulier, des références à des recommandations précises du Plan d</w:t>
            </w:r>
            <w:r w:rsidR="005311D6" w:rsidRPr="001800B7">
              <w:rPr>
                <w:szCs w:val="22"/>
              </w:rPr>
              <w:t>’</w:t>
            </w:r>
            <w:r w:rsidRPr="001800B7">
              <w:rPr>
                <w:szCs w:val="22"/>
              </w:rPr>
              <w:t>action pour le développement ont été incluses dans le libellé des différents programmes et une nouvelle section consacrée aux “liens avec le Plan d</w:t>
            </w:r>
            <w:r w:rsidR="005311D6" w:rsidRPr="001800B7">
              <w:rPr>
                <w:szCs w:val="22"/>
              </w:rPr>
              <w:t>’</w:t>
            </w:r>
            <w:r w:rsidRPr="001800B7">
              <w:rPr>
                <w:szCs w:val="22"/>
              </w:rPr>
              <w:t>action pour le développement” a été créée pour chacun des programmes.  Cette mesure a permis d</w:t>
            </w:r>
            <w:r w:rsidR="005311D6" w:rsidRPr="001800B7">
              <w:rPr>
                <w:szCs w:val="22"/>
              </w:rPr>
              <w:t>’</w:t>
            </w:r>
            <w:r w:rsidRPr="001800B7">
              <w:rPr>
                <w:szCs w:val="22"/>
              </w:rPr>
              <w:t>intégrer le Plan d</w:t>
            </w:r>
            <w:r w:rsidR="005311D6" w:rsidRPr="001800B7">
              <w:rPr>
                <w:szCs w:val="22"/>
              </w:rPr>
              <w:t>’</w:t>
            </w:r>
            <w:r w:rsidRPr="001800B7">
              <w:rPr>
                <w:szCs w:val="22"/>
              </w:rPr>
              <w:t>action pour le développement dans le processus de programmation ordinaire de l</w:t>
            </w:r>
            <w:r w:rsidR="005311D6" w:rsidRPr="001800B7">
              <w:rPr>
                <w:szCs w:val="22"/>
              </w:rPr>
              <w:t>’</w:t>
            </w:r>
            <w:r w:rsidRPr="001800B7">
              <w:rPr>
                <w:szCs w:val="22"/>
              </w:rPr>
              <w:t>OMPI et d</w:t>
            </w:r>
            <w:r w:rsidR="005311D6" w:rsidRPr="001800B7">
              <w:rPr>
                <w:szCs w:val="22"/>
              </w:rPr>
              <w:t>’</w:t>
            </w:r>
            <w:r w:rsidRPr="001800B7">
              <w:rPr>
                <w:szCs w:val="22"/>
              </w:rPr>
              <w:t>assurer sa mise en œuvre efficace (on est prié de se reporter au programme et budget révisé pour l</w:t>
            </w:r>
            <w:r w:rsidR="005311D6" w:rsidRPr="001800B7">
              <w:rPr>
                <w:szCs w:val="22"/>
              </w:rPr>
              <w:t>’</w:t>
            </w:r>
            <w:r w:rsidRPr="001800B7">
              <w:rPr>
                <w:szCs w:val="22"/>
              </w:rPr>
              <w:t>exercice biennal 2010</w:t>
            </w:r>
            <w:r w:rsidR="001800B7" w:rsidRPr="001800B7">
              <w:rPr>
                <w:szCs w:val="22"/>
              </w:rPr>
              <w:noBreakHyphen/>
            </w:r>
            <w:r w:rsidRPr="001800B7">
              <w:rPr>
                <w:szCs w:val="22"/>
              </w:rPr>
              <w:t>2011 pour voir en détail comment le Plan d</w:t>
            </w:r>
            <w:r w:rsidR="005311D6" w:rsidRPr="001800B7">
              <w:rPr>
                <w:szCs w:val="22"/>
              </w:rPr>
              <w:t>’</w:t>
            </w:r>
            <w:r w:rsidRPr="001800B7">
              <w:rPr>
                <w:szCs w:val="22"/>
              </w:rPr>
              <w:t>action pour le développement a été intégré aux activités de l</w:t>
            </w:r>
            <w:r w:rsidR="005311D6" w:rsidRPr="001800B7">
              <w:rPr>
                <w:szCs w:val="22"/>
              </w:rPr>
              <w:t>’</w:t>
            </w:r>
            <w:r w:rsidRPr="001800B7">
              <w:rPr>
                <w:szCs w:val="22"/>
              </w:rPr>
              <w:t>OMPI).</w:t>
            </w:r>
          </w:p>
        </w:tc>
        <w:tc>
          <w:tcPr>
            <w:tcW w:w="8025" w:type="dxa"/>
            <w:shd w:val="clear" w:color="auto" w:fill="auto"/>
          </w:tcPr>
          <w:p w:rsidR="0010628F" w:rsidRPr="001800B7" w:rsidRDefault="0010628F" w:rsidP="00AC163C">
            <w:pPr>
              <w:spacing w:before="120" w:after="120"/>
              <w:rPr>
                <w:szCs w:val="22"/>
              </w:rPr>
            </w:pPr>
            <w:r w:rsidRPr="001800B7">
              <w:rPr>
                <w:szCs w:val="22"/>
              </w:rPr>
              <w:t xml:space="preserve">Les questions du développement, </w:t>
            </w:r>
            <w:r w:rsidR="005311D6" w:rsidRPr="001800B7">
              <w:rPr>
                <w:szCs w:val="22"/>
              </w:rPr>
              <w:t>y compris</w:t>
            </w:r>
            <w:r w:rsidRPr="001800B7">
              <w:rPr>
                <w:szCs w:val="22"/>
              </w:rPr>
              <w:t xml:space="preserve"> les projets et recommandations du Plan d</w:t>
            </w:r>
            <w:r w:rsidR="005311D6" w:rsidRPr="001800B7">
              <w:rPr>
                <w:szCs w:val="22"/>
              </w:rPr>
              <w:t>’</w:t>
            </w:r>
            <w:r w:rsidRPr="001800B7">
              <w:rPr>
                <w:szCs w:val="22"/>
              </w:rPr>
              <w:t>action pour le développement, ont été intégrées dans le programme et budget pour l</w:t>
            </w:r>
            <w:r w:rsidR="005311D6" w:rsidRPr="001800B7">
              <w:rPr>
                <w:szCs w:val="22"/>
              </w:rPr>
              <w:t>’</w:t>
            </w:r>
            <w:r w:rsidRPr="001800B7">
              <w:rPr>
                <w:szCs w:val="22"/>
              </w:rPr>
              <w:t>exercice biennal 2014</w:t>
            </w:r>
            <w:r w:rsidR="001800B7" w:rsidRPr="001800B7">
              <w:rPr>
                <w:szCs w:val="22"/>
              </w:rPr>
              <w:noBreakHyphen/>
            </w:r>
            <w:r w:rsidRPr="001800B7">
              <w:rPr>
                <w:szCs w:val="22"/>
              </w:rPr>
              <w:t>2015 d</w:t>
            </w:r>
            <w:r w:rsidR="005311D6" w:rsidRPr="001800B7">
              <w:rPr>
                <w:szCs w:val="22"/>
              </w:rPr>
              <w:t>’</w:t>
            </w:r>
            <w:r w:rsidRPr="001800B7">
              <w:rPr>
                <w:szCs w:val="22"/>
              </w:rPr>
              <w:t>un bout à l</w:t>
            </w:r>
            <w:r w:rsidR="005311D6" w:rsidRPr="001800B7">
              <w:rPr>
                <w:szCs w:val="22"/>
              </w:rPr>
              <w:t>’</w:t>
            </w:r>
            <w:r w:rsidRPr="001800B7">
              <w:rPr>
                <w:szCs w:val="22"/>
              </w:rPr>
              <w:t>autre des neufs objectifs stratégiques.  En témoigne la part du développement dans les résultats escomptés puisque 29 des 38 résultats escomptés en matière d</w:t>
            </w:r>
            <w:r w:rsidR="005311D6" w:rsidRPr="001800B7">
              <w:rPr>
                <w:szCs w:val="22"/>
              </w:rPr>
              <w:t>’</w:t>
            </w:r>
            <w:r w:rsidRPr="001800B7">
              <w:rPr>
                <w:szCs w:val="22"/>
              </w:rPr>
              <w:t>organisation pour l</w:t>
            </w:r>
            <w:r w:rsidR="005311D6" w:rsidRPr="001800B7">
              <w:rPr>
                <w:szCs w:val="22"/>
              </w:rPr>
              <w:t>’</w:t>
            </w:r>
            <w:r w:rsidRPr="001800B7">
              <w:rPr>
                <w:szCs w:val="22"/>
              </w:rPr>
              <w:t>exercice biennal ont une part consacrée au développement.</w:t>
            </w:r>
          </w:p>
          <w:p w:rsidR="0010628F" w:rsidRPr="001800B7" w:rsidRDefault="0010628F" w:rsidP="00AC163C">
            <w:pPr>
              <w:spacing w:before="120" w:after="120"/>
              <w:rPr>
                <w:szCs w:val="22"/>
              </w:rPr>
            </w:pPr>
            <w:r w:rsidRPr="001800B7">
              <w:rPr>
                <w:szCs w:val="22"/>
              </w:rPr>
              <w:t>En ce qui concerne les projets du Plan d</w:t>
            </w:r>
            <w:r w:rsidR="005311D6" w:rsidRPr="001800B7">
              <w:rPr>
                <w:szCs w:val="22"/>
              </w:rPr>
              <w:t>’</w:t>
            </w:r>
            <w:r w:rsidRPr="001800B7">
              <w:rPr>
                <w:szCs w:val="22"/>
              </w:rPr>
              <w:t>action pour le développement, leur intégration dans le cadre d</w:t>
            </w:r>
            <w:r w:rsidR="005311D6" w:rsidRPr="001800B7">
              <w:rPr>
                <w:szCs w:val="22"/>
              </w:rPr>
              <w:t>’</w:t>
            </w:r>
            <w:r w:rsidRPr="001800B7">
              <w:rPr>
                <w:szCs w:val="22"/>
              </w:rPr>
              <w:t>établissement de rapports et de planification de l</w:t>
            </w:r>
            <w:r w:rsidR="005311D6" w:rsidRPr="001800B7">
              <w:rPr>
                <w:szCs w:val="22"/>
              </w:rPr>
              <w:t>’</w:t>
            </w:r>
            <w:r w:rsidRPr="001800B7">
              <w:rPr>
                <w:szCs w:val="22"/>
              </w:rPr>
              <w:t>Organisation pour les exercices biennaux 2012</w:t>
            </w:r>
            <w:r w:rsidR="001800B7" w:rsidRPr="001800B7">
              <w:rPr>
                <w:szCs w:val="22"/>
              </w:rPr>
              <w:noBreakHyphen/>
            </w:r>
            <w:r w:rsidRPr="001800B7">
              <w:rPr>
                <w:szCs w:val="22"/>
              </w:rPr>
              <w:t>2013 et 2014</w:t>
            </w:r>
            <w:r w:rsidR="001800B7" w:rsidRPr="001800B7">
              <w:rPr>
                <w:szCs w:val="22"/>
              </w:rPr>
              <w:noBreakHyphen/>
            </w:r>
            <w:r w:rsidRPr="001800B7">
              <w:rPr>
                <w:szCs w:val="22"/>
              </w:rPr>
              <w:t>2015 a été réalisée conformément à l</w:t>
            </w:r>
            <w:r w:rsidR="005311D6" w:rsidRPr="001800B7">
              <w:rPr>
                <w:szCs w:val="22"/>
              </w:rPr>
              <w:t>’</w:t>
            </w:r>
            <w:r w:rsidRPr="001800B7">
              <w:rPr>
                <w:szCs w:val="22"/>
              </w:rPr>
              <w:t>Examen de la procédure budgétaire appliquée aux projets proposés par le Comité du développement et de la propriété intellectuelle (CDIP) pour la mise en œuvre des recommandations relatives au plan d</w:t>
            </w:r>
            <w:r w:rsidR="005311D6" w:rsidRPr="001800B7">
              <w:rPr>
                <w:szCs w:val="22"/>
              </w:rPr>
              <w:t>’</w:t>
            </w:r>
            <w:r w:rsidRPr="001800B7">
              <w:rPr>
                <w:szCs w:val="22"/>
              </w:rPr>
              <w:t>action pour le développement (document A/51/7 </w:t>
            </w:r>
            <w:proofErr w:type="spellStart"/>
            <w:r w:rsidRPr="001800B7">
              <w:rPr>
                <w:szCs w:val="22"/>
              </w:rPr>
              <w:t>Rev</w:t>
            </w:r>
            <w:proofErr w:type="spellEnd"/>
            <w:r w:rsidRPr="001800B7">
              <w:rPr>
                <w:szCs w:val="22"/>
              </w:rPr>
              <w:t>.), approuvé par les Assemblées de l</w:t>
            </w:r>
            <w:r w:rsidR="005311D6" w:rsidRPr="001800B7">
              <w:rPr>
                <w:szCs w:val="22"/>
              </w:rPr>
              <w:t>’</w:t>
            </w:r>
            <w:r w:rsidRPr="001800B7">
              <w:rPr>
                <w:szCs w:val="22"/>
              </w:rPr>
              <w:t>OMPI en 2013.</w:t>
            </w:r>
          </w:p>
          <w:p w:rsidR="0010628F" w:rsidRPr="001800B7" w:rsidRDefault="0010628F" w:rsidP="00AC163C">
            <w:pPr>
              <w:pStyle w:val="ListParagraph"/>
              <w:spacing w:before="120" w:after="120"/>
              <w:ind w:left="0"/>
              <w:contextualSpacing w:val="0"/>
              <w:rPr>
                <w:szCs w:val="22"/>
              </w:rPr>
            </w:pPr>
            <w:r w:rsidRPr="001800B7">
              <w:rPr>
                <w:szCs w:val="22"/>
              </w:rPr>
              <w:t>Pour de plus amples informations sur les réalisations liées à cette recommandation, prière de se référer :</w:t>
            </w:r>
          </w:p>
          <w:p w:rsidR="0010628F" w:rsidRPr="001800B7" w:rsidRDefault="0010628F" w:rsidP="0010628F">
            <w:pPr>
              <w:pStyle w:val="ListParagraph"/>
              <w:numPr>
                <w:ilvl w:val="1"/>
                <w:numId w:val="15"/>
              </w:numPr>
              <w:spacing w:before="120" w:after="120"/>
              <w:contextualSpacing w:val="0"/>
              <w:rPr>
                <w:szCs w:val="22"/>
              </w:rPr>
            </w:pPr>
            <w:r w:rsidRPr="001800B7">
              <w:rPr>
                <w:szCs w:val="22"/>
              </w:rPr>
              <w:t>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2013 (document WO/PBC/22/8);  et</w:t>
            </w:r>
          </w:p>
          <w:p w:rsidR="0010628F" w:rsidRPr="001800B7" w:rsidRDefault="0010628F" w:rsidP="0010628F">
            <w:pPr>
              <w:pStyle w:val="ListParagraph"/>
              <w:numPr>
                <w:ilvl w:val="1"/>
                <w:numId w:val="15"/>
              </w:numPr>
              <w:spacing w:before="120" w:after="120"/>
              <w:contextualSpacing w:val="0"/>
              <w:rPr>
                <w:szCs w:val="22"/>
              </w:rPr>
            </w:pPr>
            <w:r w:rsidRPr="001800B7">
              <w:rPr>
                <w:szCs w:val="22"/>
              </w:rPr>
              <w:t>Résumé du rapport d</w:t>
            </w:r>
            <w:r w:rsidR="005311D6" w:rsidRPr="001800B7">
              <w:rPr>
                <w:szCs w:val="22"/>
              </w:rPr>
              <w:t>’</w:t>
            </w:r>
            <w:r w:rsidRPr="001800B7">
              <w:rPr>
                <w:szCs w:val="22"/>
              </w:rPr>
              <w:t>évaluation du projet relatif à l</w:t>
            </w:r>
            <w:r w:rsidR="005311D6" w:rsidRPr="001800B7">
              <w:rPr>
                <w:szCs w:val="22"/>
              </w:rPr>
              <w:t>’</w:t>
            </w:r>
            <w:r w:rsidRPr="001800B7">
              <w:rPr>
                <w:szCs w:val="22"/>
              </w:rPr>
              <w:t>amélioration du cadre de gestion axée sur les résultats mis en œuvre par l</w:t>
            </w:r>
            <w:r w:rsidR="005311D6" w:rsidRPr="001800B7">
              <w:rPr>
                <w:szCs w:val="22"/>
              </w:rPr>
              <w:t>’</w:t>
            </w:r>
            <w:r w:rsidRPr="001800B7">
              <w:rPr>
                <w:szCs w:val="22"/>
              </w:rPr>
              <w:t>OMPI aux fins du suivi et de l</w:t>
            </w:r>
            <w:r w:rsidR="005311D6" w:rsidRPr="001800B7">
              <w:rPr>
                <w:szCs w:val="22"/>
              </w:rPr>
              <w:t>’</w:t>
            </w:r>
            <w:r w:rsidRPr="001800B7">
              <w:rPr>
                <w:szCs w:val="22"/>
              </w:rPr>
              <w:t xml:space="preserve">évaluation des activités de développement (CDIP/12/4).  </w:t>
            </w:r>
          </w:p>
        </w:tc>
      </w:tr>
    </w:tbl>
    <w:p w:rsidR="0010628F" w:rsidRPr="001800B7" w:rsidRDefault="0010628F" w:rsidP="0010628F">
      <w:pPr>
        <w:spacing w:before="120" w:after="120"/>
        <w:rPr>
          <w:b/>
          <w:szCs w:val="22"/>
        </w:rPr>
      </w:pPr>
    </w:p>
    <w:p w:rsidR="0010628F" w:rsidRPr="001800B7" w:rsidRDefault="0010628F" w:rsidP="004F4733">
      <w:pPr>
        <w:rPr>
          <w:szCs w:val="22"/>
        </w:rPr>
      </w:pPr>
      <w:r w:rsidRPr="001800B7">
        <w:rPr>
          <w:b/>
          <w:szCs w:val="22"/>
        </w:rPr>
        <w:br w:type="page"/>
      </w:r>
      <w:r w:rsidRPr="001800B7">
        <w:rPr>
          <w:i/>
          <w:szCs w:val="22"/>
        </w:rPr>
        <w:lastRenderedPageBreak/>
        <w:t>Recommandation n° 13</w:t>
      </w:r>
      <w:r w:rsidRPr="001800B7">
        <w:rPr>
          <w:szCs w:val="22"/>
        </w:rPr>
        <w:t> : L</w:t>
      </w:r>
      <w:r w:rsidR="005311D6" w:rsidRPr="001800B7">
        <w:rPr>
          <w:szCs w:val="22"/>
        </w:rPr>
        <w:t>’</w:t>
      </w:r>
      <w:r w:rsidRPr="001800B7">
        <w:rPr>
          <w:szCs w:val="22"/>
        </w:rPr>
        <w:t>assistance législative de l</w:t>
      </w:r>
      <w:r w:rsidR="005311D6" w:rsidRPr="001800B7">
        <w:rPr>
          <w:szCs w:val="22"/>
        </w:rPr>
        <w:t>’</w:t>
      </w:r>
      <w:r w:rsidRPr="001800B7">
        <w:rPr>
          <w:szCs w:val="22"/>
        </w:rPr>
        <w:t>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p w:rsidR="004F4733" w:rsidRPr="001800B7" w:rsidRDefault="004F4733" w:rsidP="004F4733">
      <w:pPr>
        <w:rPr>
          <w:bCs/>
          <w:szCs w:val="22"/>
        </w:rPr>
      </w:pPr>
    </w:p>
    <w:p w:rsidR="0010628F" w:rsidRPr="001800B7" w:rsidRDefault="0010628F" w:rsidP="004F4733">
      <w:pPr>
        <w:rPr>
          <w:bCs/>
          <w:szCs w:val="22"/>
        </w:rPr>
      </w:pPr>
      <w:r w:rsidRPr="001800B7">
        <w:rPr>
          <w:bCs/>
          <w:i/>
          <w:szCs w:val="22"/>
        </w:rPr>
        <w:t>Recommandation n° 14</w:t>
      </w:r>
      <w:r w:rsidRPr="001800B7">
        <w:rPr>
          <w:bCs/>
          <w:szCs w:val="22"/>
        </w:rPr>
        <w:t> </w:t>
      </w:r>
      <w:r w:rsidRPr="001800B7">
        <w:rPr>
          <w:szCs w:val="22"/>
        </w:rPr>
        <w:t>:</w:t>
      </w:r>
      <w:r w:rsidRPr="001800B7">
        <w:rPr>
          <w:bCs/>
          <w:szCs w:val="22"/>
        </w:rPr>
        <w:t xml:space="preserve"> Dans le cadre de l</w:t>
      </w:r>
      <w:r w:rsidR="005311D6" w:rsidRPr="001800B7">
        <w:rPr>
          <w:bCs/>
          <w:szCs w:val="22"/>
        </w:rPr>
        <w:t>’</w:t>
      </w:r>
      <w:r w:rsidRPr="001800B7">
        <w:rPr>
          <w:bCs/>
          <w:szCs w:val="22"/>
        </w:rPr>
        <w:t>accord entre l</w:t>
      </w:r>
      <w:r w:rsidR="005311D6" w:rsidRPr="001800B7">
        <w:rPr>
          <w:bCs/>
          <w:szCs w:val="22"/>
        </w:rPr>
        <w:t>’</w:t>
      </w:r>
      <w:r w:rsidRPr="001800B7">
        <w:rPr>
          <w:bCs/>
          <w:szCs w:val="22"/>
        </w:rPr>
        <w:t>OMPI et l</w:t>
      </w:r>
      <w:r w:rsidR="005311D6" w:rsidRPr="001800B7">
        <w:rPr>
          <w:bCs/>
          <w:szCs w:val="22"/>
        </w:rPr>
        <w:t>’</w:t>
      </w:r>
      <w:r w:rsidRPr="001800B7">
        <w:rPr>
          <w:bCs/>
          <w:szCs w:val="22"/>
        </w:rPr>
        <w:t>OMC, l</w:t>
      </w:r>
      <w:r w:rsidR="005311D6" w:rsidRPr="001800B7">
        <w:rPr>
          <w:bCs/>
          <w:szCs w:val="22"/>
        </w:rPr>
        <w:t>’</w:t>
      </w:r>
      <w:r w:rsidRPr="001800B7">
        <w:rPr>
          <w:bCs/>
          <w:szCs w:val="22"/>
        </w:rPr>
        <w:t>OMPI dispensera des conseils aux pays en développement et aux PMA, sur l</w:t>
      </w:r>
      <w:r w:rsidR="005311D6" w:rsidRPr="001800B7">
        <w:rPr>
          <w:bCs/>
          <w:szCs w:val="22"/>
        </w:rPr>
        <w:t>’</w:t>
      </w:r>
      <w:r w:rsidRPr="001800B7">
        <w:rPr>
          <w:bCs/>
          <w:szCs w:val="22"/>
        </w:rPr>
        <w:t>exercice et le respect des droits et obligations, et sur la compréhension et l</w:t>
      </w:r>
      <w:r w:rsidR="005311D6" w:rsidRPr="001800B7">
        <w:rPr>
          <w:bCs/>
          <w:szCs w:val="22"/>
        </w:rPr>
        <w:t>’</w:t>
      </w:r>
      <w:r w:rsidRPr="001800B7">
        <w:rPr>
          <w:bCs/>
          <w:szCs w:val="22"/>
        </w:rPr>
        <w:t>utilisation des flexibilités prévues dans l</w:t>
      </w:r>
      <w:r w:rsidR="005311D6" w:rsidRPr="001800B7">
        <w:rPr>
          <w:bCs/>
          <w:szCs w:val="22"/>
        </w:rPr>
        <w:t>’</w:t>
      </w:r>
      <w:r w:rsidRPr="001800B7">
        <w:rPr>
          <w:bCs/>
          <w:szCs w:val="22"/>
        </w:rPr>
        <w:t>Accord sur les ADPIC.</w:t>
      </w:r>
    </w:p>
    <w:p w:rsidR="004F4733" w:rsidRPr="001800B7" w:rsidRDefault="004F4733" w:rsidP="004F4733">
      <w:pPr>
        <w:rPr>
          <w:bCs/>
          <w:szCs w:val="22"/>
        </w:rPr>
      </w:pPr>
    </w:p>
    <w:p w:rsidR="0010628F" w:rsidRPr="001800B7" w:rsidRDefault="0010628F" w:rsidP="004F4733">
      <w:pPr>
        <w:rPr>
          <w:bCs/>
          <w:szCs w:val="22"/>
        </w:rPr>
      </w:pPr>
      <w:r w:rsidRPr="001800B7">
        <w:rPr>
          <w:bCs/>
          <w:i/>
          <w:szCs w:val="22"/>
        </w:rPr>
        <w:t>Recommandation n° 17</w:t>
      </w:r>
      <w:r w:rsidRPr="001800B7">
        <w:rPr>
          <w:bCs/>
          <w:szCs w:val="22"/>
        </w:rPr>
        <w:t> </w:t>
      </w:r>
      <w:r w:rsidRPr="001800B7">
        <w:rPr>
          <w:szCs w:val="22"/>
        </w:rPr>
        <w:t>:</w:t>
      </w:r>
      <w:r w:rsidRPr="001800B7">
        <w:rPr>
          <w:bCs/>
          <w:szCs w:val="22"/>
        </w:rPr>
        <w:t xml:space="preserve"> Dans ses activités, notamment en matière d</w:t>
      </w:r>
      <w:r w:rsidR="005311D6" w:rsidRPr="001800B7">
        <w:rPr>
          <w:bCs/>
          <w:szCs w:val="22"/>
        </w:rPr>
        <w:t>’</w:t>
      </w:r>
      <w:r w:rsidRPr="001800B7">
        <w:rPr>
          <w:bCs/>
          <w:szCs w:val="22"/>
        </w:rPr>
        <w:t>établissement de normes, l</w:t>
      </w:r>
      <w:r w:rsidR="005311D6" w:rsidRPr="001800B7">
        <w:rPr>
          <w:bCs/>
          <w:szCs w:val="22"/>
        </w:rPr>
        <w:t>’</w:t>
      </w:r>
      <w:r w:rsidRPr="001800B7">
        <w:rPr>
          <w:bCs/>
          <w:szCs w:val="22"/>
        </w:rPr>
        <w:t>OMPI devrait tenir compte des éléments de flexibilité prévus par les arrangements internationaux dans le domaine de la propriété intellectuelle, en particulier ceux qui présentent un intérêt pour les pays en développement et les PMA.</w:t>
      </w:r>
    </w:p>
    <w:p w:rsidR="004F4733" w:rsidRPr="001800B7" w:rsidRDefault="004F4733" w:rsidP="004F4733">
      <w:pPr>
        <w:rPr>
          <w:bCs/>
          <w:szCs w:val="22"/>
        </w:rPr>
      </w:pPr>
    </w:p>
    <w:tbl>
      <w:tblPr>
        <w:tblW w:w="1451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8025"/>
      </w:tblGrid>
      <w:tr w:rsidR="001800B7" w:rsidRPr="001800B7" w:rsidTr="004F4733">
        <w:tc>
          <w:tcPr>
            <w:tcW w:w="6491" w:type="dxa"/>
            <w:shd w:val="clear" w:color="auto" w:fill="auto"/>
          </w:tcPr>
          <w:p w:rsidR="0010628F" w:rsidRPr="001800B7" w:rsidRDefault="0010628F" w:rsidP="00AC163C">
            <w:pPr>
              <w:autoSpaceDE w:val="0"/>
              <w:spacing w:before="120" w:after="120"/>
              <w:outlineLvl w:val="2"/>
              <w:rPr>
                <w:bCs/>
                <w:szCs w:val="22"/>
                <w:u w:val="single"/>
              </w:rPr>
            </w:pPr>
            <w:r w:rsidRPr="001800B7">
              <w:rPr>
                <w:bCs/>
                <w:szCs w:val="22"/>
                <w:u w:val="single"/>
              </w:rPr>
              <w:t>Stratégies de mise en œuvre</w:t>
            </w:r>
          </w:p>
        </w:tc>
        <w:tc>
          <w:tcPr>
            <w:tcW w:w="8025" w:type="dxa"/>
            <w:shd w:val="clear" w:color="auto" w:fill="auto"/>
            <w:vAlign w:val="center"/>
          </w:tcPr>
          <w:p w:rsidR="0010628F" w:rsidRPr="001800B7" w:rsidRDefault="0010628F" w:rsidP="004F4733">
            <w:pPr>
              <w:autoSpaceDE w:val="0"/>
              <w:spacing w:before="120" w:after="120"/>
              <w:outlineLvl w:val="2"/>
              <w:rPr>
                <w:szCs w:val="22"/>
              </w:rPr>
            </w:pPr>
            <w:r w:rsidRPr="001800B7">
              <w:rPr>
                <w:bCs/>
                <w:szCs w:val="22"/>
                <w:u w:val="single"/>
              </w:rPr>
              <w:t>Réalisations</w:t>
            </w:r>
          </w:p>
        </w:tc>
      </w:tr>
      <w:tr w:rsidR="001800B7" w:rsidRPr="001800B7" w:rsidTr="004F4733">
        <w:tblPrEx>
          <w:tblCellMar>
            <w:top w:w="108" w:type="dxa"/>
            <w:bottom w:w="108" w:type="dxa"/>
          </w:tblCellMar>
        </w:tblPrEx>
        <w:tc>
          <w:tcPr>
            <w:tcW w:w="6491" w:type="dxa"/>
            <w:shd w:val="clear" w:color="auto" w:fill="auto"/>
          </w:tcPr>
          <w:p w:rsidR="0010628F" w:rsidRPr="001800B7" w:rsidRDefault="0010628F" w:rsidP="004F4733">
            <w:pPr>
              <w:spacing w:before="100" w:after="100"/>
              <w:rPr>
                <w:szCs w:val="22"/>
              </w:rPr>
            </w:pPr>
            <w:r w:rsidRPr="001800B7">
              <w:rPr>
                <w:szCs w:val="22"/>
              </w:rPr>
              <w:t>L</w:t>
            </w:r>
            <w:r w:rsidR="005311D6" w:rsidRPr="001800B7">
              <w:rPr>
                <w:szCs w:val="22"/>
              </w:rPr>
              <w:t>’</w:t>
            </w:r>
            <w:r w:rsidRPr="001800B7">
              <w:rPr>
                <w:szCs w:val="22"/>
              </w:rPr>
              <w:t>assistance technique de l</w:t>
            </w:r>
            <w:r w:rsidR="005311D6" w:rsidRPr="001800B7">
              <w:rPr>
                <w:szCs w:val="22"/>
              </w:rPr>
              <w:t>’</w:t>
            </w:r>
            <w:r w:rsidRPr="001800B7">
              <w:rPr>
                <w:szCs w:val="22"/>
              </w:rPr>
              <w:t>OMPI dans le domaine des éléments de flexibilité est axée sur l</w:t>
            </w:r>
            <w:r w:rsidR="005311D6" w:rsidRPr="001800B7">
              <w:rPr>
                <w:szCs w:val="22"/>
              </w:rPr>
              <w:t>’</w:t>
            </w:r>
            <w:r w:rsidRPr="001800B7">
              <w:rPr>
                <w:szCs w:val="22"/>
              </w:rPr>
              <w:t>assistance législative, la sensibilisation et le renforcement des capacités.  Elle revêt différentes formes, notamment les suivantes :</w:t>
            </w:r>
          </w:p>
          <w:p w:rsidR="0010628F" w:rsidRPr="001800B7" w:rsidRDefault="0010628F" w:rsidP="004F4733">
            <w:pPr>
              <w:numPr>
                <w:ilvl w:val="0"/>
                <w:numId w:val="12"/>
              </w:numPr>
              <w:autoSpaceDE w:val="0"/>
              <w:autoSpaceDN w:val="0"/>
              <w:adjustRightInd w:val="0"/>
              <w:spacing w:before="100" w:after="100"/>
              <w:ind w:left="568" w:hanging="284"/>
              <w:contextualSpacing/>
              <w:rPr>
                <w:szCs w:val="22"/>
              </w:rPr>
            </w:pPr>
            <w:r w:rsidRPr="001800B7">
              <w:rPr>
                <w:szCs w:val="22"/>
              </w:rPr>
              <w:t>consultations de haut niveau;</w:t>
            </w:r>
          </w:p>
          <w:p w:rsidR="0010628F" w:rsidRPr="001800B7" w:rsidRDefault="0010628F" w:rsidP="004F4733">
            <w:pPr>
              <w:numPr>
                <w:ilvl w:val="0"/>
                <w:numId w:val="12"/>
              </w:numPr>
              <w:autoSpaceDE w:val="0"/>
              <w:autoSpaceDN w:val="0"/>
              <w:adjustRightInd w:val="0"/>
              <w:spacing w:before="100" w:after="100"/>
              <w:ind w:left="568" w:hanging="284"/>
              <w:contextualSpacing/>
              <w:rPr>
                <w:szCs w:val="22"/>
              </w:rPr>
            </w:pPr>
            <w:r w:rsidRPr="001800B7">
              <w:rPr>
                <w:szCs w:val="22"/>
              </w:rPr>
              <w:t>débats et préparation des projets de lois;</w:t>
            </w:r>
          </w:p>
          <w:p w:rsidR="0010628F" w:rsidRPr="001800B7" w:rsidRDefault="0010628F" w:rsidP="004F4733">
            <w:pPr>
              <w:numPr>
                <w:ilvl w:val="0"/>
                <w:numId w:val="12"/>
              </w:numPr>
              <w:autoSpaceDE w:val="0"/>
              <w:autoSpaceDN w:val="0"/>
              <w:adjustRightInd w:val="0"/>
              <w:spacing w:before="100" w:after="100"/>
              <w:ind w:left="568" w:hanging="284"/>
              <w:contextualSpacing/>
              <w:rPr>
                <w:szCs w:val="22"/>
              </w:rPr>
            </w:pPr>
            <w:r w:rsidRPr="001800B7">
              <w:rPr>
                <w:szCs w:val="22"/>
              </w:rPr>
              <w:t>étude et examen des projets de lois et règlements;</w:t>
            </w:r>
          </w:p>
          <w:p w:rsidR="0010628F" w:rsidRPr="001800B7" w:rsidRDefault="0010628F" w:rsidP="004F4733">
            <w:pPr>
              <w:numPr>
                <w:ilvl w:val="0"/>
                <w:numId w:val="12"/>
              </w:numPr>
              <w:autoSpaceDE w:val="0"/>
              <w:autoSpaceDN w:val="0"/>
              <w:adjustRightInd w:val="0"/>
              <w:spacing w:before="100" w:after="100"/>
              <w:ind w:left="568" w:hanging="284"/>
              <w:contextualSpacing/>
              <w:rPr>
                <w:szCs w:val="22"/>
              </w:rPr>
            </w:pPr>
            <w:r w:rsidRPr="001800B7">
              <w:rPr>
                <w:szCs w:val="22"/>
              </w:rPr>
              <w:t>organisation de réunions et participation à ces réunions;</w:t>
            </w:r>
          </w:p>
          <w:p w:rsidR="0010628F" w:rsidRPr="001800B7" w:rsidRDefault="0010628F" w:rsidP="004F4733">
            <w:pPr>
              <w:numPr>
                <w:ilvl w:val="0"/>
                <w:numId w:val="12"/>
              </w:numPr>
              <w:autoSpaceDE w:val="0"/>
              <w:autoSpaceDN w:val="0"/>
              <w:adjustRightInd w:val="0"/>
              <w:spacing w:before="100" w:after="100"/>
              <w:ind w:left="568" w:hanging="284"/>
              <w:contextualSpacing/>
              <w:rPr>
                <w:szCs w:val="22"/>
              </w:rPr>
            </w:pPr>
            <w:r w:rsidRPr="001800B7">
              <w:rPr>
                <w:szCs w:val="22"/>
              </w:rPr>
              <w:t>missions techniques d</w:t>
            </w:r>
            <w:r w:rsidR="005311D6" w:rsidRPr="001800B7">
              <w:rPr>
                <w:szCs w:val="22"/>
              </w:rPr>
              <w:t>’</w:t>
            </w:r>
            <w:r w:rsidRPr="001800B7">
              <w:rPr>
                <w:szCs w:val="22"/>
              </w:rPr>
              <w:t>experts et voyages d</w:t>
            </w:r>
            <w:r w:rsidR="005311D6" w:rsidRPr="001800B7">
              <w:rPr>
                <w:szCs w:val="22"/>
              </w:rPr>
              <w:t>’</w:t>
            </w:r>
            <w:r w:rsidRPr="001800B7">
              <w:rPr>
                <w:szCs w:val="22"/>
              </w:rPr>
              <w:t>étude;</w:t>
            </w:r>
          </w:p>
          <w:p w:rsidR="0010628F" w:rsidRPr="001800B7" w:rsidRDefault="0010628F" w:rsidP="004F4733">
            <w:pPr>
              <w:numPr>
                <w:ilvl w:val="0"/>
                <w:numId w:val="12"/>
              </w:numPr>
              <w:autoSpaceDE w:val="0"/>
              <w:autoSpaceDN w:val="0"/>
              <w:adjustRightInd w:val="0"/>
              <w:spacing w:before="100" w:after="100"/>
              <w:ind w:left="568" w:hanging="284"/>
              <w:contextualSpacing/>
              <w:rPr>
                <w:szCs w:val="22"/>
              </w:rPr>
            </w:pPr>
            <w:r w:rsidRPr="001800B7">
              <w:rPr>
                <w:szCs w:val="22"/>
              </w:rPr>
              <w:t>visites techniques de fonctionnaires de l</w:t>
            </w:r>
            <w:r w:rsidR="005311D6" w:rsidRPr="001800B7">
              <w:rPr>
                <w:szCs w:val="22"/>
              </w:rPr>
              <w:t>’</w:t>
            </w:r>
            <w:r w:rsidRPr="001800B7">
              <w:rPr>
                <w:szCs w:val="22"/>
              </w:rPr>
              <w:t>État en poste dans les capitales;  et</w:t>
            </w:r>
          </w:p>
          <w:p w:rsidR="0010628F" w:rsidRPr="001800B7" w:rsidRDefault="0010628F" w:rsidP="004F4733">
            <w:pPr>
              <w:numPr>
                <w:ilvl w:val="0"/>
                <w:numId w:val="12"/>
              </w:numPr>
              <w:autoSpaceDE w:val="0"/>
              <w:autoSpaceDN w:val="0"/>
              <w:adjustRightInd w:val="0"/>
              <w:spacing w:before="100" w:after="100"/>
              <w:ind w:left="568" w:hanging="284"/>
              <w:contextualSpacing/>
              <w:rPr>
                <w:szCs w:val="22"/>
              </w:rPr>
            </w:pPr>
            <w:r w:rsidRPr="001800B7">
              <w:rPr>
                <w:szCs w:val="22"/>
              </w:rPr>
              <w:t>formation et renforcement des capacités de décideurs locaux.</w:t>
            </w:r>
          </w:p>
          <w:p w:rsidR="0010628F" w:rsidRPr="001800B7" w:rsidRDefault="0010628F" w:rsidP="004F4733">
            <w:pPr>
              <w:spacing w:before="100" w:after="100"/>
              <w:rPr>
                <w:szCs w:val="22"/>
              </w:rPr>
            </w:pPr>
            <w:r w:rsidRPr="001800B7">
              <w:rPr>
                <w:szCs w:val="22"/>
              </w:rPr>
              <w:t>L</w:t>
            </w:r>
            <w:r w:rsidR="005311D6" w:rsidRPr="001800B7">
              <w:rPr>
                <w:szCs w:val="22"/>
              </w:rPr>
              <w:t>’</w:t>
            </w:r>
            <w:r w:rsidRPr="001800B7">
              <w:rPr>
                <w:szCs w:val="22"/>
              </w:rPr>
              <w:t xml:space="preserve">assistance législative dans le domaine des éléments de flexibilité est déterminée par la demande et fournie dès que possible sur une base bilatérale de nature confidentielle compte tenu des ressources disponibles.  Cette assistance permet aux décideurs et aux experts juridiques des pays en développement et des pays les moins avancés de prendre des décisions éclairées sur la mise en œuvre, dans leurs législations </w:t>
            </w:r>
            <w:r w:rsidRPr="001800B7">
              <w:rPr>
                <w:szCs w:val="22"/>
              </w:rPr>
              <w:lastRenderedPageBreak/>
              <w:t>nationales, des options juridiques et des éléments de flexibilité prévus dans le cadre juridique international, en particulier l</w:t>
            </w:r>
            <w:r w:rsidR="005311D6" w:rsidRPr="001800B7">
              <w:rPr>
                <w:szCs w:val="22"/>
              </w:rPr>
              <w:t>’</w:t>
            </w:r>
            <w:r w:rsidRPr="001800B7">
              <w:rPr>
                <w:szCs w:val="22"/>
              </w:rPr>
              <w:t>Accord sur les ADPIC au niveau de la mise en œuvre dans les législations nationales.</w:t>
            </w:r>
          </w:p>
          <w:p w:rsidR="0010628F" w:rsidRPr="001800B7" w:rsidRDefault="0010628F" w:rsidP="004F4733">
            <w:pPr>
              <w:spacing w:before="100" w:after="100"/>
              <w:rPr>
                <w:szCs w:val="22"/>
              </w:rPr>
            </w:pPr>
            <w:r w:rsidRPr="001800B7">
              <w:rPr>
                <w:szCs w:val="22"/>
              </w:rPr>
              <w:t>Dans le cadre de l</w:t>
            </w:r>
            <w:r w:rsidR="005311D6" w:rsidRPr="001800B7">
              <w:rPr>
                <w:szCs w:val="22"/>
              </w:rPr>
              <w:t>’</w:t>
            </w:r>
            <w:r w:rsidRPr="001800B7">
              <w:rPr>
                <w:szCs w:val="22"/>
              </w:rPr>
              <w:t>Accord OMPI</w:t>
            </w:r>
            <w:r w:rsidR="001800B7" w:rsidRPr="001800B7">
              <w:rPr>
                <w:szCs w:val="22"/>
              </w:rPr>
              <w:noBreakHyphen/>
            </w:r>
            <w:r w:rsidRPr="001800B7">
              <w:rPr>
                <w:szCs w:val="22"/>
              </w:rPr>
              <w:t>OMC, l</w:t>
            </w:r>
            <w:r w:rsidR="005311D6" w:rsidRPr="001800B7">
              <w:rPr>
                <w:szCs w:val="22"/>
              </w:rPr>
              <w:t>’</w:t>
            </w:r>
            <w:r w:rsidRPr="001800B7">
              <w:rPr>
                <w:szCs w:val="22"/>
              </w:rPr>
              <w:t>OMC propose, en toute confidentialité et neutralité, une coopération technique et des conseils juridiques et législatifs aux pays en développement et aux PMA pour la mise en œuvre de l</w:t>
            </w:r>
            <w:r w:rsidR="005311D6" w:rsidRPr="001800B7">
              <w:rPr>
                <w:szCs w:val="22"/>
              </w:rPr>
              <w:t>’</w:t>
            </w:r>
            <w:r w:rsidRPr="001800B7">
              <w:rPr>
                <w:szCs w:val="22"/>
              </w:rPr>
              <w:t>Accord sur les ADPIC, compte tenu des options législatives possibles.  À cet égard, des réunions et des consultations conjointes ont été organisées avec l</w:t>
            </w:r>
            <w:r w:rsidR="005311D6" w:rsidRPr="001800B7">
              <w:rPr>
                <w:szCs w:val="22"/>
              </w:rPr>
              <w:t>’</w:t>
            </w:r>
            <w:r w:rsidRPr="001800B7">
              <w:rPr>
                <w:szCs w:val="22"/>
              </w:rPr>
              <w:t>OMC afin de renforcer la coopération mutuelle.</w:t>
            </w:r>
          </w:p>
          <w:p w:rsidR="0010628F" w:rsidRPr="001800B7" w:rsidRDefault="0010628F" w:rsidP="004F4733">
            <w:pPr>
              <w:spacing w:before="100" w:after="100"/>
              <w:rPr>
                <w:szCs w:val="22"/>
              </w:rPr>
            </w:pPr>
            <w:r w:rsidRPr="001800B7">
              <w:rPr>
                <w:szCs w:val="22"/>
              </w:rPr>
              <w:t>Une assistance est également fournie sur demande aux pays en ce qui concerne l</w:t>
            </w:r>
            <w:r w:rsidR="005311D6" w:rsidRPr="001800B7">
              <w:rPr>
                <w:szCs w:val="22"/>
              </w:rPr>
              <w:t>’</w:t>
            </w:r>
            <w:r w:rsidRPr="001800B7">
              <w:rPr>
                <w:szCs w:val="22"/>
              </w:rPr>
              <w:t>adhésion à des traités internationaux ou la mise en œuvre de ces traités, notamment des accords régionaux, compte tenu de leurs priorités et de leurs objectifs en matière de développement.  Les dispositions particulières applicables aux PMA et leurs besoins spécifiques sont pleinement pris en considération.</w:t>
            </w:r>
          </w:p>
          <w:p w:rsidR="0010628F" w:rsidRPr="001800B7" w:rsidRDefault="0010628F" w:rsidP="004F4733">
            <w:pPr>
              <w:spacing w:before="100" w:after="100"/>
              <w:rPr>
                <w:szCs w:val="22"/>
              </w:rPr>
            </w:pPr>
            <w:r w:rsidRPr="001800B7">
              <w:rPr>
                <w:szCs w:val="22"/>
              </w:rPr>
              <w:t>Une assistance législative concernant la sensibilisation et la mise en œuvre des éléments de flexibilité dans le système de propriété intellectuelle est fournie à la demande des pays et tient compte des priorités et des besoins de chaque pays en particulier.</w:t>
            </w:r>
          </w:p>
          <w:p w:rsidR="0010628F" w:rsidRPr="001800B7" w:rsidRDefault="0010628F" w:rsidP="004F4733">
            <w:pPr>
              <w:spacing w:before="100" w:after="100"/>
              <w:rPr>
                <w:szCs w:val="22"/>
              </w:rPr>
            </w:pPr>
            <w:r w:rsidRPr="001800B7">
              <w:rPr>
                <w:szCs w:val="22"/>
              </w:rPr>
              <w:t>Dans ses activités d</w:t>
            </w:r>
            <w:r w:rsidR="005311D6" w:rsidRPr="001800B7">
              <w:rPr>
                <w:szCs w:val="22"/>
              </w:rPr>
              <w:t>’</w:t>
            </w:r>
            <w:r w:rsidRPr="001800B7">
              <w:rPr>
                <w:szCs w:val="22"/>
              </w:rPr>
              <w:t>établissement de normes, des mesures ont été prises pour veiller à ce que les activités du SCP, du SCT, du SCCR et de l</w:t>
            </w:r>
            <w:r w:rsidR="005311D6" w:rsidRPr="001800B7">
              <w:rPr>
                <w:szCs w:val="22"/>
              </w:rPr>
              <w:t>’</w:t>
            </w:r>
            <w:r w:rsidRPr="001800B7">
              <w:rPr>
                <w:szCs w:val="22"/>
              </w:rPr>
              <w:t>IGC tiennent compte des éléments de flexibilité prévus par les arrangements internationaux dans le domaine de la propriété intellectuelle.</w:t>
            </w:r>
          </w:p>
          <w:p w:rsidR="0010628F" w:rsidRPr="001800B7" w:rsidRDefault="0010628F" w:rsidP="004F4733">
            <w:pPr>
              <w:spacing w:before="100" w:after="100"/>
              <w:rPr>
                <w:szCs w:val="22"/>
              </w:rPr>
            </w:pPr>
            <w:r w:rsidRPr="001800B7">
              <w:rPr>
                <w:szCs w:val="22"/>
              </w:rPr>
              <w:t>Les avis législatifs de l</w:t>
            </w:r>
            <w:r w:rsidR="005311D6" w:rsidRPr="001800B7">
              <w:rPr>
                <w:szCs w:val="22"/>
              </w:rPr>
              <w:t>’</w:t>
            </w:r>
            <w:r w:rsidRPr="001800B7">
              <w:rPr>
                <w:szCs w:val="22"/>
              </w:rPr>
              <w:t>OMPI tiennent compte de normes qui peuvent être appliquées avec souplesse, compte tenu des besoins économiques et sociaux de chaque pays.</w:t>
            </w:r>
          </w:p>
        </w:tc>
        <w:tc>
          <w:tcPr>
            <w:tcW w:w="8025" w:type="dxa"/>
            <w:shd w:val="clear" w:color="auto" w:fill="auto"/>
          </w:tcPr>
          <w:p w:rsidR="0010628F" w:rsidRPr="001800B7" w:rsidRDefault="0010628F" w:rsidP="004F4733">
            <w:pPr>
              <w:spacing w:before="100" w:after="100"/>
              <w:rPr>
                <w:szCs w:val="22"/>
              </w:rPr>
            </w:pPr>
            <w:r w:rsidRPr="001800B7">
              <w:rPr>
                <w:szCs w:val="22"/>
              </w:rPr>
              <w:lastRenderedPageBreak/>
              <w:t>Sensibilisation accrue des États membres et renforcement des capacités qu</w:t>
            </w:r>
            <w:r w:rsidR="005311D6" w:rsidRPr="001800B7">
              <w:rPr>
                <w:szCs w:val="22"/>
              </w:rPr>
              <w:t>’</w:t>
            </w:r>
            <w:r w:rsidRPr="001800B7">
              <w:rPr>
                <w:szCs w:val="22"/>
              </w:rPr>
              <w:t>ils ont d</w:t>
            </w:r>
            <w:r w:rsidR="005311D6" w:rsidRPr="001800B7">
              <w:rPr>
                <w:szCs w:val="22"/>
              </w:rPr>
              <w:t>’</w:t>
            </w:r>
            <w:r w:rsidRPr="001800B7">
              <w:rPr>
                <w:szCs w:val="22"/>
              </w:rPr>
              <w:t>utiliser les éléments de flexibilité dans le système de propriété intellectuelle.</w:t>
            </w:r>
          </w:p>
          <w:p w:rsidR="0010628F" w:rsidRPr="001800B7" w:rsidRDefault="0010628F" w:rsidP="004F4733">
            <w:pPr>
              <w:spacing w:before="100" w:after="100"/>
              <w:rPr>
                <w:szCs w:val="22"/>
              </w:rPr>
            </w:pPr>
            <w:r w:rsidRPr="001800B7">
              <w:rPr>
                <w:szCs w:val="22"/>
              </w:rPr>
              <w:t>Les États membres en quête d</w:t>
            </w:r>
            <w:r w:rsidR="005311D6" w:rsidRPr="001800B7">
              <w:rPr>
                <w:szCs w:val="22"/>
              </w:rPr>
              <w:t>’</w:t>
            </w:r>
            <w:r w:rsidRPr="001800B7">
              <w:rPr>
                <w:szCs w:val="22"/>
              </w:rPr>
              <w:t>avis sur la législation existante ou sur les projets de loi reçoivent des informations sur l</w:t>
            </w:r>
            <w:r w:rsidR="005311D6" w:rsidRPr="001800B7">
              <w:rPr>
                <w:szCs w:val="22"/>
              </w:rPr>
              <w:t>’</w:t>
            </w:r>
            <w:r w:rsidRPr="001800B7">
              <w:rPr>
                <w:szCs w:val="22"/>
              </w:rPr>
              <w:t>éventail tout entier d</w:t>
            </w:r>
            <w:r w:rsidR="005311D6" w:rsidRPr="001800B7">
              <w:rPr>
                <w:szCs w:val="22"/>
              </w:rPr>
              <w:t>’</w:t>
            </w:r>
            <w:r w:rsidRPr="001800B7">
              <w:rPr>
                <w:szCs w:val="22"/>
              </w:rPr>
              <w:t>options législatives et de politique pour mettre en œuvre les éléments de flexibilité fournis par le système de propriété intellectuelle en fonction des priorités et des capacités nationales.</w:t>
            </w:r>
          </w:p>
          <w:p w:rsidR="0010628F" w:rsidRPr="001800B7" w:rsidRDefault="0010628F" w:rsidP="004F4733">
            <w:pPr>
              <w:spacing w:before="100" w:after="100"/>
              <w:rPr>
                <w:szCs w:val="22"/>
              </w:rPr>
            </w:pPr>
            <w:r w:rsidRPr="001800B7">
              <w:rPr>
                <w:szCs w:val="22"/>
              </w:rPr>
              <w:t>Les différentes activités de l</w:t>
            </w:r>
            <w:r w:rsidR="005311D6" w:rsidRPr="001800B7">
              <w:rPr>
                <w:szCs w:val="22"/>
              </w:rPr>
              <w:t>’</w:t>
            </w:r>
            <w:r w:rsidRPr="001800B7">
              <w:rPr>
                <w:szCs w:val="22"/>
              </w:rPr>
              <w:t>OMPI dont l</w:t>
            </w:r>
            <w:r w:rsidR="005311D6" w:rsidRPr="001800B7">
              <w:rPr>
                <w:szCs w:val="22"/>
              </w:rPr>
              <w:t>’</w:t>
            </w:r>
            <w:r w:rsidRPr="001800B7">
              <w:rPr>
                <w:szCs w:val="22"/>
              </w:rPr>
              <w:t>objet est d</w:t>
            </w:r>
            <w:r w:rsidR="005311D6" w:rsidRPr="001800B7">
              <w:rPr>
                <w:szCs w:val="22"/>
              </w:rPr>
              <w:t>’</w:t>
            </w:r>
            <w:r w:rsidRPr="001800B7">
              <w:rPr>
                <w:szCs w:val="22"/>
              </w:rPr>
              <w:t>aider les États membres à formuler des stratégies nationales d</w:t>
            </w:r>
            <w:r w:rsidR="005311D6" w:rsidRPr="001800B7">
              <w:rPr>
                <w:szCs w:val="22"/>
              </w:rPr>
              <w:t>’</w:t>
            </w:r>
            <w:r w:rsidRPr="001800B7">
              <w:rPr>
                <w:szCs w:val="22"/>
              </w:rPr>
              <w:t>innovation et de propriété intellectuelle sont coordonnées d</w:t>
            </w:r>
            <w:r w:rsidR="005311D6" w:rsidRPr="001800B7">
              <w:rPr>
                <w:szCs w:val="22"/>
              </w:rPr>
              <w:t>’</w:t>
            </w:r>
            <w:r w:rsidRPr="001800B7">
              <w:rPr>
                <w:szCs w:val="22"/>
              </w:rPr>
              <w:t>un bout à l</w:t>
            </w:r>
            <w:r w:rsidR="005311D6" w:rsidRPr="001800B7">
              <w:rPr>
                <w:szCs w:val="22"/>
              </w:rPr>
              <w:t>’</w:t>
            </w:r>
            <w:r w:rsidRPr="001800B7">
              <w:rPr>
                <w:szCs w:val="22"/>
              </w:rPr>
              <w:t>autre de l</w:t>
            </w:r>
            <w:r w:rsidR="005311D6" w:rsidRPr="001800B7">
              <w:rPr>
                <w:szCs w:val="22"/>
              </w:rPr>
              <w:t>’</w:t>
            </w:r>
            <w:r w:rsidRPr="001800B7">
              <w:rPr>
                <w:szCs w:val="22"/>
              </w:rPr>
              <w:t>Organisation, comportant des éléments conçus pour s</w:t>
            </w:r>
            <w:r w:rsidR="005311D6" w:rsidRPr="001800B7">
              <w:rPr>
                <w:szCs w:val="22"/>
              </w:rPr>
              <w:t>’</w:t>
            </w:r>
            <w:r w:rsidRPr="001800B7">
              <w:rPr>
                <w:szCs w:val="22"/>
              </w:rPr>
              <w:t>assurer que les pays puissent prendre en compte les éléments de flexibilité dans la formulation de stratégies nationales de propriété intellectuelle destinées à promouvoir le développement.</w:t>
            </w:r>
          </w:p>
          <w:p w:rsidR="0010628F" w:rsidRPr="001800B7" w:rsidRDefault="0010628F" w:rsidP="004F4733">
            <w:pPr>
              <w:spacing w:before="100" w:after="240"/>
              <w:rPr>
                <w:szCs w:val="22"/>
              </w:rPr>
            </w:pPr>
            <w:r w:rsidRPr="001800B7">
              <w:rPr>
                <w:szCs w:val="22"/>
              </w:rPr>
              <w:t>Page Web actualisée qui fournit des ressources sur les travaux relatifs aux éléments de flexibilité en cours à l</w:t>
            </w:r>
            <w:r w:rsidR="005311D6" w:rsidRPr="001800B7">
              <w:rPr>
                <w:szCs w:val="22"/>
              </w:rPr>
              <w:t>’</w:t>
            </w:r>
            <w:r w:rsidRPr="001800B7">
              <w:rPr>
                <w:szCs w:val="22"/>
              </w:rPr>
              <w:t>OMPI et ressources connexes d</w:t>
            </w:r>
            <w:r w:rsidR="005311D6" w:rsidRPr="001800B7">
              <w:rPr>
                <w:szCs w:val="22"/>
              </w:rPr>
              <w:t>’</w:t>
            </w:r>
            <w:r w:rsidRPr="001800B7">
              <w:rPr>
                <w:szCs w:val="22"/>
              </w:rPr>
              <w:t>autres organisations internationales intergouvernementales.</w:t>
            </w:r>
          </w:p>
          <w:p w:rsidR="0010628F" w:rsidRPr="001800B7" w:rsidRDefault="0010628F" w:rsidP="004F4733">
            <w:pPr>
              <w:spacing w:before="80" w:after="80"/>
              <w:rPr>
                <w:szCs w:val="22"/>
              </w:rPr>
            </w:pPr>
            <w:r w:rsidRPr="001800B7">
              <w:rPr>
                <w:szCs w:val="22"/>
              </w:rPr>
              <w:t xml:space="preserve">Le document concernant les éléments de flexibilité relatifs aux brevets dans le </w:t>
            </w:r>
            <w:r w:rsidRPr="001800B7">
              <w:rPr>
                <w:szCs w:val="22"/>
              </w:rPr>
              <w:lastRenderedPageBreak/>
              <w:t xml:space="preserve">cadre juridique multilatéral et leur mise en œuvre législative aux niveaux national et régional – Partie II a été débattu lors de la septième session du CDIP.  Les observations CDIP/7/3 </w:t>
            </w:r>
            <w:proofErr w:type="spellStart"/>
            <w:r w:rsidRPr="001800B7">
              <w:rPr>
                <w:szCs w:val="22"/>
              </w:rPr>
              <w:t>Add</w:t>
            </w:r>
            <w:proofErr w:type="spellEnd"/>
            <w:r w:rsidRPr="001800B7">
              <w:rPr>
                <w:szCs w:val="22"/>
              </w:rPr>
              <w:t>) formulées par les délégations sont rapportées dans un document séparé (CDIP/7/3 </w:t>
            </w:r>
            <w:proofErr w:type="spellStart"/>
            <w:r w:rsidRPr="001800B7">
              <w:rPr>
                <w:szCs w:val="22"/>
              </w:rPr>
              <w:t>Add</w:t>
            </w:r>
            <w:proofErr w:type="spellEnd"/>
            <w:r w:rsidRPr="001800B7">
              <w:rPr>
                <w:szCs w:val="22"/>
              </w:rPr>
              <w:t>).</w:t>
            </w:r>
          </w:p>
          <w:p w:rsidR="0010628F" w:rsidRPr="001800B7" w:rsidRDefault="0010628F" w:rsidP="004F4733">
            <w:pPr>
              <w:spacing w:before="80" w:after="80"/>
              <w:rPr>
                <w:szCs w:val="22"/>
              </w:rPr>
            </w:pPr>
            <w:r w:rsidRPr="001800B7">
              <w:rPr>
                <w:szCs w:val="22"/>
              </w:rPr>
              <w:t>Durant la neuvième session du CDIP, les délégués ont examiné plusieurs thèmes à analyser dans un futur document sur les éléments de flexibilité relatifs aux brevets.  À cet égard, les États membres ont été invités à soumettre leurs observations sur quatre nouveaux thèmes (C.N. 3345 du 18 juillet 2012).  Le Secrétariat a réalisé une synthèse de ces observations, qu</w:t>
            </w:r>
            <w:r w:rsidR="005311D6" w:rsidRPr="001800B7">
              <w:rPr>
                <w:szCs w:val="22"/>
              </w:rPr>
              <w:t>’</w:t>
            </w:r>
            <w:r w:rsidRPr="001800B7">
              <w:rPr>
                <w:szCs w:val="22"/>
              </w:rPr>
              <w:t>elle a complétée d</w:t>
            </w:r>
            <w:r w:rsidR="005311D6" w:rsidRPr="001800B7">
              <w:rPr>
                <w:szCs w:val="22"/>
              </w:rPr>
              <w:t>’</w:t>
            </w:r>
            <w:r w:rsidRPr="001800B7">
              <w:rPr>
                <w:szCs w:val="22"/>
              </w:rPr>
              <w:t>informations pour élaborer un document qui servira de base aux discussions sur les travaux futurs à la dixième session.</w:t>
            </w:r>
          </w:p>
          <w:p w:rsidR="0010628F" w:rsidRPr="001800B7" w:rsidRDefault="0010628F" w:rsidP="004F4733">
            <w:pPr>
              <w:spacing w:before="80" w:after="80"/>
              <w:rPr>
                <w:szCs w:val="22"/>
              </w:rPr>
            </w:pPr>
            <w:r w:rsidRPr="001800B7">
              <w:rPr>
                <w:szCs w:val="22"/>
              </w:rPr>
              <w:t>Durant la onzième session du CDIP, le comité a poursuivi l</w:t>
            </w:r>
            <w:r w:rsidR="005311D6" w:rsidRPr="001800B7">
              <w:rPr>
                <w:szCs w:val="22"/>
              </w:rPr>
              <w:t>’</w:t>
            </w:r>
            <w:r w:rsidRPr="001800B7">
              <w:rPr>
                <w:szCs w:val="22"/>
              </w:rPr>
              <w:t>examen des travaux futurs sur les éléments de flexibilité relatifs aux brevets dans le cadre juridique multilatéral (CDIP/10/11 et CDIP/10/11 </w:t>
            </w:r>
            <w:proofErr w:type="spellStart"/>
            <w:r w:rsidRPr="001800B7">
              <w:rPr>
                <w:szCs w:val="22"/>
              </w:rPr>
              <w:t>Add</w:t>
            </w:r>
            <w:proofErr w:type="spellEnd"/>
            <w:r w:rsidRPr="001800B7">
              <w:rPr>
                <w:szCs w:val="22"/>
              </w:rPr>
              <w:t>.).</w:t>
            </w:r>
          </w:p>
          <w:p w:rsidR="0010628F" w:rsidRPr="001800B7" w:rsidRDefault="0010628F" w:rsidP="004F4733">
            <w:pPr>
              <w:spacing w:before="80" w:after="80"/>
              <w:rPr>
                <w:szCs w:val="22"/>
              </w:rPr>
            </w:pPr>
            <w:r w:rsidRPr="001800B7">
              <w:rPr>
                <w:szCs w:val="22"/>
              </w:rPr>
              <w:t>Lors de sa treizième session, le Comité a examiné le document (CDIP/13/10) et notamment les éléments de flexibilité suivants :</w:t>
            </w:r>
          </w:p>
          <w:p w:rsidR="0010628F" w:rsidRPr="001800B7" w:rsidRDefault="0010628F" w:rsidP="004F4733">
            <w:pPr>
              <w:spacing w:before="80" w:after="80"/>
              <w:rPr>
                <w:szCs w:val="22"/>
              </w:rPr>
            </w:pPr>
            <w:r w:rsidRPr="001800B7">
              <w:rPr>
                <w:szCs w:val="22"/>
              </w:rPr>
              <w:t>i)</w:t>
            </w:r>
            <w:r w:rsidRPr="001800B7">
              <w:rPr>
                <w:szCs w:val="22"/>
              </w:rPr>
              <w:tab/>
              <w:t>la portée de l</w:t>
            </w:r>
            <w:r w:rsidR="005311D6" w:rsidRPr="001800B7">
              <w:rPr>
                <w:szCs w:val="22"/>
              </w:rPr>
              <w:t>’</w:t>
            </w:r>
            <w:r w:rsidRPr="001800B7">
              <w:rPr>
                <w:szCs w:val="22"/>
              </w:rPr>
              <w:t>exclusion des végétaux de la brevetabilité (article 27 de l</w:t>
            </w:r>
            <w:r w:rsidR="005311D6" w:rsidRPr="001800B7">
              <w:rPr>
                <w:szCs w:val="22"/>
              </w:rPr>
              <w:t>’</w:t>
            </w:r>
            <w:r w:rsidRPr="001800B7">
              <w:rPr>
                <w:szCs w:val="22"/>
              </w:rPr>
              <w:t>Accord sur les ADPIC);  et</w:t>
            </w:r>
          </w:p>
          <w:p w:rsidR="0010628F" w:rsidRPr="001800B7" w:rsidRDefault="0010628F" w:rsidP="004F4733">
            <w:pPr>
              <w:spacing w:before="80" w:after="80"/>
              <w:rPr>
                <w:szCs w:val="22"/>
              </w:rPr>
            </w:pPr>
            <w:r w:rsidRPr="001800B7">
              <w:rPr>
                <w:szCs w:val="22"/>
              </w:rPr>
              <w:t>ii)</w:t>
            </w:r>
            <w:r w:rsidRPr="001800B7">
              <w:rPr>
                <w:szCs w:val="22"/>
              </w:rPr>
              <w:tab/>
              <w:t>les éléments de flexibilité en rapport avec la brevetabilité, ou l</w:t>
            </w:r>
            <w:r w:rsidR="005311D6" w:rsidRPr="001800B7">
              <w:rPr>
                <w:szCs w:val="22"/>
              </w:rPr>
              <w:t>’</w:t>
            </w:r>
            <w:r w:rsidRPr="001800B7">
              <w:rPr>
                <w:szCs w:val="22"/>
              </w:rPr>
              <w:t>exclusion de la brevetabilité, des inventions relatives à des logiciels (article 27 de l</w:t>
            </w:r>
            <w:r w:rsidR="005311D6" w:rsidRPr="001800B7">
              <w:rPr>
                <w:szCs w:val="22"/>
              </w:rPr>
              <w:t>’</w:t>
            </w:r>
            <w:r w:rsidRPr="001800B7">
              <w:rPr>
                <w:szCs w:val="22"/>
              </w:rPr>
              <w:t>Accord sur les ADPIC).</w:t>
            </w:r>
          </w:p>
          <w:p w:rsidR="0010628F" w:rsidRPr="001800B7" w:rsidRDefault="0010628F" w:rsidP="004F4733">
            <w:pPr>
              <w:autoSpaceDE w:val="0"/>
              <w:spacing w:before="80" w:after="8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activités relatives aux éléments de flexibilité dans les activités d</w:t>
            </w:r>
            <w:r w:rsidR="005311D6" w:rsidRPr="001800B7">
              <w:rPr>
                <w:szCs w:val="22"/>
              </w:rPr>
              <w:t>’</w:t>
            </w:r>
            <w:r w:rsidRPr="001800B7">
              <w:rPr>
                <w:szCs w:val="22"/>
              </w:rPr>
              <w:t>assistance technique et d</w:t>
            </w:r>
            <w:r w:rsidR="005311D6" w:rsidRPr="001800B7">
              <w:rPr>
                <w:szCs w:val="22"/>
              </w:rPr>
              <w:t>’</w:t>
            </w:r>
            <w:r w:rsidRPr="001800B7">
              <w:rPr>
                <w:szCs w:val="22"/>
              </w:rPr>
              <w:t>établissement de normes de l</w:t>
            </w:r>
            <w:r w:rsidR="005311D6" w:rsidRPr="001800B7">
              <w:rPr>
                <w:szCs w:val="22"/>
              </w:rPr>
              <w:t>’</w:t>
            </w:r>
            <w:r w:rsidRPr="001800B7">
              <w:rPr>
                <w:szCs w:val="22"/>
              </w:rPr>
              <w:t>OMPI de se référer à la page Web de l</w:t>
            </w:r>
            <w:r w:rsidR="005311D6" w:rsidRPr="001800B7">
              <w:rPr>
                <w:szCs w:val="22"/>
              </w:rPr>
              <w:t>’</w:t>
            </w:r>
            <w:r w:rsidRPr="001800B7">
              <w:rPr>
                <w:szCs w:val="22"/>
              </w:rPr>
              <w:t>OMPI sur les éléments de flexibilité dans le système de propriété intellectuelle (http://www.wipo.int/</w:t>
            </w:r>
            <w:proofErr w:type="spellStart"/>
            <w:r w:rsidRPr="001800B7">
              <w:rPr>
                <w:szCs w:val="22"/>
              </w:rPr>
              <w:t>ip</w:t>
            </w:r>
            <w:r w:rsidR="001800B7" w:rsidRPr="001800B7">
              <w:rPr>
                <w:szCs w:val="22"/>
              </w:rPr>
              <w:noBreakHyphen/>
            </w:r>
            <w:r w:rsidRPr="001800B7">
              <w:rPr>
                <w:szCs w:val="22"/>
              </w:rPr>
              <w:t>development</w:t>
            </w:r>
            <w:proofErr w:type="spellEnd"/>
            <w:r w:rsidRPr="001800B7">
              <w:rPr>
                <w:szCs w:val="22"/>
              </w:rPr>
              <w:t>/</w:t>
            </w:r>
            <w:proofErr w:type="spellStart"/>
            <w:r w:rsidRPr="001800B7">
              <w:rPr>
                <w:szCs w:val="22"/>
              </w:rPr>
              <w:t>fr</w:t>
            </w:r>
            <w:proofErr w:type="spellEnd"/>
            <w:r w:rsidRPr="001800B7">
              <w:rPr>
                <w:szCs w:val="22"/>
              </w:rPr>
              <w:t>/agenda/</w:t>
            </w:r>
            <w:proofErr w:type="spellStart"/>
            <w:r w:rsidRPr="001800B7">
              <w:rPr>
                <w:szCs w:val="22"/>
              </w:rPr>
              <w:t>flexibilities</w:t>
            </w:r>
            <w:proofErr w:type="spellEnd"/>
            <w:r w:rsidRPr="001800B7">
              <w:rPr>
                <w:szCs w:val="22"/>
              </w:rPr>
              <w:t>/) et au document CDIP/9/11, ainsi qu</w:t>
            </w:r>
            <w:r w:rsidR="005311D6" w:rsidRPr="001800B7">
              <w:rPr>
                <w:szCs w:val="22"/>
              </w:rPr>
              <w:t>’</w:t>
            </w:r>
            <w:r w:rsidRPr="001800B7">
              <w:rPr>
                <w:szCs w:val="22"/>
              </w:rPr>
              <w:t>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 xml:space="preserve">2013 (document WO/PBC/22/8), en particulier les programmes 1, 2, 3, 4, 8, 9 et 10.  </w:t>
            </w:r>
          </w:p>
        </w:tc>
      </w:tr>
    </w:tbl>
    <w:p w:rsidR="004F4733" w:rsidRPr="001800B7" w:rsidRDefault="004F4733" w:rsidP="004F4733">
      <w:pPr>
        <w:rPr>
          <w:szCs w:val="22"/>
        </w:rPr>
      </w:pPr>
      <w:r w:rsidRPr="001800B7">
        <w:rPr>
          <w:i/>
          <w:szCs w:val="22"/>
        </w:rPr>
        <w:lastRenderedPageBreak/>
        <w:br w:type="page"/>
      </w:r>
      <w:r w:rsidR="0010628F" w:rsidRPr="001800B7">
        <w:rPr>
          <w:i/>
          <w:szCs w:val="22"/>
        </w:rPr>
        <w:lastRenderedPageBreak/>
        <w:t>Recommandation n° 15</w:t>
      </w:r>
      <w:r w:rsidR="0010628F" w:rsidRPr="001800B7">
        <w:rPr>
          <w:szCs w:val="22"/>
        </w:rPr>
        <w:t> : Les activités d</w:t>
      </w:r>
      <w:r w:rsidR="005311D6" w:rsidRPr="001800B7">
        <w:rPr>
          <w:szCs w:val="22"/>
        </w:rPr>
        <w:t>’</w:t>
      </w:r>
      <w:r w:rsidR="0010628F" w:rsidRPr="001800B7">
        <w:rPr>
          <w:szCs w:val="22"/>
        </w:rPr>
        <w:t>établissement de normes doivent :</w:t>
      </w:r>
    </w:p>
    <w:p w:rsidR="004F4733" w:rsidRPr="001800B7" w:rsidRDefault="004F4733" w:rsidP="004F4733">
      <w:pPr>
        <w:rPr>
          <w:szCs w:val="22"/>
        </w:rPr>
      </w:pPr>
    </w:p>
    <w:p w:rsidR="004F4733" w:rsidRPr="001800B7" w:rsidRDefault="0010628F" w:rsidP="004F4733">
      <w:pPr>
        <w:numPr>
          <w:ilvl w:val="0"/>
          <w:numId w:val="38"/>
        </w:numPr>
        <w:ind w:left="567" w:firstLine="0"/>
        <w:rPr>
          <w:szCs w:val="22"/>
        </w:rPr>
      </w:pPr>
      <w:r w:rsidRPr="001800B7">
        <w:rPr>
          <w:szCs w:val="22"/>
        </w:rPr>
        <w:t>être exhaustives et réalisées à l</w:t>
      </w:r>
      <w:r w:rsidR="005311D6" w:rsidRPr="001800B7">
        <w:rPr>
          <w:szCs w:val="22"/>
        </w:rPr>
        <w:t>’</w:t>
      </w:r>
      <w:r w:rsidRPr="001800B7">
        <w:rPr>
          <w:szCs w:val="22"/>
        </w:rPr>
        <w:t>initiative des membres;</w:t>
      </w:r>
    </w:p>
    <w:p w:rsidR="004F4733" w:rsidRPr="001800B7" w:rsidRDefault="004F4733" w:rsidP="004F4733">
      <w:pPr>
        <w:ind w:left="567"/>
        <w:rPr>
          <w:szCs w:val="22"/>
        </w:rPr>
      </w:pPr>
    </w:p>
    <w:p w:rsidR="004F4733" w:rsidRPr="001800B7" w:rsidRDefault="0010628F" w:rsidP="004F4733">
      <w:pPr>
        <w:numPr>
          <w:ilvl w:val="0"/>
          <w:numId w:val="38"/>
        </w:numPr>
        <w:ind w:left="567" w:firstLine="0"/>
        <w:rPr>
          <w:szCs w:val="22"/>
        </w:rPr>
      </w:pPr>
      <w:r w:rsidRPr="001800B7">
        <w:rPr>
          <w:szCs w:val="22"/>
        </w:rPr>
        <w:t>prendre en considération les différents niveaux de développement;</w:t>
      </w:r>
    </w:p>
    <w:p w:rsidR="004F4733" w:rsidRPr="001800B7" w:rsidRDefault="004F4733" w:rsidP="004F4733">
      <w:pPr>
        <w:ind w:left="567"/>
        <w:rPr>
          <w:szCs w:val="22"/>
        </w:rPr>
      </w:pPr>
    </w:p>
    <w:p w:rsidR="004F4733" w:rsidRPr="001800B7" w:rsidRDefault="0010628F" w:rsidP="004F4733">
      <w:pPr>
        <w:numPr>
          <w:ilvl w:val="0"/>
          <w:numId w:val="38"/>
        </w:numPr>
        <w:ind w:left="567" w:firstLine="0"/>
        <w:rPr>
          <w:szCs w:val="22"/>
        </w:rPr>
      </w:pPr>
      <w:r w:rsidRPr="001800B7">
        <w:rPr>
          <w:szCs w:val="22"/>
        </w:rPr>
        <w:t>établir un équilibre entre les coûts et les avantages;  et</w:t>
      </w:r>
    </w:p>
    <w:p w:rsidR="004F4733" w:rsidRPr="001800B7" w:rsidRDefault="004F4733" w:rsidP="004F4733">
      <w:pPr>
        <w:ind w:left="567"/>
        <w:rPr>
          <w:szCs w:val="22"/>
        </w:rPr>
      </w:pPr>
    </w:p>
    <w:p w:rsidR="004F4733" w:rsidRPr="001800B7" w:rsidRDefault="0010628F" w:rsidP="004F4733">
      <w:pPr>
        <w:numPr>
          <w:ilvl w:val="0"/>
          <w:numId w:val="38"/>
        </w:numPr>
        <w:ind w:left="567" w:firstLine="0"/>
        <w:rPr>
          <w:szCs w:val="22"/>
        </w:rPr>
      </w:pPr>
      <w:r w:rsidRPr="001800B7">
        <w:rPr>
          <w:szCs w:val="22"/>
        </w:rPr>
        <w:t>constituer un processus participatif, qui prenne en considération les intérêts et priorités de l</w:t>
      </w:r>
      <w:r w:rsidR="005311D6" w:rsidRPr="001800B7">
        <w:rPr>
          <w:szCs w:val="22"/>
        </w:rPr>
        <w:t>’</w:t>
      </w:r>
      <w:r w:rsidRPr="001800B7">
        <w:rPr>
          <w:szCs w:val="22"/>
        </w:rPr>
        <w:t>ensemble des États membres de l</w:t>
      </w:r>
      <w:r w:rsidR="005311D6" w:rsidRPr="001800B7">
        <w:rPr>
          <w:szCs w:val="22"/>
        </w:rPr>
        <w:t>’</w:t>
      </w:r>
      <w:r w:rsidRPr="001800B7">
        <w:rPr>
          <w:szCs w:val="22"/>
        </w:rPr>
        <w:t>OMPI ainsi que les points de vue d</w:t>
      </w:r>
      <w:r w:rsidR="005311D6" w:rsidRPr="001800B7">
        <w:rPr>
          <w:szCs w:val="22"/>
        </w:rPr>
        <w:t>’</w:t>
      </w:r>
      <w:r w:rsidRPr="001800B7">
        <w:rPr>
          <w:szCs w:val="22"/>
        </w:rPr>
        <w:t>autres parties prenantes, notamment des organisations intergouvernementales et non gouvernementales accréditées;  et être conformes au principe de neutralité du Secrétariat de l</w:t>
      </w:r>
      <w:r w:rsidR="005311D6" w:rsidRPr="001800B7">
        <w:rPr>
          <w:szCs w:val="22"/>
        </w:rPr>
        <w:t>’</w:t>
      </w:r>
      <w:r w:rsidRPr="001800B7">
        <w:rPr>
          <w:szCs w:val="22"/>
        </w:rPr>
        <w:t>OMPI.</w:t>
      </w:r>
    </w:p>
    <w:p w:rsidR="004F4733" w:rsidRPr="001800B7" w:rsidRDefault="004F4733" w:rsidP="004F4733">
      <w:pPr>
        <w:rPr>
          <w:szCs w:val="22"/>
        </w:rPr>
      </w:pPr>
    </w:p>
    <w:p w:rsidR="004F4733" w:rsidRPr="001800B7" w:rsidRDefault="0010628F" w:rsidP="004F4733">
      <w:pPr>
        <w:rPr>
          <w:szCs w:val="22"/>
        </w:rPr>
      </w:pPr>
      <w:r w:rsidRPr="001800B7">
        <w:rPr>
          <w:i/>
          <w:szCs w:val="22"/>
        </w:rPr>
        <w:t>Recommandation n° 21</w:t>
      </w:r>
      <w:r w:rsidRPr="001800B7">
        <w:rPr>
          <w:szCs w:val="22"/>
        </w:rPr>
        <w:t> : L</w:t>
      </w:r>
      <w:r w:rsidR="005311D6" w:rsidRPr="001800B7">
        <w:rPr>
          <w:szCs w:val="22"/>
        </w:rPr>
        <w:t>’</w:t>
      </w:r>
      <w:r w:rsidRPr="001800B7">
        <w:rPr>
          <w:szCs w:val="22"/>
        </w:rPr>
        <w:t>OMPI mènera des consultations informelles, ouvertes et équilibrées, selon que de besoin, avant d</w:t>
      </w:r>
      <w:r w:rsidR="005311D6" w:rsidRPr="001800B7">
        <w:rPr>
          <w:szCs w:val="22"/>
        </w:rPr>
        <w:t>’</w:t>
      </w:r>
      <w:r w:rsidRPr="001800B7">
        <w:rPr>
          <w:szCs w:val="22"/>
        </w:rPr>
        <w:t>entreprendre toute nouvelle activité d</w:t>
      </w:r>
      <w:r w:rsidR="005311D6" w:rsidRPr="001800B7">
        <w:rPr>
          <w:szCs w:val="22"/>
        </w:rPr>
        <w:t>’</w:t>
      </w:r>
      <w:r w:rsidRPr="001800B7">
        <w:rPr>
          <w:szCs w:val="22"/>
        </w:rPr>
        <w:t>établissement de normes, dans le cadre d</w:t>
      </w:r>
      <w:r w:rsidR="005311D6" w:rsidRPr="001800B7">
        <w:rPr>
          <w:szCs w:val="22"/>
        </w:rPr>
        <w:t>’</w:t>
      </w:r>
      <w:r w:rsidRPr="001800B7">
        <w:rPr>
          <w:szCs w:val="22"/>
        </w:rPr>
        <w:t>un processus placé sous le contrôle des membres, en favorisant la participation d</w:t>
      </w:r>
      <w:r w:rsidR="005311D6" w:rsidRPr="001800B7">
        <w:rPr>
          <w:szCs w:val="22"/>
        </w:rPr>
        <w:t>’</w:t>
      </w:r>
      <w:r w:rsidRPr="001800B7">
        <w:rPr>
          <w:szCs w:val="22"/>
        </w:rPr>
        <w:t>experts des États membres, et notamment des pays en développement et des PMA.</w:t>
      </w:r>
    </w:p>
    <w:p w:rsidR="004F4733" w:rsidRPr="001800B7" w:rsidRDefault="004F4733" w:rsidP="004F4733">
      <w:pPr>
        <w:rPr>
          <w:szCs w:val="22"/>
        </w:rPr>
      </w:pPr>
    </w:p>
    <w:p w:rsidR="0010628F" w:rsidRPr="001800B7" w:rsidRDefault="0010628F" w:rsidP="004F4733">
      <w:pPr>
        <w:rPr>
          <w:szCs w:val="22"/>
        </w:rPr>
      </w:pPr>
      <w:r w:rsidRPr="001800B7">
        <w:rPr>
          <w:i/>
          <w:szCs w:val="22"/>
        </w:rPr>
        <w:t>Recommandation n° 44</w:t>
      </w:r>
      <w:r w:rsidRPr="001800B7">
        <w:rPr>
          <w:szCs w:val="22"/>
        </w:rPr>
        <w:t> : Compte tenu de la nature de l</w:t>
      </w:r>
      <w:r w:rsidR="005311D6" w:rsidRPr="001800B7">
        <w:rPr>
          <w:szCs w:val="22"/>
        </w:rPr>
        <w:t>’</w:t>
      </w:r>
      <w:r w:rsidRPr="001800B7">
        <w:rPr>
          <w:szCs w:val="22"/>
        </w:rPr>
        <w:t>OMPI, qui est une organisation contrôlée par ses membres en tant qu</w:t>
      </w:r>
      <w:r w:rsidR="005311D6" w:rsidRPr="001800B7">
        <w:rPr>
          <w:szCs w:val="22"/>
        </w:rPr>
        <w:t>’</w:t>
      </w:r>
      <w:r w:rsidRPr="001800B7">
        <w:rPr>
          <w:szCs w:val="22"/>
        </w:rPr>
        <w:t>institution spécialisée de l</w:t>
      </w:r>
      <w:r w:rsidR="005311D6" w:rsidRPr="001800B7">
        <w:rPr>
          <w:szCs w:val="22"/>
        </w:rPr>
        <w:t>’</w:t>
      </w:r>
      <w:r w:rsidRPr="001800B7">
        <w:rPr>
          <w:szCs w:val="22"/>
        </w:rPr>
        <w:t xml:space="preserve">Organisation des </w:t>
      </w:r>
      <w:r w:rsidR="005311D6" w:rsidRPr="001800B7">
        <w:rPr>
          <w:szCs w:val="22"/>
        </w:rPr>
        <w:t>Nations Unies</w:t>
      </w:r>
      <w:r w:rsidRPr="001800B7">
        <w:rPr>
          <w:szCs w:val="22"/>
        </w:rPr>
        <w:t>, les réunions ou les consultations formelles et informelles relatives aux activités d</w:t>
      </w:r>
      <w:r w:rsidR="005311D6" w:rsidRPr="001800B7">
        <w:rPr>
          <w:szCs w:val="22"/>
        </w:rPr>
        <w:t>’</w:t>
      </w:r>
      <w:r w:rsidRPr="001800B7">
        <w:rPr>
          <w:szCs w:val="22"/>
        </w:rPr>
        <w:t>établissement de normes dans l</w:t>
      </w:r>
      <w:r w:rsidR="005311D6" w:rsidRPr="001800B7">
        <w:rPr>
          <w:szCs w:val="22"/>
        </w:rPr>
        <w:t>’</w:t>
      </w:r>
      <w:r w:rsidRPr="001800B7">
        <w:rPr>
          <w:szCs w:val="22"/>
        </w:rPr>
        <w:t>Organisation, organisées par le Bureau international, à la demande des États membres, devraient se tenir principalement à Genève, d</w:t>
      </w:r>
      <w:r w:rsidR="005311D6" w:rsidRPr="001800B7">
        <w:rPr>
          <w:szCs w:val="22"/>
        </w:rPr>
        <w:t>’</w:t>
      </w:r>
      <w:r w:rsidRPr="001800B7">
        <w:rPr>
          <w:szCs w:val="22"/>
        </w:rPr>
        <w:t>une manière ouverte et transparente pour tous les membres.  Lorsque de telles réunions se tiendront hors de Genève, les États membres seront informés par les voies officielles, suffisamment tôt, et consultés sur le projet d</w:t>
      </w:r>
      <w:r w:rsidR="005311D6" w:rsidRPr="001800B7">
        <w:rPr>
          <w:szCs w:val="22"/>
        </w:rPr>
        <w:t>’</w:t>
      </w:r>
      <w:r w:rsidRPr="001800B7">
        <w:rPr>
          <w:szCs w:val="22"/>
        </w:rPr>
        <w:t>ordre du jour et de programme.</w:t>
      </w:r>
    </w:p>
    <w:p w:rsidR="0010628F" w:rsidRPr="001800B7" w:rsidRDefault="0010628F" w:rsidP="004F4733">
      <w:pPr>
        <w:rPr>
          <w:szCs w:val="22"/>
        </w:rPr>
      </w:pPr>
    </w:p>
    <w:tbl>
      <w:tblPr>
        <w:tblW w:w="1450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3"/>
        <w:gridCol w:w="8039"/>
      </w:tblGrid>
      <w:tr w:rsidR="001800B7" w:rsidRPr="001800B7" w:rsidTr="00E3752D">
        <w:tc>
          <w:tcPr>
            <w:tcW w:w="6463" w:type="dxa"/>
            <w:shd w:val="clear" w:color="auto" w:fill="auto"/>
          </w:tcPr>
          <w:p w:rsidR="0010628F" w:rsidRPr="001800B7" w:rsidRDefault="0010628F" w:rsidP="00D92E88">
            <w:pPr>
              <w:autoSpaceDE w:val="0"/>
              <w:spacing w:before="120" w:after="120"/>
              <w:outlineLvl w:val="2"/>
              <w:rPr>
                <w:bCs/>
                <w:szCs w:val="22"/>
                <w:u w:val="single"/>
              </w:rPr>
            </w:pPr>
            <w:r w:rsidRPr="001800B7">
              <w:rPr>
                <w:bCs/>
                <w:szCs w:val="22"/>
                <w:u w:val="single"/>
              </w:rPr>
              <w:t>Stratégies de mise en œuvre</w:t>
            </w:r>
          </w:p>
        </w:tc>
        <w:tc>
          <w:tcPr>
            <w:tcW w:w="8039" w:type="dxa"/>
            <w:shd w:val="clear" w:color="auto" w:fill="auto"/>
          </w:tcPr>
          <w:p w:rsidR="0010628F" w:rsidRPr="001800B7" w:rsidRDefault="0010628F" w:rsidP="00D92E88">
            <w:pPr>
              <w:autoSpaceDE w:val="0"/>
              <w:spacing w:before="120" w:after="120"/>
              <w:outlineLvl w:val="2"/>
              <w:rPr>
                <w:szCs w:val="22"/>
              </w:rPr>
            </w:pPr>
            <w:r w:rsidRPr="001800B7">
              <w:rPr>
                <w:bCs/>
                <w:szCs w:val="22"/>
                <w:u w:val="single"/>
              </w:rPr>
              <w:t>Réalisations</w:t>
            </w:r>
          </w:p>
        </w:tc>
      </w:tr>
      <w:tr w:rsidR="001800B7" w:rsidRPr="001800B7" w:rsidTr="00E3752D">
        <w:tc>
          <w:tcPr>
            <w:tcW w:w="6463" w:type="dxa"/>
            <w:shd w:val="clear" w:color="auto" w:fill="auto"/>
          </w:tcPr>
          <w:p w:rsidR="00E3752D" w:rsidRPr="001800B7" w:rsidRDefault="00E3752D" w:rsidP="00D92E88">
            <w:pPr>
              <w:spacing w:before="120" w:after="120"/>
              <w:rPr>
                <w:bCs/>
                <w:szCs w:val="22"/>
                <w:u w:val="single"/>
              </w:rPr>
            </w:pPr>
            <w:r w:rsidRPr="001800B7">
              <w:rPr>
                <w:szCs w:val="22"/>
              </w:rPr>
              <w:t>Ces recommandations ont été mises en œuvre dans le cadre du Comité permanent du droit des brevets (SCP), du Comité permanent du droit d</w:t>
            </w:r>
            <w:r w:rsidR="005311D6" w:rsidRPr="001800B7">
              <w:rPr>
                <w:szCs w:val="22"/>
              </w:rPr>
              <w:t>’</w:t>
            </w:r>
            <w:r w:rsidRPr="001800B7">
              <w:rPr>
                <w:szCs w:val="22"/>
              </w:rPr>
              <w:t>auteur et des droits connexes (SCCR), du Comité intergouvernemental de la propriété intellectuelle relative aux ressources génétiques, aux savoirs traditionnels et au folklore (IGC) et du Comité permanent du droit des marques, des dessins et modèles industriels et des indications géographiques (SCT).</w:t>
            </w:r>
          </w:p>
          <w:p w:rsidR="00E3752D" w:rsidRPr="001800B7" w:rsidRDefault="00E3752D" w:rsidP="00D92E88">
            <w:pPr>
              <w:keepNext/>
              <w:spacing w:before="120" w:after="120"/>
              <w:rPr>
                <w:szCs w:val="22"/>
              </w:rPr>
            </w:pPr>
            <w:r w:rsidRPr="001800B7">
              <w:rPr>
                <w:szCs w:val="22"/>
              </w:rPr>
              <w:t>Pour ses activités d</w:t>
            </w:r>
            <w:r w:rsidR="005311D6" w:rsidRPr="001800B7">
              <w:rPr>
                <w:szCs w:val="22"/>
              </w:rPr>
              <w:t>’</w:t>
            </w:r>
            <w:r w:rsidRPr="001800B7">
              <w:rPr>
                <w:szCs w:val="22"/>
              </w:rPr>
              <w:t>établissement de normes, l</w:t>
            </w:r>
            <w:r w:rsidR="005311D6" w:rsidRPr="001800B7">
              <w:rPr>
                <w:szCs w:val="22"/>
              </w:rPr>
              <w:t>’</w:t>
            </w:r>
            <w:r w:rsidRPr="001800B7">
              <w:rPr>
                <w:szCs w:val="22"/>
              </w:rPr>
              <w:t>OMPI finance des personnes désignées par des pays en développement.</w:t>
            </w:r>
          </w:p>
          <w:p w:rsidR="00E3752D" w:rsidRPr="001800B7" w:rsidRDefault="00E3752D" w:rsidP="00D92E88">
            <w:pPr>
              <w:keepNext/>
              <w:spacing w:before="120" w:after="120"/>
              <w:rPr>
                <w:bCs/>
                <w:szCs w:val="22"/>
                <w:u w:val="single"/>
              </w:rPr>
            </w:pPr>
            <w:r w:rsidRPr="001800B7">
              <w:rPr>
                <w:szCs w:val="22"/>
              </w:rPr>
              <w:lastRenderedPageBreak/>
              <w:t>Les activités sont portées par les États membres qui assurent l</w:t>
            </w:r>
            <w:r w:rsidR="005311D6" w:rsidRPr="001800B7">
              <w:rPr>
                <w:szCs w:val="22"/>
              </w:rPr>
              <w:t>’</w:t>
            </w:r>
            <w:r w:rsidRPr="001800B7">
              <w:rPr>
                <w:szCs w:val="22"/>
              </w:rPr>
              <w:t>équilibre des processus entre les coûts et les avantages, lesquels processus sont participatifs et ouverts.</w:t>
            </w:r>
          </w:p>
        </w:tc>
        <w:tc>
          <w:tcPr>
            <w:tcW w:w="8039" w:type="dxa"/>
            <w:shd w:val="clear" w:color="auto" w:fill="auto"/>
          </w:tcPr>
          <w:p w:rsidR="00E3752D" w:rsidRPr="001800B7" w:rsidRDefault="00E3752D" w:rsidP="00D92E88">
            <w:pPr>
              <w:spacing w:before="120" w:after="120"/>
              <w:rPr>
                <w:szCs w:val="22"/>
              </w:rPr>
            </w:pPr>
            <w:r w:rsidRPr="001800B7">
              <w:rPr>
                <w:szCs w:val="22"/>
              </w:rPr>
              <w:lastRenderedPageBreak/>
              <w:t xml:space="preserve">Lors de </w:t>
            </w:r>
            <w:proofErr w:type="gramStart"/>
            <w:r w:rsidRPr="001800B7">
              <w:rPr>
                <w:szCs w:val="22"/>
              </w:rPr>
              <w:t>ses dix</w:t>
            </w:r>
            <w:r w:rsidR="001800B7" w:rsidRPr="001800B7">
              <w:rPr>
                <w:szCs w:val="22"/>
              </w:rPr>
              <w:noBreakHyphen/>
            </w:r>
            <w:r w:rsidRPr="001800B7">
              <w:rPr>
                <w:szCs w:val="22"/>
              </w:rPr>
              <w:t>neuvième et vingtième sessions tenues</w:t>
            </w:r>
            <w:proofErr w:type="gramEnd"/>
            <w:r w:rsidRPr="001800B7">
              <w:rPr>
                <w:szCs w:val="22"/>
              </w:rPr>
              <w:t xml:space="preserve"> en février 2013 et janvier 2014, respectivement, le SCP a poursuivi l</w:t>
            </w:r>
            <w:r w:rsidR="005311D6" w:rsidRPr="001800B7">
              <w:rPr>
                <w:szCs w:val="22"/>
              </w:rPr>
              <w:t>’</w:t>
            </w:r>
            <w:r w:rsidRPr="001800B7">
              <w:rPr>
                <w:szCs w:val="22"/>
              </w:rPr>
              <w:t>examen des questions suivantes :</w:t>
            </w:r>
          </w:p>
          <w:p w:rsidR="00E3752D" w:rsidRPr="001800B7" w:rsidRDefault="00E3752D" w:rsidP="00D92E88">
            <w:pPr>
              <w:spacing w:before="120" w:after="120"/>
              <w:rPr>
                <w:bCs/>
                <w:szCs w:val="22"/>
                <w:u w:val="single"/>
              </w:rPr>
            </w:pPr>
            <w:r w:rsidRPr="001800B7">
              <w:rPr>
                <w:szCs w:val="22"/>
              </w:rPr>
              <w:t>i)</w:t>
            </w:r>
            <w:r w:rsidRPr="001800B7">
              <w:rPr>
                <w:szCs w:val="22"/>
              </w:rPr>
              <w:tab/>
              <w:t xml:space="preserve">exceptions et limitations aux droits des brevets;  ii) qualité des brevets </w:t>
            </w:r>
            <w:r w:rsidR="005311D6" w:rsidRPr="001800B7">
              <w:rPr>
                <w:szCs w:val="22"/>
              </w:rPr>
              <w:t>y compris</w:t>
            </w:r>
            <w:r w:rsidRPr="001800B7">
              <w:rPr>
                <w:szCs w:val="22"/>
              </w:rPr>
              <w:t xml:space="preserve"> des systèmes d</w:t>
            </w:r>
            <w:r w:rsidR="005311D6" w:rsidRPr="001800B7">
              <w:rPr>
                <w:szCs w:val="22"/>
              </w:rPr>
              <w:t>’</w:t>
            </w:r>
            <w:r w:rsidRPr="001800B7">
              <w:rPr>
                <w:szCs w:val="22"/>
              </w:rPr>
              <w:t>opposition;  iii) brevets et santé;  iv) privilège du secret professionnel et v) transfert de technologies.</w:t>
            </w:r>
          </w:p>
          <w:p w:rsidR="00E3752D" w:rsidRPr="001800B7" w:rsidRDefault="00E3752D" w:rsidP="00D92E88">
            <w:pPr>
              <w:keepNext/>
              <w:spacing w:before="120" w:after="120"/>
              <w:rPr>
                <w:szCs w:val="22"/>
              </w:rPr>
            </w:pPr>
            <w:r w:rsidRPr="001800B7">
              <w:rPr>
                <w:szCs w:val="22"/>
              </w:rPr>
              <w:t>Le SCP a examiné les questions susmentionnées sur la base de plusieurs études établies par le Secrétariat ou commandées à des experts universitaires ainsi que sur celle de propositions soumises par quelques États membres.</w:t>
            </w:r>
          </w:p>
          <w:p w:rsidR="00E3752D" w:rsidRPr="001800B7" w:rsidRDefault="00E3752D" w:rsidP="00D92E88">
            <w:pPr>
              <w:keepNext/>
              <w:spacing w:before="120" w:after="120"/>
              <w:rPr>
                <w:szCs w:val="22"/>
              </w:rPr>
            </w:pPr>
            <w:r w:rsidRPr="001800B7">
              <w:rPr>
                <w:szCs w:val="22"/>
              </w:rPr>
              <w:t>Le Comité permanent du droit d</w:t>
            </w:r>
            <w:r w:rsidR="005311D6" w:rsidRPr="001800B7">
              <w:rPr>
                <w:szCs w:val="22"/>
              </w:rPr>
              <w:t>’</w:t>
            </w:r>
            <w:r w:rsidRPr="001800B7">
              <w:rPr>
                <w:szCs w:val="22"/>
              </w:rPr>
              <w:t xml:space="preserve">auteur et des droits connexes a tenu ses </w:t>
            </w:r>
            <w:r w:rsidRPr="001800B7">
              <w:rPr>
                <w:szCs w:val="22"/>
              </w:rPr>
              <w:lastRenderedPageBreak/>
              <w:t>vingt</w:t>
            </w:r>
            <w:r w:rsidR="001800B7" w:rsidRPr="001800B7">
              <w:rPr>
                <w:szCs w:val="22"/>
              </w:rPr>
              <w:noBreakHyphen/>
            </w:r>
            <w:r w:rsidRPr="001800B7">
              <w:rPr>
                <w:szCs w:val="22"/>
              </w:rPr>
              <w:t>sixième et vingt</w:t>
            </w:r>
            <w:r w:rsidR="001800B7" w:rsidRPr="001800B7">
              <w:rPr>
                <w:szCs w:val="22"/>
              </w:rPr>
              <w:noBreakHyphen/>
            </w:r>
            <w:r w:rsidRPr="001800B7">
              <w:rPr>
                <w:szCs w:val="22"/>
              </w:rPr>
              <w:t>septième sessions en décembre 2013 et en mai 2014, respectivement.  Ce comité a débattu des limitations et des exceptions concernant les institutions d</w:t>
            </w:r>
            <w:r w:rsidR="005311D6" w:rsidRPr="001800B7">
              <w:rPr>
                <w:szCs w:val="22"/>
              </w:rPr>
              <w:t>’</w:t>
            </w:r>
            <w:r w:rsidRPr="001800B7">
              <w:rPr>
                <w:szCs w:val="22"/>
              </w:rPr>
              <w:t>enseignement et de recherches, les bibliothèques et les archives ainsi que de la protection des organismes de radiodiffusion.  Un rapport sur les travaux du Comité a été présenté à l</w:t>
            </w:r>
            <w:r w:rsidR="005311D6" w:rsidRPr="001800B7">
              <w:rPr>
                <w:szCs w:val="22"/>
              </w:rPr>
              <w:t>’</w:t>
            </w:r>
            <w:r w:rsidRPr="001800B7">
              <w:rPr>
                <w:szCs w:val="22"/>
              </w:rPr>
              <w:t>Assemblée générale de l</w:t>
            </w:r>
            <w:r w:rsidR="005311D6" w:rsidRPr="001800B7">
              <w:rPr>
                <w:szCs w:val="22"/>
              </w:rPr>
              <w:t>’</w:t>
            </w:r>
            <w:r w:rsidRPr="001800B7">
              <w:rPr>
                <w:szCs w:val="22"/>
              </w:rPr>
              <w:t>OMPI (voir le document WO/GA/46/5).</w:t>
            </w:r>
          </w:p>
          <w:p w:rsidR="00E3752D" w:rsidRPr="001800B7" w:rsidRDefault="00E3752D" w:rsidP="00D92E88">
            <w:pPr>
              <w:keepNext/>
              <w:spacing w:before="120" w:after="120"/>
              <w:rPr>
                <w:szCs w:val="22"/>
              </w:rPr>
            </w:pPr>
            <w:r w:rsidRPr="001800B7">
              <w:rPr>
                <w:szCs w:val="22"/>
              </w:rPr>
              <w:t>À sa quarante</w:t>
            </w:r>
            <w:r w:rsidR="001800B7" w:rsidRPr="001800B7">
              <w:rPr>
                <w:szCs w:val="22"/>
              </w:rPr>
              <w:noBreakHyphen/>
            </w:r>
            <w:r w:rsidRPr="001800B7">
              <w:rPr>
                <w:szCs w:val="22"/>
              </w:rPr>
              <w:t>troisième session (21</w:t>
            </w:r>
            <w:r w:rsidRPr="001800B7">
              <w:rPr>
                <w:szCs w:val="22"/>
                <w:vertAlign w:val="superscript"/>
              </w:rPr>
              <w:t>e</w:t>
            </w:r>
            <w:r w:rsidRPr="001800B7">
              <w:rPr>
                <w:szCs w:val="22"/>
              </w:rPr>
              <w:t xml:space="preserve"> session ordinaire) tenue en septembre</w:t>
            </w:r>
            <w:r w:rsidR="001800B7" w:rsidRPr="001800B7">
              <w:rPr>
                <w:szCs w:val="22"/>
              </w:rPr>
              <w:noBreakHyphen/>
            </w:r>
            <w:r w:rsidRPr="001800B7">
              <w:rPr>
                <w:szCs w:val="22"/>
              </w:rPr>
              <w:t>octobre 2013, l</w:t>
            </w:r>
            <w:r w:rsidR="005311D6" w:rsidRPr="001800B7">
              <w:rPr>
                <w:szCs w:val="22"/>
              </w:rPr>
              <w:t>’</w:t>
            </w:r>
            <w:r w:rsidRPr="001800B7">
              <w:rPr>
                <w:szCs w:val="22"/>
              </w:rPr>
              <w:t>Assemblée générale de l</w:t>
            </w:r>
            <w:r w:rsidR="005311D6" w:rsidRPr="001800B7">
              <w:rPr>
                <w:szCs w:val="22"/>
              </w:rPr>
              <w:t>’</w:t>
            </w:r>
            <w:r w:rsidRPr="001800B7">
              <w:rPr>
                <w:szCs w:val="22"/>
              </w:rPr>
              <w:t>OMPI était convenue de renouveler le mandat du Comité intergouvernemental de la propriété intellectuelle relative aux ressources génétiques, aux savoirs traditionnels et au folklore (IGC) pour l</w:t>
            </w:r>
            <w:r w:rsidR="005311D6" w:rsidRPr="001800B7">
              <w:rPr>
                <w:szCs w:val="22"/>
              </w:rPr>
              <w:t>’</w:t>
            </w:r>
            <w:r w:rsidRPr="001800B7">
              <w:rPr>
                <w:szCs w:val="22"/>
              </w:rPr>
              <w:t>exercice biennal 2014</w:t>
            </w:r>
            <w:r w:rsidR="001800B7" w:rsidRPr="001800B7">
              <w:rPr>
                <w:szCs w:val="22"/>
              </w:rPr>
              <w:noBreakHyphen/>
            </w:r>
            <w:r w:rsidRPr="001800B7">
              <w:rPr>
                <w:szCs w:val="22"/>
              </w:rPr>
              <w:t>2015.  Les participants sont parvenus à un accord concernant le programme de travail de l</w:t>
            </w:r>
            <w:r w:rsidR="005311D6" w:rsidRPr="001800B7">
              <w:rPr>
                <w:szCs w:val="22"/>
              </w:rPr>
              <w:t>’</w:t>
            </w:r>
            <w:r w:rsidRPr="001800B7">
              <w:rPr>
                <w:szCs w:val="22"/>
              </w:rPr>
              <w:t>IGC en 2014.  En vertu de son nouveau mandat et nouveau programme de travail, l</w:t>
            </w:r>
            <w:r w:rsidR="005311D6" w:rsidRPr="001800B7">
              <w:rPr>
                <w:szCs w:val="22"/>
              </w:rPr>
              <w:t>’</w:t>
            </w:r>
            <w:r w:rsidRPr="001800B7">
              <w:rPr>
                <w:szCs w:val="22"/>
              </w:rPr>
              <w:t>IGC s</w:t>
            </w:r>
            <w:r w:rsidR="005311D6" w:rsidRPr="001800B7">
              <w:rPr>
                <w:szCs w:val="22"/>
              </w:rPr>
              <w:t>’</w:t>
            </w:r>
            <w:r w:rsidRPr="001800B7">
              <w:rPr>
                <w:szCs w:val="22"/>
              </w:rPr>
              <w:t>est réuni trois fois en 2014, et a axé ses débats sur la négociation, la consolidation et l</w:t>
            </w:r>
            <w:r w:rsidR="005311D6" w:rsidRPr="001800B7">
              <w:rPr>
                <w:szCs w:val="22"/>
              </w:rPr>
              <w:t>’</w:t>
            </w:r>
            <w:r w:rsidRPr="001800B7">
              <w:rPr>
                <w:szCs w:val="22"/>
              </w:rPr>
              <w:t>intégration des projets de textes concernant les ressources génétiques, les savoirs traditionnels et les expressions culturelles traditionnelles.  L</w:t>
            </w:r>
            <w:r w:rsidR="005311D6" w:rsidRPr="001800B7">
              <w:rPr>
                <w:szCs w:val="22"/>
              </w:rPr>
              <w:t>’</w:t>
            </w:r>
            <w:r w:rsidRPr="001800B7">
              <w:rPr>
                <w:szCs w:val="22"/>
              </w:rPr>
              <w:t>IGC a également débattu de questions communes d</w:t>
            </w:r>
            <w:r w:rsidR="005311D6" w:rsidRPr="001800B7">
              <w:rPr>
                <w:szCs w:val="22"/>
              </w:rPr>
              <w:t>’</w:t>
            </w:r>
            <w:r w:rsidRPr="001800B7">
              <w:rPr>
                <w:szCs w:val="22"/>
              </w:rPr>
              <w:t>actualité et a fait le bilan des progrès accomplis.  Un rapport (document WO/GA/46/6 – Questions concernant le Comité intergouvernemental de la propriété intellectuelle relative aux ressources génétiques, aux savoirs traditionnels et au folklore (IGC)) a été présenté à l</w:t>
            </w:r>
            <w:r w:rsidR="005311D6" w:rsidRPr="001800B7">
              <w:rPr>
                <w:szCs w:val="22"/>
              </w:rPr>
              <w:t>’</w:t>
            </w:r>
            <w:r w:rsidRPr="001800B7">
              <w:rPr>
                <w:szCs w:val="22"/>
              </w:rPr>
              <w:t>Assemblée générale de l</w:t>
            </w:r>
            <w:r w:rsidR="005311D6" w:rsidRPr="001800B7">
              <w:rPr>
                <w:szCs w:val="22"/>
              </w:rPr>
              <w:t>’</w:t>
            </w:r>
            <w:r w:rsidRPr="001800B7">
              <w:rPr>
                <w:szCs w:val="22"/>
              </w:rPr>
              <w:t>OMPI en septembre 2014.</w:t>
            </w:r>
          </w:p>
          <w:p w:rsidR="00E3752D" w:rsidRPr="001800B7" w:rsidRDefault="00E3752D" w:rsidP="00D92E88">
            <w:pPr>
              <w:keepNext/>
              <w:spacing w:before="120" w:after="120"/>
              <w:rPr>
                <w:szCs w:val="22"/>
              </w:rPr>
            </w:pPr>
            <w:r w:rsidRPr="001800B7">
              <w:rPr>
                <w:szCs w:val="22"/>
              </w:rPr>
              <w:t xml:space="preserve">Lors de </w:t>
            </w:r>
            <w:proofErr w:type="gramStart"/>
            <w:r w:rsidRPr="001800B7">
              <w:rPr>
                <w:szCs w:val="22"/>
              </w:rPr>
              <w:t>ses trentième</w:t>
            </w:r>
            <w:proofErr w:type="gramEnd"/>
            <w:r w:rsidRPr="001800B7">
              <w:rPr>
                <w:szCs w:val="22"/>
              </w:rPr>
              <w:t xml:space="preserve"> et trente et unième session, tenues en novembre 2013 et mars 2014, respectivement, le Comité permanent du droit des marques, des dessins et modèles industriels a poursuivi ses travaux visant à parvenir à un accord international relatif à la législation sur les dessins et modèles industriels.  Les propositions formulées par les États membres ont mis en avant des suggestions concrètes d</w:t>
            </w:r>
            <w:r w:rsidR="005311D6" w:rsidRPr="001800B7">
              <w:rPr>
                <w:szCs w:val="22"/>
              </w:rPr>
              <w:t>’</w:t>
            </w:r>
            <w:r w:rsidRPr="001800B7">
              <w:rPr>
                <w:szCs w:val="22"/>
              </w:rPr>
              <w:t>articles à intégrer dans un éventuel traité sur la législation en matière de dessins et modèles industriels correspondant aux recommandations 1, 2, 9, 10, 11 et 12 du Plan d</w:t>
            </w:r>
            <w:r w:rsidR="005311D6" w:rsidRPr="001800B7">
              <w:rPr>
                <w:szCs w:val="22"/>
              </w:rPr>
              <w:t>’</w:t>
            </w:r>
            <w:r w:rsidRPr="001800B7">
              <w:rPr>
                <w:szCs w:val="22"/>
              </w:rPr>
              <w:t>action pour le développement.</w:t>
            </w:r>
          </w:p>
          <w:p w:rsidR="00E3752D" w:rsidRPr="001800B7" w:rsidRDefault="00E3752D" w:rsidP="00D92E88">
            <w:pPr>
              <w:keepNext/>
              <w:spacing w:before="120" w:after="120"/>
              <w:rPr>
                <w:szCs w:val="22"/>
              </w:rPr>
            </w:pPr>
            <w:r w:rsidRPr="001800B7">
              <w:rPr>
                <w:szCs w:val="22"/>
              </w:rPr>
              <w:t>Pour de plus amples informations sur les réalisations liées à ces recommandations, prière de se référer :</w:t>
            </w:r>
          </w:p>
          <w:p w:rsidR="00E3752D" w:rsidRPr="001800B7" w:rsidRDefault="00E3752D" w:rsidP="00D92E88">
            <w:pPr>
              <w:keepNext/>
              <w:spacing w:before="120" w:after="120"/>
              <w:rPr>
                <w:szCs w:val="22"/>
              </w:rPr>
            </w:pPr>
            <w:r w:rsidRPr="001800B7">
              <w:rPr>
                <w:szCs w:val="22"/>
              </w:rPr>
              <w:t>a)</w:t>
            </w:r>
            <w:r w:rsidRPr="001800B7">
              <w:rPr>
                <w:szCs w:val="22"/>
              </w:rPr>
              <w:tab/>
              <w:t>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2013 (document WO/PBC/22/8), en particulier les programmes 1, 2, 3 et 4;  et</w:t>
            </w:r>
          </w:p>
          <w:p w:rsidR="00E3752D" w:rsidRPr="001800B7" w:rsidRDefault="00E3752D" w:rsidP="00E3752D">
            <w:pPr>
              <w:keepNext/>
              <w:spacing w:before="120" w:after="120"/>
              <w:rPr>
                <w:bCs/>
                <w:szCs w:val="22"/>
                <w:u w:val="single"/>
              </w:rPr>
            </w:pPr>
            <w:r w:rsidRPr="001800B7">
              <w:rPr>
                <w:szCs w:val="22"/>
              </w:rPr>
              <w:lastRenderedPageBreak/>
              <w:t xml:space="preserve">b) </w:t>
            </w:r>
            <w:r w:rsidRPr="001800B7">
              <w:rPr>
                <w:szCs w:val="22"/>
              </w:rPr>
              <w:tab/>
              <w:t>au document WO/GA/46/7 </w:t>
            </w:r>
            <w:proofErr w:type="spellStart"/>
            <w:r w:rsidRPr="001800B7">
              <w:rPr>
                <w:szCs w:val="22"/>
              </w:rPr>
              <w:t>Rev</w:t>
            </w:r>
            <w:proofErr w:type="spellEnd"/>
            <w:r w:rsidRPr="001800B7">
              <w:rPr>
                <w:szCs w:val="22"/>
              </w:rPr>
              <w:t>. intitulé “Rapports sur les autres comités de l</w:t>
            </w:r>
            <w:r w:rsidR="005311D6" w:rsidRPr="001800B7">
              <w:rPr>
                <w:szCs w:val="22"/>
              </w:rPr>
              <w:t>’</w:t>
            </w:r>
            <w:r w:rsidRPr="001800B7">
              <w:rPr>
                <w:szCs w:val="22"/>
              </w:rPr>
              <w:t>OMPI” présenté à la quarante</w:t>
            </w:r>
            <w:r w:rsidR="001800B7" w:rsidRPr="001800B7">
              <w:rPr>
                <w:szCs w:val="22"/>
              </w:rPr>
              <w:noBreakHyphen/>
            </w:r>
            <w:r w:rsidRPr="001800B7">
              <w:rPr>
                <w:szCs w:val="22"/>
              </w:rPr>
              <w:t>sixième session (25</w:t>
            </w:r>
            <w:r w:rsidRPr="001800B7">
              <w:rPr>
                <w:szCs w:val="22"/>
                <w:vertAlign w:val="superscript"/>
              </w:rPr>
              <w:t>e</w:t>
            </w:r>
            <w:r w:rsidRPr="001800B7">
              <w:rPr>
                <w:szCs w:val="22"/>
              </w:rPr>
              <w:t> session extraordinaire) de l</w:t>
            </w:r>
            <w:r w:rsidR="005311D6" w:rsidRPr="001800B7">
              <w:rPr>
                <w:szCs w:val="22"/>
              </w:rPr>
              <w:t>’</w:t>
            </w:r>
            <w:r w:rsidRPr="001800B7">
              <w:rPr>
                <w:szCs w:val="22"/>
              </w:rPr>
              <w:t>Assemblée générale de l</w:t>
            </w:r>
            <w:r w:rsidR="005311D6" w:rsidRPr="001800B7">
              <w:rPr>
                <w:szCs w:val="22"/>
              </w:rPr>
              <w:t>’</w:t>
            </w:r>
            <w:r w:rsidRPr="001800B7">
              <w:rPr>
                <w:szCs w:val="22"/>
              </w:rPr>
              <w:t>OMPI.</w:t>
            </w:r>
          </w:p>
        </w:tc>
      </w:tr>
    </w:tbl>
    <w:p w:rsidR="0010628F" w:rsidRPr="001800B7" w:rsidRDefault="0010628F" w:rsidP="0010628F">
      <w:pPr>
        <w:spacing w:before="120" w:after="120"/>
        <w:rPr>
          <w:b/>
          <w:szCs w:val="22"/>
        </w:rPr>
      </w:pPr>
    </w:p>
    <w:p w:rsidR="0010628F" w:rsidRPr="001800B7" w:rsidRDefault="0010628F" w:rsidP="00D92E88">
      <w:pPr>
        <w:rPr>
          <w:szCs w:val="22"/>
        </w:rPr>
      </w:pPr>
      <w:r w:rsidRPr="001800B7">
        <w:rPr>
          <w:szCs w:val="22"/>
        </w:rPr>
        <w:br w:type="page"/>
      </w:r>
      <w:r w:rsidRPr="001800B7">
        <w:rPr>
          <w:i/>
          <w:szCs w:val="22"/>
        </w:rPr>
        <w:lastRenderedPageBreak/>
        <w:t>Recommandation n° 16 :</w:t>
      </w:r>
      <w:r w:rsidRPr="001800B7">
        <w:rPr>
          <w:szCs w:val="22"/>
        </w:rPr>
        <w:t xml:space="preserve"> Prendre en considération la préservation du domaine public dans l</w:t>
      </w:r>
      <w:r w:rsidR="005311D6" w:rsidRPr="001800B7">
        <w:rPr>
          <w:szCs w:val="22"/>
        </w:rPr>
        <w:t>’</w:t>
      </w:r>
      <w:r w:rsidRPr="001800B7">
        <w:rPr>
          <w:szCs w:val="22"/>
        </w:rPr>
        <w:t>élaboration des normes à l</w:t>
      </w:r>
      <w:r w:rsidR="005311D6" w:rsidRPr="001800B7">
        <w:rPr>
          <w:szCs w:val="22"/>
        </w:rPr>
        <w:t>’</w:t>
      </w:r>
      <w:r w:rsidRPr="001800B7">
        <w:rPr>
          <w:szCs w:val="22"/>
        </w:rPr>
        <w:t>OMPI et approfondir l</w:t>
      </w:r>
      <w:r w:rsidR="005311D6" w:rsidRPr="001800B7">
        <w:rPr>
          <w:szCs w:val="22"/>
        </w:rPr>
        <w:t>’</w:t>
      </w:r>
      <w:r w:rsidRPr="001800B7">
        <w:rPr>
          <w:szCs w:val="22"/>
        </w:rPr>
        <w:t>analyse des conséquences et des avantages d</w:t>
      </w:r>
      <w:r w:rsidR="005311D6" w:rsidRPr="001800B7">
        <w:rPr>
          <w:szCs w:val="22"/>
        </w:rPr>
        <w:t>’</w:t>
      </w:r>
      <w:r w:rsidRPr="001800B7">
        <w:rPr>
          <w:szCs w:val="22"/>
        </w:rPr>
        <w:t>un domaine public riche et accessible.</w:t>
      </w:r>
    </w:p>
    <w:p w:rsidR="0010628F" w:rsidRPr="001800B7" w:rsidRDefault="0010628F" w:rsidP="00D92E88">
      <w:pPr>
        <w:rPr>
          <w:szCs w:val="22"/>
        </w:rPr>
      </w:pPr>
    </w:p>
    <w:tbl>
      <w:tblPr>
        <w:tblW w:w="1450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9"/>
        <w:gridCol w:w="8053"/>
      </w:tblGrid>
      <w:tr w:rsidR="001800B7" w:rsidRPr="001800B7" w:rsidTr="00E3752D">
        <w:trPr>
          <w:trHeight w:val="392"/>
        </w:trPr>
        <w:tc>
          <w:tcPr>
            <w:tcW w:w="6449" w:type="dxa"/>
            <w:shd w:val="clear" w:color="auto" w:fill="auto"/>
          </w:tcPr>
          <w:p w:rsidR="0010628F" w:rsidRPr="001800B7" w:rsidRDefault="0010628F" w:rsidP="00E3752D">
            <w:pPr>
              <w:spacing w:before="120" w:after="120"/>
              <w:rPr>
                <w:szCs w:val="22"/>
                <w:u w:val="single"/>
              </w:rPr>
            </w:pPr>
            <w:r w:rsidRPr="001800B7">
              <w:rPr>
                <w:szCs w:val="22"/>
                <w:u w:val="single"/>
              </w:rPr>
              <w:t>Stratégies de mise en œuvre</w:t>
            </w:r>
          </w:p>
        </w:tc>
        <w:tc>
          <w:tcPr>
            <w:tcW w:w="8053" w:type="dxa"/>
            <w:shd w:val="clear" w:color="auto" w:fill="auto"/>
          </w:tcPr>
          <w:p w:rsidR="0010628F" w:rsidRPr="001800B7" w:rsidRDefault="0010628F" w:rsidP="00E3752D">
            <w:pPr>
              <w:spacing w:before="120" w:after="120"/>
              <w:rPr>
                <w:szCs w:val="22"/>
                <w:u w:val="single"/>
              </w:rPr>
            </w:pPr>
            <w:r w:rsidRPr="001800B7">
              <w:rPr>
                <w:szCs w:val="22"/>
                <w:u w:val="single"/>
              </w:rPr>
              <w:t>Réalisations</w:t>
            </w:r>
          </w:p>
        </w:tc>
      </w:tr>
      <w:tr w:rsidR="001800B7" w:rsidRPr="001800B7" w:rsidTr="00E3752D">
        <w:tblPrEx>
          <w:tblCellMar>
            <w:top w:w="108" w:type="dxa"/>
            <w:bottom w:w="108" w:type="dxa"/>
          </w:tblCellMar>
        </w:tblPrEx>
        <w:tc>
          <w:tcPr>
            <w:tcW w:w="6449" w:type="dxa"/>
            <w:shd w:val="clear" w:color="auto" w:fill="auto"/>
          </w:tcPr>
          <w:p w:rsidR="0010628F" w:rsidRPr="001800B7" w:rsidRDefault="0010628F" w:rsidP="00E3752D">
            <w:pPr>
              <w:spacing w:before="120" w:after="120"/>
              <w:rPr>
                <w:szCs w:val="22"/>
              </w:rPr>
            </w:pPr>
            <w:r w:rsidRPr="001800B7">
              <w:rPr>
                <w:szCs w:val="22"/>
              </w:rPr>
              <w:t>Cette recommandation faisait partie d</w:t>
            </w:r>
            <w:r w:rsidR="005311D6" w:rsidRPr="001800B7">
              <w:rPr>
                <w:szCs w:val="22"/>
              </w:rPr>
              <w:t>’</w:t>
            </w:r>
            <w:r w:rsidRPr="001800B7">
              <w:rPr>
                <w:szCs w:val="22"/>
              </w:rPr>
              <w:t>un projet thématique sur la propriété intellectuelle et le domaine public (CDIP/4/3) et d</w:t>
            </w:r>
            <w:r w:rsidR="005311D6" w:rsidRPr="001800B7">
              <w:rPr>
                <w:szCs w:val="22"/>
              </w:rPr>
              <w:t>’</w:t>
            </w:r>
            <w:r w:rsidRPr="001800B7">
              <w:rPr>
                <w:szCs w:val="22"/>
              </w:rPr>
              <w:t>un projet relatif aux brevets et au domaine public (CDIP/7/5 </w:t>
            </w:r>
            <w:proofErr w:type="spellStart"/>
            <w:r w:rsidRPr="001800B7">
              <w:rPr>
                <w:szCs w:val="22"/>
              </w:rPr>
              <w:t>Rev</w:t>
            </w:r>
            <w:proofErr w:type="spellEnd"/>
            <w:r w:rsidRPr="001800B7">
              <w:rPr>
                <w:szCs w:val="22"/>
              </w:rPr>
              <w:t>.).</w:t>
            </w:r>
          </w:p>
          <w:p w:rsidR="0010628F" w:rsidRPr="001800B7" w:rsidRDefault="0010628F" w:rsidP="00E3752D">
            <w:pPr>
              <w:spacing w:before="120" w:after="120"/>
              <w:rPr>
                <w:szCs w:val="22"/>
              </w:rPr>
            </w:pPr>
            <w:r w:rsidRPr="001800B7">
              <w:rPr>
                <w:szCs w:val="22"/>
              </w:rPr>
              <w:t>Cette recommandation a également été mise en œuvre dans le domaine des savoirs traditionnels, où des mesures pratiques et juridiques ont été combinées afin de garantir que les savoirs traditionnels qui sont clairement dans le domaine public ne font pas l</w:t>
            </w:r>
            <w:r w:rsidR="005311D6" w:rsidRPr="001800B7">
              <w:rPr>
                <w:szCs w:val="22"/>
              </w:rPr>
              <w:t>’</w:t>
            </w:r>
            <w:r w:rsidRPr="001800B7">
              <w:rPr>
                <w:szCs w:val="22"/>
              </w:rPr>
              <w:t>objet de brevets délivrés par erreur.</w:t>
            </w:r>
          </w:p>
          <w:p w:rsidR="0010628F" w:rsidRPr="001800B7" w:rsidRDefault="0010628F" w:rsidP="00E3752D">
            <w:pPr>
              <w:spacing w:before="120" w:after="120"/>
              <w:rPr>
                <w:szCs w:val="22"/>
              </w:rPr>
            </w:pPr>
          </w:p>
        </w:tc>
        <w:tc>
          <w:tcPr>
            <w:tcW w:w="8053" w:type="dxa"/>
            <w:shd w:val="clear" w:color="auto" w:fill="auto"/>
          </w:tcPr>
          <w:p w:rsidR="0010628F" w:rsidRPr="001800B7" w:rsidRDefault="0010628F" w:rsidP="00E3752D">
            <w:pPr>
              <w:spacing w:before="120" w:after="120"/>
              <w:rPr>
                <w:rFonts w:eastAsia="Times New Roman"/>
                <w:szCs w:val="22"/>
                <w:lang w:eastAsia="en-US"/>
              </w:rPr>
            </w:pPr>
            <w:r w:rsidRPr="001800B7">
              <w:rPr>
                <w:rFonts w:eastAsia="Times New Roman"/>
                <w:szCs w:val="22"/>
                <w:lang w:eastAsia="en-US"/>
              </w:rPr>
              <w:t>Le projet sur la propriété intellectuelle et le domaine public (CDIP/4/3 </w:t>
            </w:r>
            <w:proofErr w:type="spellStart"/>
            <w:r w:rsidRPr="001800B7">
              <w:rPr>
                <w:rFonts w:eastAsia="Times New Roman"/>
                <w:szCs w:val="22"/>
                <w:lang w:eastAsia="en-US"/>
              </w:rPr>
              <w:t>Rev</w:t>
            </w:r>
            <w:proofErr w:type="spellEnd"/>
            <w:r w:rsidRPr="001800B7">
              <w:rPr>
                <w:rFonts w:eastAsia="Times New Roman"/>
                <w:szCs w:val="22"/>
                <w:lang w:eastAsia="en-US"/>
              </w:rPr>
              <w:t>.) a été mis en œuvre avec succès.</w:t>
            </w:r>
            <w:r w:rsidRPr="001800B7">
              <w:rPr>
                <w:szCs w:val="22"/>
              </w:rPr>
              <w:t xml:space="preserve">  </w:t>
            </w:r>
            <w:r w:rsidRPr="001800B7">
              <w:rPr>
                <w:rFonts w:eastAsia="Times New Roman"/>
                <w:szCs w:val="22"/>
                <w:lang w:eastAsia="en-US"/>
              </w:rPr>
              <w:t>Un rapport d</w:t>
            </w:r>
            <w:r w:rsidR="005311D6" w:rsidRPr="001800B7">
              <w:rPr>
                <w:rFonts w:eastAsia="Times New Roman"/>
                <w:szCs w:val="22"/>
                <w:lang w:eastAsia="en-US"/>
              </w:rPr>
              <w:t>’</w:t>
            </w:r>
            <w:r w:rsidRPr="001800B7">
              <w:rPr>
                <w:rFonts w:eastAsia="Times New Roman"/>
                <w:szCs w:val="22"/>
                <w:lang w:eastAsia="en-US"/>
              </w:rPr>
              <w:t>évaluation du projet a été présenté à la neuvième session du CDIP (CDIP/9/7).</w:t>
            </w:r>
            <w:r w:rsidRPr="001800B7">
              <w:rPr>
                <w:szCs w:val="22"/>
              </w:rPr>
              <w:t xml:space="preserve">  </w:t>
            </w:r>
            <w:r w:rsidRPr="001800B7">
              <w:rPr>
                <w:rFonts w:eastAsia="Times New Roman"/>
                <w:szCs w:val="22"/>
                <w:lang w:eastAsia="en-US"/>
              </w:rPr>
              <w:t>Le projet a été intégré dans les programmes réguliers pertinents.</w:t>
            </w:r>
          </w:p>
          <w:p w:rsidR="0010628F" w:rsidRPr="001800B7" w:rsidRDefault="0010628F" w:rsidP="00E3752D">
            <w:pPr>
              <w:spacing w:before="120" w:after="120"/>
              <w:rPr>
                <w:szCs w:val="22"/>
              </w:rPr>
            </w:pPr>
            <w:r w:rsidRPr="001800B7">
              <w:rPr>
                <w:szCs w:val="22"/>
              </w:rPr>
              <w:t>Le Projet relatif aux brevets et au domaine public a été achevé et un Rapport d</w:t>
            </w:r>
            <w:r w:rsidR="005311D6" w:rsidRPr="001800B7">
              <w:rPr>
                <w:szCs w:val="22"/>
              </w:rPr>
              <w:t>’</w:t>
            </w:r>
            <w:r w:rsidRPr="001800B7">
              <w:rPr>
                <w:szCs w:val="22"/>
              </w:rPr>
              <w:t>auto</w:t>
            </w:r>
            <w:r w:rsidR="001800B7" w:rsidRPr="001800B7">
              <w:rPr>
                <w:szCs w:val="22"/>
              </w:rPr>
              <w:noBreakHyphen/>
            </w:r>
            <w:r w:rsidRPr="001800B7">
              <w:rPr>
                <w:szCs w:val="22"/>
              </w:rPr>
              <w:t>évaluation (CDIP/13/7) a été soumis au CDIP lors de sa treizième session (CDIP/13/7).  Dans le cadre de ce projet, une Étude sur les brevets et le domaine public (II) (CDIP/12/INF/2 </w:t>
            </w:r>
            <w:proofErr w:type="spellStart"/>
            <w:r w:rsidRPr="001800B7">
              <w:rPr>
                <w:szCs w:val="22"/>
              </w:rPr>
              <w:t>Rev</w:t>
            </w:r>
            <w:proofErr w:type="spellEnd"/>
            <w:r w:rsidRPr="001800B7">
              <w:rPr>
                <w:szCs w:val="22"/>
              </w:rPr>
              <w:t>.) a été présentée au Comité lors de sa douzième session.</w:t>
            </w:r>
          </w:p>
          <w:p w:rsidR="0010628F" w:rsidRPr="001800B7" w:rsidRDefault="0010628F" w:rsidP="00E3752D">
            <w:pPr>
              <w:spacing w:before="120" w:after="120"/>
              <w:rPr>
                <w:szCs w:val="22"/>
              </w:rPr>
            </w:pPr>
            <w:r w:rsidRPr="001800B7">
              <w:rPr>
                <w:szCs w:val="22"/>
              </w:rPr>
              <w:t>Dans le cadre du processus d</w:t>
            </w:r>
            <w:r w:rsidR="005311D6" w:rsidRPr="001800B7">
              <w:rPr>
                <w:szCs w:val="22"/>
              </w:rPr>
              <w:t>’</w:t>
            </w:r>
            <w:r w:rsidRPr="001800B7">
              <w:rPr>
                <w:szCs w:val="22"/>
              </w:rPr>
              <w:t>établissement des normes de l</w:t>
            </w:r>
            <w:r w:rsidR="005311D6" w:rsidRPr="001800B7">
              <w:rPr>
                <w:szCs w:val="22"/>
              </w:rPr>
              <w:t>’</w:t>
            </w:r>
            <w:r w:rsidRPr="001800B7">
              <w:rPr>
                <w:szCs w:val="22"/>
              </w:rPr>
              <w:t>IGC, poursuite de l</w:t>
            </w:r>
            <w:r w:rsidR="005311D6" w:rsidRPr="001800B7">
              <w:rPr>
                <w:szCs w:val="22"/>
              </w:rPr>
              <w:t>’</w:t>
            </w:r>
            <w:r w:rsidRPr="001800B7">
              <w:rPr>
                <w:szCs w:val="22"/>
              </w:rPr>
              <w:t>examen des limites, du rôle et du cadre du domaine public et de ses liens avec la protection des savoirs traditionnels et des expressions culturelles traditionnelles.</w:t>
            </w:r>
          </w:p>
          <w:p w:rsidR="0010628F" w:rsidRPr="001800B7" w:rsidRDefault="0010628F" w:rsidP="00E3752D">
            <w:pPr>
              <w:spacing w:before="120" w:after="120"/>
              <w:rPr>
                <w:szCs w:val="22"/>
              </w:rPr>
            </w:pPr>
            <w:r w:rsidRPr="001800B7">
              <w:rPr>
                <w:szCs w:val="22"/>
              </w:rPr>
              <w:t>Les principes directeurs, documents d</w:t>
            </w:r>
            <w:r w:rsidR="005311D6" w:rsidRPr="001800B7">
              <w:rPr>
                <w:szCs w:val="22"/>
              </w:rPr>
              <w:t>’</w:t>
            </w:r>
            <w:r w:rsidRPr="001800B7">
              <w:rPr>
                <w:szCs w:val="22"/>
              </w:rPr>
              <w:t>information et autres instruments similaires contribuent aux mesures concrètes prises pour mieux recenser les savoirs traditionnels divulgués et prévenir la délivrance de brevets indus.</w:t>
            </w:r>
          </w:p>
          <w:p w:rsidR="0010628F" w:rsidRPr="001800B7" w:rsidRDefault="0010628F" w:rsidP="00E3752D">
            <w:pPr>
              <w:spacing w:before="120" w:after="12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réalisations liées à cette recommandation de 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2013 (document WO/PBC/22/8), en particulier les programmes 1, 2, 3 et 4.</w:t>
            </w:r>
          </w:p>
        </w:tc>
      </w:tr>
    </w:tbl>
    <w:p w:rsidR="0010628F" w:rsidRPr="001800B7" w:rsidRDefault="0010628F" w:rsidP="00E3752D">
      <w:pPr>
        <w:rPr>
          <w:szCs w:val="22"/>
        </w:rPr>
      </w:pPr>
    </w:p>
    <w:p w:rsidR="0010628F" w:rsidRPr="001800B7" w:rsidRDefault="0010628F" w:rsidP="00E3752D">
      <w:pPr>
        <w:rPr>
          <w:szCs w:val="22"/>
        </w:rPr>
      </w:pPr>
    </w:p>
    <w:p w:rsidR="0010628F" w:rsidRPr="001800B7" w:rsidRDefault="00E3752D" w:rsidP="00E3752D">
      <w:pPr>
        <w:rPr>
          <w:szCs w:val="22"/>
        </w:rPr>
      </w:pPr>
      <w:r w:rsidRPr="001800B7">
        <w:rPr>
          <w:i/>
          <w:szCs w:val="22"/>
        </w:rPr>
        <w:br w:type="page"/>
      </w:r>
      <w:r w:rsidR="0010628F" w:rsidRPr="001800B7">
        <w:rPr>
          <w:i/>
          <w:szCs w:val="22"/>
        </w:rPr>
        <w:lastRenderedPageBreak/>
        <w:t>Recommandation n° 18</w:t>
      </w:r>
      <w:r w:rsidR="0010628F" w:rsidRPr="001800B7">
        <w:rPr>
          <w:szCs w:val="22"/>
        </w:rPr>
        <w:t xml:space="preserve"> : Inviter instamment le comité intergouvernemental à accélérer le processus concernant la protection des ressources génétiques, des savoirs traditionnels et du folklore, sans préjudice du résultat, </w:t>
      </w:r>
      <w:r w:rsidR="005311D6" w:rsidRPr="001800B7">
        <w:rPr>
          <w:szCs w:val="22"/>
        </w:rPr>
        <w:t>y compris</w:t>
      </w:r>
      <w:r w:rsidR="0010628F" w:rsidRPr="001800B7">
        <w:rPr>
          <w:szCs w:val="22"/>
        </w:rPr>
        <w:t xml:space="preserve"> l</w:t>
      </w:r>
      <w:r w:rsidR="005311D6" w:rsidRPr="001800B7">
        <w:rPr>
          <w:szCs w:val="22"/>
        </w:rPr>
        <w:t>’</w:t>
      </w:r>
      <w:r w:rsidR="0010628F" w:rsidRPr="001800B7">
        <w:rPr>
          <w:szCs w:val="22"/>
        </w:rPr>
        <w:t>élaboration éventuelle d</w:t>
      </w:r>
      <w:r w:rsidR="005311D6" w:rsidRPr="001800B7">
        <w:rPr>
          <w:szCs w:val="22"/>
        </w:rPr>
        <w:t>’</w:t>
      </w:r>
      <w:r w:rsidR="0010628F" w:rsidRPr="001800B7">
        <w:rPr>
          <w:szCs w:val="22"/>
        </w:rPr>
        <w:t>un ou plusieurs instruments internationaux.</w:t>
      </w:r>
    </w:p>
    <w:p w:rsidR="0010628F" w:rsidRPr="001800B7" w:rsidRDefault="0010628F" w:rsidP="00E3752D">
      <w:pPr>
        <w:rPr>
          <w:szCs w:val="22"/>
        </w:rPr>
      </w:pPr>
    </w:p>
    <w:tbl>
      <w:tblPr>
        <w:tblW w:w="14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053"/>
      </w:tblGrid>
      <w:tr w:rsidR="001800B7" w:rsidRPr="001800B7" w:rsidTr="00E3752D">
        <w:trPr>
          <w:trHeight w:val="392"/>
        </w:trPr>
        <w:tc>
          <w:tcPr>
            <w:tcW w:w="6379" w:type="dxa"/>
            <w:shd w:val="clear" w:color="auto" w:fill="auto"/>
          </w:tcPr>
          <w:p w:rsidR="0010628F" w:rsidRPr="001800B7" w:rsidRDefault="0010628F" w:rsidP="00AC163C">
            <w:pPr>
              <w:autoSpaceDE w:val="0"/>
              <w:spacing w:before="120" w:after="120"/>
              <w:outlineLvl w:val="2"/>
              <w:rPr>
                <w:bCs/>
                <w:szCs w:val="22"/>
                <w:u w:val="single"/>
              </w:rPr>
            </w:pPr>
            <w:r w:rsidRPr="001800B7">
              <w:rPr>
                <w:bCs/>
                <w:szCs w:val="22"/>
                <w:u w:val="single"/>
              </w:rPr>
              <w:t>Stratégies de mise en œuvre</w:t>
            </w:r>
          </w:p>
        </w:tc>
        <w:tc>
          <w:tcPr>
            <w:tcW w:w="8053" w:type="dxa"/>
            <w:shd w:val="clear" w:color="auto" w:fill="auto"/>
            <w:vAlign w:val="center"/>
          </w:tcPr>
          <w:p w:rsidR="0010628F" w:rsidRPr="001800B7" w:rsidRDefault="0010628F" w:rsidP="00E3752D">
            <w:pPr>
              <w:autoSpaceDE w:val="0"/>
              <w:spacing w:before="120" w:after="120"/>
              <w:outlineLvl w:val="2"/>
              <w:rPr>
                <w:szCs w:val="22"/>
              </w:rPr>
            </w:pPr>
            <w:r w:rsidRPr="001800B7">
              <w:rPr>
                <w:bCs/>
                <w:szCs w:val="22"/>
                <w:u w:val="single"/>
              </w:rPr>
              <w:t>Réalisations</w:t>
            </w:r>
          </w:p>
        </w:tc>
      </w:tr>
      <w:tr w:rsidR="001800B7" w:rsidRPr="001800B7" w:rsidTr="00E3752D">
        <w:tblPrEx>
          <w:tblCellMar>
            <w:top w:w="108" w:type="dxa"/>
            <w:bottom w:w="108" w:type="dxa"/>
          </w:tblCellMar>
        </w:tblPrEx>
        <w:tc>
          <w:tcPr>
            <w:tcW w:w="6379" w:type="dxa"/>
            <w:shd w:val="clear" w:color="auto" w:fill="auto"/>
          </w:tcPr>
          <w:p w:rsidR="0010628F" w:rsidRPr="001800B7" w:rsidRDefault="0010628F" w:rsidP="00AC163C">
            <w:pPr>
              <w:spacing w:before="120" w:after="120"/>
              <w:rPr>
                <w:szCs w:val="22"/>
              </w:rPr>
            </w:pPr>
            <w:r w:rsidRPr="001800B7">
              <w:rPr>
                <w:szCs w:val="22"/>
              </w:rPr>
              <w:t>L</w:t>
            </w:r>
            <w:r w:rsidR="005311D6" w:rsidRPr="001800B7">
              <w:rPr>
                <w:szCs w:val="22"/>
              </w:rPr>
              <w:t>’</w:t>
            </w:r>
            <w:r w:rsidRPr="001800B7">
              <w:rPr>
                <w:szCs w:val="22"/>
              </w:rPr>
              <w:t>IGC est portée par les débats avec les États membres dans le cadre du mandat et du programme de travail établis par l</w:t>
            </w:r>
            <w:r w:rsidR="005311D6" w:rsidRPr="001800B7">
              <w:rPr>
                <w:szCs w:val="22"/>
              </w:rPr>
              <w:t>’</w:t>
            </w:r>
            <w:r w:rsidRPr="001800B7">
              <w:rPr>
                <w:szCs w:val="22"/>
              </w:rPr>
              <w:t>Assemblée générale.  À la demande des États membres, le Secrétariat met à disposition de l</w:t>
            </w:r>
            <w:r w:rsidR="005311D6" w:rsidRPr="001800B7">
              <w:rPr>
                <w:szCs w:val="22"/>
              </w:rPr>
              <w:t>’</w:t>
            </w:r>
            <w:r w:rsidRPr="001800B7">
              <w:rPr>
                <w:szCs w:val="22"/>
              </w:rPr>
              <w:t>IGC ses ressources et son savoir</w:t>
            </w:r>
            <w:r w:rsidR="001800B7" w:rsidRPr="001800B7">
              <w:rPr>
                <w:szCs w:val="22"/>
              </w:rPr>
              <w:noBreakHyphen/>
            </w:r>
            <w:r w:rsidRPr="001800B7">
              <w:rPr>
                <w:szCs w:val="22"/>
              </w:rPr>
              <w:t>faire majeurs aux fins de faciliter les négociations et de créer un environnement propice à la conclusion d</w:t>
            </w:r>
            <w:r w:rsidR="005311D6" w:rsidRPr="001800B7">
              <w:rPr>
                <w:szCs w:val="22"/>
              </w:rPr>
              <w:t>’</w:t>
            </w:r>
            <w:r w:rsidRPr="001800B7">
              <w:rPr>
                <w:szCs w:val="22"/>
              </w:rPr>
              <w:t>accords.</w:t>
            </w:r>
          </w:p>
        </w:tc>
        <w:tc>
          <w:tcPr>
            <w:tcW w:w="8053" w:type="dxa"/>
            <w:shd w:val="clear" w:color="auto" w:fill="auto"/>
          </w:tcPr>
          <w:p w:rsidR="0010628F" w:rsidRPr="001800B7" w:rsidRDefault="0010628F" w:rsidP="00AC163C">
            <w:pPr>
              <w:spacing w:before="120" w:after="120"/>
              <w:rPr>
                <w:bCs/>
                <w:szCs w:val="22"/>
                <w:lang w:eastAsia="en-CA"/>
              </w:rPr>
            </w:pPr>
            <w:r w:rsidRPr="001800B7">
              <w:rPr>
                <w:bCs/>
                <w:szCs w:val="22"/>
                <w:lang w:eastAsia="en-CA"/>
              </w:rPr>
              <w:t>L</w:t>
            </w:r>
            <w:r w:rsidR="005311D6" w:rsidRPr="001800B7">
              <w:rPr>
                <w:bCs/>
                <w:szCs w:val="22"/>
                <w:lang w:eastAsia="en-CA"/>
              </w:rPr>
              <w:t>’</w:t>
            </w:r>
            <w:r w:rsidRPr="001800B7">
              <w:rPr>
                <w:bCs/>
                <w:szCs w:val="22"/>
                <w:lang w:eastAsia="en-CA"/>
              </w:rPr>
              <w:t>Assemblée générale de l</w:t>
            </w:r>
            <w:r w:rsidR="005311D6" w:rsidRPr="001800B7">
              <w:rPr>
                <w:bCs/>
                <w:szCs w:val="22"/>
                <w:lang w:eastAsia="en-CA"/>
              </w:rPr>
              <w:t>’</w:t>
            </w:r>
            <w:r w:rsidRPr="001800B7">
              <w:rPr>
                <w:bCs/>
                <w:szCs w:val="22"/>
                <w:lang w:eastAsia="en-CA"/>
              </w:rPr>
              <w:t>OMPI en 2013 a renouvelé le mandat de l</w:t>
            </w:r>
            <w:r w:rsidR="005311D6" w:rsidRPr="001800B7">
              <w:rPr>
                <w:bCs/>
                <w:szCs w:val="22"/>
                <w:lang w:eastAsia="en-CA"/>
              </w:rPr>
              <w:t>’</w:t>
            </w:r>
            <w:r w:rsidRPr="001800B7">
              <w:rPr>
                <w:bCs/>
                <w:szCs w:val="22"/>
                <w:lang w:eastAsia="en-CA"/>
              </w:rPr>
              <w:t>IGC pour la période biennale 2014</w:t>
            </w:r>
            <w:r w:rsidR="001800B7" w:rsidRPr="001800B7">
              <w:rPr>
                <w:bCs/>
                <w:szCs w:val="22"/>
                <w:lang w:eastAsia="en-CA"/>
              </w:rPr>
              <w:noBreakHyphen/>
            </w:r>
            <w:r w:rsidRPr="001800B7">
              <w:rPr>
                <w:bCs/>
                <w:szCs w:val="22"/>
                <w:lang w:eastAsia="en-CA"/>
              </w:rPr>
              <w:t>2015 et a décidé d</w:t>
            </w:r>
            <w:r w:rsidR="005311D6" w:rsidRPr="001800B7">
              <w:rPr>
                <w:bCs/>
                <w:szCs w:val="22"/>
                <w:lang w:eastAsia="en-CA"/>
              </w:rPr>
              <w:t>’</w:t>
            </w:r>
            <w:r w:rsidRPr="001800B7">
              <w:rPr>
                <w:bCs/>
                <w:szCs w:val="22"/>
                <w:lang w:eastAsia="en-CA"/>
              </w:rPr>
              <w:t>un programme de travail pour l</w:t>
            </w:r>
            <w:r w:rsidR="005311D6" w:rsidRPr="001800B7">
              <w:rPr>
                <w:bCs/>
                <w:szCs w:val="22"/>
                <w:lang w:eastAsia="en-CA"/>
              </w:rPr>
              <w:t>’</w:t>
            </w:r>
            <w:r w:rsidRPr="001800B7">
              <w:rPr>
                <w:bCs/>
                <w:szCs w:val="22"/>
                <w:lang w:eastAsia="en-CA"/>
              </w:rPr>
              <w:t>IGC en 2014.</w:t>
            </w:r>
          </w:p>
          <w:p w:rsidR="0010628F" w:rsidRPr="001800B7" w:rsidRDefault="0010628F" w:rsidP="00AC163C">
            <w:pPr>
              <w:autoSpaceDE w:val="0"/>
              <w:spacing w:before="120" w:after="120"/>
              <w:rPr>
                <w:szCs w:val="22"/>
              </w:rPr>
            </w:pPr>
            <w:r w:rsidRPr="001800B7">
              <w:rPr>
                <w:szCs w:val="22"/>
              </w:rPr>
              <w:t>L</w:t>
            </w:r>
            <w:r w:rsidR="005311D6" w:rsidRPr="001800B7">
              <w:rPr>
                <w:szCs w:val="22"/>
              </w:rPr>
              <w:t>’</w:t>
            </w:r>
            <w:r w:rsidRPr="001800B7">
              <w:rPr>
                <w:szCs w:val="22"/>
              </w:rPr>
              <w:t>IGC s</w:t>
            </w:r>
            <w:r w:rsidR="005311D6" w:rsidRPr="001800B7">
              <w:rPr>
                <w:szCs w:val="22"/>
              </w:rPr>
              <w:t>’</w:t>
            </w:r>
            <w:r w:rsidRPr="001800B7">
              <w:rPr>
                <w:szCs w:val="22"/>
              </w:rPr>
              <w:t>est réuni trois fois en 2014.  Pour de plus amples informations sur les réalisations liées à cette recommandation, prière de se référer :</w:t>
            </w:r>
          </w:p>
          <w:p w:rsidR="0010628F" w:rsidRPr="001800B7" w:rsidRDefault="0010628F" w:rsidP="00AC163C">
            <w:pPr>
              <w:autoSpaceDE w:val="0"/>
              <w:spacing w:before="120" w:after="120"/>
              <w:rPr>
                <w:szCs w:val="22"/>
              </w:rPr>
            </w:pPr>
            <w:r w:rsidRPr="001800B7">
              <w:rPr>
                <w:szCs w:val="22"/>
              </w:rPr>
              <w:t>a)</w:t>
            </w:r>
            <w:r w:rsidRPr="001800B7">
              <w:rPr>
                <w:szCs w:val="22"/>
              </w:rPr>
              <w:tab/>
              <w:t>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2013 (document WO/PBC/22/8), en particulier le programme 4;  et</w:t>
            </w:r>
          </w:p>
          <w:p w:rsidR="0010628F" w:rsidRPr="001800B7" w:rsidRDefault="0010628F" w:rsidP="00E3752D">
            <w:pPr>
              <w:autoSpaceDE w:val="0"/>
              <w:spacing w:before="120" w:after="120"/>
              <w:rPr>
                <w:szCs w:val="22"/>
              </w:rPr>
            </w:pPr>
            <w:r w:rsidRPr="001800B7">
              <w:rPr>
                <w:szCs w:val="22"/>
              </w:rPr>
              <w:t>b)</w:t>
            </w:r>
            <w:r w:rsidRPr="001800B7">
              <w:rPr>
                <w:szCs w:val="22"/>
              </w:rPr>
              <w:tab/>
              <w:t>au document WO/GA/46/6 intitulé “Questions concernant le Comité intergouvernemental de la propriété intellectuelle relative aux ressources génétiques, aux savoirs traditionnels et au folklore (IGC).</w:t>
            </w:r>
          </w:p>
        </w:tc>
      </w:tr>
    </w:tbl>
    <w:p w:rsidR="0010628F" w:rsidRPr="001800B7" w:rsidRDefault="0010628F" w:rsidP="0010628F">
      <w:pPr>
        <w:spacing w:before="120" w:after="120"/>
        <w:rPr>
          <w:b/>
          <w:szCs w:val="22"/>
        </w:rPr>
      </w:pPr>
    </w:p>
    <w:p w:rsidR="0010628F" w:rsidRPr="001800B7" w:rsidRDefault="0010628F" w:rsidP="00E3752D">
      <w:pPr>
        <w:rPr>
          <w:bCs/>
          <w:szCs w:val="22"/>
        </w:rPr>
      </w:pPr>
      <w:r w:rsidRPr="001800B7">
        <w:rPr>
          <w:b/>
          <w:szCs w:val="22"/>
        </w:rPr>
        <w:br w:type="page"/>
      </w:r>
      <w:r w:rsidRPr="001800B7">
        <w:rPr>
          <w:i/>
          <w:szCs w:val="22"/>
        </w:rPr>
        <w:lastRenderedPageBreak/>
        <w:t>Recommandation n° 19</w:t>
      </w:r>
      <w:r w:rsidRPr="001800B7">
        <w:rPr>
          <w:szCs w:val="22"/>
        </w:rPr>
        <w:t> :</w:t>
      </w:r>
      <w:r w:rsidRPr="001800B7">
        <w:rPr>
          <w:i/>
          <w:szCs w:val="22"/>
        </w:rPr>
        <w:t xml:space="preserve"> </w:t>
      </w:r>
      <w:r w:rsidRPr="001800B7">
        <w:rPr>
          <w:szCs w:val="22"/>
        </w:rPr>
        <w:t>Engager les discussions sur les moyens à mettre en œuvre, dans le cadre du mandat de l</w:t>
      </w:r>
      <w:r w:rsidR="005311D6" w:rsidRPr="001800B7">
        <w:rPr>
          <w:szCs w:val="22"/>
        </w:rPr>
        <w:t>’</w:t>
      </w:r>
      <w:r w:rsidRPr="001800B7">
        <w:rPr>
          <w:szCs w:val="22"/>
        </w:rPr>
        <w:t>OMPI, pour faciliter davantage l</w:t>
      </w:r>
      <w:r w:rsidR="005311D6" w:rsidRPr="001800B7">
        <w:rPr>
          <w:szCs w:val="22"/>
        </w:rPr>
        <w:t>’</w:t>
      </w:r>
      <w:r w:rsidRPr="001800B7">
        <w:rPr>
          <w:szCs w:val="22"/>
        </w:rPr>
        <w:t>accès des pays en développement et des PMA aux savoirs et à la technologie afin de stimuler la créativité et l</w:t>
      </w:r>
      <w:r w:rsidR="005311D6" w:rsidRPr="001800B7">
        <w:rPr>
          <w:szCs w:val="22"/>
        </w:rPr>
        <w:t>’</w:t>
      </w:r>
      <w:r w:rsidRPr="001800B7">
        <w:rPr>
          <w:szCs w:val="22"/>
        </w:rPr>
        <w:t>innovation et de renforcer les activités déjà entreprises dans ce domaine au sein de l</w:t>
      </w:r>
      <w:r w:rsidR="005311D6" w:rsidRPr="001800B7">
        <w:rPr>
          <w:szCs w:val="22"/>
        </w:rPr>
        <w:t>’</w:t>
      </w:r>
      <w:r w:rsidRPr="001800B7">
        <w:rPr>
          <w:szCs w:val="22"/>
        </w:rPr>
        <w:t>OMPI.</w:t>
      </w:r>
    </w:p>
    <w:p w:rsidR="0010628F" w:rsidRPr="001800B7" w:rsidRDefault="0010628F" w:rsidP="00E3752D">
      <w:pPr>
        <w:rPr>
          <w:bCs/>
          <w:szCs w:val="22"/>
        </w:rPr>
      </w:pPr>
    </w:p>
    <w:tbl>
      <w:tblPr>
        <w:tblW w:w="14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053"/>
      </w:tblGrid>
      <w:tr w:rsidR="001800B7" w:rsidRPr="001800B7" w:rsidTr="00E3752D">
        <w:tc>
          <w:tcPr>
            <w:tcW w:w="6379" w:type="dxa"/>
            <w:shd w:val="clear" w:color="auto" w:fill="auto"/>
          </w:tcPr>
          <w:p w:rsidR="0010628F" w:rsidRPr="001800B7" w:rsidRDefault="0010628F" w:rsidP="00AC163C">
            <w:pPr>
              <w:autoSpaceDE w:val="0"/>
              <w:spacing w:before="120" w:after="120"/>
              <w:outlineLvl w:val="2"/>
              <w:rPr>
                <w:bCs/>
                <w:szCs w:val="22"/>
                <w:u w:val="single"/>
              </w:rPr>
            </w:pPr>
            <w:r w:rsidRPr="001800B7">
              <w:rPr>
                <w:bCs/>
                <w:szCs w:val="22"/>
                <w:u w:val="single"/>
              </w:rPr>
              <w:t>Stratégies de mise en œuvre</w:t>
            </w:r>
          </w:p>
        </w:tc>
        <w:tc>
          <w:tcPr>
            <w:tcW w:w="8053" w:type="dxa"/>
            <w:shd w:val="clear" w:color="auto" w:fill="auto"/>
            <w:vAlign w:val="center"/>
          </w:tcPr>
          <w:p w:rsidR="0010628F" w:rsidRPr="001800B7" w:rsidRDefault="0010628F" w:rsidP="00E3752D">
            <w:pPr>
              <w:autoSpaceDE w:val="0"/>
              <w:spacing w:before="120" w:after="120"/>
              <w:outlineLvl w:val="2"/>
              <w:rPr>
                <w:szCs w:val="22"/>
              </w:rPr>
            </w:pPr>
            <w:r w:rsidRPr="001800B7">
              <w:rPr>
                <w:bCs/>
                <w:szCs w:val="22"/>
                <w:u w:val="single"/>
              </w:rPr>
              <w:t>Réalisations</w:t>
            </w:r>
          </w:p>
        </w:tc>
      </w:tr>
      <w:tr w:rsidR="001800B7" w:rsidRPr="001800B7" w:rsidTr="00E3752D">
        <w:tblPrEx>
          <w:tblCellMar>
            <w:top w:w="108" w:type="dxa"/>
            <w:bottom w:w="108" w:type="dxa"/>
          </w:tblCellMar>
        </w:tblPrEx>
        <w:tc>
          <w:tcPr>
            <w:tcW w:w="6379" w:type="dxa"/>
            <w:shd w:val="clear" w:color="auto" w:fill="auto"/>
          </w:tcPr>
          <w:p w:rsidR="0010628F" w:rsidRPr="001800B7" w:rsidRDefault="0010628F" w:rsidP="00E3752D">
            <w:pPr>
              <w:spacing w:before="120" w:after="100"/>
              <w:rPr>
                <w:szCs w:val="22"/>
              </w:rPr>
            </w:pPr>
            <w:r w:rsidRPr="001800B7">
              <w:rPr>
                <w:szCs w:val="22"/>
              </w:rPr>
              <w:t>Hormis la mise en œuvre de cette recommandation par les programmes 1, 3, 14, 15 et 18 tels qu</w:t>
            </w:r>
            <w:r w:rsidR="005311D6" w:rsidRPr="001800B7">
              <w:rPr>
                <w:szCs w:val="22"/>
              </w:rPr>
              <w:t>’</w:t>
            </w:r>
            <w:r w:rsidRPr="001800B7">
              <w:rPr>
                <w:szCs w:val="22"/>
              </w:rPr>
              <w:t>ils sont décrits dans le rapport sur l</w:t>
            </w:r>
            <w:r w:rsidR="005311D6" w:rsidRPr="001800B7">
              <w:rPr>
                <w:szCs w:val="22"/>
              </w:rPr>
              <w:t>’</w:t>
            </w:r>
            <w:r w:rsidRPr="001800B7">
              <w:rPr>
                <w:szCs w:val="22"/>
              </w:rPr>
              <w:t>exécution du programme pour 2012</w:t>
            </w:r>
            <w:r w:rsidR="001800B7" w:rsidRPr="001800B7">
              <w:rPr>
                <w:szCs w:val="22"/>
              </w:rPr>
              <w:noBreakHyphen/>
            </w:r>
            <w:r w:rsidRPr="001800B7">
              <w:rPr>
                <w:szCs w:val="22"/>
              </w:rPr>
              <w:t>2013, la recommandation n° 19 est couverte par les projets ci</w:t>
            </w:r>
            <w:r w:rsidR="001800B7" w:rsidRPr="001800B7">
              <w:rPr>
                <w:szCs w:val="22"/>
              </w:rPr>
              <w:noBreakHyphen/>
            </w:r>
            <w:r w:rsidRPr="001800B7">
              <w:rPr>
                <w:szCs w:val="22"/>
              </w:rPr>
              <w:t>après qu</w:t>
            </w:r>
            <w:r w:rsidR="005311D6" w:rsidRPr="001800B7">
              <w:rPr>
                <w:szCs w:val="22"/>
              </w:rPr>
              <w:t>’</w:t>
            </w:r>
            <w:r w:rsidRPr="001800B7">
              <w:rPr>
                <w:szCs w:val="22"/>
              </w:rPr>
              <w:t>a approuvés le Comité du développement et de la propriété intellectuelle (CDIP) :</w:t>
            </w:r>
          </w:p>
          <w:p w:rsidR="0010628F" w:rsidRPr="001800B7" w:rsidRDefault="0010628F" w:rsidP="00E3752D">
            <w:pPr>
              <w:numPr>
                <w:ilvl w:val="0"/>
                <w:numId w:val="14"/>
              </w:numPr>
              <w:autoSpaceDE w:val="0"/>
              <w:autoSpaceDN w:val="0"/>
              <w:adjustRightInd w:val="0"/>
              <w:spacing w:before="120" w:after="100"/>
              <w:rPr>
                <w:szCs w:val="22"/>
              </w:rPr>
            </w:pPr>
            <w:r w:rsidRPr="001800B7">
              <w:rPr>
                <w:szCs w:val="22"/>
              </w:rPr>
              <w:t>Projet relatif à la propriété intellectuelle, aux techniques de l</w:t>
            </w:r>
            <w:r w:rsidR="005311D6" w:rsidRPr="001800B7">
              <w:rPr>
                <w:szCs w:val="22"/>
              </w:rPr>
              <w:t>’</w:t>
            </w:r>
            <w:r w:rsidRPr="001800B7">
              <w:rPr>
                <w:szCs w:val="22"/>
              </w:rPr>
              <w:t>information et de la communication (TIC), à la fracture numérique et à l</w:t>
            </w:r>
            <w:r w:rsidR="005311D6" w:rsidRPr="001800B7">
              <w:rPr>
                <w:szCs w:val="22"/>
              </w:rPr>
              <w:t>’</w:t>
            </w:r>
            <w:r w:rsidRPr="001800B7">
              <w:rPr>
                <w:szCs w:val="22"/>
              </w:rPr>
              <w:t>accès au savoir (CDIP/4/5 </w:t>
            </w:r>
            <w:proofErr w:type="spellStart"/>
            <w:r w:rsidRPr="001800B7">
              <w:rPr>
                <w:szCs w:val="22"/>
              </w:rPr>
              <w:t>Rev</w:t>
            </w:r>
            <w:proofErr w:type="spellEnd"/>
            <w:r w:rsidRPr="001800B7">
              <w:rPr>
                <w:szCs w:val="22"/>
              </w:rPr>
              <w:t>.);</w:t>
            </w:r>
          </w:p>
          <w:p w:rsidR="0010628F" w:rsidRPr="001800B7" w:rsidRDefault="0010628F" w:rsidP="00E3752D">
            <w:pPr>
              <w:numPr>
                <w:ilvl w:val="0"/>
                <w:numId w:val="14"/>
              </w:numPr>
              <w:autoSpaceDE w:val="0"/>
              <w:autoSpaceDN w:val="0"/>
              <w:adjustRightInd w:val="0"/>
              <w:spacing w:before="120" w:after="100"/>
              <w:rPr>
                <w:szCs w:val="22"/>
              </w:rPr>
            </w:pPr>
            <w:r w:rsidRPr="001800B7">
              <w:rPr>
                <w:szCs w:val="22"/>
              </w:rPr>
              <w:t>Projet relatif à l</w:t>
            </w:r>
            <w:r w:rsidR="005311D6" w:rsidRPr="001800B7">
              <w:rPr>
                <w:szCs w:val="22"/>
              </w:rPr>
              <w:t>’</w:t>
            </w:r>
            <w:r w:rsidRPr="001800B7">
              <w:rPr>
                <w:szCs w:val="22"/>
              </w:rPr>
              <w:t>élaboration d</w:t>
            </w:r>
            <w:r w:rsidR="005311D6" w:rsidRPr="001800B7">
              <w:rPr>
                <w:szCs w:val="22"/>
              </w:rPr>
              <w:t>’</w:t>
            </w:r>
            <w:r w:rsidRPr="001800B7">
              <w:rPr>
                <w:szCs w:val="22"/>
              </w:rPr>
              <w:t>instruments permettant d</w:t>
            </w:r>
            <w:r w:rsidR="005311D6" w:rsidRPr="001800B7">
              <w:rPr>
                <w:szCs w:val="22"/>
              </w:rPr>
              <w:t>’</w:t>
            </w:r>
            <w:r w:rsidRPr="001800B7">
              <w:rPr>
                <w:szCs w:val="22"/>
              </w:rPr>
              <w:t>accéder à l</w:t>
            </w:r>
            <w:r w:rsidR="005311D6" w:rsidRPr="001800B7">
              <w:rPr>
                <w:szCs w:val="22"/>
              </w:rPr>
              <w:t>’</w:t>
            </w:r>
            <w:r w:rsidRPr="001800B7">
              <w:rPr>
                <w:szCs w:val="22"/>
              </w:rPr>
              <w:t>information en matière de brevets (CDIP/4/6);</w:t>
            </w:r>
          </w:p>
          <w:p w:rsidR="0010628F" w:rsidRPr="001800B7" w:rsidRDefault="0010628F" w:rsidP="00E3752D">
            <w:pPr>
              <w:numPr>
                <w:ilvl w:val="0"/>
                <w:numId w:val="14"/>
              </w:numPr>
              <w:autoSpaceDE w:val="0"/>
              <w:autoSpaceDN w:val="0"/>
              <w:adjustRightInd w:val="0"/>
              <w:spacing w:before="120" w:after="100"/>
              <w:rPr>
                <w:szCs w:val="22"/>
              </w:rPr>
            </w:pPr>
            <w:r w:rsidRPr="001800B7">
              <w:rPr>
                <w:szCs w:val="22"/>
              </w:rPr>
              <w:t>Projet relatif au renforcement des capacités d</w:t>
            </w:r>
            <w:r w:rsidR="005311D6" w:rsidRPr="001800B7">
              <w:rPr>
                <w:szCs w:val="22"/>
              </w:rPr>
              <w:t>’</w:t>
            </w:r>
            <w:r w:rsidRPr="001800B7">
              <w:rPr>
                <w:szCs w:val="22"/>
              </w:rPr>
              <w:t>utilisation de l</w:t>
            </w:r>
            <w:r w:rsidR="005311D6" w:rsidRPr="001800B7">
              <w:rPr>
                <w:szCs w:val="22"/>
              </w:rPr>
              <w:t>’</w:t>
            </w:r>
            <w:r w:rsidRPr="001800B7">
              <w:rPr>
                <w:szCs w:val="22"/>
              </w:rPr>
              <w:t>information technique et scientifique axée sur les technologies appropriées pour répondre à certains enjeux de développement (CDIP/5/6 </w:t>
            </w:r>
            <w:proofErr w:type="spellStart"/>
            <w:r w:rsidRPr="001800B7">
              <w:rPr>
                <w:szCs w:val="22"/>
              </w:rPr>
              <w:t>Rev</w:t>
            </w:r>
            <w:proofErr w:type="spellEnd"/>
            <w:r w:rsidRPr="001800B7">
              <w:rPr>
                <w:szCs w:val="22"/>
              </w:rPr>
              <w:t>.);</w:t>
            </w:r>
          </w:p>
          <w:p w:rsidR="0010628F" w:rsidRPr="001800B7" w:rsidRDefault="0010628F" w:rsidP="00E3752D">
            <w:pPr>
              <w:numPr>
                <w:ilvl w:val="0"/>
                <w:numId w:val="14"/>
              </w:numPr>
              <w:autoSpaceDE w:val="0"/>
              <w:autoSpaceDN w:val="0"/>
              <w:adjustRightInd w:val="0"/>
              <w:spacing w:before="120" w:after="100"/>
              <w:rPr>
                <w:szCs w:val="22"/>
              </w:rPr>
            </w:pPr>
            <w:r w:rsidRPr="001800B7">
              <w:rPr>
                <w:szCs w:val="22"/>
              </w:rPr>
              <w:t>Projet relatif à l</w:t>
            </w:r>
            <w:r w:rsidR="005311D6" w:rsidRPr="001800B7">
              <w:rPr>
                <w:szCs w:val="22"/>
              </w:rPr>
              <w:t>’</w:t>
            </w:r>
            <w:r w:rsidRPr="001800B7">
              <w:rPr>
                <w:szCs w:val="22"/>
              </w:rPr>
              <w:t>élaboration d</w:t>
            </w:r>
            <w:r w:rsidR="005311D6" w:rsidRPr="001800B7">
              <w:rPr>
                <w:szCs w:val="22"/>
              </w:rPr>
              <w:t>’</w:t>
            </w:r>
            <w:r w:rsidRPr="001800B7">
              <w:rPr>
                <w:szCs w:val="22"/>
              </w:rPr>
              <w:t>instruments permettant d</w:t>
            </w:r>
            <w:r w:rsidR="005311D6" w:rsidRPr="001800B7">
              <w:rPr>
                <w:szCs w:val="22"/>
              </w:rPr>
              <w:t>’</w:t>
            </w:r>
            <w:r w:rsidRPr="001800B7">
              <w:rPr>
                <w:szCs w:val="22"/>
              </w:rPr>
              <w:t>accéder à l</w:t>
            </w:r>
            <w:r w:rsidR="005311D6" w:rsidRPr="001800B7">
              <w:rPr>
                <w:szCs w:val="22"/>
              </w:rPr>
              <w:t>’</w:t>
            </w:r>
            <w:r w:rsidRPr="001800B7">
              <w:rPr>
                <w:szCs w:val="22"/>
              </w:rPr>
              <w:t>information en matière de brevets – phase II (CDIP/10/13);  et</w:t>
            </w:r>
          </w:p>
          <w:p w:rsidR="0010628F" w:rsidRDefault="0010628F" w:rsidP="0010628F">
            <w:pPr>
              <w:numPr>
                <w:ilvl w:val="0"/>
                <w:numId w:val="14"/>
              </w:numPr>
              <w:autoSpaceDE w:val="0"/>
              <w:autoSpaceDN w:val="0"/>
              <w:adjustRightInd w:val="0"/>
              <w:spacing w:before="120" w:after="120"/>
              <w:rPr>
                <w:szCs w:val="22"/>
              </w:rPr>
            </w:pPr>
            <w:r w:rsidRPr="001800B7">
              <w:rPr>
                <w:szCs w:val="22"/>
              </w:rPr>
              <w:t>Projet de renforcement de la coopération Sud</w:t>
            </w:r>
            <w:r w:rsidR="001800B7" w:rsidRPr="001800B7">
              <w:rPr>
                <w:szCs w:val="22"/>
              </w:rPr>
              <w:noBreakHyphen/>
            </w:r>
            <w:r w:rsidRPr="001800B7">
              <w:rPr>
                <w:szCs w:val="22"/>
              </w:rPr>
              <w:t>Sud dans le domaine de la propriété intellectuelle au service du développement parmi les pays en développement et les pays les moins avancés (CDIP/7/6).</w:t>
            </w:r>
          </w:p>
          <w:p w:rsidR="00B07654" w:rsidRPr="001800B7" w:rsidRDefault="00B07654" w:rsidP="00B07654">
            <w:pPr>
              <w:autoSpaceDE w:val="0"/>
              <w:autoSpaceDN w:val="0"/>
              <w:adjustRightInd w:val="0"/>
              <w:spacing w:before="120" w:after="120"/>
              <w:ind w:left="567"/>
              <w:rPr>
                <w:szCs w:val="22"/>
              </w:rPr>
            </w:pPr>
            <w:bookmarkStart w:id="6" w:name="_GoBack"/>
            <w:bookmarkEnd w:id="6"/>
          </w:p>
          <w:p w:rsidR="0010628F" w:rsidRPr="001800B7" w:rsidRDefault="0010628F" w:rsidP="00AC163C">
            <w:pPr>
              <w:autoSpaceDE w:val="0"/>
              <w:autoSpaceDN w:val="0"/>
              <w:adjustRightInd w:val="0"/>
              <w:spacing w:before="120" w:after="120"/>
              <w:rPr>
                <w:szCs w:val="22"/>
              </w:rPr>
            </w:pPr>
            <w:r w:rsidRPr="001800B7">
              <w:rPr>
                <w:szCs w:val="22"/>
              </w:rPr>
              <w:lastRenderedPageBreak/>
              <w:t>Cette recommandation est aussi traitée dans le cadre des projets suivants :</w:t>
            </w:r>
          </w:p>
          <w:p w:rsidR="0010628F" w:rsidRPr="001800B7" w:rsidRDefault="0010628F" w:rsidP="0010628F">
            <w:pPr>
              <w:pStyle w:val="ListParagraph"/>
              <w:numPr>
                <w:ilvl w:val="0"/>
                <w:numId w:val="16"/>
              </w:numPr>
              <w:autoSpaceDE w:val="0"/>
              <w:autoSpaceDN w:val="0"/>
              <w:adjustRightInd w:val="0"/>
              <w:spacing w:before="120" w:after="120"/>
              <w:ind w:left="612" w:firstLine="0"/>
              <w:contextualSpacing w:val="0"/>
              <w:rPr>
                <w:szCs w:val="22"/>
              </w:rPr>
            </w:pPr>
            <w:r w:rsidRPr="001800B7">
              <w:rPr>
                <w:szCs w:val="22"/>
              </w:rPr>
              <w:t>Projet relatif à la propriété intellectuelle et au transfert de technologie : élaborer des solutions face aux défis communs (CDIP/6/4 </w:t>
            </w:r>
            <w:proofErr w:type="spellStart"/>
            <w:r w:rsidRPr="001800B7">
              <w:rPr>
                <w:szCs w:val="22"/>
              </w:rPr>
              <w:t>Rev</w:t>
            </w:r>
            <w:proofErr w:type="spellEnd"/>
            <w:r w:rsidRPr="001800B7">
              <w:rPr>
                <w:szCs w:val="22"/>
              </w:rPr>
              <w:t>.) en cours d</w:t>
            </w:r>
            <w:r w:rsidR="005311D6" w:rsidRPr="001800B7">
              <w:rPr>
                <w:szCs w:val="22"/>
              </w:rPr>
              <w:t>’</w:t>
            </w:r>
            <w:r w:rsidRPr="001800B7">
              <w:rPr>
                <w:szCs w:val="22"/>
              </w:rPr>
              <w:t>exécution depuis janvier 2011;  et</w:t>
            </w:r>
          </w:p>
          <w:p w:rsidR="0010628F" w:rsidRPr="001800B7" w:rsidRDefault="0010628F" w:rsidP="00E3752D">
            <w:pPr>
              <w:pStyle w:val="ListParagraph"/>
              <w:numPr>
                <w:ilvl w:val="0"/>
                <w:numId w:val="16"/>
              </w:numPr>
              <w:autoSpaceDE w:val="0"/>
              <w:autoSpaceDN w:val="0"/>
              <w:adjustRightInd w:val="0"/>
              <w:spacing w:before="120" w:after="120"/>
              <w:ind w:left="612" w:firstLine="0"/>
              <w:contextualSpacing w:val="0"/>
              <w:rPr>
                <w:szCs w:val="22"/>
              </w:rPr>
            </w:pPr>
            <w:r w:rsidRPr="001800B7">
              <w:rPr>
                <w:szCs w:val="22"/>
              </w:rPr>
              <w:t>Projet relatif au renforcement des capacités d</w:t>
            </w:r>
            <w:r w:rsidR="005311D6" w:rsidRPr="001800B7">
              <w:rPr>
                <w:szCs w:val="22"/>
              </w:rPr>
              <w:t>’</w:t>
            </w:r>
            <w:r w:rsidRPr="001800B7">
              <w:rPr>
                <w:szCs w:val="22"/>
              </w:rPr>
              <w:t>utilisation de l</w:t>
            </w:r>
            <w:r w:rsidR="005311D6" w:rsidRPr="001800B7">
              <w:rPr>
                <w:szCs w:val="22"/>
              </w:rPr>
              <w:t>’</w:t>
            </w:r>
            <w:r w:rsidRPr="001800B7">
              <w:rPr>
                <w:szCs w:val="22"/>
              </w:rPr>
              <w:t>information technique et scientifique axée sur les technologies appropriées pour répondre à certains enjeux de développement – phase II (CDIP/13/9), en cours d</w:t>
            </w:r>
            <w:r w:rsidR="005311D6" w:rsidRPr="001800B7">
              <w:rPr>
                <w:szCs w:val="22"/>
              </w:rPr>
              <w:t>’</w:t>
            </w:r>
            <w:r w:rsidRPr="001800B7">
              <w:rPr>
                <w:szCs w:val="22"/>
              </w:rPr>
              <w:t>application depuis juin 2014.</w:t>
            </w:r>
          </w:p>
        </w:tc>
        <w:tc>
          <w:tcPr>
            <w:tcW w:w="8053" w:type="dxa"/>
            <w:shd w:val="clear" w:color="auto" w:fill="auto"/>
          </w:tcPr>
          <w:p w:rsidR="0010628F" w:rsidRPr="001800B7" w:rsidRDefault="0010628F" w:rsidP="00AC163C">
            <w:pPr>
              <w:spacing w:before="120" w:after="120"/>
              <w:rPr>
                <w:szCs w:val="22"/>
              </w:rPr>
            </w:pPr>
            <w:r w:rsidRPr="001800B7">
              <w:rPr>
                <w:szCs w:val="22"/>
              </w:rPr>
              <w:lastRenderedPageBreak/>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réalisations liées à cette recommandation de 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2013 (document WO/GA/22/8), en particulier les programmes 1, 3, 9, 14 et 15.</w:t>
            </w:r>
          </w:p>
          <w:p w:rsidR="0010628F" w:rsidRPr="001800B7" w:rsidRDefault="0010628F" w:rsidP="00AC163C">
            <w:pPr>
              <w:spacing w:before="120" w:after="120"/>
              <w:rPr>
                <w:szCs w:val="22"/>
              </w:rPr>
            </w:pPr>
            <w:r w:rsidRPr="001800B7">
              <w:rPr>
                <w:szCs w:val="22"/>
              </w:rPr>
              <w:t>Pour plus d</w:t>
            </w:r>
            <w:r w:rsidR="005311D6" w:rsidRPr="001800B7">
              <w:rPr>
                <w:szCs w:val="22"/>
              </w:rPr>
              <w:t>’</w:t>
            </w:r>
            <w:r w:rsidRPr="001800B7">
              <w:rPr>
                <w:szCs w:val="22"/>
              </w:rPr>
              <w:t>informations, veuillez</w:t>
            </w:r>
            <w:r w:rsidR="001800B7" w:rsidRPr="001800B7">
              <w:rPr>
                <w:szCs w:val="22"/>
              </w:rPr>
              <w:noBreakHyphen/>
            </w:r>
            <w:r w:rsidRPr="001800B7">
              <w:rPr>
                <w:szCs w:val="22"/>
              </w:rPr>
              <w:t>vous reporter aux rapports d</w:t>
            </w:r>
            <w:r w:rsidR="005311D6" w:rsidRPr="001800B7">
              <w:rPr>
                <w:szCs w:val="22"/>
              </w:rPr>
              <w:t>’</w:t>
            </w:r>
            <w:r w:rsidRPr="001800B7">
              <w:rPr>
                <w:szCs w:val="22"/>
              </w:rPr>
              <w:t>évaluation des projets relatifs à la propriété intellectuelle, aux techniques de l</w:t>
            </w:r>
            <w:r w:rsidR="005311D6" w:rsidRPr="001800B7">
              <w:rPr>
                <w:szCs w:val="22"/>
              </w:rPr>
              <w:t>’</w:t>
            </w:r>
            <w:r w:rsidRPr="001800B7">
              <w:rPr>
                <w:szCs w:val="22"/>
              </w:rPr>
              <w:t>information et de la communication (TIC), à la fracture numérique et à l</w:t>
            </w:r>
            <w:r w:rsidR="005311D6" w:rsidRPr="001800B7">
              <w:rPr>
                <w:szCs w:val="22"/>
              </w:rPr>
              <w:t>’</w:t>
            </w:r>
            <w:r w:rsidRPr="001800B7">
              <w:rPr>
                <w:szCs w:val="22"/>
              </w:rPr>
              <w:t xml:space="preserve">accès au savoir figurant dans le document CDIP/10/5, </w:t>
            </w:r>
            <w:proofErr w:type="spellStart"/>
            <w:r w:rsidRPr="001800B7">
              <w:rPr>
                <w:szCs w:val="22"/>
              </w:rPr>
              <w:t>auProjet</w:t>
            </w:r>
            <w:proofErr w:type="spellEnd"/>
            <w:r w:rsidRPr="001800B7">
              <w:rPr>
                <w:szCs w:val="22"/>
              </w:rPr>
              <w:t xml:space="preserve"> relatif à l</w:t>
            </w:r>
            <w:r w:rsidR="005311D6" w:rsidRPr="001800B7">
              <w:rPr>
                <w:szCs w:val="22"/>
              </w:rPr>
              <w:t>’</w:t>
            </w:r>
            <w:r w:rsidRPr="001800B7">
              <w:rPr>
                <w:szCs w:val="22"/>
              </w:rPr>
              <w:t>élaboration d</w:t>
            </w:r>
            <w:r w:rsidR="005311D6" w:rsidRPr="001800B7">
              <w:rPr>
                <w:szCs w:val="22"/>
              </w:rPr>
              <w:t>’</w:t>
            </w:r>
            <w:r w:rsidRPr="001800B7">
              <w:rPr>
                <w:szCs w:val="22"/>
              </w:rPr>
              <w:t>instruments permettant d</w:t>
            </w:r>
            <w:r w:rsidR="005311D6" w:rsidRPr="001800B7">
              <w:rPr>
                <w:szCs w:val="22"/>
              </w:rPr>
              <w:t>’</w:t>
            </w:r>
            <w:r w:rsidRPr="001800B7">
              <w:rPr>
                <w:szCs w:val="22"/>
              </w:rPr>
              <w:t>accéder à l</w:t>
            </w:r>
            <w:r w:rsidR="005311D6" w:rsidRPr="001800B7">
              <w:rPr>
                <w:szCs w:val="22"/>
              </w:rPr>
              <w:t>’</w:t>
            </w:r>
            <w:r w:rsidRPr="001800B7">
              <w:rPr>
                <w:szCs w:val="22"/>
              </w:rPr>
              <w:t>information en matière de brevets (document (CDIP/10/6), au Projet relatif au renforcement des capacités d</w:t>
            </w:r>
            <w:r w:rsidR="005311D6" w:rsidRPr="001800B7">
              <w:rPr>
                <w:szCs w:val="22"/>
              </w:rPr>
              <w:t>’</w:t>
            </w:r>
            <w:r w:rsidRPr="001800B7">
              <w:rPr>
                <w:szCs w:val="22"/>
              </w:rPr>
              <w:t>utilisation de l</w:t>
            </w:r>
            <w:r w:rsidR="005311D6" w:rsidRPr="001800B7">
              <w:rPr>
                <w:szCs w:val="22"/>
              </w:rPr>
              <w:t>’</w:t>
            </w:r>
            <w:r w:rsidRPr="001800B7">
              <w:rPr>
                <w:szCs w:val="22"/>
              </w:rPr>
              <w:t xml:space="preserve">information technique et scientifique axée sur les technologies appropriées pour répondre à certains enjeux de développement (document CDIP/12/3), au Projet de renforcement de la coopération Sud </w:t>
            </w:r>
            <w:proofErr w:type="spellStart"/>
            <w:r w:rsidRPr="001800B7">
              <w:rPr>
                <w:szCs w:val="22"/>
              </w:rPr>
              <w:t>Sud</w:t>
            </w:r>
            <w:proofErr w:type="spellEnd"/>
            <w:r w:rsidRPr="001800B7">
              <w:rPr>
                <w:szCs w:val="22"/>
              </w:rPr>
              <w:t xml:space="preserve"> dans le domaine de la propriété intellectuelle au service du développement parmi les pays en développement et les pays les moins avancés (CDIP/13/4),et au Projet relatif à l</w:t>
            </w:r>
            <w:r w:rsidR="005311D6" w:rsidRPr="001800B7">
              <w:rPr>
                <w:szCs w:val="22"/>
              </w:rPr>
              <w:t>’</w:t>
            </w:r>
            <w:r w:rsidRPr="001800B7">
              <w:rPr>
                <w:szCs w:val="22"/>
              </w:rPr>
              <w:t>élaboration d</w:t>
            </w:r>
            <w:r w:rsidR="005311D6" w:rsidRPr="001800B7">
              <w:rPr>
                <w:szCs w:val="22"/>
              </w:rPr>
              <w:t>’</w:t>
            </w:r>
            <w:r w:rsidRPr="001800B7">
              <w:rPr>
                <w:szCs w:val="22"/>
              </w:rPr>
              <w:t>instruments permettant d</w:t>
            </w:r>
            <w:r w:rsidR="005311D6" w:rsidRPr="001800B7">
              <w:rPr>
                <w:szCs w:val="22"/>
              </w:rPr>
              <w:t>’</w:t>
            </w:r>
            <w:r w:rsidRPr="001800B7">
              <w:rPr>
                <w:szCs w:val="22"/>
              </w:rPr>
              <w:t>accéder à l</w:t>
            </w:r>
            <w:r w:rsidR="005311D6" w:rsidRPr="001800B7">
              <w:rPr>
                <w:szCs w:val="22"/>
              </w:rPr>
              <w:t>’</w:t>
            </w:r>
            <w:r w:rsidRPr="001800B7">
              <w:rPr>
                <w:szCs w:val="22"/>
              </w:rPr>
              <w:t>information en matière de brevets – Phase II (qui sera présenté à la présente session du Comité).</w:t>
            </w:r>
          </w:p>
          <w:p w:rsidR="0010628F" w:rsidRPr="001800B7" w:rsidRDefault="0010628F" w:rsidP="00E3752D">
            <w:pPr>
              <w:spacing w:before="120" w:after="120"/>
              <w:rPr>
                <w:b/>
                <w:szCs w:val="22"/>
              </w:rPr>
            </w:pPr>
            <w:r w:rsidRPr="001800B7">
              <w:rPr>
                <w:szCs w:val="22"/>
              </w:rPr>
              <w:t>.  En outre, prière de se référer aux rapports sur l</w:t>
            </w:r>
            <w:r w:rsidR="005311D6" w:rsidRPr="001800B7">
              <w:rPr>
                <w:szCs w:val="22"/>
              </w:rPr>
              <w:t>’</w:t>
            </w:r>
            <w:r w:rsidRPr="001800B7">
              <w:rPr>
                <w:szCs w:val="22"/>
              </w:rPr>
              <w:t>état d</w:t>
            </w:r>
            <w:r w:rsidR="005311D6" w:rsidRPr="001800B7">
              <w:rPr>
                <w:szCs w:val="22"/>
              </w:rPr>
              <w:t>’</w:t>
            </w:r>
            <w:r w:rsidRPr="001800B7">
              <w:rPr>
                <w:szCs w:val="22"/>
              </w:rPr>
              <w:t>avancement des deux projets restants qui figurent aux annexes II et VII respectivement du présent document.</w:t>
            </w:r>
          </w:p>
        </w:tc>
      </w:tr>
    </w:tbl>
    <w:p w:rsidR="0010628F" w:rsidRPr="001800B7" w:rsidRDefault="0010628F" w:rsidP="0010628F">
      <w:pPr>
        <w:spacing w:before="120" w:after="120"/>
        <w:rPr>
          <w:b/>
          <w:szCs w:val="22"/>
        </w:rPr>
      </w:pPr>
    </w:p>
    <w:p w:rsidR="0010628F" w:rsidRPr="001800B7" w:rsidRDefault="0010628F" w:rsidP="00E3752D">
      <w:pPr>
        <w:rPr>
          <w:bCs/>
          <w:szCs w:val="22"/>
        </w:rPr>
      </w:pPr>
      <w:r w:rsidRPr="001800B7">
        <w:rPr>
          <w:b/>
          <w:szCs w:val="22"/>
        </w:rPr>
        <w:br w:type="page"/>
      </w:r>
      <w:r w:rsidRPr="001800B7">
        <w:rPr>
          <w:i/>
          <w:szCs w:val="22"/>
        </w:rPr>
        <w:lastRenderedPageBreak/>
        <w:t>Recommandation n° 35 :</w:t>
      </w:r>
      <w:r w:rsidRPr="001800B7">
        <w:rPr>
          <w:szCs w:val="22"/>
        </w:rPr>
        <w:t xml:space="preserve"> Demander à l</w:t>
      </w:r>
      <w:r w:rsidR="005311D6" w:rsidRPr="001800B7">
        <w:rPr>
          <w:szCs w:val="22"/>
        </w:rPr>
        <w:t>’</w:t>
      </w:r>
      <w:r w:rsidRPr="001800B7">
        <w:rPr>
          <w:szCs w:val="22"/>
        </w:rPr>
        <w:t>OMPI de réaliser, à la demande des États membres, de nouvelles études pour évaluer l</w:t>
      </w:r>
      <w:r w:rsidR="005311D6" w:rsidRPr="001800B7">
        <w:rPr>
          <w:szCs w:val="22"/>
        </w:rPr>
        <w:t>’</w:t>
      </w:r>
      <w:r w:rsidRPr="001800B7">
        <w:rPr>
          <w:szCs w:val="22"/>
        </w:rPr>
        <w:t>incidence économique, sociale et culturelle de l</w:t>
      </w:r>
      <w:r w:rsidR="005311D6" w:rsidRPr="001800B7">
        <w:rPr>
          <w:szCs w:val="22"/>
        </w:rPr>
        <w:t>’</w:t>
      </w:r>
      <w:r w:rsidRPr="001800B7">
        <w:rPr>
          <w:szCs w:val="22"/>
        </w:rPr>
        <w:t>utilisation des systèmes de propriété intellectuelle dans ces États</w:t>
      </w:r>
      <w:r w:rsidRPr="001800B7">
        <w:rPr>
          <w:i/>
          <w:szCs w:val="22"/>
        </w:rPr>
        <w:t>.</w:t>
      </w:r>
    </w:p>
    <w:p w:rsidR="00E3752D" w:rsidRPr="001800B7" w:rsidRDefault="00E3752D" w:rsidP="00E3752D">
      <w:pPr>
        <w:rPr>
          <w:bCs/>
          <w:i/>
          <w:szCs w:val="22"/>
        </w:rPr>
      </w:pPr>
    </w:p>
    <w:p w:rsidR="0010628F" w:rsidRPr="001800B7" w:rsidRDefault="0010628F" w:rsidP="00E3752D">
      <w:pPr>
        <w:rPr>
          <w:bCs/>
          <w:szCs w:val="22"/>
        </w:rPr>
      </w:pPr>
      <w:r w:rsidRPr="001800B7">
        <w:rPr>
          <w:bCs/>
          <w:i/>
          <w:szCs w:val="22"/>
        </w:rPr>
        <w:t>Recommandation n° 37 :</w:t>
      </w:r>
      <w:r w:rsidRPr="001800B7">
        <w:rPr>
          <w:bCs/>
          <w:szCs w:val="22"/>
        </w:rPr>
        <w:t xml:space="preserve"> À la demande des États membres et selon leurs instructions, l</w:t>
      </w:r>
      <w:r w:rsidR="005311D6" w:rsidRPr="001800B7">
        <w:rPr>
          <w:bCs/>
          <w:szCs w:val="22"/>
        </w:rPr>
        <w:t>’</w:t>
      </w:r>
      <w:r w:rsidRPr="001800B7">
        <w:rPr>
          <w:bCs/>
          <w:szCs w:val="22"/>
        </w:rPr>
        <w:t>OMPI peut réaliser des études sur la protection de la propriété intellectuelle afin de déterminer les liens et les incidences possibles entre propriété intellectuelle et développement.</w:t>
      </w:r>
    </w:p>
    <w:p w:rsidR="0010628F" w:rsidRPr="001800B7" w:rsidRDefault="0010628F" w:rsidP="00E3752D">
      <w:pPr>
        <w:rPr>
          <w:bCs/>
          <w:szCs w:val="22"/>
        </w:rPr>
      </w:pPr>
    </w:p>
    <w:tbl>
      <w:tblPr>
        <w:tblW w:w="14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053"/>
      </w:tblGrid>
      <w:tr w:rsidR="001800B7" w:rsidRPr="001800B7" w:rsidTr="00814E37">
        <w:trPr>
          <w:trHeight w:val="392"/>
        </w:trPr>
        <w:tc>
          <w:tcPr>
            <w:tcW w:w="6379" w:type="dxa"/>
            <w:shd w:val="clear" w:color="auto" w:fill="auto"/>
            <w:vAlign w:val="center"/>
          </w:tcPr>
          <w:p w:rsidR="0010628F" w:rsidRPr="001800B7" w:rsidRDefault="0010628F" w:rsidP="00E3752D">
            <w:pPr>
              <w:pStyle w:val="Heading3"/>
              <w:keepNext w:val="0"/>
              <w:spacing w:before="120" w:after="120"/>
              <w:rPr>
                <w:szCs w:val="22"/>
              </w:rPr>
            </w:pPr>
            <w:r w:rsidRPr="001800B7">
              <w:rPr>
                <w:szCs w:val="22"/>
              </w:rPr>
              <w:t>Stratégies de mise en œuvre</w:t>
            </w:r>
          </w:p>
        </w:tc>
        <w:tc>
          <w:tcPr>
            <w:tcW w:w="8053" w:type="dxa"/>
            <w:shd w:val="clear" w:color="auto" w:fill="auto"/>
            <w:vAlign w:val="center"/>
          </w:tcPr>
          <w:p w:rsidR="0010628F" w:rsidRPr="001800B7" w:rsidRDefault="0010628F" w:rsidP="00E3752D">
            <w:pPr>
              <w:pStyle w:val="Heading3"/>
              <w:keepNext w:val="0"/>
              <w:spacing w:before="120" w:after="120"/>
              <w:rPr>
                <w:szCs w:val="22"/>
              </w:rPr>
            </w:pPr>
            <w:r w:rsidRPr="001800B7">
              <w:rPr>
                <w:szCs w:val="22"/>
              </w:rPr>
              <w:t>Réalisations</w:t>
            </w:r>
          </w:p>
        </w:tc>
      </w:tr>
      <w:tr w:rsidR="001800B7" w:rsidRPr="001800B7" w:rsidTr="00814E37">
        <w:tblPrEx>
          <w:tblCellMar>
            <w:top w:w="108" w:type="dxa"/>
            <w:bottom w:w="108" w:type="dxa"/>
          </w:tblCellMar>
        </w:tblPrEx>
        <w:trPr>
          <w:trHeight w:val="990"/>
        </w:trPr>
        <w:tc>
          <w:tcPr>
            <w:tcW w:w="6379" w:type="dxa"/>
            <w:shd w:val="clear" w:color="auto" w:fill="auto"/>
          </w:tcPr>
          <w:p w:rsidR="0010628F" w:rsidRPr="001800B7" w:rsidRDefault="0010628F" w:rsidP="00814E37">
            <w:pPr>
              <w:spacing w:before="120" w:after="120"/>
              <w:rPr>
                <w:szCs w:val="22"/>
              </w:rPr>
            </w:pPr>
            <w:r w:rsidRPr="001800B7">
              <w:rPr>
                <w:szCs w:val="22"/>
              </w:rPr>
              <w:t>Renforcement des capacités des économistes, en particulier dans les pays en développement et les pays en transition, en matière de recherche économique empirique sur la propriété intellectuelle.</w:t>
            </w:r>
          </w:p>
        </w:tc>
        <w:tc>
          <w:tcPr>
            <w:tcW w:w="8053" w:type="dxa"/>
            <w:shd w:val="clear" w:color="auto" w:fill="auto"/>
          </w:tcPr>
          <w:p w:rsidR="0010628F" w:rsidRPr="001800B7" w:rsidRDefault="0010628F" w:rsidP="00AC163C">
            <w:pPr>
              <w:spacing w:before="120" w:after="120"/>
              <w:rPr>
                <w:szCs w:val="22"/>
              </w:rPr>
            </w:pPr>
            <w:r w:rsidRPr="001800B7">
              <w:rPr>
                <w:szCs w:val="22"/>
              </w:rPr>
              <w:t>Publication du rapport analytique axé sur l</w:t>
            </w:r>
            <w:r w:rsidR="005311D6" w:rsidRPr="001800B7">
              <w:rPr>
                <w:szCs w:val="22"/>
              </w:rPr>
              <w:t>’</w:t>
            </w:r>
            <w:r w:rsidRPr="001800B7">
              <w:rPr>
                <w:szCs w:val="22"/>
              </w:rPr>
              <w:t>économie intitulé “Rapport de 2013 sur la propriété intellectuelle dans le monde – Marques : réputation et image sur le marché mondial.</w:t>
            </w:r>
          </w:p>
          <w:p w:rsidR="0010628F" w:rsidRPr="001800B7" w:rsidRDefault="0010628F" w:rsidP="00814E37">
            <w:pPr>
              <w:spacing w:before="120" w:after="120"/>
              <w:rPr>
                <w:szCs w:val="22"/>
              </w:rPr>
            </w:pPr>
            <w:r w:rsidRPr="001800B7">
              <w:rPr>
                <w:szCs w:val="22"/>
              </w:rPr>
              <w:t>Publication de sept documents de travail économiques sur différents aspects de la propriété intellectuelle et la performance économique.</w:t>
            </w:r>
          </w:p>
        </w:tc>
      </w:tr>
      <w:tr w:rsidR="001800B7" w:rsidRPr="001800B7" w:rsidTr="00814E37">
        <w:tblPrEx>
          <w:tblCellMar>
            <w:top w:w="108" w:type="dxa"/>
            <w:bottom w:w="108" w:type="dxa"/>
          </w:tblCellMar>
        </w:tblPrEx>
        <w:tc>
          <w:tcPr>
            <w:tcW w:w="6379" w:type="dxa"/>
            <w:shd w:val="clear" w:color="auto" w:fill="auto"/>
          </w:tcPr>
          <w:p w:rsidR="0010628F" w:rsidRPr="001800B7" w:rsidRDefault="0010628F" w:rsidP="00814E37">
            <w:pPr>
              <w:spacing w:before="120" w:after="120"/>
              <w:rPr>
                <w:szCs w:val="22"/>
              </w:rPr>
            </w:pPr>
            <w:r w:rsidRPr="001800B7">
              <w:rPr>
                <w:szCs w:val="22"/>
              </w:rPr>
              <w:t>Élaboration de documents de référence offrant une synthèse de la recherche économique empirique sur les droits de propriété intellectuelle, tout en recensant les lacunes en matière de recherche et en définissant de nouveaux domaines de recherche possibles dans l</w:t>
            </w:r>
            <w:r w:rsidR="005311D6" w:rsidRPr="001800B7">
              <w:rPr>
                <w:szCs w:val="22"/>
              </w:rPr>
              <w:t>’</w:t>
            </w:r>
            <w:r w:rsidRPr="001800B7">
              <w:rPr>
                <w:szCs w:val="22"/>
              </w:rPr>
              <w:t>avenir.</w:t>
            </w:r>
          </w:p>
        </w:tc>
        <w:tc>
          <w:tcPr>
            <w:tcW w:w="8053" w:type="dxa"/>
            <w:shd w:val="clear" w:color="auto" w:fill="auto"/>
          </w:tcPr>
          <w:p w:rsidR="0010628F" w:rsidRPr="001800B7" w:rsidRDefault="0010628F" w:rsidP="00AC163C">
            <w:pPr>
              <w:spacing w:before="120" w:after="120"/>
              <w:rPr>
                <w:szCs w:val="22"/>
              </w:rPr>
            </w:pPr>
            <w:r w:rsidRPr="001800B7">
              <w:rPr>
                <w:szCs w:val="22"/>
              </w:rPr>
              <w:t>Publication de la nouvelle base de données d</w:t>
            </w:r>
            <w:r w:rsidR="005311D6" w:rsidRPr="001800B7">
              <w:rPr>
                <w:szCs w:val="22"/>
              </w:rPr>
              <w:t>’</w:t>
            </w:r>
            <w:r w:rsidRPr="001800B7">
              <w:rPr>
                <w:szCs w:val="22"/>
              </w:rPr>
              <w:t>ouvrages économiques sur le site Web de l</w:t>
            </w:r>
            <w:r w:rsidR="005311D6" w:rsidRPr="001800B7">
              <w:rPr>
                <w:szCs w:val="22"/>
              </w:rPr>
              <w:t>’</w:t>
            </w:r>
            <w:r w:rsidRPr="001800B7">
              <w:rPr>
                <w:szCs w:val="22"/>
              </w:rPr>
              <w:t>OMPI, qui donne une vue d</w:t>
            </w:r>
            <w:r w:rsidR="005311D6" w:rsidRPr="001800B7">
              <w:rPr>
                <w:szCs w:val="22"/>
              </w:rPr>
              <w:t>’</w:t>
            </w:r>
            <w:r w:rsidRPr="001800B7">
              <w:rPr>
                <w:szCs w:val="22"/>
              </w:rPr>
              <w:t>ensemble des principaux ouvrages universitaires qui ont influencé la pensée en ce qui concerne les aspects économiques de la propriété intellectuelle.  Cette base de données est un excellent point de départ pour les chercheurs, les responsables politiques et tous ceux qui s</w:t>
            </w:r>
            <w:r w:rsidR="005311D6" w:rsidRPr="001800B7">
              <w:rPr>
                <w:szCs w:val="22"/>
              </w:rPr>
              <w:t>’</w:t>
            </w:r>
            <w:r w:rsidRPr="001800B7">
              <w:rPr>
                <w:szCs w:val="22"/>
              </w:rPr>
              <w:t>intéressent aux aspects économiques de la propriété intellectuelle.</w:t>
            </w:r>
          </w:p>
        </w:tc>
      </w:tr>
      <w:tr w:rsidR="001800B7" w:rsidRPr="001800B7" w:rsidTr="00814E37">
        <w:tblPrEx>
          <w:tblCellMar>
            <w:top w:w="108" w:type="dxa"/>
            <w:bottom w:w="108" w:type="dxa"/>
          </w:tblCellMar>
        </w:tblPrEx>
        <w:tc>
          <w:tcPr>
            <w:tcW w:w="6379" w:type="dxa"/>
            <w:shd w:val="clear" w:color="auto" w:fill="auto"/>
          </w:tcPr>
          <w:p w:rsidR="0010628F" w:rsidRPr="001800B7" w:rsidRDefault="0010628F" w:rsidP="00AC163C">
            <w:pPr>
              <w:spacing w:before="120" w:after="120"/>
              <w:rPr>
                <w:szCs w:val="22"/>
              </w:rPr>
            </w:pPr>
            <w:r w:rsidRPr="001800B7">
              <w:rPr>
                <w:szCs w:val="22"/>
              </w:rPr>
              <w:t>Ces recommandations ont été directement couvertes par le projet intitulé “Projet relatif à la propriété intellectuelle et au développement socioéconomique” (Projet DA_35_37_01 figurant dans le document CDIP/5/7 </w:t>
            </w:r>
            <w:proofErr w:type="spellStart"/>
            <w:r w:rsidRPr="001800B7">
              <w:rPr>
                <w:szCs w:val="22"/>
              </w:rPr>
              <w:t>Rev</w:t>
            </w:r>
            <w:proofErr w:type="spellEnd"/>
            <w:r w:rsidRPr="001800B7">
              <w:rPr>
                <w:szCs w:val="22"/>
              </w:rPr>
              <w:t>.).</w:t>
            </w:r>
          </w:p>
        </w:tc>
        <w:tc>
          <w:tcPr>
            <w:tcW w:w="8053" w:type="dxa"/>
            <w:shd w:val="clear" w:color="auto" w:fill="auto"/>
          </w:tcPr>
          <w:p w:rsidR="0010628F" w:rsidRPr="001800B7" w:rsidRDefault="0010628F" w:rsidP="00AC163C">
            <w:pPr>
              <w:spacing w:before="120" w:after="120"/>
              <w:rPr>
                <w:szCs w:val="22"/>
              </w:rPr>
            </w:pPr>
            <w:r w:rsidRPr="001800B7">
              <w:rPr>
                <w:szCs w:val="22"/>
              </w:rPr>
              <w:t>Projet achevé.  Un rapport d</w:t>
            </w:r>
            <w:r w:rsidR="005311D6" w:rsidRPr="001800B7">
              <w:rPr>
                <w:szCs w:val="22"/>
              </w:rPr>
              <w:t>’</w:t>
            </w:r>
            <w:r w:rsidRPr="001800B7">
              <w:rPr>
                <w:szCs w:val="22"/>
              </w:rPr>
              <w:t>évaluation du projet sera présenté à la session en cours du comité.</w:t>
            </w:r>
          </w:p>
          <w:p w:rsidR="0010628F" w:rsidRPr="001800B7" w:rsidRDefault="0010628F" w:rsidP="00AC163C">
            <w:pPr>
              <w:spacing w:before="120" w:after="120"/>
              <w:rPr>
                <w:szCs w:val="22"/>
              </w:rPr>
            </w:pPr>
            <w:r w:rsidRPr="001800B7">
              <w:rPr>
                <w:szCs w:val="22"/>
              </w:rPr>
              <w:t>En dehors des activités qui figurent dans la base de données de l</w:t>
            </w:r>
            <w:r w:rsidR="005311D6" w:rsidRPr="001800B7">
              <w:rPr>
                <w:szCs w:val="22"/>
              </w:rPr>
              <w:t>’</w:t>
            </w:r>
            <w:r w:rsidRPr="001800B7">
              <w:rPr>
                <w:szCs w:val="22"/>
              </w:rPr>
              <w:t>assistance technique en matière de propriété intellectuelle (IP</w:t>
            </w:r>
            <w:r w:rsidR="001800B7" w:rsidRPr="001800B7">
              <w:rPr>
                <w:szCs w:val="22"/>
              </w:rPr>
              <w:noBreakHyphen/>
            </w:r>
            <w:r w:rsidRPr="001800B7">
              <w:rPr>
                <w:szCs w:val="22"/>
              </w:rPr>
              <w:t>TAD), prière pour obtenir de plus amples informations sur les réalisations liées à ces recommandations de se référer au rapport sur l</w:t>
            </w:r>
            <w:r w:rsidR="005311D6" w:rsidRPr="001800B7">
              <w:rPr>
                <w:szCs w:val="22"/>
              </w:rPr>
              <w:t>’</w:t>
            </w:r>
            <w:r w:rsidRPr="001800B7">
              <w:rPr>
                <w:szCs w:val="22"/>
              </w:rPr>
              <w:t>exécution du programme en 2012</w:t>
            </w:r>
            <w:r w:rsidR="001800B7" w:rsidRPr="001800B7">
              <w:rPr>
                <w:szCs w:val="22"/>
              </w:rPr>
              <w:noBreakHyphen/>
            </w:r>
            <w:r w:rsidRPr="001800B7">
              <w:rPr>
                <w:szCs w:val="22"/>
              </w:rPr>
              <w:t xml:space="preserve">2013 (document WO/GA/22/8), en particulier le programme 16.  </w:t>
            </w:r>
          </w:p>
        </w:tc>
      </w:tr>
    </w:tbl>
    <w:p w:rsidR="0010628F" w:rsidRPr="001800B7" w:rsidRDefault="0010628F" w:rsidP="00814E37">
      <w:pPr>
        <w:rPr>
          <w:bCs/>
          <w:szCs w:val="22"/>
        </w:rPr>
      </w:pPr>
      <w:r w:rsidRPr="001800B7">
        <w:rPr>
          <w:b/>
          <w:szCs w:val="22"/>
        </w:rPr>
        <w:br w:type="page"/>
      </w:r>
      <w:r w:rsidRPr="001800B7">
        <w:rPr>
          <w:i/>
          <w:szCs w:val="22"/>
        </w:rPr>
        <w:lastRenderedPageBreak/>
        <w:t>Recommandation n° 42</w:t>
      </w:r>
      <w:r w:rsidRPr="001800B7">
        <w:rPr>
          <w:szCs w:val="22"/>
        </w:rPr>
        <w:t> : Renforcer les mesures visant à assurer une large participation de la société civile dans son ensemble aux activités de l</w:t>
      </w:r>
      <w:r w:rsidR="005311D6" w:rsidRPr="001800B7">
        <w:rPr>
          <w:szCs w:val="22"/>
        </w:rPr>
        <w:t>’</w:t>
      </w:r>
      <w:r w:rsidRPr="001800B7">
        <w:rPr>
          <w:szCs w:val="22"/>
        </w:rPr>
        <w:t>OMPI, conformément à ses critères concernant l</w:t>
      </w:r>
      <w:r w:rsidR="005311D6" w:rsidRPr="001800B7">
        <w:rPr>
          <w:szCs w:val="22"/>
        </w:rPr>
        <w:t>’</w:t>
      </w:r>
      <w:r w:rsidRPr="001800B7">
        <w:rPr>
          <w:szCs w:val="22"/>
        </w:rPr>
        <w:t>admission et l</w:t>
      </w:r>
      <w:r w:rsidR="005311D6" w:rsidRPr="001800B7">
        <w:rPr>
          <w:szCs w:val="22"/>
        </w:rPr>
        <w:t>’</w:t>
      </w:r>
      <w:r w:rsidRPr="001800B7">
        <w:rPr>
          <w:szCs w:val="22"/>
        </w:rPr>
        <w:t>accréditation des ONG, tout en gardant cette question à l</w:t>
      </w:r>
      <w:r w:rsidR="005311D6" w:rsidRPr="001800B7">
        <w:rPr>
          <w:szCs w:val="22"/>
        </w:rPr>
        <w:t>’</w:t>
      </w:r>
      <w:r w:rsidRPr="001800B7">
        <w:rPr>
          <w:szCs w:val="22"/>
        </w:rPr>
        <w:t>ordre du jour.</w:t>
      </w:r>
    </w:p>
    <w:p w:rsidR="0010628F" w:rsidRPr="001800B7" w:rsidRDefault="0010628F" w:rsidP="00814E37">
      <w:pPr>
        <w:rPr>
          <w:b/>
          <w:szCs w:val="22"/>
        </w:rPr>
      </w:pPr>
    </w:p>
    <w:tbl>
      <w:tblPr>
        <w:tblW w:w="14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053"/>
      </w:tblGrid>
      <w:tr w:rsidR="001800B7" w:rsidRPr="001800B7" w:rsidTr="00814E37">
        <w:tc>
          <w:tcPr>
            <w:tcW w:w="6379" w:type="dxa"/>
            <w:shd w:val="clear" w:color="auto" w:fill="auto"/>
          </w:tcPr>
          <w:p w:rsidR="0010628F" w:rsidRPr="001800B7" w:rsidRDefault="0010628F" w:rsidP="00814E37">
            <w:pPr>
              <w:pStyle w:val="Heading3"/>
              <w:keepNext w:val="0"/>
              <w:spacing w:before="120" w:after="120"/>
              <w:rPr>
                <w:szCs w:val="22"/>
              </w:rPr>
            </w:pPr>
            <w:r w:rsidRPr="001800B7">
              <w:rPr>
                <w:szCs w:val="22"/>
              </w:rPr>
              <w:t>Stratégies de mise en œuvre</w:t>
            </w:r>
          </w:p>
        </w:tc>
        <w:tc>
          <w:tcPr>
            <w:tcW w:w="8053" w:type="dxa"/>
            <w:shd w:val="clear" w:color="auto" w:fill="auto"/>
          </w:tcPr>
          <w:p w:rsidR="0010628F" w:rsidRPr="001800B7" w:rsidRDefault="0010628F" w:rsidP="00814E37">
            <w:pPr>
              <w:pStyle w:val="Heading3"/>
              <w:keepNext w:val="0"/>
              <w:spacing w:before="120" w:after="120"/>
              <w:rPr>
                <w:szCs w:val="22"/>
              </w:rPr>
            </w:pPr>
            <w:r w:rsidRPr="001800B7">
              <w:rPr>
                <w:szCs w:val="22"/>
              </w:rPr>
              <w:t>Réalisations</w:t>
            </w:r>
          </w:p>
        </w:tc>
      </w:tr>
      <w:tr w:rsidR="001800B7" w:rsidRPr="001800B7" w:rsidTr="00814E37">
        <w:tblPrEx>
          <w:tblCellMar>
            <w:top w:w="108" w:type="dxa"/>
            <w:bottom w:w="108" w:type="dxa"/>
          </w:tblCellMar>
        </w:tblPrEx>
        <w:tc>
          <w:tcPr>
            <w:tcW w:w="6379" w:type="dxa"/>
            <w:shd w:val="clear" w:color="auto" w:fill="auto"/>
          </w:tcPr>
          <w:p w:rsidR="0010628F" w:rsidRPr="001800B7" w:rsidRDefault="0010628F" w:rsidP="00814E37">
            <w:pPr>
              <w:spacing w:before="120" w:after="120"/>
              <w:rPr>
                <w:szCs w:val="22"/>
              </w:rPr>
            </w:pPr>
            <w:r w:rsidRPr="001800B7">
              <w:rPr>
                <w:szCs w:val="22"/>
              </w:rPr>
              <w:t>Les procédures et prescriptions actuelles relatives à l</w:t>
            </w:r>
            <w:r w:rsidR="005311D6" w:rsidRPr="001800B7">
              <w:rPr>
                <w:szCs w:val="22"/>
              </w:rPr>
              <w:t>’</w:t>
            </w:r>
            <w:r w:rsidRPr="001800B7">
              <w:rPr>
                <w:szCs w:val="22"/>
              </w:rPr>
              <w:t>octroi du statut d</w:t>
            </w:r>
            <w:r w:rsidR="005311D6" w:rsidRPr="001800B7">
              <w:rPr>
                <w:szCs w:val="22"/>
              </w:rPr>
              <w:t>’</w:t>
            </w:r>
            <w:r w:rsidRPr="001800B7">
              <w:rPr>
                <w:szCs w:val="22"/>
              </w:rPr>
              <w:t>observateur à l</w:t>
            </w:r>
            <w:r w:rsidR="005311D6" w:rsidRPr="001800B7">
              <w:rPr>
                <w:szCs w:val="22"/>
              </w:rPr>
              <w:t>’</w:t>
            </w:r>
            <w:r w:rsidRPr="001800B7">
              <w:rPr>
                <w:szCs w:val="22"/>
              </w:rPr>
              <w:t>OMPI pour les parties prenantes non gouvernementales et intergouvernementales intéressées satisfont toujours à cette recommandation.  L</w:t>
            </w:r>
            <w:r w:rsidR="005311D6" w:rsidRPr="001800B7">
              <w:rPr>
                <w:szCs w:val="22"/>
              </w:rPr>
              <w:t>’</w:t>
            </w:r>
            <w:r w:rsidRPr="001800B7">
              <w:rPr>
                <w:szCs w:val="22"/>
              </w:rPr>
              <w:t>examen de la procédure d</w:t>
            </w:r>
            <w:r w:rsidR="005311D6" w:rsidRPr="001800B7">
              <w:rPr>
                <w:szCs w:val="22"/>
              </w:rPr>
              <w:t>’</w:t>
            </w:r>
            <w:r w:rsidRPr="001800B7">
              <w:rPr>
                <w:szCs w:val="22"/>
              </w:rPr>
              <w:t>octroi du statut d</w:t>
            </w:r>
            <w:r w:rsidR="005311D6" w:rsidRPr="001800B7">
              <w:rPr>
                <w:szCs w:val="22"/>
              </w:rPr>
              <w:t>’</w:t>
            </w:r>
            <w:r w:rsidRPr="001800B7">
              <w:rPr>
                <w:szCs w:val="22"/>
              </w:rPr>
              <w:t>observateur à une organisation en ayant présenté la demande est un moyen de garantir le sérieux et la crédibilité de cette organisation, ainsi que l</w:t>
            </w:r>
            <w:r w:rsidR="005311D6" w:rsidRPr="001800B7">
              <w:rPr>
                <w:szCs w:val="22"/>
              </w:rPr>
              <w:t>’</w:t>
            </w:r>
            <w:r w:rsidRPr="001800B7">
              <w:rPr>
                <w:szCs w:val="22"/>
              </w:rPr>
              <w:t>intérêt de ses activités dans le domaine de la propriété intellectuelle, et il convient de poursuivre sur cette voie</w:t>
            </w:r>
          </w:p>
          <w:p w:rsidR="0010628F" w:rsidRPr="001800B7" w:rsidRDefault="0010628F" w:rsidP="00814E37">
            <w:pPr>
              <w:spacing w:before="120" w:after="120"/>
              <w:rPr>
                <w:szCs w:val="22"/>
              </w:rPr>
            </w:pPr>
            <w:r w:rsidRPr="001800B7">
              <w:rPr>
                <w:szCs w:val="22"/>
              </w:rPr>
              <w:t>En outre, s</w:t>
            </w:r>
            <w:r w:rsidR="005311D6" w:rsidRPr="001800B7">
              <w:rPr>
                <w:szCs w:val="22"/>
              </w:rPr>
              <w:t>’</w:t>
            </w:r>
            <w:r w:rsidRPr="001800B7">
              <w:rPr>
                <w:szCs w:val="22"/>
              </w:rPr>
              <w:t>agissant des demandes présentées par les ONG, la pratique consistant à tenir des consultations avec l</w:t>
            </w:r>
            <w:r w:rsidR="005311D6" w:rsidRPr="001800B7">
              <w:rPr>
                <w:szCs w:val="22"/>
              </w:rPr>
              <w:t>’</w:t>
            </w:r>
            <w:r w:rsidRPr="001800B7">
              <w:rPr>
                <w:szCs w:val="22"/>
              </w:rPr>
              <w:t>État concerné s</w:t>
            </w:r>
            <w:r w:rsidR="005311D6" w:rsidRPr="001800B7">
              <w:rPr>
                <w:szCs w:val="22"/>
              </w:rPr>
              <w:t>’</w:t>
            </w:r>
            <w:r w:rsidRPr="001800B7">
              <w:rPr>
                <w:szCs w:val="22"/>
              </w:rPr>
              <w:t>est avérée revêtir une importance fondamentale aux fins d</w:t>
            </w:r>
            <w:r w:rsidR="005311D6" w:rsidRPr="001800B7">
              <w:rPr>
                <w:szCs w:val="22"/>
              </w:rPr>
              <w:t>’</w:t>
            </w:r>
            <w:r w:rsidRPr="001800B7">
              <w:rPr>
                <w:szCs w:val="22"/>
              </w:rPr>
              <w:t>assurer la participation d</w:t>
            </w:r>
            <w:r w:rsidR="005311D6" w:rsidRPr="001800B7">
              <w:rPr>
                <w:szCs w:val="22"/>
              </w:rPr>
              <w:t>’</w:t>
            </w:r>
            <w:r w:rsidRPr="001800B7">
              <w:rPr>
                <w:szCs w:val="22"/>
              </w:rPr>
              <w:t>organisations menant des activités en rapport avec les domaines d</w:t>
            </w:r>
            <w:r w:rsidR="005311D6" w:rsidRPr="001800B7">
              <w:rPr>
                <w:szCs w:val="22"/>
              </w:rPr>
              <w:t>’</w:t>
            </w:r>
            <w:r w:rsidRPr="001800B7">
              <w:rPr>
                <w:szCs w:val="22"/>
              </w:rPr>
              <w:t>action de l</w:t>
            </w:r>
            <w:r w:rsidR="005311D6" w:rsidRPr="001800B7">
              <w:rPr>
                <w:szCs w:val="22"/>
              </w:rPr>
              <w:t>’</w:t>
            </w:r>
            <w:r w:rsidRPr="001800B7">
              <w:rPr>
                <w:szCs w:val="22"/>
              </w:rPr>
              <w:t>OMPI et également avec les recommandations formulées dans le Plan d</w:t>
            </w:r>
            <w:r w:rsidR="005311D6" w:rsidRPr="001800B7">
              <w:rPr>
                <w:szCs w:val="22"/>
              </w:rPr>
              <w:t>’</w:t>
            </w:r>
            <w:r w:rsidRPr="001800B7">
              <w:rPr>
                <w:szCs w:val="22"/>
              </w:rPr>
              <w:t>action pour le développement.  Au</w:t>
            </w:r>
            <w:r w:rsidR="001800B7" w:rsidRPr="001800B7">
              <w:rPr>
                <w:szCs w:val="22"/>
              </w:rPr>
              <w:noBreakHyphen/>
            </w:r>
            <w:r w:rsidRPr="001800B7">
              <w:rPr>
                <w:szCs w:val="22"/>
              </w:rPr>
              <w:t>delà de ces procédures d</w:t>
            </w:r>
            <w:r w:rsidR="005311D6" w:rsidRPr="001800B7">
              <w:rPr>
                <w:szCs w:val="22"/>
              </w:rPr>
              <w:t>’</w:t>
            </w:r>
            <w:r w:rsidRPr="001800B7">
              <w:rPr>
                <w:szCs w:val="22"/>
              </w:rPr>
              <w:t>accréditation, l</w:t>
            </w:r>
            <w:r w:rsidR="005311D6" w:rsidRPr="001800B7">
              <w:rPr>
                <w:szCs w:val="22"/>
              </w:rPr>
              <w:t>’</w:t>
            </w:r>
            <w:r w:rsidRPr="001800B7">
              <w:rPr>
                <w:szCs w:val="22"/>
              </w:rPr>
              <w:t>OMPI continue de mettre en évidence et de lancer des initiatives visant à faciliter la participation active des observateurs et la société civile dans son ensemble dans le cadre de ses activités.</w:t>
            </w:r>
          </w:p>
        </w:tc>
        <w:tc>
          <w:tcPr>
            <w:tcW w:w="8053" w:type="dxa"/>
            <w:shd w:val="clear" w:color="auto" w:fill="auto"/>
          </w:tcPr>
          <w:p w:rsidR="0010628F" w:rsidRPr="001800B7" w:rsidRDefault="0010628F" w:rsidP="00814E37">
            <w:pPr>
              <w:spacing w:before="120" w:after="120"/>
              <w:rPr>
                <w:szCs w:val="22"/>
              </w:rPr>
            </w:pPr>
            <w:r w:rsidRPr="001800B7">
              <w:rPr>
                <w:szCs w:val="22"/>
              </w:rPr>
              <w:t>Mise en œuvre de la recommandation au regard de la participation aux assemblées des États membres de l</w:t>
            </w:r>
            <w:r w:rsidR="005311D6" w:rsidRPr="001800B7">
              <w:rPr>
                <w:szCs w:val="22"/>
              </w:rPr>
              <w:t>’</w:t>
            </w:r>
            <w:r w:rsidRPr="001800B7">
              <w:rPr>
                <w:szCs w:val="22"/>
              </w:rPr>
              <w:t>OMPI et aux travaux des organes subsidiaires, ainsi qu</w:t>
            </w:r>
            <w:r w:rsidR="005311D6" w:rsidRPr="001800B7">
              <w:rPr>
                <w:szCs w:val="22"/>
              </w:rPr>
              <w:t>’</w:t>
            </w:r>
            <w:r w:rsidRPr="001800B7">
              <w:rPr>
                <w:szCs w:val="22"/>
              </w:rPr>
              <w:t>à divers comités permanents et réunions organisés par l</w:t>
            </w:r>
            <w:r w:rsidR="005311D6" w:rsidRPr="001800B7">
              <w:rPr>
                <w:szCs w:val="22"/>
              </w:rPr>
              <w:t>’</w:t>
            </w:r>
            <w:r w:rsidRPr="001800B7">
              <w:rPr>
                <w:szCs w:val="22"/>
              </w:rPr>
              <w:t>OMPI, tels que le SCP, le SCCR, le SCT, l</w:t>
            </w:r>
            <w:r w:rsidR="005311D6" w:rsidRPr="001800B7">
              <w:rPr>
                <w:szCs w:val="22"/>
              </w:rPr>
              <w:t>’</w:t>
            </w:r>
            <w:r w:rsidRPr="001800B7">
              <w:rPr>
                <w:szCs w:val="22"/>
              </w:rPr>
              <w:t>IGC et le CDIP.</w:t>
            </w:r>
          </w:p>
          <w:p w:rsidR="0010628F" w:rsidRPr="001800B7" w:rsidRDefault="0010628F" w:rsidP="00814E37">
            <w:pPr>
              <w:spacing w:before="120" w:after="120"/>
              <w:rPr>
                <w:szCs w:val="22"/>
              </w:rPr>
            </w:pPr>
            <w:r w:rsidRPr="001800B7">
              <w:rPr>
                <w:szCs w:val="22"/>
              </w:rPr>
              <w:t>L</w:t>
            </w:r>
            <w:r w:rsidR="005311D6" w:rsidRPr="001800B7">
              <w:rPr>
                <w:szCs w:val="22"/>
              </w:rPr>
              <w:t>’</w:t>
            </w:r>
            <w:r w:rsidRPr="001800B7">
              <w:rPr>
                <w:szCs w:val="22"/>
              </w:rPr>
              <w:t>OMPI a également adopté des mesures renforcées visant à assurer une large participation de la société civile dans son ensemble aux activités de l</w:t>
            </w:r>
            <w:r w:rsidR="005311D6" w:rsidRPr="001800B7">
              <w:rPr>
                <w:szCs w:val="22"/>
              </w:rPr>
              <w:t>’</w:t>
            </w:r>
            <w:r w:rsidRPr="001800B7">
              <w:rPr>
                <w:szCs w:val="22"/>
              </w:rPr>
              <w:t>OMPI et à maintenir une coopération étroite avec les parties prenantes non gouvernementales, par le biais de manifestations, des sessions d</w:t>
            </w:r>
            <w:r w:rsidR="005311D6" w:rsidRPr="001800B7">
              <w:rPr>
                <w:szCs w:val="22"/>
              </w:rPr>
              <w:t>’</w:t>
            </w:r>
            <w:r w:rsidRPr="001800B7">
              <w:rPr>
                <w:szCs w:val="22"/>
              </w:rPr>
              <w:t>informations, d</w:t>
            </w:r>
            <w:r w:rsidR="005311D6" w:rsidRPr="001800B7">
              <w:rPr>
                <w:szCs w:val="22"/>
              </w:rPr>
              <w:t>’</w:t>
            </w:r>
            <w:r w:rsidRPr="001800B7">
              <w:rPr>
                <w:szCs w:val="22"/>
              </w:rPr>
              <w:t>ateliers ou d</w:t>
            </w:r>
            <w:r w:rsidR="005311D6" w:rsidRPr="001800B7">
              <w:rPr>
                <w:szCs w:val="22"/>
              </w:rPr>
              <w:t>’</w:t>
            </w:r>
            <w:r w:rsidRPr="001800B7">
              <w:rPr>
                <w:szCs w:val="22"/>
              </w:rPr>
              <w:t>autres forums au cours desquels des échanges de vues d</w:t>
            </w:r>
            <w:r w:rsidR="005311D6" w:rsidRPr="001800B7">
              <w:rPr>
                <w:szCs w:val="22"/>
              </w:rPr>
              <w:t>’</w:t>
            </w:r>
            <w:r w:rsidRPr="001800B7">
              <w:rPr>
                <w:szCs w:val="22"/>
              </w:rPr>
              <w:t>une grande utilité avec les participants non gouvernementaux ont lieu.</w:t>
            </w:r>
          </w:p>
          <w:p w:rsidR="0010628F" w:rsidRPr="001800B7" w:rsidRDefault="0010628F" w:rsidP="00814E37">
            <w:pPr>
              <w:spacing w:before="120" w:after="120"/>
              <w:rPr>
                <w:szCs w:val="22"/>
              </w:rPr>
            </w:pPr>
            <w:r w:rsidRPr="001800B7">
              <w:rPr>
                <w:szCs w:val="22"/>
              </w:rPr>
              <w:t>Le Directeur général a accueilli une deuxième réunion ouverte annuelle avec toutes les ONG accréditées en février 2013.</w:t>
            </w:r>
          </w:p>
          <w:p w:rsidR="0010628F" w:rsidRPr="001800B7" w:rsidRDefault="0010628F" w:rsidP="00814E37">
            <w:pPr>
              <w:spacing w:before="120" w:after="120"/>
              <w:rPr>
                <w:szCs w:val="22"/>
              </w:rPr>
            </w:pPr>
            <w:r w:rsidRPr="001800B7">
              <w:rPr>
                <w:szCs w:val="22"/>
              </w:rPr>
              <w:t>Le Forum 2013 de l</w:t>
            </w:r>
            <w:r w:rsidR="005311D6" w:rsidRPr="001800B7">
              <w:rPr>
                <w:szCs w:val="22"/>
              </w:rPr>
              <w:t>’</w:t>
            </w:r>
            <w:r w:rsidRPr="001800B7">
              <w:rPr>
                <w:szCs w:val="22"/>
              </w:rPr>
              <w:t>OMPI, organisé en marge de la cinquante et unième série de réunions des assemblées des États membres de l</w:t>
            </w:r>
            <w:r w:rsidR="005311D6" w:rsidRPr="001800B7">
              <w:rPr>
                <w:szCs w:val="22"/>
              </w:rPr>
              <w:t>’</w:t>
            </w:r>
            <w:r w:rsidRPr="001800B7">
              <w:rPr>
                <w:szCs w:val="22"/>
              </w:rPr>
              <w:t>OMPI, a fourni un autre cadre de dialogue avec d</w:t>
            </w:r>
            <w:r w:rsidR="005311D6" w:rsidRPr="001800B7">
              <w:rPr>
                <w:szCs w:val="22"/>
              </w:rPr>
              <w:t>’</w:t>
            </w:r>
            <w:r w:rsidRPr="001800B7">
              <w:rPr>
                <w:szCs w:val="22"/>
              </w:rPr>
              <w:t>éminents innovateurs visionnaires sur le potentiel d</w:t>
            </w:r>
            <w:r w:rsidR="005311D6" w:rsidRPr="001800B7">
              <w:rPr>
                <w:szCs w:val="22"/>
              </w:rPr>
              <w:t>’</w:t>
            </w:r>
            <w:r w:rsidRPr="001800B7">
              <w:rPr>
                <w:szCs w:val="22"/>
              </w:rPr>
              <w:t>amélioration de la qualité de vie que renferment leurs idées respectives.</w:t>
            </w:r>
          </w:p>
          <w:p w:rsidR="0010628F" w:rsidRPr="001800B7" w:rsidRDefault="0010628F" w:rsidP="00814E37">
            <w:pPr>
              <w:spacing w:before="120" w:after="120"/>
              <w:rPr>
                <w:szCs w:val="22"/>
              </w:rPr>
            </w:pPr>
            <w:r w:rsidRPr="001800B7">
              <w:rPr>
                <w:szCs w:val="22"/>
              </w:rPr>
              <w:t>En 2013, six organisations non gouvernementales (ONG) internationales et six ONG nationales ont obtenu le statut d</w:t>
            </w:r>
            <w:r w:rsidR="005311D6" w:rsidRPr="001800B7">
              <w:rPr>
                <w:szCs w:val="22"/>
              </w:rPr>
              <w:t>’</w:t>
            </w:r>
            <w:r w:rsidRPr="001800B7">
              <w:rPr>
                <w:szCs w:val="22"/>
              </w:rPr>
              <w:t>observateur à l</w:t>
            </w:r>
            <w:r w:rsidR="005311D6" w:rsidRPr="001800B7">
              <w:rPr>
                <w:szCs w:val="22"/>
              </w:rPr>
              <w:t>’</w:t>
            </w:r>
            <w:r w:rsidRPr="001800B7">
              <w:rPr>
                <w:szCs w:val="22"/>
              </w:rPr>
              <w:t>OMPI.</w:t>
            </w:r>
          </w:p>
        </w:tc>
      </w:tr>
    </w:tbl>
    <w:p w:rsidR="0010628F" w:rsidRPr="001800B7" w:rsidRDefault="0010628F" w:rsidP="00814E37">
      <w:pPr>
        <w:rPr>
          <w:szCs w:val="22"/>
        </w:rPr>
      </w:pPr>
    </w:p>
    <w:p w:rsidR="00814E37" w:rsidRPr="001800B7" w:rsidRDefault="00814E37" w:rsidP="00814E37">
      <w:pPr>
        <w:rPr>
          <w:szCs w:val="22"/>
        </w:rPr>
      </w:pPr>
    </w:p>
    <w:p w:rsidR="0010628F" w:rsidRPr="001800B7" w:rsidRDefault="0010628F" w:rsidP="00814E37">
      <w:pPr>
        <w:rPr>
          <w:szCs w:val="22"/>
        </w:rPr>
      </w:pPr>
    </w:p>
    <w:p w:rsidR="0010628F" w:rsidRPr="001800B7" w:rsidRDefault="0010628F" w:rsidP="0010628F">
      <w:pPr>
        <w:spacing w:before="120" w:after="120"/>
        <w:ind w:left="4536"/>
        <w:jc w:val="center"/>
        <w:rPr>
          <w:rFonts w:eastAsia="Times New Roman"/>
          <w:szCs w:val="22"/>
          <w:lang w:eastAsia="en-US"/>
        </w:rPr>
      </w:pPr>
      <w:r w:rsidRPr="001800B7">
        <w:rPr>
          <w:rFonts w:eastAsia="Times New Roman"/>
          <w:szCs w:val="22"/>
          <w:lang w:eastAsia="en-US"/>
        </w:rPr>
        <w:t>[Fin de l</w:t>
      </w:r>
      <w:r w:rsidR="005311D6" w:rsidRPr="001800B7">
        <w:rPr>
          <w:rFonts w:eastAsia="Times New Roman"/>
          <w:szCs w:val="22"/>
          <w:lang w:eastAsia="en-US"/>
        </w:rPr>
        <w:t>’</w:t>
      </w:r>
      <w:r w:rsidRPr="001800B7">
        <w:rPr>
          <w:rFonts w:eastAsia="Times New Roman"/>
          <w:szCs w:val="22"/>
          <w:lang w:eastAsia="en-US"/>
        </w:rPr>
        <w:t>annexe XII et du document]</w:t>
      </w:r>
    </w:p>
    <w:sectPr w:rsidR="0010628F" w:rsidRPr="001800B7" w:rsidSect="00CC0F0F">
      <w:headerReference w:type="default" r:id="rId82"/>
      <w:headerReference w:type="first" r:id="rId83"/>
      <w:endnotePr>
        <w:numFmt w:val="decimal"/>
      </w:endnotePr>
      <w:pgSz w:w="16840"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A09" w:rsidRDefault="007C1A09">
      <w:r>
        <w:separator/>
      </w:r>
    </w:p>
  </w:endnote>
  <w:endnote w:type="continuationSeparator" w:id="0">
    <w:p w:rsidR="007C1A09" w:rsidRDefault="007C1A09" w:rsidP="003B38C1">
      <w:r>
        <w:separator/>
      </w:r>
    </w:p>
    <w:p w:rsidR="007C1A09" w:rsidRPr="007C1A09" w:rsidRDefault="007C1A09" w:rsidP="003B38C1">
      <w:pPr>
        <w:spacing w:after="60"/>
        <w:rPr>
          <w:sz w:val="17"/>
          <w:lang w:val="en-US"/>
        </w:rPr>
      </w:pPr>
      <w:r w:rsidRPr="007C1A09">
        <w:rPr>
          <w:sz w:val="17"/>
          <w:lang w:val="en-US"/>
        </w:rPr>
        <w:t>[Endnote continued from previous page]</w:t>
      </w:r>
    </w:p>
  </w:endnote>
  <w:endnote w:type="continuationNotice" w:id="1">
    <w:p w:rsidR="007C1A09" w:rsidRPr="007C1A09" w:rsidRDefault="007C1A09" w:rsidP="003B38C1">
      <w:pPr>
        <w:spacing w:before="60"/>
        <w:jc w:val="right"/>
        <w:rPr>
          <w:sz w:val="17"/>
          <w:szCs w:val="17"/>
          <w:lang w:val="en-US"/>
        </w:rPr>
      </w:pPr>
      <w:r w:rsidRPr="007C1A0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A09" w:rsidRDefault="007C1A09">
      <w:r>
        <w:separator/>
      </w:r>
    </w:p>
  </w:footnote>
  <w:footnote w:type="continuationSeparator" w:id="0">
    <w:p w:rsidR="007C1A09" w:rsidRDefault="007C1A09" w:rsidP="008B60B2">
      <w:r>
        <w:separator/>
      </w:r>
    </w:p>
    <w:p w:rsidR="007C1A09" w:rsidRPr="007C1A09" w:rsidRDefault="007C1A09" w:rsidP="008B60B2">
      <w:pPr>
        <w:spacing w:after="60"/>
        <w:rPr>
          <w:sz w:val="17"/>
          <w:szCs w:val="17"/>
          <w:lang w:val="en-US"/>
        </w:rPr>
      </w:pPr>
      <w:r w:rsidRPr="007C1A09">
        <w:rPr>
          <w:sz w:val="17"/>
          <w:szCs w:val="17"/>
          <w:lang w:val="en-US"/>
        </w:rPr>
        <w:t>[Footnote continued from previous page]</w:t>
      </w:r>
    </w:p>
  </w:footnote>
  <w:footnote w:type="continuationNotice" w:id="1">
    <w:p w:rsidR="007C1A09" w:rsidRPr="007C1A09" w:rsidRDefault="007C1A09" w:rsidP="008B60B2">
      <w:pPr>
        <w:spacing w:before="60"/>
        <w:jc w:val="right"/>
        <w:rPr>
          <w:sz w:val="17"/>
          <w:szCs w:val="17"/>
          <w:lang w:val="en-US"/>
        </w:rPr>
      </w:pPr>
      <w:r w:rsidRPr="007C1A09">
        <w:rPr>
          <w:sz w:val="17"/>
          <w:szCs w:val="17"/>
          <w:lang w:val="en-US"/>
        </w:rPr>
        <w:t>[Footnote continued on next page]</w:t>
      </w:r>
    </w:p>
  </w:footnote>
  <w:footnote w:id="2">
    <w:p w:rsidR="007C1A09" w:rsidRPr="001800B7" w:rsidRDefault="007C1A09" w:rsidP="00CC7E97">
      <w:pPr>
        <w:pStyle w:val="FootnoteText"/>
      </w:pPr>
      <w:r w:rsidRPr="001800B7">
        <w:rPr>
          <w:rStyle w:val="FootnoteReference"/>
        </w:rPr>
        <w:footnoteRef/>
      </w:r>
      <w:r w:rsidRPr="001800B7">
        <w:t xml:space="preserve"> </w:t>
      </w:r>
      <w:r w:rsidRPr="001800B7">
        <w:tab/>
        <w:t>Conformément à la section 3.2 du descriptif de projet initial.</w:t>
      </w:r>
    </w:p>
  </w:footnote>
  <w:footnote w:id="3">
    <w:p w:rsidR="007C1A09" w:rsidRPr="001800B7" w:rsidRDefault="007C1A09" w:rsidP="00343AB5">
      <w:pPr>
        <w:pStyle w:val="FootnoteText"/>
      </w:pPr>
      <w:r w:rsidRPr="001800B7">
        <w:rPr>
          <w:rStyle w:val="FootnoteReference"/>
        </w:rPr>
        <w:footnoteRef/>
      </w:r>
      <w:r w:rsidRPr="001800B7">
        <w:t xml:space="preserve"> </w:t>
      </w:r>
      <w:r w:rsidRPr="001800B7">
        <w:tab/>
        <w:t>Conformément à la section 3.2 du descriptif de projet initial.</w:t>
      </w:r>
    </w:p>
  </w:footnote>
  <w:footnote w:id="4">
    <w:p w:rsidR="007C1A09" w:rsidRPr="001800B7" w:rsidRDefault="007C1A09" w:rsidP="00F30D9D">
      <w:pPr>
        <w:pStyle w:val="FootnoteText"/>
        <w:rPr>
          <w:lang w:val="fr-CH"/>
        </w:rPr>
      </w:pPr>
      <w:r w:rsidRPr="001800B7">
        <w:rPr>
          <w:rStyle w:val="FootnoteReference"/>
        </w:rPr>
        <w:footnoteRef/>
      </w:r>
      <w:r w:rsidRPr="001800B7">
        <w:t xml:space="preserve"> </w:t>
      </w:r>
      <w:r w:rsidRPr="001800B7">
        <w:rPr>
          <w:lang w:val="fr-CH"/>
        </w:rPr>
        <w:tab/>
        <w:t>Conformément à la section 3.2 du descriptif de projet initial.</w:t>
      </w:r>
    </w:p>
  </w:footnote>
  <w:footnote w:id="5">
    <w:p w:rsidR="007C1A09" w:rsidRPr="001800B7" w:rsidRDefault="007C1A09" w:rsidP="00F30D9D">
      <w:pPr>
        <w:pStyle w:val="FootnoteText"/>
        <w:rPr>
          <w:lang w:val="fr-CH"/>
        </w:rPr>
      </w:pPr>
      <w:r w:rsidRPr="001800B7">
        <w:rPr>
          <w:rStyle w:val="FootnoteReference"/>
        </w:rPr>
        <w:footnoteRef/>
      </w:r>
      <w:r w:rsidRPr="001800B7">
        <w:t xml:space="preserve"> </w:t>
      </w:r>
      <w:r w:rsidRPr="001800B7">
        <w:rPr>
          <w:lang w:val="fr-CH"/>
        </w:rPr>
        <w:tab/>
        <w:t>Conformément à la section 3.2 du descriptif de projet initial.</w:t>
      </w:r>
    </w:p>
  </w:footnote>
  <w:footnote w:id="6">
    <w:p w:rsidR="007C1A09" w:rsidRPr="001800B7" w:rsidRDefault="007C1A09" w:rsidP="00F30D9D">
      <w:pPr>
        <w:pStyle w:val="FootnoteText"/>
        <w:rPr>
          <w:lang w:val="fr-CH"/>
        </w:rPr>
      </w:pPr>
      <w:r w:rsidRPr="001800B7">
        <w:rPr>
          <w:rStyle w:val="FootnoteReference"/>
        </w:rPr>
        <w:footnoteRef/>
      </w:r>
      <w:r w:rsidRPr="001800B7">
        <w:t xml:space="preserve"> </w:t>
      </w:r>
      <w:r w:rsidRPr="001800B7">
        <w:rPr>
          <w:lang w:val="fr-CH"/>
        </w:rPr>
        <w:tab/>
        <w:t>Conformément à la section 3.2 du descriptif de projet initial.</w:t>
      </w:r>
    </w:p>
  </w:footnote>
  <w:footnote w:id="7">
    <w:p w:rsidR="007C1A09" w:rsidRPr="001800B7" w:rsidRDefault="007C1A09" w:rsidP="00F30D9D">
      <w:pPr>
        <w:pStyle w:val="FootnoteText"/>
        <w:rPr>
          <w:lang w:val="fr-CH"/>
        </w:rPr>
      </w:pPr>
      <w:r w:rsidRPr="001800B7">
        <w:rPr>
          <w:rStyle w:val="FootnoteReference"/>
        </w:rPr>
        <w:footnoteRef/>
      </w:r>
      <w:r w:rsidRPr="001800B7">
        <w:t xml:space="preserve"> </w:t>
      </w:r>
      <w:r w:rsidRPr="001800B7">
        <w:rPr>
          <w:lang w:val="fr-CH"/>
        </w:rPr>
        <w:tab/>
        <w:t>Conformément à la section 3.2 du descriptif de projet initial.</w:t>
      </w:r>
    </w:p>
  </w:footnote>
  <w:footnote w:id="8">
    <w:p w:rsidR="007C1A09" w:rsidRPr="001800B7" w:rsidRDefault="007C1A09" w:rsidP="00923EF1">
      <w:pPr>
        <w:pStyle w:val="FootnoteText"/>
      </w:pPr>
      <w:r w:rsidRPr="001800B7">
        <w:rPr>
          <w:rStyle w:val="FootnoteReference"/>
        </w:rPr>
        <w:footnoteRef/>
      </w:r>
      <w:r w:rsidRPr="001800B7">
        <w:t xml:space="preserve"> </w:t>
      </w:r>
      <w:r w:rsidRPr="001800B7">
        <w:tab/>
        <w:t>Conformément à la section 3.2 du descriptif de projet initial.</w:t>
      </w:r>
    </w:p>
  </w:footnote>
  <w:footnote w:id="9">
    <w:p w:rsidR="007C1A09" w:rsidRPr="001800B7" w:rsidRDefault="007C1A09" w:rsidP="0010628F">
      <w:pPr>
        <w:pStyle w:val="FootnoteText"/>
        <w:rPr>
          <w:lang w:val="fr-CH"/>
        </w:rPr>
      </w:pPr>
      <w:r w:rsidRPr="001800B7">
        <w:rPr>
          <w:rStyle w:val="FootnoteReference"/>
        </w:rPr>
        <w:footnoteRef/>
      </w:r>
      <w:r w:rsidRPr="001800B7">
        <w:t xml:space="preserve"> </w:t>
      </w:r>
      <w:r w:rsidRPr="001800B7">
        <w:tab/>
        <w:t>Diminué de 200 à 160 à la huitième session du CDIP (novembre 2012).</w:t>
      </w:r>
    </w:p>
  </w:footnote>
  <w:footnote w:id="10">
    <w:p w:rsidR="007C1A09" w:rsidRPr="001800B7" w:rsidRDefault="007C1A09" w:rsidP="00731FB3">
      <w:pPr>
        <w:pStyle w:val="FootnoteText"/>
      </w:pPr>
      <w:r w:rsidRPr="001800B7">
        <w:rPr>
          <w:rStyle w:val="FootnoteReference"/>
        </w:rPr>
        <w:footnoteRef/>
      </w:r>
      <w:r w:rsidRPr="001800B7">
        <w:t xml:space="preserve"> </w:t>
      </w:r>
      <w:r w:rsidRPr="001800B7">
        <w:tab/>
        <w:t>Conformément à la section 3.2 du descriptif de projet initial.</w:t>
      </w:r>
    </w:p>
  </w:footnote>
  <w:footnote w:id="11">
    <w:p w:rsidR="007C1A09" w:rsidRPr="001800B7" w:rsidRDefault="007C1A09" w:rsidP="0010628F">
      <w:pPr>
        <w:pStyle w:val="FootnoteText"/>
      </w:pPr>
      <w:r w:rsidRPr="001800B7">
        <w:rPr>
          <w:rStyle w:val="FootnoteReference"/>
          <w:szCs w:val="18"/>
        </w:rPr>
        <w:footnoteRef/>
      </w:r>
      <w:r w:rsidRPr="001800B7">
        <w:rPr>
          <w:szCs w:val="18"/>
        </w:rPr>
        <w:t xml:space="preserve"> </w:t>
      </w:r>
      <w:r w:rsidRPr="001800B7">
        <w:rPr>
          <w:szCs w:val="18"/>
        </w:rPr>
        <w:tab/>
      </w:r>
      <w:hyperlink r:id="rId1" w:history="1">
        <w:r w:rsidRPr="00B17B73">
          <w:rPr>
            <w:rStyle w:val="Hyperlink"/>
            <w:szCs w:val="18"/>
          </w:rPr>
          <w:t>http://www.wipo.int/patentscope/fr/programs/patent_landscapes/index.html</w:t>
        </w:r>
      </w:hyperlink>
      <w:r>
        <w:rPr>
          <w:szCs w:val="18"/>
        </w:rPr>
        <w:t>.</w:t>
      </w:r>
    </w:p>
  </w:footnote>
  <w:footnote w:id="12">
    <w:p w:rsidR="007C1A09" w:rsidRPr="001800B7" w:rsidRDefault="007C1A09" w:rsidP="00CC0F0F">
      <w:pPr>
        <w:pStyle w:val="FootnoteText"/>
      </w:pPr>
      <w:r w:rsidRPr="001800B7">
        <w:rPr>
          <w:rStyle w:val="FootnoteReference"/>
        </w:rPr>
        <w:footnoteRef/>
      </w:r>
      <w:r w:rsidRPr="001800B7">
        <w:t xml:space="preserve"> </w:t>
      </w:r>
      <w:r w:rsidRPr="001800B7">
        <w:tab/>
        <w:t>Conformément à la section 3.2 du descriptif de projet initial.</w:t>
      </w:r>
    </w:p>
  </w:footnote>
  <w:footnote w:id="13">
    <w:p w:rsidR="007C1A09" w:rsidRPr="001800B7" w:rsidRDefault="007C1A09" w:rsidP="0010628F">
      <w:pPr>
        <w:pStyle w:val="FootnoteText"/>
      </w:pPr>
      <w:r w:rsidRPr="001800B7">
        <w:rPr>
          <w:rStyle w:val="FootnoteReference"/>
        </w:rPr>
        <w:footnoteRef/>
      </w:r>
      <w:r w:rsidRPr="001800B7">
        <w:t xml:space="preserve"> </w:t>
      </w:r>
      <w:r w:rsidRPr="001800B7">
        <w:tab/>
        <w:t>Rapport d’évaluation (CDIP/13/3) disponible à l’adresse suivante</w:t>
      </w:r>
      <w:r>
        <w:t> </w:t>
      </w:r>
      <w:r w:rsidRPr="001800B7">
        <w:t xml:space="preserve">: </w:t>
      </w:r>
      <w:hyperlink r:id="rId2" w:history="1">
        <w:r w:rsidRPr="001800B7">
          <w:rPr>
            <w:rStyle w:val="Hyperlink"/>
            <w:color w:val="auto"/>
          </w:rPr>
          <w:t>http://www.wipo.int/meetings/en/doc_details.jsp?doc_id=268876</w:t>
        </w:r>
      </w:hyperlink>
      <w:r>
        <w:rPr>
          <w:rStyle w:val="Hyperlink"/>
          <w:color w:val="aut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477D6B">
    <w:pPr>
      <w:jc w:val="right"/>
    </w:pPr>
    <w:bookmarkStart w:id="5" w:name="Code2"/>
    <w:bookmarkEnd w:id="5"/>
    <w:r>
      <w:t>CDIP/14/2</w:t>
    </w:r>
  </w:p>
  <w:p w:rsidR="007C1A09" w:rsidRDefault="007C1A09" w:rsidP="00477D6B">
    <w:pPr>
      <w:jc w:val="right"/>
    </w:pPr>
    <w:proofErr w:type="gramStart"/>
    <w:r>
      <w:t>page</w:t>
    </w:r>
    <w:proofErr w:type="gramEnd"/>
    <w:r>
      <w:t xml:space="preserve"> </w:t>
    </w:r>
    <w:r>
      <w:fldChar w:fldCharType="begin"/>
    </w:r>
    <w:r>
      <w:instrText xml:space="preserve"> PAGE  \* MERGEFORMAT </w:instrText>
    </w:r>
    <w:r>
      <w:fldChar w:fldCharType="separate"/>
    </w:r>
    <w:r w:rsidR="00131FD8">
      <w:rPr>
        <w:noProof/>
      </w:rPr>
      <w:t>2</w:t>
    </w:r>
    <w:r>
      <w:rPr>
        <w:noProof/>
      </w:rPr>
      <w:fldChar w:fldCharType="end"/>
    </w:r>
  </w:p>
  <w:p w:rsidR="007C1A09" w:rsidRDefault="007C1A09"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V, page </w:t>
    </w:r>
    <w:r>
      <w:fldChar w:fldCharType="begin"/>
    </w:r>
    <w:r>
      <w:instrText xml:space="preserve"> PAGE   \* MERGEFORMAT </w:instrText>
    </w:r>
    <w:r>
      <w:fldChar w:fldCharType="separate"/>
    </w:r>
    <w:r w:rsidR="00131FD8">
      <w:rPr>
        <w:noProof/>
      </w:rPr>
      <w:t>2</w:t>
    </w:r>
    <w:r>
      <w:rPr>
        <w:noProof/>
      </w:rPr>
      <w:fldChar w:fldCharType="end"/>
    </w:r>
  </w:p>
  <w:p w:rsidR="007C1A09" w:rsidRDefault="007C1A09"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V</w:t>
    </w:r>
  </w:p>
  <w:p w:rsidR="007C1A09" w:rsidRDefault="007C1A09" w:rsidP="00A607C4">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VI, page </w:t>
    </w:r>
    <w:r>
      <w:fldChar w:fldCharType="begin"/>
    </w:r>
    <w:r>
      <w:instrText xml:space="preserve"> PAGE   \* MERGEFORMAT </w:instrText>
    </w:r>
    <w:r>
      <w:fldChar w:fldCharType="separate"/>
    </w:r>
    <w:r w:rsidR="00131FD8">
      <w:rPr>
        <w:noProof/>
      </w:rPr>
      <w:t>2</w:t>
    </w:r>
    <w:r>
      <w:rPr>
        <w:noProof/>
      </w:rPr>
      <w:fldChar w:fldCharType="end"/>
    </w:r>
  </w:p>
  <w:p w:rsidR="007C1A09" w:rsidRDefault="007C1A09" w:rsidP="00477D6B">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VI</w:t>
    </w:r>
  </w:p>
  <w:p w:rsidR="007C1A09" w:rsidRDefault="007C1A09" w:rsidP="00A607C4">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VII, page </w:t>
    </w:r>
    <w:r>
      <w:fldChar w:fldCharType="begin"/>
    </w:r>
    <w:r>
      <w:instrText xml:space="preserve"> PAGE   \* MERGEFORMAT </w:instrText>
    </w:r>
    <w:r>
      <w:fldChar w:fldCharType="separate"/>
    </w:r>
    <w:r w:rsidR="00131FD8">
      <w:rPr>
        <w:noProof/>
      </w:rPr>
      <w:t>3</w:t>
    </w:r>
    <w:r>
      <w:rPr>
        <w:noProof/>
      </w:rPr>
      <w:fldChar w:fldCharType="end"/>
    </w:r>
  </w:p>
  <w:p w:rsidR="007C1A09" w:rsidRDefault="007C1A09" w:rsidP="00477D6B">
    <w:pP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VII</w:t>
    </w:r>
  </w:p>
  <w:p w:rsidR="007C1A09" w:rsidRDefault="007C1A09" w:rsidP="00A607C4">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VIII, page </w:t>
    </w:r>
    <w:r>
      <w:fldChar w:fldCharType="begin"/>
    </w:r>
    <w:r>
      <w:instrText xml:space="preserve"> PAGE   \* MERGEFORMAT </w:instrText>
    </w:r>
    <w:r>
      <w:fldChar w:fldCharType="separate"/>
    </w:r>
    <w:r w:rsidR="00131FD8">
      <w:rPr>
        <w:noProof/>
      </w:rPr>
      <w:t>2</w:t>
    </w:r>
    <w:r>
      <w:rPr>
        <w:noProof/>
      </w:rPr>
      <w:fldChar w:fldCharType="end"/>
    </w:r>
  </w:p>
  <w:p w:rsidR="007C1A09" w:rsidRDefault="007C1A09" w:rsidP="00477D6B">
    <w:pP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VIII</w:t>
    </w:r>
  </w:p>
  <w:p w:rsidR="007C1A09" w:rsidRDefault="007C1A09" w:rsidP="00A607C4">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IX, page </w:t>
    </w:r>
    <w:sdt>
      <w:sdtPr>
        <w:id w:val="-4568767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1FD8">
          <w:rPr>
            <w:noProof/>
          </w:rPr>
          <w:t>5</w:t>
        </w:r>
        <w:r>
          <w:rPr>
            <w:noProof/>
          </w:rPr>
          <w:fldChar w:fldCharType="end"/>
        </w:r>
      </w:sdtContent>
    </w:sdt>
  </w:p>
  <w:p w:rsidR="007C1A09" w:rsidRDefault="007C1A09" w:rsidP="00477D6B">
    <w:pP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IX</w:t>
    </w:r>
  </w:p>
  <w:p w:rsidR="007C1A09" w:rsidRDefault="007C1A09" w:rsidP="00A607C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I, page </w:t>
    </w:r>
    <w:sdt>
      <w:sdtPr>
        <w:id w:val="14228326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1FD8">
          <w:rPr>
            <w:noProof/>
          </w:rPr>
          <w:t>5</w:t>
        </w:r>
        <w:r>
          <w:rPr>
            <w:noProof/>
          </w:rPr>
          <w:fldChar w:fldCharType="end"/>
        </w:r>
      </w:sdtContent>
    </w:sdt>
  </w:p>
  <w:p w:rsidR="007C1A09" w:rsidRDefault="007C1A09"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X, page </w:t>
    </w:r>
    <w:sdt>
      <w:sdtPr>
        <w:id w:val="-18934910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1FD8">
          <w:rPr>
            <w:noProof/>
          </w:rPr>
          <w:t>4</w:t>
        </w:r>
        <w:r>
          <w:rPr>
            <w:noProof/>
          </w:rPr>
          <w:fldChar w:fldCharType="end"/>
        </w:r>
      </w:sdtContent>
    </w:sdt>
  </w:p>
  <w:p w:rsidR="007C1A09" w:rsidRDefault="007C1A09" w:rsidP="00477D6B">
    <w:pP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X</w:t>
    </w:r>
  </w:p>
  <w:p w:rsidR="007C1A09" w:rsidRDefault="007C1A09" w:rsidP="00A607C4">
    <w:pPr>
      <w:pStyle w:val="Heade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XI, page </w:t>
    </w:r>
    <w:sdt>
      <w:sdtPr>
        <w:id w:val="11460842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1FD8">
          <w:rPr>
            <w:noProof/>
          </w:rPr>
          <w:t>9</w:t>
        </w:r>
        <w:r>
          <w:rPr>
            <w:noProof/>
          </w:rPr>
          <w:fldChar w:fldCharType="end"/>
        </w:r>
      </w:sdtContent>
    </w:sdt>
  </w:p>
  <w:p w:rsidR="007C1A09" w:rsidRDefault="007C1A09" w:rsidP="00477D6B">
    <w:pP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XI</w:t>
    </w:r>
  </w:p>
  <w:p w:rsidR="007C1A09" w:rsidRDefault="007C1A09" w:rsidP="00A607C4">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XII, page </w:t>
    </w:r>
    <w:r>
      <w:fldChar w:fldCharType="begin"/>
    </w:r>
    <w:r>
      <w:instrText xml:space="preserve"> PAGE   \* MERGEFORMAT </w:instrText>
    </w:r>
    <w:r>
      <w:fldChar w:fldCharType="separate"/>
    </w:r>
    <w:r w:rsidR="00131FD8">
      <w:rPr>
        <w:noProof/>
      </w:rPr>
      <w:t>2</w:t>
    </w:r>
    <w:r>
      <w:rPr>
        <w:noProof/>
      </w:rPr>
      <w:fldChar w:fldCharType="end"/>
    </w:r>
  </w:p>
  <w:p w:rsidR="007C1A09" w:rsidRDefault="007C1A09" w:rsidP="00477D6B">
    <w:pPr>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BC7B6C">
    <w:pPr>
      <w:jc w:val="right"/>
    </w:pPr>
    <w:r>
      <w:t>CDIP/14/2</w:t>
    </w:r>
  </w:p>
  <w:p w:rsidR="007C1A09" w:rsidRDefault="007C1A09" w:rsidP="00BC7B6C">
    <w:pPr>
      <w:pStyle w:val="Header"/>
      <w:jc w:val="right"/>
    </w:pPr>
    <w:r>
      <w:t>ANNEXE XII</w:t>
    </w:r>
  </w:p>
  <w:p w:rsidR="007C1A09" w:rsidRDefault="007C1A09" w:rsidP="00BC7B6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I</w:t>
    </w:r>
  </w:p>
  <w:p w:rsidR="007C1A09" w:rsidRDefault="007C1A09" w:rsidP="00A607C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II, page </w:t>
    </w:r>
    <w:sdt>
      <w:sdtPr>
        <w:id w:val="-3275227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1FD8">
          <w:rPr>
            <w:noProof/>
          </w:rPr>
          <w:t>7</w:t>
        </w:r>
        <w:r>
          <w:rPr>
            <w:noProof/>
          </w:rPr>
          <w:fldChar w:fldCharType="end"/>
        </w:r>
      </w:sdtContent>
    </w:sdt>
  </w:p>
  <w:p w:rsidR="007C1A09" w:rsidRDefault="007C1A09"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II</w:t>
    </w:r>
  </w:p>
  <w:p w:rsidR="007C1A09" w:rsidRDefault="007C1A09" w:rsidP="00A607C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III, page </w:t>
    </w:r>
    <w:sdt>
      <w:sdtPr>
        <w:id w:val="-4487780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1FD8">
          <w:rPr>
            <w:noProof/>
          </w:rPr>
          <w:t>9</w:t>
        </w:r>
        <w:r>
          <w:rPr>
            <w:noProof/>
          </w:rPr>
          <w:fldChar w:fldCharType="end"/>
        </w:r>
      </w:sdtContent>
    </w:sdt>
  </w:p>
  <w:p w:rsidR="007C1A09" w:rsidRDefault="007C1A09"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III</w:t>
    </w:r>
  </w:p>
  <w:p w:rsidR="007C1A09" w:rsidRDefault="007C1A09" w:rsidP="00A607C4">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291608">
    <w:pPr>
      <w:jc w:val="right"/>
    </w:pPr>
    <w:r>
      <w:t>CDIP/14/2</w:t>
    </w:r>
  </w:p>
  <w:p w:rsidR="007C1A09" w:rsidRDefault="007C1A09" w:rsidP="00291608">
    <w:pPr>
      <w:pStyle w:val="Header"/>
      <w:jc w:val="right"/>
    </w:pPr>
    <w:r>
      <w:t xml:space="preserve">Annexe IV, page </w:t>
    </w:r>
    <w:sdt>
      <w:sdtPr>
        <w:id w:val="-12986781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1FD8">
          <w:rPr>
            <w:noProof/>
          </w:rPr>
          <w:t>5</w:t>
        </w:r>
        <w:r>
          <w:rPr>
            <w:noProof/>
          </w:rPr>
          <w:fldChar w:fldCharType="end"/>
        </w:r>
      </w:sdtContent>
    </w:sdt>
  </w:p>
  <w:p w:rsidR="007C1A09" w:rsidRDefault="007C1A09"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A09" w:rsidRDefault="007C1A09" w:rsidP="00A607C4">
    <w:pPr>
      <w:jc w:val="right"/>
    </w:pPr>
    <w:r>
      <w:t>CDIP/14/2</w:t>
    </w:r>
  </w:p>
  <w:p w:rsidR="007C1A09" w:rsidRDefault="007C1A09" w:rsidP="00A607C4">
    <w:pPr>
      <w:pStyle w:val="Header"/>
      <w:jc w:val="right"/>
    </w:pPr>
    <w:r>
      <w:t>ANNEXE IV</w:t>
    </w:r>
  </w:p>
  <w:p w:rsidR="007C1A09" w:rsidRDefault="007C1A09" w:rsidP="00A607C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99"/>
    <w:multiLevelType w:val="hybridMultilevel"/>
    <w:tmpl w:val="30602D7E"/>
    <w:lvl w:ilvl="0" w:tplc="CC4AD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5614AF6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i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FC230B"/>
    <w:multiLevelType w:val="multilevel"/>
    <w:tmpl w:val="F73694E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07B54FAF"/>
    <w:multiLevelType w:val="multilevel"/>
    <w:tmpl w:val="018CA6FE"/>
    <w:lvl w:ilvl="0">
      <w:start w:val="1"/>
      <w:numFmt w:val="lowerRoman"/>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0E6D2243"/>
    <w:multiLevelType w:val="hybridMultilevel"/>
    <w:tmpl w:val="29702E00"/>
    <w:lvl w:ilvl="0" w:tplc="B07E510C">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4877D9"/>
    <w:multiLevelType w:val="multilevel"/>
    <w:tmpl w:val="DCA408B0"/>
    <w:lvl w:ilvl="0">
      <w:start w:val="1"/>
      <w:numFmt w:val="lowerLetter"/>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1EBF3094"/>
    <w:multiLevelType w:val="hybridMultilevel"/>
    <w:tmpl w:val="78106510"/>
    <w:lvl w:ilvl="0" w:tplc="79C4FA4E">
      <w:start w:val="5"/>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B19A2"/>
    <w:multiLevelType w:val="multilevel"/>
    <w:tmpl w:val="4754D1D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color w:val="auto"/>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1DB1559"/>
    <w:multiLevelType w:val="multilevel"/>
    <w:tmpl w:val="236C521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color w:val="auto"/>
        <w:lang w:val="en-U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E1A5B"/>
    <w:multiLevelType w:val="hybridMultilevel"/>
    <w:tmpl w:val="B8BEFADC"/>
    <w:lvl w:ilvl="0" w:tplc="B07E510C">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2">
    <w:nsid w:val="34CF24E2"/>
    <w:multiLevelType w:val="hybridMultilevel"/>
    <w:tmpl w:val="71CC262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3A477F56"/>
    <w:multiLevelType w:val="hybridMultilevel"/>
    <w:tmpl w:val="AE3A6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875534"/>
    <w:multiLevelType w:val="multilevel"/>
    <w:tmpl w:val="F2207136"/>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nsid w:val="42AD3530"/>
    <w:multiLevelType w:val="hybridMultilevel"/>
    <w:tmpl w:val="778A690A"/>
    <w:lvl w:ilvl="0" w:tplc="79C4FA4E">
      <w:start w:val="5"/>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8C916AC"/>
    <w:multiLevelType w:val="multilevel"/>
    <w:tmpl w:val="C3F89D8E"/>
    <w:lvl w:ilvl="0">
      <w:start w:val="1"/>
      <w:numFmt w:val="lowerLetter"/>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color w:val="auto"/>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1360A7"/>
    <w:multiLevelType w:val="hybridMultilevel"/>
    <w:tmpl w:val="4EDCE318"/>
    <w:lvl w:ilvl="0" w:tplc="79C4FA4E">
      <w:start w:val="5"/>
      <w:numFmt w:val="bullet"/>
      <w:lvlText w:val="–"/>
      <w:lvlJc w:val="left"/>
      <w:pPr>
        <w:ind w:left="1080" w:hanging="360"/>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50405B6D"/>
    <w:multiLevelType w:val="hybridMultilevel"/>
    <w:tmpl w:val="4D320DD2"/>
    <w:lvl w:ilvl="0" w:tplc="93A00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C43074"/>
    <w:multiLevelType w:val="hybridMultilevel"/>
    <w:tmpl w:val="6420983A"/>
    <w:lvl w:ilvl="0" w:tplc="FF6088C4">
      <w:start w:val="1"/>
      <w:numFmt w:val="lowerLetter"/>
      <w:lvlText w:val="%1)"/>
      <w:lvlJc w:val="left"/>
      <w:pPr>
        <w:tabs>
          <w:tab w:val="num" w:pos="567"/>
        </w:tabs>
        <w:ind w:left="284" w:firstLine="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1AA2F40"/>
    <w:multiLevelType w:val="hybridMultilevel"/>
    <w:tmpl w:val="4746D952"/>
    <w:lvl w:ilvl="0" w:tplc="870EB244">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87F3DA5"/>
    <w:multiLevelType w:val="multilevel"/>
    <w:tmpl w:val="AF2217B0"/>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23">
    <w:nsid w:val="591D7ECA"/>
    <w:multiLevelType w:val="multilevel"/>
    <w:tmpl w:val="8A6A87A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5A7B705F"/>
    <w:multiLevelType w:val="multilevel"/>
    <w:tmpl w:val="49C0CCF0"/>
    <w:lvl w:ilvl="0">
      <w:start w:val="1"/>
      <w:numFmt w:val="lowerLetter"/>
      <w:lvlText w:val="%1)"/>
      <w:lvlJc w:val="left"/>
      <w:pPr>
        <w:tabs>
          <w:tab w:val="num" w:pos="0"/>
        </w:tabs>
        <w:ind w:left="0" w:firstLine="0"/>
      </w:pPr>
      <w:rPr>
        <w:rFonts w:hint="default"/>
        <w:color w:val="auto"/>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5B1C0EAE"/>
    <w:multiLevelType w:val="hybridMultilevel"/>
    <w:tmpl w:val="B3E4B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7">
    <w:nsid w:val="62E066EF"/>
    <w:multiLevelType w:val="hybridMultilevel"/>
    <w:tmpl w:val="3E221DD6"/>
    <w:lvl w:ilvl="0" w:tplc="79C4FA4E">
      <w:start w:val="5"/>
      <w:numFmt w:val="bullet"/>
      <w:lvlText w:val="–"/>
      <w:lvlJc w:val="left"/>
      <w:pPr>
        <w:tabs>
          <w:tab w:val="num" w:pos="720"/>
        </w:tabs>
        <w:ind w:left="720" w:hanging="360"/>
      </w:pPr>
      <w:rPr>
        <w:rFonts w:ascii="Calibri" w:eastAsiaTheme="minorHAnsi"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6D2CA6"/>
    <w:multiLevelType w:val="multilevel"/>
    <w:tmpl w:val="6D9EAFE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29">
    <w:nsid w:val="679D3551"/>
    <w:multiLevelType w:val="multilevel"/>
    <w:tmpl w:val="1A72D5C4"/>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0">
    <w:nsid w:val="6A0F7EE3"/>
    <w:multiLevelType w:val="hybridMultilevel"/>
    <w:tmpl w:val="CF6866F8"/>
    <w:lvl w:ilvl="0" w:tplc="E46A3948">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2F3315"/>
    <w:multiLevelType w:val="hybridMultilevel"/>
    <w:tmpl w:val="96C6919E"/>
    <w:lvl w:ilvl="0" w:tplc="B9A0CBA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0C7C45"/>
    <w:multiLevelType w:val="hybridMultilevel"/>
    <w:tmpl w:val="8EAE144A"/>
    <w:lvl w:ilvl="0" w:tplc="79C4FA4E">
      <w:start w:val="5"/>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7FE2453"/>
    <w:multiLevelType w:val="multilevel"/>
    <w:tmpl w:val="2F809E3E"/>
    <w:lvl w:ilvl="0">
      <w:start w:val="1"/>
      <w:numFmt w:val="lowerRoman"/>
      <w:lvlText w:val="%1)"/>
      <w:lvlJc w:val="left"/>
      <w:pPr>
        <w:tabs>
          <w:tab w:val="num" w:pos="0"/>
        </w:tabs>
        <w:ind w:left="0" w:firstLine="0"/>
      </w:pPr>
      <w:rPr>
        <w:rFonts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7EE86246"/>
    <w:multiLevelType w:val="hybridMultilevel"/>
    <w:tmpl w:val="794830DC"/>
    <w:lvl w:ilvl="0" w:tplc="CC4AD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7"/>
  </w:num>
  <w:num w:numId="4">
    <w:abstractNumId w:val="13"/>
  </w:num>
  <w:num w:numId="5">
    <w:abstractNumId w:val="24"/>
  </w:num>
  <w:num w:numId="6">
    <w:abstractNumId w:val="3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31"/>
  </w:num>
  <w:num w:numId="11">
    <w:abstractNumId w:val="30"/>
  </w:num>
  <w:num w:numId="12">
    <w:abstractNumId w:val="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21"/>
  </w:num>
  <w:num w:numId="17">
    <w:abstractNumId w:val="25"/>
  </w:num>
  <w:num w:numId="18">
    <w:abstractNumId w:val="28"/>
  </w:num>
  <w:num w:numId="19">
    <w:abstractNumId w:val="22"/>
  </w:num>
  <w:num w:numId="20">
    <w:abstractNumId w:val="23"/>
  </w:num>
  <w:num w:numId="21">
    <w:abstractNumId w:val="29"/>
  </w:num>
  <w:num w:numId="22">
    <w:abstractNumId w:val="5"/>
  </w:num>
  <w:num w:numId="23">
    <w:abstractNumId w:val="2"/>
  </w:num>
  <w:num w:numId="24">
    <w:abstractNumId w:val="16"/>
  </w:num>
  <w:num w:numId="25">
    <w:abstractNumId w:val="19"/>
  </w:num>
  <w:num w:numId="26">
    <w:abstractNumId w:val="6"/>
  </w:num>
  <w:num w:numId="27">
    <w:abstractNumId w:val="34"/>
  </w:num>
  <w:num w:numId="28">
    <w:abstractNumId w:val="0"/>
  </w:num>
  <w:num w:numId="29">
    <w:abstractNumId w:val="4"/>
  </w:num>
  <w:num w:numId="30">
    <w:abstractNumId w:val="1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2"/>
  </w:num>
  <w:num w:numId="34">
    <w:abstractNumId w:val="15"/>
  </w:num>
  <w:num w:numId="35">
    <w:abstractNumId w:val="27"/>
  </w:num>
  <w:num w:numId="36">
    <w:abstractNumId w:val="32"/>
  </w:num>
  <w:num w:numId="37">
    <w:abstractNumId w:val="20"/>
  </w:num>
  <w:num w:numId="3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cdip|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IP in General\Academy|IP in General\Arbitration and Mediation|IP in General\Meetings|IP in General\Other|IP in General\Press Room|IP in General\Publications|Patents\Meetings|Patents\Other|Patents\Publications|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
    <w:docVar w:name="TextBaseURL" w:val="empty"/>
    <w:docVar w:name="UILng" w:val="en"/>
  </w:docVars>
  <w:rsids>
    <w:rsidRoot w:val="004525E3"/>
    <w:rsid w:val="000200FA"/>
    <w:rsid w:val="00020CDA"/>
    <w:rsid w:val="00027ABD"/>
    <w:rsid w:val="00036746"/>
    <w:rsid w:val="00043CAA"/>
    <w:rsid w:val="00050974"/>
    <w:rsid w:val="00052CA7"/>
    <w:rsid w:val="00064850"/>
    <w:rsid w:val="00064C5B"/>
    <w:rsid w:val="00075432"/>
    <w:rsid w:val="00082F94"/>
    <w:rsid w:val="0008593D"/>
    <w:rsid w:val="00087D3A"/>
    <w:rsid w:val="00091281"/>
    <w:rsid w:val="0009204D"/>
    <w:rsid w:val="000921C8"/>
    <w:rsid w:val="0009334B"/>
    <w:rsid w:val="0009682B"/>
    <w:rsid w:val="000968ED"/>
    <w:rsid w:val="00097169"/>
    <w:rsid w:val="000B298B"/>
    <w:rsid w:val="000C61F8"/>
    <w:rsid w:val="000D356B"/>
    <w:rsid w:val="000D6675"/>
    <w:rsid w:val="000E0274"/>
    <w:rsid w:val="000E5DFE"/>
    <w:rsid w:val="000F5E56"/>
    <w:rsid w:val="0010628F"/>
    <w:rsid w:val="0011314B"/>
    <w:rsid w:val="00113BC5"/>
    <w:rsid w:val="00114031"/>
    <w:rsid w:val="00114D33"/>
    <w:rsid w:val="00131FD8"/>
    <w:rsid w:val="001362EE"/>
    <w:rsid w:val="00153A44"/>
    <w:rsid w:val="00153D1D"/>
    <w:rsid w:val="0016437B"/>
    <w:rsid w:val="00173B5E"/>
    <w:rsid w:val="001748B1"/>
    <w:rsid w:val="001800B7"/>
    <w:rsid w:val="0018171A"/>
    <w:rsid w:val="001832A6"/>
    <w:rsid w:val="00190489"/>
    <w:rsid w:val="00192424"/>
    <w:rsid w:val="00193D68"/>
    <w:rsid w:val="001A19B0"/>
    <w:rsid w:val="001B01B5"/>
    <w:rsid w:val="001B1FA3"/>
    <w:rsid w:val="001B5312"/>
    <w:rsid w:val="001B7E93"/>
    <w:rsid w:val="001D110A"/>
    <w:rsid w:val="001E023D"/>
    <w:rsid w:val="001E1C0B"/>
    <w:rsid w:val="001E76CD"/>
    <w:rsid w:val="001F43D5"/>
    <w:rsid w:val="001F4C06"/>
    <w:rsid w:val="002106EF"/>
    <w:rsid w:val="002117E9"/>
    <w:rsid w:val="002325F0"/>
    <w:rsid w:val="002422A8"/>
    <w:rsid w:val="002434FE"/>
    <w:rsid w:val="00252500"/>
    <w:rsid w:val="00254D8C"/>
    <w:rsid w:val="002631BE"/>
    <w:rsid w:val="002634C4"/>
    <w:rsid w:val="002816E7"/>
    <w:rsid w:val="00281B53"/>
    <w:rsid w:val="0028471D"/>
    <w:rsid w:val="00291608"/>
    <w:rsid w:val="002928D3"/>
    <w:rsid w:val="002941C1"/>
    <w:rsid w:val="00295B5F"/>
    <w:rsid w:val="002B2E6E"/>
    <w:rsid w:val="002B5A7D"/>
    <w:rsid w:val="002B7D7B"/>
    <w:rsid w:val="002D403D"/>
    <w:rsid w:val="002F1FE6"/>
    <w:rsid w:val="002F2EF6"/>
    <w:rsid w:val="002F4E68"/>
    <w:rsid w:val="00303FE2"/>
    <w:rsid w:val="00312F7F"/>
    <w:rsid w:val="00320D80"/>
    <w:rsid w:val="00332DDA"/>
    <w:rsid w:val="00333297"/>
    <w:rsid w:val="00343AB5"/>
    <w:rsid w:val="00344C8F"/>
    <w:rsid w:val="00344EDB"/>
    <w:rsid w:val="00361450"/>
    <w:rsid w:val="003673CF"/>
    <w:rsid w:val="00377149"/>
    <w:rsid w:val="00377536"/>
    <w:rsid w:val="00384527"/>
    <w:rsid w:val="003845C1"/>
    <w:rsid w:val="00396F9D"/>
    <w:rsid w:val="003A6F89"/>
    <w:rsid w:val="003B38C1"/>
    <w:rsid w:val="003B4C87"/>
    <w:rsid w:val="003D34D4"/>
    <w:rsid w:val="003E23FC"/>
    <w:rsid w:val="003E64A5"/>
    <w:rsid w:val="003E6FC7"/>
    <w:rsid w:val="003F0D8F"/>
    <w:rsid w:val="00412DE2"/>
    <w:rsid w:val="00417D28"/>
    <w:rsid w:val="00423E3E"/>
    <w:rsid w:val="004243FB"/>
    <w:rsid w:val="00427AF4"/>
    <w:rsid w:val="00440B18"/>
    <w:rsid w:val="004448A5"/>
    <w:rsid w:val="004525E3"/>
    <w:rsid w:val="00456841"/>
    <w:rsid w:val="004647DA"/>
    <w:rsid w:val="0047244D"/>
    <w:rsid w:val="00474062"/>
    <w:rsid w:val="00477547"/>
    <w:rsid w:val="00477A00"/>
    <w:rsid w:val="00477D6B"/>
    <w:rsid w:val="00492D7A"/>
    <w:rsid w:val="0049592F"/>
    <w:rsid w:val="004B5A21"/>
    <w:rsid w:val="004E4759"/>
    <w:rsid w:val="004E63AB"/>
    <w:rsid w:val="004F4733"/>
    <w:rsid w:val="005016FD"/>
    <w:rsid w:val="005019FF"/>
    <w:rsid w:val="0051677E"/>
    <w:rsid w:val="005220BB"/>
    <w:rsid w:val="00527574"/>
    <w:rsid w:val="0053057A"/>
    <w:rsid w:val="005311D6"/>
    <w:rsid w:val="00535EDA"/>
    <w:rsid w:val="00560A29"/>
    <w:rsid w:val="0056321C"/>
    <w:rsid w:val="00566844"/>
    <w:rsid w:val="00584058"/>
    <w:rsid w:val="00592316"/>
    <w:rsid w:val="005A10D1"/>
    <w:rsid w:val="005A13C1"/>
    <w:rsid w:val="005A1641"/>
    <w:rsid w:val="005B0908"/>
    <w:rsid w:val="005B4BDC"/>
    <w:rsid w:val="005C2E40"/>
    <w:rsid w:val="005C6649"/>
    <w:rsid w:val="005C6E4A"/>
    <w:rsid w:val="00600809"/>
    <w:rsid w:val="006010A6"/>
    <w:rsid w:val="0060133E"/>
    <w:rsid w:val="00605827"/>
    <w:rsid w:val="00606348"/>
    <w:rsid w:val="00616141"/>
    <w:rsid w:val="006207CF"/>
    <w:rsid w:val="00630FFD"/>
    <w:rsid w:val="00632D13"/>
    <w:rsid w:val="00646050"/>
    <w:rsid w:val="00646ECB"/>
    <w:rsid w:val="00652E9B"/>
    <w:rsid w:val="00653E87"/>
    <w:rsid w:val="00664193"/>
    <w:rsid w:val="00666806"/>
    <w:rsid w:val="006713CA"/>
    <w:rsid w:val="00673007"/>
    <w:rsid w:val="00676C5C"/>
    <w:rsid w:val="006A01C4"/>
    <w:rsid w:val="006A0470"/>
    <w:rsid w:val="006A44A7"/>
    <w:rsid w:val="006A47FA"/>
    <w:rsid w:val="006C6DBC"/>
    <w:rsid w:val="006D1172"/>
    <w:rsid w:val="006E1ED7"/>
    <w:rsid w:val="00711520"/>
    <w:rsid w:val="00724BD6"/>
    <w:rsid w:val="00731FB3"/>
    <w:rsid w:val="0073312B"/>
    <w:rsid w:val="00733A12"/>
    <w:rsid w:val="00751EEA"/>
    <w:rsid w:val="00755917"/>
    <w:rsid w:val="0076109D"/>
    <w:rsid w:val="007700E5"/>
    <w:rsid w:val="007908EA"/>
    <w:rsid w:val="00794B31"/>
    <w:rsid w:val="007C1A09"/>
    <w:rsid w:val="007D1613"/>
    <w:rsid w:val="007D261F"/>
    <w:rsid w:val="007E07E7"/>
    <w:rsid w:val="007E19B4"/>
    <w:rsid w:val="007F337E"/>
    <w:rsid w:val="008005FD"/>
    <w:rsid w:val="00813EFC"/>
    <w:rsid w:val="00814E37"/>
    <w:rsid w:val="00821F98"/>
    <w:rsid w:val="00824712"/>
    <w:rsid w:val="00824CB9"/>
    <w:rsid w:val="00827B1D"/>
    <w:rsid w:val="00831E82"/>
    <w:rsid w:val="00840E85"/>
    <w:rsid w:val="00842EA9"/>
    <w:rsid w:val="008475D2"/>
    <w:rsid w:val="00850FB3"/>
    <w:rsid w:val="00854424"/>
    <w:rsid w:val="008566A1"/>
    <w:rsid w:val="0085718F"/>
    <w:rsid w:val="00862BA0"/>
    <w:rsid w:val="00883D4F"/>
    <w:rsid w:val="0089198F"/>
    <w:rsid w:val="00892A7F"/>
    <w:rsid w:val="008A4C2A"/>
    <w:rsid w:val="008B2CC1"/>
    <w:rsid w:val="008B60B2"/>
    <w:rsid w:val="008B6BEE"/>
    <w:rsid w:val="008B6CD8"/>
    <w:rsid w:val="008D46A1"/>
    <w:rsid w:val="008D6A4D"/>
    <w:rsid w:val="008F325C"/>
    <w:rsid w:val="008F5590"/>
    <w:rsid w:val="009018F3"/>
    <w:rsid w:val="009021D8"/>
    <w:rsid w:val="00905B78"/>
    <w:rsid w:val="0090731E"/>
    <w:rsid w:val="00910746"/>
    <w:rsid w:val="009136D1"/>
    <w:rsid w:val="00916C26"/>
    <w:rsid w:val="00916EE2"/>
    <w:rsid w:val="00922DB2"/>
    <w:rsid w:val="00923EF1"/>
    <w:rsid w:val="009301A0"/>
    <w:rsid w:val="00935075"/>
    <w:rsid w:val="00944F22"/>
    <w:rsid w:val="00945C07"/>
    <w:rsid w:val="00956462"/>
    <w:rsid w:val="00961E67"/>
    <w:rsid w:val="00966A22"/>
    <w:rsid w:val="0096722F"/>
    <w:rsid w:val="00970DB9"/>
    <w:rsid w:val="00974020"/>
    <w:rsid w:val="00980843"/>
    <w:rsid w:val="00986EAB"/>
    <w:rsid w:val="00990399"/>
    <w:rsid w:val="00991ABE"/>
    <w:rsid w:val="009B7B20"/>
    <w:rsid w:val="009C06E6"/>
    <w:rsid w:val="009E2791"/>
    <w:rsid w:val="009E3F6F"/>
    <w:rsid w:val="009E7C19"/>
    <w:rsid w:val="009F499F"/>
    <w:rsid w:val="009F509C"/>
    <w:rsid w:val="009F6EE8"/>
    <w:rsid w:val="009F7450"/>
    <w:rsid w:val="00A0486C"/>
    <w:rsid w:val="00A10E08"/>
    <w:rsid w:val="00A326A5"/>
    <w:rsid w:val="00A36C30"/>
    <w:rsid w:val="00A42DAF"/>
    <w:rsid w:val="00A45BD8"/>
    <w:rsid w:val="00A45D82"/>
    <w:rsid w:val="00A54126"/>
    <w:rsid w:val="00A54968"/>
    <w:rsid w:val="00A607C4"/>
    <w:rsid w:val="00A62FF0"/>
    <w:rsid w:val="00A77F87"/>
    <w:rsid w:val="00A869B7"/>
    <w:rsid w:val="00A96251"/>
    <w:rsid w:val="00AB5140"/>
    <w:rsid w:val="00AB6506"/>
    <w:rsid w:val="00AC163C"/>
    <w:rsid w:val="00AC205C"/>
    <w:rsid w:val="00AE3741"/>
    <w:rsid w:val="00AE60DA"/>
    <w:rsid w:val="00AF0A6B"/>
    <w:rsid w:val="00AF54CC"/>
    <w:rsid w:val="00B05A69"/>
    <w:rsid w:val="00B05CD3"/>
    <w:rsid w:val="00B07654"/>
    <w:rsid w:val="00B22B3B"/>
    <w:rsid w:val="00B26252"/>
    <w:rsid w:val="00B3177D"/>
    <w:rsid w:val="00B32B92"/>
    <w:rsid w:val="00B43843"/>
    <w:rsid w:val="00B54FB4"/>
    <w:rsid w:val="00B650B1"/>
    <w:rsid w:val="00B65D6C"/>
    <w:rsid w:val="00B8224B"/>
    <w:rsid w:val="00B907FC"/>
    <w:rsid w:val="00B9734B"/>
    <w:rsid w:val="00BB3B0C"/>
    <w:rsid w:val="00BC0206"/>
    <w:rsid w:val="00BC38FD"/>
    <w:rsid w:val="00BC5E6B"/>
    <w:rsid w:val="00BC7B6C"/>
    <w:rsid w:val="00BF4C15"/>
    <w:rsid w:val="00C06619"/>
    <w:rsid w:val="00C11BFE"/>
    <w:rsid w:val="00C21269"/>
    <w:rsid w:val="00C23CDE"/>
    <w:rsid w:val="00C30B54"/>
    <w:rsid w:val="00C32FDD"/>
    <w:rsid w:val="00C5070E"/>
    <w:rsid w:val="00C70E03"/>
    <w:rsid w:val="00C82DB7"/>
    <w:rsid w:val="00C82E93"/>
    <w:rsid w:val="00C937D4"/>
    <w:rsid w:val="00CA7EB8"/>
    <w:rsid w:val="00CB36D8"/>
    <w:rsid w:val="00CB4748"/>
    <w:rsid w:val="00CC0F0F"/>
    <w:rsid w:val="00CC3A5C"/>
    <w:rsid w:val="00CC57EE"/>
    <w:rsid w:val="00CC7DF7"/>
    <w:rsid w:val="00CC7E97"/>
    <w:rsid w:val="00CD4DF7"/>
    <w:rsid w:val="00CD731A"/>
    <w:rsid w:val="00CE3CE8"/>
    <w:rsid w:val="00CF042D"/>
    <w:rsid w:val="00CF68DE"/>
    <w:rsid w:val="00D175A5"/>
    <w:rsid w:val="00D45252"/>
    <w:rsid w:val="00D4670E"/>
    <w:rsid w:val="00D6425B"/>
    <w:rsid w:val="00D67A00"/>
    <w:rsid w:val="00D70659"/>
    <w:rsid w:val="00D71B4D"/>
    <w:rsid w:val="00D75F0D"/>
    <w:rsid w:val="00D92E88"/>
    <w:rsid w:val="00D93D55"/>
    <w:rsid w:val="00D944B1"/>
    <w:rsid w:val="00D97F9C"/>
    <w:rsid w:val="00DB3665"/>
    <w:rsid w:val="00DB5D11"/>
    <w:rsid w:val="00DB6361"/>
    <w:rsid w:val="00DC45C9"/>
    <w:rsid w:val="00DC6B44"/>
    <w:rsid w:val="00DC7520"/>
    <w:rsid w:val="00E12A79"/>
    <w:rsid w:val="00E16250"/>
    <w:rsid w:val="00E20EEC"/>
    <w:rsid w:val="00E21A76"/>
    <w:rsid w:val="00E329D0"/>
    <w:rsid w:val="00E335FE"/>
    <w:rsid w:val="00E3752D"/>
    <w:rsid w:val="00E553A9"/>
    <w:rsid w:val="00E638C4"/>
    <w:rsid w:val="00E80BBB"/>
    <w:rsid w:val="00E81242"/>
    <w:rsid w:val="00E84750"/>
    <w:rsid w:val="00E93D2A"/>
    <w:rsid w:val="00EB40B2"/>
    <w:rsid w:val="00EC00D8"/>
    <w:rsid w:val="00EC04E5"/>
    <w:rsid w:val="00EC27F4"/>
    <w:rsid w:val="00EC4E49"/>
    <w:rsid w:val="00EC7009"/>
    <w:rsid w:val="00ED77FB"/>
    <w:rsid w:val="00EE45FA"/>
    <w:rsid w:val="00EF43D7"/>
    <w:rsid w:val="00EF4E8E"/>
    <w:rsid w:val="00F10337"/>
    <w:rsid w:val="00F23FF6"/>
    <w:rsid w:val="00F24779"/>
    <w:rsid w:val="00F26BD2"/>
    <w:rsid w:val="00F30D9D"/>
    <w:rsid w:val="00F348C3"/>
    <w:rsid w:val="00F35238"/>
    <w:rsid w:val="00F374F7"/>
    <w:rsid w:val="00F441B7"/>
    <w:rsid w:val="00F471CD"/>
    <w:rsid w:val="00F55655"/>
    <w:rsid w:val="00F65E05"/>
    <w:rsid w:val="00F66118"/>
    <w:rsid w:val="00F66152"/>
    <w:rsid w:val="00F70AFF"/>
    <w:rsid w:val="00F71BBC"/>
    <w:rsid w:val="00F94252"/>
    <w:rsid w:val="00F96950"/>
    <w:rsid w:val="00FA05F1"/>
    <w:rsid w:val="00FC46A1"/>
    <w:rsid w:val="00FE4BCD"/>
    <w:rsid w:val="00FF70B9"/>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C"/>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4525E3"/>
    <w:pPr>
      <w:ind w:left="720"/>
      <w:contextualSpacing/>
    </w:pPr>
  </w:style>
  <w:style w:type="character" w:styleId="Hyperlink">
    <w:name w:val="Hyperlink"/>
    <w:rsid w:val="006A01C4"/>
    <w:rPr>
      <w:color w:val="0000FF"/>
      <w:u w:val="single"/>
    </w:rPr>
  </w:style>
  <w:style w:type="character" w:styleId="FootnoteReference">
    <w:name w:val="footnote reference"/>
    <w:aliases w:val="callout"/>
    <w:rsid w:val="00A607C4"/>
    <w:rPr>
      <w:vertAlign w:val="superscript"/>
    </w:rPr>
  </w:style>
  <w:style w:type="character" w:customStyle="1" w:styleId="Heading3Char">
    <w:name w:val="Heading 3 Char"/>
    <w:link w:val="Heading3"/>
    <w:rsid w:val="00A607C4"/>
    <w:rPr>
      <w:rFonts w:ascii="Arial" w:eastAsia="SimSun" w:hAnsi="Arial" w:cs="Arial"/>
      <w:bCs/>
      <w:sz w:val="22"/>
      <w:szCs w:val="26"/>
      <w:u w:val="single"/>
      <w:lang w:eastAsia="zh-CN"/>
    </w:rPr>
  </w:style>
  <w:style w:type="character" w:styleId="CommentReference">
    <w:name w:val="annotation reference"/>
    <w:uiPriority w:val="99"/>
    <w:rsid w:val="00A607C4"/>
    <w:rPr>
      <w:sz w:val="16"/>
      <w:szCs w:val="16"/>
    </w:rPr>
  </w:style>
  <w:style w:type="character" w:customStyle="1" w:styleId="CommentTextChar">
    <w:name w:val="Comment Text Char"/>
    <w:link w:val="CommentText"/>
    <w:uiPriority w:val="99"/>
    <w:semiHidden/>
    <w:rsid w:val="00A607C4"/>
    <w:rPr>
      <w:rFonts w:ascii="Arial" w:eastAsia="SimSun" w:hAnsi="Arial" w:cs="Arial"/>
      <w:sz w:val="18"/>
      <w:lang w:eastAsia="zh-CN"/>
    </w:rPr>
  </w:style>
  <w:style w:type="character" w:customStyle="1" w:styleId="HeaderChar">
    <w:name w:val="Header Char"/>
    <w:basedOn w:val="DefaultParagraphFont"/>
    <w:link w:val="Header"/>
    <w:uiPriority w:val="99"/>
    <w:rsid w:val="00291608"/>
    <w:rPr>
      <w:rFonts w:ascii="Arial" w:eastAsia="SimSun" w:hAnsi="Arial" w:cs="Arial"/>
      <w:sz w:val="22"/>
      <w:lang w:eastAsia="zh-CN"/>
    </w:rPr>
  </w:style>
  <w:style w:type="character" w:customStyle="1" w:styleId="FootnoteTextChar">
    <w:name w:val="Footnote Text Char"/>
    <w:basedOn w:val="DefaultParagraphFont"/>
    <w:link w:val="FootnoteText"/>
    <w:semiHidden/>
    <w:rsid w:val="00C23CDE"/>
    <w:rPr>
      <w:rFonts w:ascii="Arial" w:eastAsia="SimSun" w:hAnsi="Arial" w:cs="Arial"/>
      <w:sz w:val="18"/>
      <w:lang w:eastAsia="zh-CN"/>
    </w:rPr>
  </w:style>
  <w:style w:type="paragraph" w:customStyle="1" w:styleId="Endofdocument">
    <w:name w:val="End of document"/>
    <w:basedOn w:val="Normal"/>
    <w:link w:val="EndofdocumentChar"/>
    <w:rsid w:val="00C23CDE"/>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C23CDE"/>
    <w:rPr>
      <w:sz w:val="24"/>
    </w:rPr>
  </w:style>
  <w:style w:type="character" w:customStyle="1" w:styleId="FooterChar">
    <w:name w:val="Footer Char"/>
    <w:basedOn w:val="DefaultParagraphFont"/>
    <w:link w:val="Footer"/>
    <w:semiHidden/>
    <w:rsid w:val="00A96251"/>
    <w:rPr>
      <w:rFonts w:ascii="Arial" w:eastAsia="SimSun" w:hAnsi="Arial" w:cs="Arial"/>
      <w:sz w:val="22"/>
      <w:lang w:eastAsia="zh-CN"/>
    </w:rPr>
  </w:style>
  <w:style w:type="character" w:customStyle="1" w:styleId="Heading1Char">
    <w:name w:val="Heading 1 Char"/>
    <w:link w:val="Heading1"/>
    <w:locked/>
    <w:rsid w:val="009E7C19"/>
    <w:rPr>
      <w:rFonts w:ascii="Arial" w:eastAsia="SimSun" w:hAnsi="Arial" w:cs="Arial"/>
      <w:b/>
      <w:bCs/>
      <w:caps/>
      <w:kern w:val="32"/>
      <w:sz w:val="22"/>
      <w:szCs w:val="32"/>
      <w:lang w:eastAsia="zh-CN"/>
    </w:rPr>
  </w:style>
  <w:style w:type="character" w:customStyle="1" w:styleId="Heading2Char">
    <w:name w:val="Heading 2 Char"/>
    <w:link w:val="Heading2"/>
    <w:locked/>
    <w:rsid w:val="009E7C19"/>
    <w:rPr>
      <w:rFonts w:ascii="Arial" w:eastAsia="SimSun" w:hAnsi="Arial" w:cs="Arial"/>
      <w:bCs/>
      <w:iCs/>
      <w:caps/>
      <w:sz w:val="22"/>
      <w:szCs w:val="28"/>
      <w:lang w:eastAsia="zh-CN"/>
    </w:rPr>
  </w:style>
  <w:style w:type="paragraph" w:customStyle="1" w:styleId="Default">
    <w:name w:val="Default"/>
    <w:rsid w:val="004B5A2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F325C"/>
    <w:rPr>
      <w:rFonts w:ascii="Arial" w:eastAsia="SimSun" w:hAnsi="Arial" w:cs="Arial"/>
      <w:sz w:val="22"/>
      <w:lang w:eastAsia="zh-CN"/>
    </w:rPr>
  </w:style>
  <w:style w:type="character" w:customStyle="1" w:styleId="Heading4Char">
    <w:name w:val="Heading 4 Char"/>
    <w:basedOn w:val="DefaultParagraphFont"/>
    <w:link w:val="Heading4"/>
    <w:rsid w:val="00F35238"/>
    <w:rPr>
      <w:rFonts w:ascii="Arial" w:eastAsia="SimSun" w:hAnsi="Arial" w:cs="Arial"/>
      <w:bCs/>
      <w:i/>
      <w:sz w:val="22"/>
      <w:szCs w:val="28"/>
      <w:lang w:eastAsia="zh-CN"/>
    </w:rPr>
  </w:style>
  <w:style w:type="character" w:customStyle="1" w:styleId="BodyTextChar">
    <w:name w:val="Body Text Char"/>
    <w:basedOn w:val="DefaultParagraphFont"/>
    <w:link w:val="BodyText"/>
    <w:uiPriority w:val="99"/>
    <w:rsid w:val="00D175A5"/>
    <w:rPr>
      <w:rFonts w:ascii="Arial" w:eastAsia="SimSun" w:hAnsi="Arial" w:cs="Arial"/>
      <w:sz w:val="22"/>
      <w:lang w:eastAsia="zh-CN"/>
    </w:rPr>
  </w:style>
  <w:style w:type="paragraph" w:customStyle="1" w:styleId="CarCar">
    <w:name w:val="Car Car"/>
    <w:basedOn w:val="Normal"/>
    <w:rsid w:val="002D403D"/>
    <w:pPr>
      <w:spacing w:after="160" w:line="240" w:lineRule="exact"/>
    </w:pPr>
    <w:rPr>
      <w:rFonts w:ascii="Verdana" w:eastAsia="Times New Roman" w:hAnsi="Verdana" w:cs="Times New Roman"/>
      <w:sz w:val="20"/>
      <w:lang w:val="en-GB" w:eastAsia="en-US"/>
    </w:rPr>
  </w:style>
  <w:style w:type="character" w:customStyle="1" w:styleId="Endofdocument-AnnexChar">
    <w:name w:val="[End of document - Annex] Char"/>
    <w:link w:val="Endofdocument-Annex"/>
    <w:rsid w:val="00BB3B0C"/>
    <w:rPr>
      <w:rFonts w:ascii="Arial" w:eastAsia="SimSun" w:hAnsi="Arial" w:cs="Arial"/>
      <w:sz w:val="22"/>
      <w:lang w:eastAsia="zh-CN"/>
    </w:rPr>
  </w:style>
  <w:style w:type="table" w:styleId="TableGrid">
    <w:name w:val="Table Grid"/>
    <w:basedOn w:val="TableNormal"/>
    <w:rsid w:val="00857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377536"/>
    <w:rPr>
      <w:color w:val="800080" w:themeColor="followedHyperlink"/>
      <w:u w:val="single"/>
    </w:rPr>
  </w:style>
  <w:style w:type="character" w:customStyle="1" w:styleId="EndnoteTextChar">
    <w:name w:val="Endnote Text Char"/>
    <w:basedOn w:val="DefaultParagraphFont"/>
    <w:link w:val="EndnoteText"/>
    <w:semiHidden/>
    <w:rsid w:val="00F30D9D"/>
    <w:rPr>
      <w:rFonts w:ascii="Arial" w:eastAsia="SimSun" w:hAnsi="Arial" w:cs="Arial"/>
      <w:sz w:val="18"/>
      <w:lang w:val="fr-FR" w:eastAsia="zh-CN"/>
    </w:rPr>
  </w:style>
  <w:style w:type="character" w:customStyle="1" w:styleId="SalutationChar">
    <w:name w:val="Salutation Char"/>
    <w:basedOn w:val="DefaultParagraphFont"/>
    <w:link w:val="Salutation"/>
    <w:semiHidden/>
    <w:rsid w:val="00F30D9D"/>
    <w:rPr>
      <w:rFonts w:ascii="Arial" w:eastAsia="SimSun" w:hAnsi="Arial" w:cs="Arial"/>
      <w:sz w:val="22"/>
      <w:lang w:val="fr-FR" w:eastAsia="zh-CN"/>
    </w:rPr>
  </w:style>
  <w:style w:type="character" w:customStyle="1" w:styleId="SignatureChar">
    <w:name w:val="Signature Char"/>
    <w:basedOn w:val="DefaultParagraphFont"/>
    <w:link w:val="Signature"/>
    <w:semiHidden/>
    <w:rsid w:val="00F30D9D"/>
    <w:rPr>
      <w:rFonts w:ascii="Arial" w:eastAsia="SimSun" w:hAnsi="Arial" w:cs="Arial"/>
      <w:sz w:val="22"/>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6C"/>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4525E3"/>
    <w:pPr>
      <w:ind w:left="720"/>
      <w:contextualSpacing/>
    </w:pPr>
  </w:style>
  <w:style w:type="character" w:styleId="Hyperlink">
    <w:name w:val="Hyperlink"/>
    <w:rsid w:val="006A01C4"/>
    <w:rPr>
      <w:color w:val="0000FF"/>
      <w:u w:val="single"/>
    </w:rPr>
  </w:style>
  <w:style w:type="character" w:styleId="FootnoteReference">
    <w:name w:val="footnote reference"/>
    <w:aliases w:val="callout"/>
    <w:rsid w:val="00A607C4"/>
    <w:rPr>
      <w:vertAlign w:val="superscript"/>
    </w:rPr>
  </w:style>
  <w:style w:type="character" w:customStyle="1" w:styleId="Heading3Char">
    <w:name w:val="Heading 3 Char"/>
    <w:link w:val="Heading3"/>
    <w:rsid w:val="00A607C4"/>
    <w:rPr>
      <w:rFonts w:ascii="Arial" w:eastAsia="SimSun" w:hAnsi="Arial" w:cs="Arial"/>
      <w:bCs/>
      <w:sz w:val="22"/>
      <w:szCs w:val="26"/>
      <w:u w:val="single"/>
      <w:lang w:eastAsia="zh-CN"/>
    </w:rPr>
  </w:style>
  <w:style w:type="character" w:styleId="CommentReference">
    <w:name w:val="annotation reference"/>
    <w:uiPriority w:val="99"/>
    <w:rsid w:val="00A607C4"/>
    <w:rPr>
      <w:sz w:val="16"/>
      <w:szCs w:val="16"/>
    </w:rPr>
  </w:style>
  <w:style w:type="character" w:customStyle="1" w:styleId="CommentTextChar">
    <w:name w:val="Comment Text Char"/>
    <w:link w:val="CommentText"/>
    <w:uiPriority w:val="99"/>
    <w:semiHidden/>
    <w:rsid w:val="00A607C4"/>
    <w:rPr>
      <w:rFonts w:ascii="Arial" w:eastAsia="SimSun" w:hAnsi="Arial" w:cs="Arial"/>
      <w:sz w:val="18"/>
      <w:lang w:eastAsia="zh-CN"/>
    </w:rPr>
  </w:style>
  <w:style w:type="character" w:customStyle="1" w:styleId="HeaderChar">
    <w:name w:val="Header Char"/>
    <w:basedOn w:val="DefaultParagraphFont"/>
    <w:link w:val="Header"/>
    <w:uiPriority w:val="99"/>
    <w:rsid w:val="00291608"/>
    <w:rPr>
      <w:rFonts w:ascii="Arial" w:eastAsia="SimSun" w:hAnsi="Arial" w:cs="Arial"/>
      <w:sz w:val="22"/>
      <w:lang w:eastAsia="zh-CN"/>
    </w:rPr>
  </w:style>
  <w:style w:type="character" w:customStyle="1" w:styleId="FootnoteTextChar">
    <w:name w:val="Footnote Text Char"/>
    <w:basedOn w:val="DefaultParagraphFont"/>
    <w:link w:val="FootnoteText"/>
    <w:semiHidden/>
    <w:rsid w:val="00C23CDE"/>
    <w:rPr>
      <w:rFonts w:ascii="Arial" w:eastAsia="SimSun" w:hAnsi="Arial" w:cs="Arial"/>
      <w:sz w:val="18"/>
      <w:lang w:eastAsia="zh-CN"/>
    </w:rPr>
  </w:style>
  <w:style w:type="paragraph" w:customStyle="1" w:styleId="Endofdocument">
    <w:name w:val="End of document"/>
    <w:basedOn w:val="Normal"/>
    <w:link w:val="EndofdocumentChar"/>
    <w:rsid w:val="00C23CDE"/>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C23CDE"/>
    <w:rPr>
      <w:sz w:val="24"/>
    </w:rPr>
  </w:style>
  <w:style w:type="character" w:customStyle="1" w:styleId="FooterChar">
    <w:name w:val="Footer Char"/>
    <w:basedOn w:val="DefaultParagraphFont"/>
    <w:link w:val="Footer"/>
    <w:semiHidden/>
    <w:rsid w:val="00A96251"/>
    <w:rPr>
      <w:rFonts w:ascii="Arial" w:eastAsia="SimSun" w:hAnsi="Arial" w:cs="Arial"/>
      <w:sz w:val="22"/>
      <w:lang w:eastAsia="zh-CN"/>
    </w:rPr>
  </w:style>
  <w:style w:type="character" w:customStyle="1" w:styleId="Heading1Char">
    <w:name w:val="Heading 1 Char"/>
    <w:link w:val="Heading1"/>
    <w:locked/>
    <w:rsid w:val="009E7C19"/>
    <w:rPr>
      <w:rFonts w:ascii="Arial" w:eastAsia="SimSun" w:hAnsi="Arial" w:cs="Arial"/>
      <w:b/>
      <w:bCs/>
      <w:caps/>
      <w:kern w:val="32"/>
      <w:sz w:val="22"/>
      <w:szCs w:val="32"/>
      <w:lang w:eastAsia="zh-CN"/>
    </w:rPr>
  </w:style>
  <w:style w:type="character" w:customStyle="1" w:styleId="Heading2Char">
    <w:name w:val="Heading 2 Char"/>
    <w:link w:val="Heading2"/>
    <w:locked/>
    <w:rsid w:val="009E7C19"/>
    <w:rPr>
      <w:rFonts w:ascii="Arial" w:eastAsia="SimSun" w:hAnsi="Arial" w:cs="Arial"/>
      <w:bCs/>
      <w:iCs/>
      <w:caps/>
      <w:sz w:val="22"/>
      <w:szCs w:val="28"/>
      <w:lang w:eastAsia="zh-CN"/>
    </w:rPr>
  </w:style>
  <w:style w:type="paragraph" w:customStyle="1" w:styleId="Default">
    <w:name w:val="Default"/>
    <w:rsid w:val="004B5A2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F325C"/>
    <w:rPr>
      <w:rFonts w:ascii="Arial" w:eastAsia="SimSun" w:hAnsi="Arial" w:cs="Arial"/>
      <w:sz w:val="22"/>
      <w:lang w:eastAsia="zh-CN"/>
    </w:rPr>
  </w:style>
  <w:style w:type="character" w:customStyle="1" w:styleId="Heading4Char">
    <w:name w:val="Heading 4 Char"/>
    <w:basedOn w:val="DefaultParagraphFont"/>
    <w:link w:val="Heading4"/>
    <w:rsid w:val="00F35238"/>
    <w:rPr>
      <w:rFonts w:ascii="Arial" w:eastAsia="SimSun" w:hAnsi="Arial" w:cs="Arial"/>
      <w:bCs/>
      <w:i/>
      <w:sz w:val="22"/>
      <w:szCs w:val="28"/>
      <w:lang w:eastAsia="zh-CN"/>
    </w:rPr>
  </w:style>
  <w:style w:type="character" w:customStyle="1" w:styleId="BodyTextChar">
    <w:name w:val="Body Text Char"/>
    <w:basedOn w:val="DefaultParagraphFont"/>
    <w:link w:val="BodyText"/>
    <w:uiPriority w:val="99"/>
    <w:rsid w:val="00D175A5"/>
    <w:rPr>
      <w:rFonts w:ascii="Arial" w:eastAsia="SimSun" w:hAnsi="Arial" w:cs="Arial"/>
      <w:sz w:val="22"/>
      <w:lang w:eastAsia="zh-CN"/>
    </w:rPr>
  </w:style>
  <w:style w:type="paragraph" w:customStyle="1" w:styleId="CarCar">
    <w:name w:val="Car Car"/>
    <w:basedOn w:val="Normal"/>
    <w:rsid w:val="002D403D"/>
    <w:pPr>
      <w:spacing w:after="160" w:line="240" w:lineRule="exact"/>
    </w:pPr>
    <w:rPr>
      <w:rFonts w:ascii="Verdana" w:eastAsia="Times New Roman" w:hAnsi="Verdana" w:cs="Times New Roman"/>
      <w:sz w:val="20"/>
      <w:lang w:val="en-GB" w:eastAsia="en-US"/>
    </w:rPr>
  </w:style>
  <w:style w:type="character" w:customStyle="1" w:styleId="Endofdocument-AnnexChar">
    <w:name w:val="[End of document - Annex] Char"/>
    <w:link w:val="Endofdocument-Annex"/>
    <w:rsid w:val="00BB3B0C"/>
    <w:rPr>
      <w:rFonts w:ascii="Arial" w:eastAsia="SimSun" w:hAnsi="Arial" w:cs="Arial"/>
      <w:sz w:val="22"/>
      <w:lang w:eastAsia="zh-CN"/>
    </w:rPr>
  </w:style>
  <w:style w:type="table" w:styleId="TableGrid">
    <w:name w:val="Table Grid"/>
    <w:basedOn w:val="TableNormal"/>
    <w:rsid w:val="00857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377536"/>
    <w:rPr>
      <w:color w:val="800080" w:themeColor="followedHyperlink"/>
      <w:u w:val="single"/>
    </w:rPr>
  </w:style>
  <w:style w:type="character" w:customStyle="1" w:styleId="EndnoteTextChar">
    <w:name w:val="Endnote Text Char"/>
    <w:basedOn w:val="DefaultParagraphFont"/>
    <w:link w:val="EndnoteText"/>
    <w:semiHidden/>
    <w:rsid w:val="00F30D9D"/>
    <w:rPr>
      <w:rFonts w:ascii="Arial" w:eastAsia="SimSun" w:hAnsi="Arial" w:cs="Arial"/>
      <w:sz w:val="18"/>
      <w:lang w:val="fr-FR" w:eastAsia="zh-CN"/>
    </w:rPr>
  </w:style>
  <w:style w:type="character" w:customStyle="1" w:styleId="SalutationChar">
    <w:name w:val="Salutation Char"/>
    <w:basedOn w:val="DefaultParagraphFont"/>
    <w:link w:val="Salutation"/>
    <w:semiHidden/>
    <w:rsid w:val="00F30D9D"/>
    <w:rPr>
      <w:rFonts w:ascii="Arial" w:eastAsia="SimSun" w:hAnsi="Arial" w:cs="Arial"/>
      <w:sz w:val="22"/>
      <w:lang w:val="fr-FR" w:eastAsia="zh-CN"/>
    </w:rPr>
  </w:style>
  <w:style w:type="character" w:customStyle="1" w:styleId="SignatureChar">
    <w:name w:val="Signature Char"/>
    <w:basedOn w:val="DefaultParagraphFont"/>
    <w:link w:val="Signature"/>
    <w:semiHidden/>
    <w:rsid w:val="00F30D9D"/>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wipo.int/meetings/en/details.jsp?meeting_id=31263" TargetMode="External"/><Relationship Id="rId26" Type="http://schemas.openxmlformats.org/officeDocument/2006/relationships/hyperlink" Target="http://www.wipo.int/meetings/en/doc_details.jsp?doc_id=217828" TargetMode="External"/><Relationship Id="rId39" Type="http://schemas.openxmlformats.org/officeDocument/2006/relationships/hyperlink" Target="http://www.wipo.int/meetings/en/doc_details.jsp?doc_id=249743" TargetMode="External"/><Relationship Id="rId21" Type="http://schemas.openxmlformats.org/officeDocument/2006/relationships/hyperlink" Target="http://www.wipo.int/meetings/en/details.jsp?meeting_id=31243" TargetMode="External"/><Relationship Id="rId34" Type="http://schemas.openxmlformats.org/officeDocument/2006/relationships/hyperlink" Target="http://www.wipo.int/meetings/en/details.jsp?meeting_id=31762" TargetMode="External"/><Relationship Id="rId42" Type="http://schemas.openxmlformats.org/officeDocument/2006/relationships/header" Target="header6.xml"/><Relationship Id="rId47" Type="http://schemas.openxmlformats.org/officeDocument/2006/relationships/hyperlink" Target="http://www.wipo.int/edocs/mdocs/mdocs/fr/cdip_13/cdip_13_summary.pdf" TargetMode="External"/><Relationship Id="rId50" Type="http://schemas.openxmlformats.org/officeDocument/2006/relationships/hyperlink" Target="http://www.wipo.int/meetings/en/doc_details.jsp?doc_id=268822" TargetMode="External"/><Relationship Id="rId55" Type="http://schemas.openxmlformats.org/officeDocument/2006/relationships/header" Target="header11.xml"/><Relationship Id="rId63" Type="http://schemas.openxmlformats.org/officeDocument/2006/relationships/header" Target="header16.xml"/><Relationship Id="rId68" Type="http://schemas.openxmlformats.org/officeDocument/2006/relationships/footer" Target="footer1.xml"/><Relationship Id="rId76" Type="http://schemas.openxmlformats.org/officeDocument/2006/relationships/hyperlink" Target="http://www.wipo.int/meetings/en/doc_details.jsp?doc_id=249743" TargetMode="External"/><Relationship Id="rId84"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hyperlink" Target="http://www.wipo.int/meetings/en/doc_details.jsp?doc_id=249743" TargetMode="External"/><Relationship Id="rId29" Type="http://schemas.openxmlformats.org/officeDocument/2006/relationships/hyperlink" Target="http://www.wipo.int/edocs/mdocs/mdocs/en/cdip_9/cdip_9_inf_4.pdf" TargetMode="External"/><Relationship Id="rId11" Type="http://schemas.openxmlformats.org/officeDocument/2006/relationships/endnotes" Target="endnotes.xml"/><Relationship Id="rId24" Type="http://schemas.openxmlformats.org/officeDocument/2006/relationships/hyperlink" Target="http://www.wipo.int/meetings/en/doc_details.jsp?doc_id=249743" TargetMode="External"/><Relationship Id="rId32" Type="http://schemas.openxmlformats.org/officeDocument/2006/relationships/header" Target="header5.xml"/><Relationship Id="rId37" Type="http://schemas.openxmlformats.org/officeDocument/2006/relationships/hyperlink" Target="http://www.wipo.int/meetings/en/doc_details.jsp?doc_id=186340" TargetMode="External"/><Relationship Id="rId40" Type="http://schemas.openxmlformats.org/officeDocument/2006/relationships/hyperlink" Target="http://www.wipo.int/meetings/en/details.jsp?meeting_id=31762" TargetMode="External"/><Relationship Id="rId45" Type="http://schemas.openxmlformats.org/officeDocument/2006/relationships/header" Target="header8.xml"/><Relationship Id="rId53" Type="http://schemas.openxmlformats.org/officeDocument/2006/relationships/hyperlink" Target="http://www.wipo.int/meetings/fr/doc_details.jsp?doc_id=268822" TargetMode="External"/><Relationship Id="rId58" Type="http://schemas.openxmlformats.org/officeDocument/2006/relationships/header" Target="header14.xml"/><Relationship Id="rId66" Type="http://schemas.openxmlformats.org/officeDocument/2006/relationships/hyperlink" Target="https://www3.wipo.int/confluence/display/ppenipa/Start-Up+National+IP+Academies" TargetMode="External"/><Relationship Id="rId74" Type="http://schemas.openxmlformats.org/officeDocument/2006/relationships/hyperlink" Target="http://www.wipo.int/meetings/en/doc_details.jsp?doc_id=186340" TargetMode="External"/><Relationship Id="rId79" Type="http://schemas.openxmlformats.org/officeDocument/2006/relationships/hyperlink" Target="http://www.wipo.int/export/sites/www/about-wipo/en/oversight/iaod/investigations/pdf/investigation_policy_2014.pdf" TargetMode="External"/><Relationship Id="rId5" Type="http://schemas.openxmlformats.org/officeDocument/2006/relationships/numbering" Target="numbering.xml"/><Relationship Id="rId61" Type="http://schemas.openxmlformats.org/officeDocument/2006/relationships/hyperlink" Target="http://www.wipo.int/export/sites/www/tisc/en/doc/tisc_survey_2012.pdf" TargetMode="External"/><Relationship Id="rId82" Type="http://schemas.openxmlformats.org/officeDocument/2006/relationships/header" Target="header24.xml"/><Relationship Id="rId19" Type="http://schemas.openxmlformats.org/officeDocument/2006/relationships/hyperlink" Target="http://www.wipo.int/meetings/en/details.jsp?meeting_id=3070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wipo.int/edocs/mdocs/mdocs/en/cdip_9/cdip_9_inf_4.pdf" TargetMode="External"/><Relationship Id="rId27" Type="http://schemas.openxmlformats.org/officeDocument/2006/relationships/hyperlink" Target="http://www.wipo.int/meetings/en/doc_details.jsp?doc_id=249743" TargetMode="External"/><Relationship Id="rId30" Type="http://schemas.openxmlformats.org/officeDocument/2006/relationships/hyperlink" Target="http://wwwocmstest.wipo.int/innovation" TargetMode="External"/><Relationship Id="rId35" Type="http://schemas.openxmlformats.org/officeDocument/2006/relationships/hyperlink" Target="http://www.wipo.int/pressroom/fr/stories/collaborative_innovation.html" TargetMode="External"/><Relationship Id="rId43" Type="http://schemas.openxmlformats.org/officeDocument/2006/relationships/header" Target="header7.xml"/><Relationship Id="rId48" Type="http://schemas.openxmlformats.org/officeDocument/2006/relationships/hyperlink" Target="http://www.wipo.int/meetings/fr/details.jsp?meeting_id=30462" TargetMode="External"/><Relationship Id="rId56" Type="http://schemas.openxmlformats.org/officeDocument/2006/relationships/header" Target="header12.xml"/><Relationship Id="rId64" Type="http://schemas.openxmlformats.org/officeDocument/2006/relationships/header" Target="header17.xml"/><Relationship Id="rId69" Type="http://schemas.openxmlformats.org/officeDocument/2006/relationships/header" Target="header19.xml"/><Relationship Id="rId77" Type="http://schemas.openxmlformats.org/officeDocument/2006/relationships/hyperlink" Target="http://www.wipo.int/meetings/en/doc_details.jsp?doc_id=268876" TargetMode="External"/><Relationship Id="rId8" Type="http://schemas.openxmlformats.org/officeDocument/2006/relationships/settings" Target="settings.xml"/><Relationship Id="rId51" Type="http://schemas.openxmlformats.org/officeDocument/2006/relationships/hyperlink" Target="http://www.wipo.int/cooperation/fr/south_south/" TargetMode="External"/><Relationship Id="rId72" Type="http://schemas.openxmlformats.org/officeDocument/2006/relationships/header" Target="header22.xml"/><Relationship Id="rId80" Type="http://schemas.openxmlformats.org/officeDocument/2006/relationships/hyperlink" Target="http://www.wipo.int/export/sites/www/about-wipo/en/oversight/iaod/investigations/pdf/investigation_procedures_manual_2nd_edition.pdf"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wipo.int/meetings/en/details.jsp?meeting_id=28643" TargetMode="External"/><Relationship Id="rId25" Type="http://schemas.openxmlformats.org/officeDocument/2006/relationships/hyperlink" Target="http://www.wipo.int/meetings/en/doc_details.jsp?doc_id=186340" TargetMode="External"/><Relationship Id="rId33" Type="http://schemas.openxmlformats.org/officeDocument/2006/relationships/hyperlink" Target="http://www.wipo.int/meetings/en/doc_details.jsp?doc_id=249743" TargetMode="External"/><Relationship Id="rId38" Type="http://schemas.openxmlformats.org/officeDocument/2006/relationships/hyperlink" Target="http://www.wipo.int/meetings/en/doc_details.jsp?doc_id=217828" TargetMode="External"/><Relationship Id="rId46" Type="http://schemas.openxmlformats.org/officeDocument/2006/relationships/header" Target="header9.xml"/><Relationship Id="rId59" Type="http://schemas.openxmlformats.org/officeDocument/2006/relationships/header" Target="header15.xml"/><Relationship Id="rId67" Type="http://schemas.openxmlformats.org/officeDocument/2006/relationships/header" Target="header18.xml"/><Relationship Id="rId20" Type="http://schemas.openxmlformats.org/officeDocument/2006/relationships/hyperlink" Target="http://www.wipo.int/meetings/en/details.jsp?meeting_id=31242" TargetMode="External"/><Relationship Id="rId41" Type="http://schemas.openxmlformats.org/officeDocument/2006/relationships/hyperlink" Target="http://www.wipo.int/pressroom/en/stories/collaborative_innovation.html" TargetMode="External"/><Relationship Id="rId54" Type="http://schemas.openxmlformats.org/officeDocument/2006/relationships/header" Target="header10.xml"/><Relationship Id="rId62" Type="http://schemas.openxmlformats.org/officeDocument/2006/relationships/hyperlink" Target="http://www.wipo.int/export/sites/www/tisc/en/doc/tisc_2011_survey_report.pdf" TargetMode="External"/><Relationship Id="rId70" Type="http://schemas.openxmlformats.org/officeDocument/2006/relationships/header" Target="header20.xml"/><Relationship Id="rId75" Type="http://schemas.openxmlformats.org/officeDocument/2006/relationships/hyperlink" Target="http://www.wipo.int/meetings/en/doc_details.jsp?doc_id=217828" TargetMode="External"/><Relationship Id="rId83"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wipo.int/edocs/mdocs/mdocs/en/cdip_9/cdip_9_inf_4.pdf" TargetMode="External"/><Relationship Id="rId28" Type="http://schemas.openxmlformats.org/officeDocument/2006/relationships/hyperlink" Target="http://www.wipo.int/edocs/mdocs/mdocs/en/cdip_9/cdip_9_inf_4.pdf" TargetMode="External"/><Relationship Id="rId36" Type="http://schemas.openxmlformats.org/officeDocument/2006/relationships/hyperlink" Target="http://www.wipo.int/meetings/en/doc_details.jsp?doc_id=249743" TargetMode="External"/><Relationship Id="rId49" Type="http://schemas.openxmlformats.org/officeDocument/2006/relationships/hyperlink" Target="http://www.wipo.int/cooperation/fr/south_south/" TargetMode="External"/><Relationship Id="rId57" Type="http://schemas.openxmlformats.org/officeDocument/2006/relationships/header" Target="header13.xml"/><Relationship Id="rId10" Type="http://schemas.openxmlformats.org/officeDocument/2006/relationships/footnotes" Target="footnotes.xml"/><Relationship Id="rId31" Type="http://schemas.openxmlformats.org/officeDocument/2006/relationships/header" Target="header4.xml"/><Relationship Id="rId44" Type="http://schemas.openxmlformats.org/officeDocument/2006/relationships/hyperlink" Target="http://www.wipo.int/meetings/en/doc_details.jsp?doc_id=283200" TargetMode="External"/><Relationship Id="rId52" Type="http://schemas.openxmlformats.org/officeDocument/2006/relationships/hyperlink" Target="http://www.wipo.int/cooperation/fr/south_south/" TargetMode="External"/><Relationship Id="rId60" Type="http://schemas.openxmlformats.org/officeDocument/2006/relationships/hyperlink" Target="http://www.wipo.int/export/sites/www/tisc/en/doc/tisc_survey_2013.pdf" TargetMode="External"/><Relationship Id="rId65" Type="http://schemas.openxmlformats.org/officeDocument/2006/relationships/hyperlink" Target="http://api.sic.gov.co/" TargetMode="External"/><Relationship Id="rId73" Type="http://schemas.openxmlformats.org/officeDocument/2006/relationships/header" Target="header23.xml"/><Relationship Id="rId78" Type="http://schemas.openxmlformats.org/officeDocument/2006/relationships/hyperlink" Target="http://www.wipo.int/export/sites/www/about-wipo/fr/oversight/iaod/investigations/pdf/investigation_procedure_manual.pdf" TargetMode="External"/><Relationship Id="rId81" Type="http://schemas.openxmlformats.org/officeDocument/2006/relationships/hyperlink" Target="http://www.wipo.int/export/sites/www/erecruitment/en/pdf/staff_rules_part_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268876" TargetMode="External"/><Relationship Id="rId1" Type="http://schemas.openxmlformats.org/officeDocument/2006/relationships/hyperlink" Target="http://www.wipo.int/patentscope/fr/programs/patent_landscap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6AFA1-B088-45C7-9176-F58122F7D001}">
  <ds:schemaRefs>
    <ds:schemaRef ds:uri="http://schemas.openxmlformats.org/officeDocument/2006/bibliography"/>
  </ds:schemaRefs>
</ds:datastoreItem>
</file>

<file path=customXml/itemProps2.xml><?xml version="1.0" encoding="utf-8"?>
<ds:datastoreItem xmlns:ds="http://schemas.openxmlformats.org/officeDocument/2006/customXml" ds:itemID="{6CD27877-EEE8-4214-B9FE-BCF7E7FCCE9E}">
  <ds:schemaRefs>
    <ds:schemaRef ds:uri="http://schemas.openxmlformats.org/officeDocument/2006/bibliography"/>
  </ds:schemaRefs>
</ds:datastoreItem>
</file>

<file path=customXml/itemProps3.xml><?xml version="1.0" encoding="utf-8"?>
<ds:datastoreItem xmlns:ds="http://schemas.openxmlformats.org/officeDocument/2006/customXml" ds:itemID="{5645FBDC-11EA-45CA-87D0-F71487CF1A68}">
  <ds:schemaRefs>
    <ds:schemaRef ds:uri="http://schemas.openxmlformats.org/officeDocument/2006/bibliography"/>
  </ds:schemaRefs>
</ds:datastoreItem>
</file>

<file path=customXml/itemProps4.xml><?xml version="1.0" encoding="utf-8"?>
<ds:datastoreItem xmlns:ds="http://schemas.openxmlformats.org/officeDocument/2006/customXml" ds:itemID="{5714FBA2-37FC-492D-BC7C-7A04EC4C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122</Pages>
  <Words>41592</Words>
  <Characters>237078</Characters>
  <Application>Microsoft Office Word</Application>
  <DocSecurity>0</DocSecurity>
  <Lines>1975</Lines>
  <Paragraphs>556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CDIP/14/</vt:lpstr>
      <vt:lpstr>CDIP/14/</vt:lpstr>
    </vt:vector>
  </TitlesOfParts>
  <Company>WIPO</Company>
  <LinksUpToDate>false</LinksUpToDate>
  <CharactersWithSpaces>278114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cp:lastModifiedBy>BRACI Biljana</cp:lastModifiedBy>
  <cp:revision>6</cp:revision>
  <cp:lastPrinted>2014-09-26T14:16:00Z</cp:lastPrinted>
  <dcterms:created xsi:type="dcterms:W3CDTF">2014-09-26T13:38:00Z</dcterms:created>
  <dcterms:modified xsi:type="dcterms:W3CDTF">2014-09-26T14:17:00Z</dcterms:modified>
</cp:coreProperties>
</file>