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E73D7" w:rsidRPr="008E73D7" w:rsidTr="008323D9">
        <w:tc>
          <w:tcPr>
            <w:tcW w:w="4513" w:type="dxa"/>
            <w:tcBorders>
              <w:bottom w:val="single" w:sz="4" w:space="0" w:color="auto"/>
            </w:tcBorders>
            <w:tcMar>
              <w:bottom w:w="170" w:type="dxa"/>
            </w:tcMar>
          </w:tcPr>
          <w:p w:rsidR="00F22EE4" w:rsidRPr="008E73D7" w:rsidRDefault="00F22EE4" w:rsidP="00DF0747">
            <w:pPr>
              <w:rPr>
                <w:lang w:val="fr-FR"/>
              </w:rPr>
            </w:pPr>
            <w:bookmarkStart w:id="0" w:name="TitleOfDoc"/>
            <w:bookmarkEnd w:id="0"/>
          </w:p>
        </w:tc>
        <w:tc>
          <w:tcPr>
            <w:tcW w:w="4337" w:type="dxa"/>
            <w:tcBorders>
              <w:bottom w:val="single" w:sz="4" w:space="0" w:color="auto"/>
            </w:tcBorders>
            <w:tcMar>
              <w:left w:w="0" w:type="dxa"/>
              <w:right w:w="0" w:type="dxa"/>
            </w:tcMar>
          </w:tcPr>
          <w:p w:rsidR="00F22EE4" w:rsidRPr="008E73D7" w:rsidRDefault="00F22EE4" w:rsidP="00DF0747">
            <w:pPr>
              <w:rPr>
                <w:lang w:val="fr-FR"/>
              </w:rPr>
            </w:pPr>
            <w:r w:rsidRPr="008E73D7">
              <w:rPr>
                <w:noProof/>
              </w:rPr>
              <w:drawing>
                <wp:inline distT="0" distB="0" distL="0" distR="0" wp14:anchorId="2ECF724F" wp14:editId="67611D8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22EE4" w:rsidRPr="008E73D7" w:rsidRDefault="00F22EE4" w:rsidP="00DF0747">
            <w:pPr>
              <w:jc w:val="right"/>
              <w:rPr>
                <w:lang w:val="fr-FR"/>
              </w:rPr>
            </w:pPr>
            <w:r w:rsidRPr="008E73D7">
              <w:rPr>
                <w:b/>
                <w:sz w:val="40"/>
                <w:szCs w:val="40"/>
                <w:lang w:val="fr-FR"/>
              </w:rPr>
              <w:t>F</w:t>
            </w:r>
          </w:p>
        </w:tc>
      </w:tr>
      <w:tr w:rsidR="008E73D7" w:rsidRPr="008E73D7" w:rsidTr="008323D9">
        <w:trPr>
          <w:trHeight w:hRule="exact" w:val="340"/>
        </w:trPr>
        <w:tc>
          <w:tcPr>
            <w:tcW w:w="9356" w:type="dxa"/>
            <w:gridSpan w:val="3"/>
            <w:tcBorders>
              <w:top w:val="single" w:sz="4" w:space="0" w:color="auto"/>
            </w:tcBorders>
            <w:tcMar>
              <w:top w:w="170" w:type="dxa"/>
              <w:left w:w="0" w:type="dxa"/>
              <w:right w:w="0" w:type="dxa"/>
            </w:tcMar>
            <w:vAlign w:val="bottom"/>
          </w:tcPr>
          <w:p w:rsidR="00F22EE4" w:rsidRPr="008E73D7" w:rsidRDefault="00F22EE4" w:rsidP="00DF0747">
            <w:pPr>
              <w:jc w:val="right"/>
              <w:rPr>
                <w:rFonts w:ascii="Arial Black" w:hAnsi="Arial Black"/>
                <w:caps/>
                <w:sz w:val="15"/>
                <w:lang w:val="fr-FR"/>
              </w:rPr>
            </w:pPr>
            <w:r w:rsidRPr="008E73D7">
              <w:rPr>
                <w:rFonts w:ascii="Arial Black" w:hAnsi="Arial Black"/>
                <w:caps/>
                <w:sz w:val="15"/>
                <w:lang w:val="fr-FR"/>
              </w:rPr>
              <w:t xml:space="preserve">cdip/14/INF/6 </w:t>
            </w:r>
          </w:p>
        </w:tc>
      </w:tr>
      <w:tr w:rsidR="008E73D7" w:rsidRPr="008E73D7" w:rsidTr="008323D9">
        <w:trPr>
          <w:trHeight w:hRule="exact" w:val="170"/>
        </w:trPr>
        <w:tc>
          <w:tcPr>
            <w:tcW w:w="9356" w:type="dxa"/>
            <w:gridSpan w:val="3"/>
            <w:noWrap/>
            <w:tcMar>
              <w:left w:w="0" w:type="dxa"/>
              <w:right w:w="0" w:type="dxa"/>
            </w:tcMar>
            <w:vAlign w:val="bottom"/>
          </w:tcPr>
          <w:p w:rsidR="00F22EE4" w:rsidRPr="008E73D7" w:rsidRDefault="00F22EE4" w:rsidP="00DF0747">
            <w:pPr>
              <w:jc w:val="right"/>
              <w:rPr>
                <w:rFonts w:ascii="Arial Black" w:hAnsi="Arial Black"/>
                <w:caps/>
                <w:sz w:val="15"/>
                <w:lang w:val="fr-FR"/>
              </w:rPr>
            </w:pPr>
            <w:r w:rsidRPr="008E73D7">
              <w:rPr>
                <w:rFonts w:ascii="Arial Black" w:hAnsi="Arial Black"/>
                <w:caps/>
                <w:sz w:val="15"/>
                <w:lang w:val="fr-FR"/>
              </w:rPr>
              <w:t>ORIGINAL</w:t>
            </w:r>
            <w:r w:rsidR="00C30FD9" w:rsidRPr="008E73D7">
              <w:rPr>
                <w:rFonts w:ascii="Arial Black" w:hAnsi="Arial Black"/>
                <w:caps/>
                <w:sz w:val="15"/>
                <w:lang w:val="fr-FR"/>
              </w:rPr>
              <w:t> </w:t>
            </w:r>
            <w:r w:rsidRPr="008E73D7">
              <w:rPr>
                <w:rFonts w:ascii="Arial Black" w:hAnsi="Arial Black"/>
                <w:caps/>
                <w:sz w:val="15"/>
                <w:lang w:val="fr-FR"/>
              </w:rPr>
              <w:t xml:space="preserve">: </w:t>
            </w:r>
            <w:bookmarkStart w:id="1" w:name="Original"/>
            <w:bookmarkEnd w:id="1"/>
            <w:r w:rsidRPr="008E73D7">
              <w:rPr>
                <w:rFonts w:ascii="Arial Black" w:hAnsi="Arial Black"/>
                <w:caps/>
                <w:sz w:val="15"/>
                <w:lang w:val="fr-FR"/>
              </w:rPr>
              <w:t>anglais</w:t>
            </w:r>
          </w:p>
        </w:tc>
      </w:tr>
      <w:tr w:rsidR="008E73D7" w:rsidRPr="008E73D7" w:rsidTr="008323D9">
        <w:trPr>
          <w:trHeight w:hRule="exact" w:val="198"/>
        </w:trPr>
        <w:tc>
          <w:tcPr>
            <w:tcW w:w="9356" w:type="dxa"/>
            <w:gridSpan w:val="3"/>
            <w:tcMar>
              <w:left w:w="0" w:type="dxa"/>
              <w:right w:w="0" w:type="dxa"/>
            </w:tcMar>
            <w:vAlign w:val="bottom"/>
          </w:tcPr>
          <w:p w:rsidR="00F22EE4" w:rsidRPr="008E73D7" w:rsidRDefault="00F22EE4" w:rsidP="00DF0747">
            <w:pPr>
              <w:jc w:val="right"/>
              <w:rPr>
                <w:rFonts w:ascii="Arial Black" w:hAnsi="Arial Black"/>
                <w:caps/>
                <w:sz w:val="15"/>
                <w:lang w:val="fr-FR"/>
              </w:rPr>
            </w:pPr>
            <w:r w:rsidRPr="008E73D7">
              <w:rPr>
                <w:rFonts w:ascii="Arial Black" w:hAnsi="Arial Black"/>
                <w:caps/>
                <w:sz w:val="15"/>
                <w:lang w:val="fr-FR"/>
              </w:rPr>
              <w:t>DATE</w:t>
            </w:r>
            <w:r w:rsidR="00C30FD9" w:rsidRPr="008E73D7">
              <w:rPr>
                <w:rFonts w:ascii="Arial Black" w:hAnsi="Arial Black"/>
                <w:caps/>
                <w:sz w:val="15"/>
                <w:lang w:val="fr-FR"/>
              </w:rPr>
              <w:t> </w:t>
            </w:r>
            <w:r w:rsidRPr="008E73D7">
              <w:rPr>
                <w:rFonts w:ascii="Arial Black" w:hAnsi="Arial Black"/>
                <w:caps/>
                <w:sz w:val="15"/>
                <w:lang w:val="fr-FR"/>
              </w:rPr>
              <w:t xml:space="preserve">: </w:t>
            </w:r>
            <w:bookmarkStart w:id="2" w:name="Date"/>
            <w:bookmarkEnd w:id="2"/>
            <w:r w:rsidRPr="008E73D7">
              <w:rPr>
                <w:rFonts w:ascii="Arial Black" w:hAnsi="Arial Black"/>
                <w:caps/>
                <w:sz w:val="15"/>
                <w:lang w:val="fr-FR"/>
              </w:rPr>
              <w:t>17 septembre 2014</w:t>
            </w:r>
          </w:p>
        </w:tc>
      </w:tr>
    </w:tbl>
    <w:p w:rsidR="00F22EE4" w:rsidRPr="008E73D7" w:rsidRDefault="00F22EE4" w:rsidP="00DF0747">
      <w:pPr>
        <w:rPr>
          <w:lang w:val="fr-FR"/>
        </w:rPr>
      </w:pPr>
    </w:p>
    <w:p w:rsidR="00F22EE4" w:rsidRPr="008E73D7" w:rsidRDefault="00F22EE4" w:rsidP="00DF0747">
      <w:pPr>
        <w:rPr>
          <w:lang w:val="fr-FR"/>
        </w:rPr>
      </w:pPr>
    </w:p>
    <w:p w:rsidR="00F22EE4" w:rsidRPr="008E73D7" w:rsidRDefault="00F22EE4" w:rsidP="00DF0747">
      <w:pPr>
        <w:rPr>
          <w:lang w:val="fr-FR"/>
        </w:rPr>
      </w:pPr>
    </w:p>
    <w:p w:rsidR="00F22EE4" w:rsidRPr="008E73D7" w:rsidRDefault="00F22EE4" w:rsidP="00DF0747">
      <w:pPr>
        <w:rPr>
          <w:lang w:val="fr-FR"/>
        </w:rPr>
      </w:pPr>
    </w:p>
    <w:p w:rsidR="00F22EE4" w:rsidRPr="008E73D7" w:rsidRDefault="00F22EE4" w:rsidP="00DF0747">
      <w:pPr>
        <w:rPr>
          <w:lang w:val="fr-FR"/>
        </w:rPr>
      </w:pPr>
    </w:p>
    <w:p w:rsidR="00F22EE4" w:rsidRPr="008E73D7" w:rsidRDefault="00F22EE4" w:rsidP="00DF0747">
      <w:pPr>
        <w:outlineLvl w:val="0"/>
        <w:rPr>
          <w:b/>
          <w:sz w:val="28"/>
          <w:szCs w:val="28"/>
          <w:lang w:val="fr-FR"/>
        </w:rPr>
      </w:pPr>
      <w:r w:rsidRPr="008E73D7">
        <w:rPr>
          <w:b/>
          <w:sz w:val="28"/>
          <w:szCs w:val="28"/>
          <w:lang w:val="fr-FR"/>
        </w:rPr>
        <w:t>Comité du développement et de la propriété intellectuelle (CDIP)</w:t>
      </w:r>
    </w:p>
    <w:p w:rsidR="00F22EE4" w:rsidRPr="008E73D7" w:rsidRDefault="00F22EE4" w:rsidP="00DF0747">
      <w:pPr>
        <w:rPr>
          <w:lang w:val="fr-FR"/>
        </w:rPr>
      </w:pPr>
    </w:p>
    <w:p w:rsidR="00F22EE4" w:rsidRPr="008E73D7" w:rsidRDefault="00F22EE4" w:rsidP="00DF0747">
      <w:pPr>
        <w:rPr>
          <w:lang w:val="fr-FR"/>
        </w:rPr>
      </w:pPr>
      <w:bookmarkStart w:id="3" w:name="Code"/>
      <w:bookmarkEnd w:id="3"/>
    </w:p>
    <w:p w:rsidR="00F22EE4" w:rsidRPr="008E73D7" w:rsidRDefault="00F22EE4" w:rsidP="00DF0747">
      <w:pPr>
        <w:rPr>
          <w:b/>
          <w:sz w:val="24"/>
          <w:szCs w:val="24"/>
          <w:lang w:val="fr-FR"/>
        </w:rPr>
      </w:pPr>
      <w:r w:rsidRPr="008E73D7">
        <w:rPr>
          <w:b/>
          <w:sz w:val="24"/>
          <w:szCs w:val="24"/>
          <w:lang w:val="fr-FR"/>
        </w:rPr>
        <w:t>Quatorzième session</w:t>
      </w:r>
    </w:p>
    <w:p w:rsidR="00F22EE4" w:rsidRPr="008E73D7" w:rsidRDefault="00F22EE4" w:rsidP="00DF0747">
      <w:pPr>
        <w:rPr>
          <w:b/>
          <w:sz w:val="24"/>
          <w:szCs w:val="24"/>
          <w:lang w:val="fr-FR"/>
        </w:rPr>
      </w:pPr>
      <w:r w:rsidRPr="008E73D7">
        <w:rPr>
          <w:b/>
          <w:sz w:val="24"/>
          <w:szCs w:val="24"/>
          <w:lang w:val="fr-FR"/>
        </w:rPr>
        <w:t>Genève, 10 – 14 novembre 2014</w:t>
      </w:r>
    </w:p>
    <w:p w:rsidR="00F22EE4" w:rsidRPr="008E73D7" w:rsidRDefault="00F22EE4" w:rsidP="00DF0747">
      <w:pPr>
        <w:rPr>
          <w:lang w:val="fr-FR"/>
        </w:rPr>
      </w:pPr>
    </w:p>
    <w:p w:rsidR="00F22EE4" w:rsidRPr="008E73D7" w:rsidRDefault="00F22EE4" w:rsidP="00DF0747">
      <w:pPr>
        <w:rPr>
          <w:lang w:val="fr-FR"/>
        </w:rPr>
      </w:pPr>
    </w:p>
    <w:p w:rsidR="00F22EE4" w:rsidRPr="008E73D7" w:rsidRDefault="00F22EE4" w:rsidP="00DF0747">
      <w:pPr>
        <w:rPr>
          <w:lang w:val="fr-FR"/>
        </w:rPr>
      </w:pPr>
    </w:p>
    <w:p w:rsidR="000D4BEE" w:rsidRPr="008E73D7" w:rsidRDefault="00D95742" w:rsidP="00DF0747">
      <w:pPr>
        <w:rPr>
          <w:rFonts w:eastAsia="SimSun"/>
          <w:caps/>
          <w:sz w:val="24"/>
          <w:lang w:val="fr-FR" w:eastAsia="zh-CN" w:bidi="th-TH"/>
        </w:rPr>
      </w:pPr>
      <w:r w:rsidRPr="008E73D7">
        <w:rPr>
          <w:rFonts w:eastAsia="SimSun"/>
          <w:caps/>
          <w:sz w:val="24"/>
          <w:lang w:val="fr-FR" w:eastAsia="zh-CN" w:bidi="th-TH"/>
        </w:rPr>
        <w:t xml:space="preserve">RAPPORT </w:t>
      </w:r>
      <w:r w:rsidR="000F24CF" w:rsidRPr="008E73D7">
        <w:rPr>
          <w:rFonts w:eastAsia="SimSun"/>
          <w:caps/>
          <w:sz w:val="24"/>
          <w:lang w:val="fr-FR" w:eastAsia="zh-CN" w:bidi="th-TH"/>
        </w:rPr>
        <w:t>SUR L</w:t>
      </w:r>
      <w:r w:rsidR="00F22EE4" w:rsidRPr="008E73D7">
        <w:rPr>
          <w:rFonts w:eastAsia="SimSun"/>
          <w:caps/>
          <w:sz w:val="24"/>
          <w:lang w:val="fr-FR" w:eastAsia="zh-CN" w:bidi="th-TH"/>
        </w:rPr>
        <w:t>’</w:t>
      </w:r>
      <w:r w:rsidR="000F24CF" w:rsidRPr="008E73D7">
        <w:rPr>
          <w:rFonts w:eastAsia="SimSun"/>
          <w:caps/>
          <w:sz w:val="24"/>
          <w:lang w:val="fr-FR" w:eastAsia="zh-CN" w:bidi="th-TH"/>
        </w:rPr>
        <w:t xml:space="preserve">UTILISATION </w:t>
      </w:r>
      <w:r w:rsidRPr="008E73D7">
        <w:rPr>
          <w:rFonts w:eastAsia="SimSun"/>
          <w:caps/>
          <w:sz w:val="24"/>
          <w:lang w:val="fr-FR" w:eastAsia="zh-CN" w:bidi="th-TH"/>
        </w:rPr>
        <w:t>DE LA PROPRIÉTÉ INTELLECTUELLE AU BRÉSIL (2000</w:t>
      </w:r>
      <w:r w:rsidR="00D0608C" w:rsidRPr="008E73D7">
        <w:rPr>
          <w:rFonts w:eastAsia="SimSun"/>
          <w:caps/>
          <w:sz w:val="24"/>
          <w:lang w:val="fr-FR" w:eastAsia="zh-CN" w:bidi="th-TH"/>
        </w:rPr>
        <w:noBreakHyphen/>
      </w:r>
      <w:r w:rsidRPr="008E73D7">
        <w:rPr>
          <w:rFonts w:eastAsia="SimSun"/>
          <w:caps/>
          <w:sz w:val="24"/>
          <w:lang w:val="fr-FR" w:eastAsia="zh-CN" w:bidi="th-TH"/>
        </w:rPr>
        <w:t>2011)</w:t>
      </w:r>
    </w:p>
    <w:p w:rsidR="000D4BEE" w:rsidRPr="008E73D7" w:rsidRDefault="000D4BEE" w:rsidP="00DF0747">
      <w:pPr>
        <w:rPr>
          <w:lang w:val="fr-FR"/>
        </w:rPr>
      </w:pPr>
    </w:p>
    <w:p w:rsidR="000D4BEE" w:rsidRPr="008E73D7" w:rsidRDefault="00D95742" w:rsidP="00DF0747">
      <w:pPr>
        <w:rPr>
          <w:rFonts w:eastAsia="SimSun"/>
          <w:i/>
          <w:lang w:val="fr-FR" w:eastAsia="zh-CN"/>
        </w:rPr>
      </w:pPr>
      <w:r w:rsidRPr="008E73D7">
        <w:rPr>
          <w:rFonts w:eastAsia="SimSun"/>
          <w:i/>
          <w:lang w:val="fr-FR" w:eastAsia="zh-CN"/>
        </w:rPr>
        <w:t>Document établi par M.</w:t>
      </w:r>
      <w:r w:rsidR="00C30FD9" w:rsidRPr="008E73D7">
        <w:rPr>
          <w:rFonts w:eastAsia="SimSun"/>
          <w:i/>
          <w:lang w:val="fr-FR" w:eastAsia="zh-CN"/>
        </w:rPr>
        <w:t> </w:t>
      </w:r>
      <w:r w:rsidR="00370BE3" w:rsidRPr="008E73D7">
        <w:rPr>
          <w:rFonts w:eastAsia="SimSun"/>
          <w:i/>
          <w:lang w:val="fr-FR" w:eastAsia="zh-CN"/>
        </w:rPr>
        <w:t>Sergio </w:t>
      </w:r>
      <w:proofErr w:type="spellStart"/>
      <w:r w:rsidR="00370BE3" w:rsidRPr="008E73D7">
        <w:rPr>
          <w:rFonts w:eastAsia="SimSun"/>
          <w:i/>
          <w:lang w:val="fr-FR" w:eastAsia="zh-CN"/>
        </w:rPr>
        <w:t>Paulino</w:t>
      </w:r>
      <w:proofErr w:type="spellEnd"/>
      <w:r w:rsidR="00370BE3" w:rsidRPr="008E73D7">
        <w:rPr>
          <w:rFonts w:eastAsia="SimSun"/>
          <w:i/>
          <w:lang w:val="fr-FR" w:eastAsia="zh-CN"/>
        </w:rPr>
        <w:t> de </w:t>
      </w:r>
      <w:r w:rsidRPr="008E73D7">
        <w:rPr>
          <w:rFonts w:eastAsia="SimSun"/>
          <w:i/>
          <w:lang w:val="fr-FR" w:eastAsia="zh-CN"/>
        </w:rPr>
        <w:t xml:space="preserve">Carvalho, Institut national de la propriété industrielle </w:t>
      </w:r>
      <w:r w:rsidR="005E652B" w:rsidRPr="008E73D7">
        <w:rPr>
          <w:rFonts w:eastAsia="SimSun"/>
          <w:i/>
          <w:lang w:val="fr-FR" w:eastAsia="zh-CN"/>
        </w:rPr>
        <w:t>(INPI)</w:t>
      </w:r>
      <w:r w:rsidRPr="008E73D7">
        <w:rPr>
          <w:rFonts w:eastAsia="SimSun"/>
          <w:i/>
          <w:lang w:val="fr-FR" w:eastAsia="zh-CN"/>
        </w:rPr>
        <w:t xml:space="preserve"> </w:t>
      </w:r>
      <w:r w:rsidR="005E652B" w:rsidRPr="008E73D7">
        <w:rPr>
          <w:rFonts w:eastAsia="SimSun"/>
          <w:i/>
          <w:lang w:val="fr-FR" w:eastAsia="zh-CN"/>
        </w:rPr>
        <w:t>(</w:t>
      </w:r>
      <w:r w:rsidRPr="008E73D7">
        <w:rPr>
          <w:rFonts w:eastAsia="SimSun"/>
          <w:i/>
          <w:lang w:val="fr-FR" w:eastAsia="zh-CN"/>
        </w:rPr>
        <w:t>Brésil</w:t>
      </w:r>
      <w:r w:rsidR="005E652B" w:rsidRPr="008E73D7">
        <w:rPr>
          <w:rFonts w:eastAsia="SimSun"/>
          <w:i/>
          <w:lang w:val="fr-FR" w:eastAsia="zh-CN"/>
        </w:rPr>
        <w:t>)</w:t>
      </w:r>
      <w:r w:rsidRPr="008E73D7">
        <w:rPr>
          <w:rFonts w:eastAsia="SimSun"/>
          <w:i/>
          <w:lang w:val="fr-FR" w:eastAsia="zh-CN"/>
        </w:rPr>
        <w:t>, M</w:t>
      </w:r>
      <w:r w:rsidRPr="008E73D7">
        <w:rPr>
          <w:rFonts w:eastAsia="SimSun"/>
          <w:i/>
          <w:lang w:val="fr-FR"/>
        </w:rPr>
        <w:t>me</w:t>
      </w:r>
      <w:r w:rsidR="00C30FD9" w:rsidRPr="008E73D7">
        <w:rPr>
          <w:rFonts w:eastAsia="SimSun"/>
          <w:i/>
          <w:lang w:val="fr-FR" w:eastAsia="zh-CN"/>
        </w:rPr>
        <w:t> </w:t>
      </w:r>
      <w:r w:rsidR="00370BE3" w:rsidRPr="008E73D7">
        <w:rPr>
          <w:rFonts w:eastAsia="SimSun"/>
          <w:i/>
          <w:lang w:val="fr-FR" w:eastAsia="zh-CN"/>
        </w:rPr>
        <w:t>Marina </w:t>
      </w:r>
      <w:proofErr w:type="spellStart"/>
      <w:r w:rsidRPr="008E73D7">
        <w:rPr>
          <w:rFonts w:eastAsia="SimSun"/>
          <w:i/>
          <w:lang w:val="fr-FR" w:eastAsia="zh-CN"/>
        </w:rPr>
        <w:t>Filgueiras</w:t>
      </w:r>
      <w:proofErr w:type="spellEnd"/>
      <w:r w:rsidR="00370BE3" w:rsidRPr="008E73D7">
        <w:rPr>
          <w:rFonts w:eastAsia="SimSun"/>
          <w:i/>
          <w:lang w:val="fr-FR" w:eastAsia="zh-CN"/>
        </w:rPr>
        <w:t> </w:t>
      </w:r>
      <w:r w:rsidR="005E652B" w:rsidRPr="008E73D7">
        <w:rPr>
          <w:rFonts w:eastAsia="SimSun"/>
          <w:i/>
          <w:lang w:val="fr-FR" w:eastAsia="zh-CN"/>
        </w:rPr>
        <w:t>Jorge, INPI</w:t>
      </w:r>
      <w:r w:rsidRPr="008E73D7">
        <w:rPr>
          <w:rFonts w:eastAsia="SimSun"/>
          <w:i/>
          <w:lang w:val="fr-FR" w:eastAsia="zh-CN"/>
        </w:rPr>
        <w:t xml:space="preserve"> </w:t>
      </w:r>
      <w:r w:rsidR="005E652B" w:rsidRPr="008E73D7">
        <w:rPr>
          <w:rFonts w:eastAsia="SimSun"/>
          <w:i/>
          <w:lang w:val="fr-FR" w:eastAsia="zh-CN"/>
        </w:rPr>
        <w:t>(</w:t>
      </w:r>
      <w:r w:rsidRPr="008E73D7">
        <w:rPr>
          <w:rFonts w:eastAsia="SimSun"/>
          <w:i/>
          <w:lang w:val="fr-FR" w:eastAsia="zh-CN"/>
        </w:rPr>
        <w:t>Brésil</w:t>
      </w:r>
      <w:r w:rsidR="005E652B" w:rsidRPr="008E73D7">
        <w:rPr>
          <w:rFonts w:eastAsia="SimSun"/>
          <w:i/>
          <w:lang w:val="fr-FR" w:eastAsia="zh-CN"/>
        </w:rPr>
        <w:t>)</w:t>
      </w:r>
      <w:r w:rsidRPr="008E73D7">
        <w:rPr>
          <w:rFonts w:eastAsia="SimSun"/>
          <w:i/>
          <w:lang w:val="fr-FR" w:eastAsia="zh-CN"/>
        </w:rPr>
        <w:t>, M</w:t>
      </w:r>
      <w:r w:rsidRPr="008E73D7">
        <w:rPr>
          <w:rFonts w:eastAsia="SimSun"/>
          <w:i/>
          <w:lang w:val="fr-FR"/>
        </w:rPr>
        <w:t>me</w:t>
      </w:r>
      <w:r w:rsidR="00C30FD9" w:rsidRPr="008E73D7">
        <w:rPr>
          <w:rFonts w:eastAsia="SimSun"/>
          <w:i/>
          <w:lang w:val="fr-FR" w:eastAsia="zh-CN"/>
        </w:rPr>
        <w:t> </w:t>
      </w:r>
      <w:r w:rsidR="00370BE3" w:rsidRPr="008E73D7">
        <w:rPr>
          <w:rFonts w:eastAsia="SimSun"/>
          <w:i/>
          <w:lang w:val="fr-FR" w:eastAsia="zh-CN"/>
        </w:rPr>
        <w:t>Vera </w:t>
      </w:r>
      <w:proofErr w:type="spellStart"/>
      <w:r w:rsidR="005E652B" w:rsidRPr="008E73D7">
        <w:rPr>
          <w:rFonts w:eastAsia="SimSun"/>
          <w:i/>
          <w:lang w:val="fr-FR" w:eastAsia="zh-CN"/>
        </w:rPr>
        <w:t>Pinheiro</w:t>
      </w:r>
      <w:proofErr w:type="spellEnd"/>
      <w:r w:rsidR="005E652B" w:rsidRPr="008E73D7">
        <w:rPr>
          <w:rFonts w:eastAsia="SimSun"/>
          <w:i/>
          <w:lang w:val="fr-FR" w:eastAsia="zh-CN"/>
        </w:rPr>
        <w:t>, INPI (</w:t>
      </w:r>
      <w:r w:rsidRPr="008E73D7">
        <w:rPr>
          <w:rFonts w:eastAsia="SimSun"/>
          <w:i/>
          <w:lang w:val="fr-FR" w:eastAsia="zh-CN"/>
        </w:rPr>
        <w:t>Brésil</w:t>
      </w:r>
      <w:r w:rsidR="005E652B" w:rsidRPr="008E73D7">
        <w:rPr>
          <w:rFonts w:eastAsia="SimSun"/>
          <w:i/>
          <w:lang w:val="fr-FR" w:eastAsia="zh-CN"/>
        </w:rPr>
        <w:t>)</w:t>
      </w:r>
      <w:r w:rsidRPr="008E73D7">
        <w:rPr>
          <w:rFonts w:eastAsia="SimSun"/>
          <w:i/>
          <w:lang w:val="fr-FR" w:eastAsia="zh-CN"/>
        </w:rPr>
        <w:t>, M.</w:t>
      </w:r>
      <w:r w:rsidR="00C30FD9" w:rsidRPr="008E73D7">
        <w:rPr>
          <w:rFonts w:eastAsia="SimSun"/>
          <w:i/>
          <w:lang w:val="fr-FR" w:eastAsia="zh-CN"/>
        </w:rPr>
        <w:t> </w:t>
      </w:r>
      <w:r w:rsidRPr="008E73D7">
        <w:rPr>
          <w:rFonts w:eastAsia="SimSun"/>
          <w:i/>
          <w:lang w:val="fr-FR" w:eastAsia="zh-CN"/>
        </w:rPr>
        <w:t>Felipe</w:t>
      </w:r>
      <w:r w:rsidR="00370BE3" w:rsidRPr="008E73D7">
        <w:rPr>
          <w:rFonts w:eastAsia="SimSun"/>
          <w:i/>
          <w:lang w:val="fr-FR" w:eastAsia="zh-CN"/>
        </w:rPr>
        <w:t> </w:t>
      </w:r>
      <w:r w:rsidR="005E652B" w:rsidRPr="008E73D7">
        <w:rPr>
          <w:rFonts w:eastAsia="SimSun"/>
          <w:i/>
          <w:lang w:val="fr-FR" w:eastAsia="zh-CN"/>
        </w:rPr>
        <w:t>Lopes, INPI (</w:t>
      </w:r>
      <w:r w:rsidRPr="008E73D7">
        <w:rPr>
          <w:rFonts w:eastAsia="SimSun"/>
          <w:i/>
          <w:lang w:val="fr-FR" w:eastAsia="zh-CN"/>
        </w:rPr>
        <w:t>Brésil</w:t>
      </w:r>
      <w:r w:rsidR="005E652B" w:rsidRPr="008E73D7">
        <w:rPr>
          <w:rFonts w:eastAsia="SimSun"/>
          <w:i/>
          <w:lang w:val="fr-FR" w:eastAsia="zh-CN"/>
        </w:rPr>
        <w:t>)</w:t>
      </w:r>
      <w:r w:rsidRPr="008E73D7">
        <w:rPr>
          <w:rFonts w:eastAsia="SimSun"/>
          <w:i/>
          <w:lang w:val="fr-FR" w:eastAsia="zh-CN"/>
        </w:rPr>
        <w:t>, M.</w:t>
      </w:r>
      <w:r w:rsidR="00C30FD9" w:rsidRPr="008E73D7">
        <w:rPr>
          <w:rFonts w:eastAsia="SimSun"/>
          <w:i/>
          <w:lang w:val="fr-FR" w:eastAsia="zh-CN"/>
        </w:rPr>
        <w:t> </w:t>
      </w:r>
      <w:proofErr w:type="spellStart"/>
      <w:r w:rsidRPr="008E73D7">
        <w:rPr>
          <w:rFonts w:eastAsia="SimSun"/>
          <w:i/>
          <w:lang w:val="fr-FR" w:eastAsia="zh-CN"/>
        </w:rPr>
        <w:t>Celso</w:t>
      </w:r>
      <w:proofErr w:type="spellEnd"/>
      <w:r w:rsidR="00370BE3" w:rsidRPr="008E73D7">
        <w:rPr>
          <w:rFonts w:eastAsia="SimSun"/>
          <w:i/>
          <w:lang w:val="fr-FR" w:eastAsia="zh-CN"/>
        </w:rPr>
        <w:t> </w:t>
      </w:r>
      <w:proofErr w:type="spellStart"/>
      <w:r w:rsidRPr="008E73D7">
        <w:rPr>
          <w:rFonts w:eastAsia="SimSun"/>
          <w:i/>
          <w:lang w:val="fr-FR" w:eastAsia="zh-CN"/>
        </w:rPr>
        <w:t>Sampaio</w:t>
      </w:r>
      <w:proofErr w:type="spellEnd"/>
      <w:r w:rsidRPr="008E73D7">
        <w:rPr>
          <w:rFonts w:eastAsia="SimSun"/>
          <w:i/>
          <w:lang w:val="fr-FR" w:eastAsia="zh-CN"/>
        </w:rPr>
        <w:t xml:space="preserve">, INPI </w:t>
      </w:r>
      <w:r w:rsidR="005E652B" w:rsidRPr="008E73D7">
        <w:rPr>
          <w:rFonts w:eastAsia="SimSun"/>
          <w:i/>
          <w:lang w:val="fr-FR" w:eastAsia="zh-CN"/>
        </w:rPr>
        <w:t>(</w:t>
      </w:r>
      <w:r w:rsidRPr="008E73D7">
        <w:rPr>
          <w:rFonts w:eastAsia="SimSun"/>
          <w:i/>
          <w:lang w:val="fr-FR" w:eastAsia="zh-CN"/>
        </w:rPr>
        <w:t>Brésil</w:t>
      </w:r>
      <w:r w:rsidR="005E652B" w:rsidRPr="008E73D7">
        <w:rPr>
          <w:rFonts w:eastAsia="SimSun"/>
          <w:i/>
          <w:lang w:val="fr-FR" w:eastAsia="zh-CN"/>
        </w:rPr>
        <w:t>)</w:t>
      </w:r>
      <w:r w:rsidRPr="008E73D7">
        <w:rPr>
          <w:rFonts w:eastAsia="SimSun"/>
          <w:i/>
          <w:lang w:val="fr-FR" w:eastAsia="zh-CN"/>
        </w:rPr>
        <w:t xml:space="preserve">, et </w:t>
      </w:r>
      <w:r w:rsidRPr="008E73D7">
        <w:rPr>
          <w:rFonts w:eastAsia="SimSun"/>
          <w:i/>
          <w:lang w:val="fr-FR"/>
        </w:rPr>
        <w:t>M.</w:t>
      </w:r>
      <w:r w:rsidR="00C30FD9" w:rsidRPr="008E73D7">
        <w:rPr>
          <w:rFonts w:eastAsia="SimSun"/>
          <w:i/>
          <w:lang w:val="fr-FR" w:eastAsia="zh-CN"/>
        </w:rPr>
        <w:t> </w:t>
      </w:r>
      <w:r w:rsidRPr="008E73D7">
        <w:rPr>
          <w:rFonts w:eastAsia="SimSun"/>
          <w:i/>
          <w:lang w:val="fr-FR" w:eastAsia="zh-CN"/>
        </w:rPr>
        <w:t>Leonardo</w:t>
      </w:r>
      <w:r w:rsidR="00370BE3" w:rsidRPr="008E73D7">
        <w:rPr>
          <w:rFonts w:eastAsia="SimSun"/>
          <w:i/>
          <w:lang w:val="fr-FR" w:eastAsia="zh-CN"/>
        </w:rPr>
        <w:t> </w:t>
      </w:r>
      <w:r w:rsidRPr="008E73D7">
        <w:rPr>
          <w:rFonts w:eastAsia="SimSun"/>
          <w:i/>
          <w:lang w:val="fr-FR" w:eastAsia="zh-CN"/>
        </w:rPr>
        <w:t xml:space="preserve">Ribeiro, </w:t>
      </w:r>
      <w:proofErr w:type="spellStart"/>
      <w:r w:rsidRPr="008E73D7">
        <w:rPr>
          <w:rFonts w:eastAsia="SimSun"/>
          <w:i/>
          <w:lang w:val="fr-FR" w:eastAsia="zh-CN"/>
        </w:rPr>
        <w:t>Instituto</w:t>
      </w:r>
      <w:proofErr w:type="spellEnd"/>
      <w:r w:rsidRPr="008E73D7">
        <w:rPr>
          <w:rFonts w:eastAsia="SimSun"/>
          <w:i/>
          <w:lang w:val="fr-FR" w:eastAsia="zh-CN"/>
        </w:rPr>
        <w:t xml:space="preserve"> </w:t>
      </w:r>
      <w:proofErr w:type="spellStart"/>
      <w:r w:rsidRPr="008E73D7">
        <w:rPr>
          <w:rFonts w:eastAsia="SimSun"/>
          <w:i/>
          <w:lang w:val="fr-FR" w:eastAsia="zh-CN"/>
        </w:rPr>
        <w:t>Nacional</w:t>
      </w:r>
      <w:proofErr w:type="spellEnd"/>
      <w:r w:rsidRPr="008E73D7">
        <w:rPr>
          <w:rFonts w:eastAsia="SimSun"/>
          <w:i/>
          <w:lang w:val="fr-FR" w:eastAsia="zh-CN"/>
        </w:rPr>
        <w:t xml:space="preserve"> de </w:t>
      </w:r>
      <w:proofErr w:type="spellStart"/>
      <w:r w:rsidRPr="008E73D7">
        <w:rPr>
          <w:rFonts w:eastAsia="SimSun"/>
          <w:i/>
          <w:lang w:val="fr-FR" w:eastAsia="zh-CN"/>
        </w:rPr>
        <w:t>Metrologia</w:t>
      </w:r>
      <w:proofErr w:type="spellEnd"/>
      <w:r w:rsidRPr="008E73D7">
        <w:rPr>
          <w:rFonts w:eastAsia="SimSun"/>
          <w:i/>
          <w:lang w:val="fr-FR" w:eastAsia="zh-CN"/>
        </w:rPr>
        <w:t xml:space="preserve">, </w:t>
      </w:r>
      <w:proofErr w:type="spellStart"/>
      <w:r w:rsidRPr="008E73D7">
        <w:rPr>
          <w:rFonts w:eastAsia="SimSun"/>
          <w:i/>
          <w:lang w:val="fr-FR" w:eastAsia="zh-CN"/>
        </w:rPr>
        <w:t>Qu</w:t>
      </w:r>
      <w:r w:rsidR="005E652B" w:rsidRPr="008E73D7">
        <w:rPr>
          <w:rFonts w:eastAsia="SimSun"/>
          <w:i/>
          <w:lang w:val="fr-FR" w:eastAsia="zh-CN"/>
        </w:rPr>
        <w:t>alidade</w:t>
      </w:r>
      <w:proofErr w:type="spellEnd"/>
      <w:r w:rsidR="005E652B" w:rsidRPr="008E73D7">
        <w:rPr>
          <w:rFonts w:eastAsia="SimSun"/>
          <w:i/>
          <w:lang w:val="fr-FR" w:eastAsia="zh-CN"/>
        </w:rPr>
        <w:t xml:space="preserve"> e </w:t>
      </w:r>
      <w:proofErr w:type="spellStart"/>
      <w:r w:rsidR="005E652B" w:rsidRPr="008E73D7">
        <w:rPr>
          <w:rFonts w:eastAsia="SimSun"/>
          <w:i/>
          <w:lang w:val="fr-FR" w:eastAsia="zh-CN"/>
        </w:rPr>
        <w:t>Tecnologia</w:t>
      </w:r>
      <w:proofErr w:type="spellEnd"/>
      <w:r w:rsidR="005E652B" w:rsidRPr="008E73D7">
        <w:rPr>
          <w:rFonts w:eastAsia="SimSun"/>
          <w:i/>
          <w:lang w:val="fr-FR" w:eastAsia="zh-CN"/>
        </w:rPr>
        <w:t xml:space="preserve"> (INMETRO) (</w:t>
      </w:r>
      <w:r w:rsidRPr="008E73D7">
        <w:rPr>
          <w:rFonts w:eastAsia="SimSun"/>
          <w:i/>
          <w:lang w:val="fr-FR" w:eastAsia="zh-CN"/>
        </w:rPr>
        <w:t>Brésil</w:t>
      </w:r>
      <w:r w:rsidR="005E652B" w:rsidRPr="008E73D7">
        <w:rPr>
          <w:rFonts w:eastAsia="SimSun"/>
          <w:i/>
          <w:lang w:val="fr-FR" w:eastAsia="zh-CN"/>
        </w:rPr>
        <w:t>)</w:t>
      </w:r>
      <w:r w:rsidR="00370BE3" w:rsidRPr="008E73D7">
        <w:rPr>
          <w:rFonts w:eastAsia="SimSun"/>
          <w:i/>
          <w:lang w:val="fr-FR" w:eastAsia="zh-CN"/>
        </w:rPr>
        <w:t xml:space="preserve">, </w:t>
      </w:r>
      <w:r w:rsidRPr="008E73D7">
        <w:rPr>
          <w:rFonts w:eastAsia="SimSun"/>
          <w:i/>
          <w:lang w:val="fr-FR" w:eastAsia="zh-CN"/>
        </w:rPr>
        <w:t>en coopération avec le Secrétariat.</w:t>
      </w:r>
    </w:p>
    <w:p w:rsidR="000D4BEE" w:rsidRPr="008E73D7" w:rsidRDefault="000D4BEE" w:rsidP="00DF0747">
      <w:pPr>
        <w:rPr>
          <w:lang w:val="fr-FR"/>
        </w:rPr>
      </w:pPr>
    </w:p>
    <w:p w:rsidR="000D4BEE" w:rsidRPr="008E73D7" w:rsidRDefault="000D4BEE" w:rsidP="00DF0747">
      <w:pPr>
        <w:rPr>
          <w:lang w:val="fr-FR"/>
        </w:rPr>
      </w:pPr>
    </w:p>
    <w:p w:rsidR="000D4BEE" w:rsidRPr="008E73D7" w:rsidRDefault="00D95742" w:rsidP="00DF0747">
      <w:pPr>
        <w:pStyle w:val="ONUMFS"/>
        <w:rPr>
          <w:lang w:val="fr-FR"/>
        </w:rPr>
      </w:pPr>
      <w:r w:rsidRPr="008E73D7">
        <w:rPr>
          <w:rFonts w:eastAsia="Calibri"/>
          <w:szCs w:val="22"/>
          <w:lang w:val="fr-FR"/>
        </w:rPr>
        <w:t>L</w:t>
      </w:r>
      <w:r w:rsidR="00F22EE4" w:rsidRPr="008E73D7">
        <w:rPr>
          <w:rFonts w:eastAsia="Calibri"/>
          <w:szCs w:val="22"/>
          <w:lang w:val="fr-FR"/>
        </w:rPr>
        <w:t>’</w:t>
      </w:r>
      <w:r w:rsidRPr="008E73D7">
        <w:rPr>
          <w:rFonts w:eastAsia="Calibri"/>
          <w:szCs w:val="22"/>
          <w:lang w:val="fr-FR"/>
        </w:rPr>
        <w:t>annexe du présent document contient une étude sur l</w:t>
      </w:r>
      <w:r w:rsidR="00F22EE4" w:rsidRPr="008E73D7">
        <w:rPr>
          <w:rFonts w:eastAsia="Calibri"/>
          <w:szCs w:val="22"/>
          <w:lang w:val="fr-FR"/>
        </w:rPr>
        <w:t>’</w:t>
      </w:r>
      <w:r w:rsidRPr="008E73D7">
        <w:rPr>
          <w:rFonts w:eastAsia="Calibri"/>
          <w:szCs w:val="22"/>
          <w:lang w:val="fr-FR"/>
        </w:rPr>
        <w:t>utilisation de la propriété</w:t>
      </w:r>
      <w:r w:rsidRPr="008E73D7">
        <w:rPr>
          <w:rFonts w:eastAsia="Calibri"/>
          <w:lang w:val="fr-FR"/>
        </w:rPr>
        <w:t xml:space="preserve"> intellectuelle au Brésil </w:t>
      </w:r>
      <w:r w:rsidRPr="008E73D7">
        <w:rPr>
          <w:lang w:val="fr-FR"/>
        </w:rPr>
        <w:t>réalisée dans le cadre du projet sur la propriété intellectuelle et le développement socioéconomique (CDIP/5/7</w:t>
      </w:r>
      <w:r w:rsidR="00C30FD9" w:rsidRPr="008E73D7">
        <w:rPr>
          <w:lang w:val="fr-FR"/>
        </w:rPr>
        <w:t> </w:t>
      </w:r>
      <w:proofErr w:type="spellStart"/>
      <w:r w:rsidRPr="008E73D7">
        <w:rPr>
          <w:lang w:val="fr-FR"/>
        </w:rPr>
        <w:t>Rev</w:t>
      </w:r>
      <w:proofErr w:type="spellEnd"/>
      <w:r w:rsidRPr="008E73D7">
        <w:rPr>
          <w:lang w:val="fr-FR"/>
        </w:rPr>
        <w:t>.)</w:t>
      </w:r>
    </w:p>
    <w:p w:rsidR="000D4BEE" w:rsidRPr="008E73D7" w:rsidRDefault="00D95742" w:rsidP="00DF0747">
      <w:pPr>
        <w:pStyle w:val="ONUMFS"/>
        <w:ind w:left="5533"/>
        <w:rPr>
          <w:i/>
          <w:lang w:val="fr-FR"/>
        </w:rPr>
      </w:pPr>
      <w:r w:rsidRPr="008E73D7">
        <w:rPr>
          <w:i/>
          <w:lang w:val="fr-FR"/>
        </w:rPr>
        <w:t>Le CDIP est invité à prendre note des informations contenues dans l</w:t>
      </w:r>
      <w:r w:rsidR="00F22EE4" w:rsidRPr="008E73D7">
        <w:rPr>
          <w:i/>
          <w:lang w:val="fr-FR"/>
        </w:rPr>
        <w:t>’</w:t>
      </w:r>
      <w:r w:rsidRPr="008E73D7">
        <w:rPr>
          <w:i/>
          <w:lang w:val="fr-FR"/>
        </w:rPr>
        <w:t>annexe du présent document.</w:t>
      </w:r>
    </w:p>
    <w:p w:rsidR="000D4BEE" w:rsidRPr="008E73D7" w:rsidRDefault="000D4BEE" w:rsidP="00DF0747">
      <w:pPr>
        <w:pStyle w:val="Endofdocument-Annex"/>
        <w:rPr>
          <w:lang w:val="fr-FR"/>
        </w:rPr>
      </w:pPr>
    </w:p>
    <w:p w:rsidR="000D4BEE" w:rsidRPr="008E73D7" w:rsidRDefault="000D4BEE" w:rsidP="00DF0747">
      <w:pPr>
        <w:pStyle w:val="Endofdocument-Annex"/>
        <w:rPr>
          <w:lang w:val="fr-FR"/>
        </w:rPr>
      </w:pPr>
    </w:p>
    <w:p w:rsidR="000D4BEE" w:rsidRPr="008E73D7" w:rsidRDefault="00D95742" w:rsidP="00DF0747">
      <w:pPr>
        <w:pStyle w:val="Endofdocument-Annex"/>
        <w:rPr>
          <w:lang w:val="fr-FR"/>
        </w:rPr>
      </w:pPr>
      <w:r w:rsidRPr="008E73D7">
        <w:rPr>
          <w:lang w:val="fr-FR"/>
        </w:rPr>
        <w:t>[L</w:t>
      </w:r>
      <w:r w:rsidR="00F22EE4" w:rsidRPr="008E73D7">
        <w:rPr>
          <w:lang w:val="fr-FR"/>
        </w:rPr>
        <w:t>’</w:t>
      </w:r>
      <w:r w:rsidRPr="008E73D7">
        <w:rPr>
          <w:lang w:val="fr-FR"/>
        </w:rPr>
        <w:t>annexe suit]</w:t>
      </w:r>
    </w:p>
    <w:p w:rsidR="009E1F8B" w:rsidRPr="008E73D7" w:rsidRDefault="009E1F8B" w:rsidP="00DF0747">
      <w:pPr>
        <w:pStyle w:val="Endofdocument-Annex"/>
        <w:rPr>
          <w:lang w:val="fr-FR"/>
        </w:rPr>
        <w:sectPr w:rsidR="009E1F8B" w:rsidRPr="008E73D7" w:rsidSect="00F22EE4">
          <w:headerReference w:type="default" r:id="rId11"/>
          <w:pgSz w:w="12240" w:h="15840" w:code="1"/>
          <w:pgMar w:top="567" w:right="1134" w:bottom="1418" w:left="1418" w:header="720" w:footer="720" w:gutter="0"/>
          <w:cols w:space="720"/>
          <w:titlePg/>
          <w:docGrid w:linePitch="360"/>
        </w:sectPr>
      </w:pPr>
    </w:p>
    <w:p w:rsidR="000D4BEE" w:rsidRPr="008E73D7" w:rsidRDefault="000D4BEE" w:rsidP="00DF0747">
      <w:pPr>
        <w:rPr>
          <w:lang w:val="fr-FR"/>
        </w:rPr>
      </w:pPr>
    </w:p>
    <w:p w:rsidR="000D4BEE" w:rsidRPr="008E73D7" w:rsidRDefault="00D95742" w:rsidP="00DF0747">
      <w:pPr>
        <w:pStyle w:val="Title"/>
        <w:rPr>
          <w:lang w:val="fr-FR"/>
        </w:rPr>
      </w:pPr>
      <w:r w:rsidRPr="008E73D7">
        <w:rPr>
          <w:lang w:val="fr-FR"/>
        </w:rPr>
        <w:t>Rapport sur l</w:t>
      </w:r>
      <w:r w:rsidR="00F22EE4" w:rsidRPr="008E73D7">
        <w:rPr>
          <w:lang w:val="fr-FR"/>
        </w:rPr>
        <w:t>’</w:t>
      </w:r>
      <w:r w:rsidRPr="008E73D7">
        <w:rPr>
          <w:lang w:val="fr-FR"/>
        </w:rPr>
        <w:t>utilisation de la propriété intellectuelle au Brésil</w:t>
      </w:r>
    </w:p>
    <w:p w:rsidR="000D4BEE" w:rsidRPr="008E73D7" w:rsidRDefault="000D4BEE" w:rsidP="00DF0747">
      <w:pPr>
        <w:rPr>
          <w:lang w:val="fr-FR"/>
        </w:rPr>
      </w:pPr>
    </w:p>
    <w:p w:rsidR="000D4BEE" w:rsidRPr="008E73D7" w:rsidRDefault="00370BE3" w:rsidP="00DF0747">
      <w:pPr>
        <w:pStyle w:val="Heading1"/>
        <w:rPr>
          <w:lang w:val="fr-FR"/>
        </w:rPr>
      </w:pPr>
      <w:r w:rsidRPr="008E73D7">
        <w:rPr>
          <w:lang w:val="fr-FR"/>
        </w:rPr>
        <w:t>Résumé</w:t>
      </w:r>
    </w:p>
    <w:p w:rsidR="000D4BEE" w:rsidRPr="008E73D7" w:rsidRDefault="000D4BEE" w:rsidP="00DF0747">
      <w:pPr>
        <w:rPr>
          <w:lang w:val="fr-FR"/>
        </w:rPr>
      </w:pPr>
    </w:p>
    <w:p w:rsidR="00F22EE4" w:rsidRPr="008E73D7" w:rsidRDefault="00692BE7" w:rsidP="00DF0747">
      <w:pPr>
        <w:rPr>
          <w:lang w:val="fr-FR"/>
        </w:rPr>
      </w:pPr>
      <w:r w:rsidRPr="008E73D7">
        <w:rPr>
          <w:lang w:val="fr-FR"/>
        </w:rPr>
        <w:t>Le Brésil a produit un effort remarquable afin d</w:t>
      </w:r>
      <w:r w:rsidR="00F22EE4" w:rsidRPr="008E73D7">
        <w:rPr>
          <w:lang w:val="fr-FR"/>
        </w:rPr>
        <w:t>’</w:t>
      </w:r>
      <w:r w:rsidRPr="008E73D7">
        <w:rPr>
          <w:lang w:val="fr-FR"/>
        </w:rPr>
        <w:t xml:space="preserve">aligner ses politiques générales et ses structures </w:t>
      </w:r>
      <w:r w:rsidR="005E652B" w:rsidRPr="008E73D7">
        <w:rPr>
          <w:lang w:val="fr-FR"/>
        </w:rPr>
        <w:t xml:space="preserve">d’appui </w:t>
      </w:r>
      <w:r w:rsidRPr="008E73D7">
        <w:rPr>
          <w:lang w:val="fr-FR"/>
        </w:rPr>
        <w:t>à l</w:t>
      </w:r>
      <w:r w:rsidR="00F22EE4" w:rsidRPr="008E73D7">
        <w:rPr>
          <w:lang w:val="fr-FR"/>
        </w:rPr>
        <w:t>’</w:t>
      </w:r>
      <w:r w:rsidRPr="008E73D7">
        <w:rPr>
          <w:lang w:val="fr-FR"/>
        </w:rPr>
        <w:t>innovation sur celles des pays développés.</w:t>
      </w:r>
      <w:r w:rsidR="007A38DF" w:rsidRPr="008E73D7">
        <w:rPr>
          <w:lang w:val="fr-FR"/>
        </w:rPr>
        <w:t xml:space="preserve">  </w:t>
      </w:r>
      <w:r w:rsidR="00370BE3" w:rsidRPr="008E73D7">
        <w:rPr>
          <w:lang w:val="fr-FR"/>
        </w:rPr>
        <w:t>Les vingt </w:t>
      </w:r>
      <w:r w:rsidR="005E652B" w:rsidRPr="008E73D7">
        <w:rPr>
          <w:lang w:val="fr-FR"/>
        </w:rPr>
        <w:t xml:space="preserve">dernières </w:t>
      </w:r>
      <w:r w:rsidR="00AA7496" w:rsidRPr="008E73D7">
        <w:rPr>
          <w:lang w:val="fr-FR"/>
        </w:rPr>
        <w:t xml:space="preserve">années ont été marquées par </w:t>
      </w:r>
      <w:r w:rsidR="00F32D25" w:rsidRPr="008E73D7">
        <w:rPr>
          <w:lang w:val="fr-FR"/>
        </w:rPr>
        <w:t>une amélioration effective de la gouvernance et une efficacité accrue de l</w:t>
      </w:r>
      <w:r w:rsidR="00F22EE4" w:rsidRPr="008E73D7">
        <w:rPr>
          <w:lang w:val="fr-FR"/>
        </w:rPr>
        <w:t>’</w:t>
      </w:r>
      <w:r w:rsidR="00F32D25" w:rsidRPr="008E73D7">
        <w:rPr>
          <w:lang w:val="fr-FR"/>
        </w:rPr>
        <w:t xml:space="preserve">intégration </w:t>
      </w:r>
      <w:r w:rsidR="00E8181A" w:rsidRPr="008E73D7">
        <w:rPr>
          <w:lang w:val="fr-FR"/>
        </w:rPr>
        <w:t>des</w:t>
      </w:r>
      <w:r w:rsidR="00F32D25" w:rsidRPr="008E73D7">
        <w:rPr>
          <w:lang w:val="fr-FR"/>
        </w:rPr>
        <w:t xml:space="preserve"> politiques</w:t>
      </w:r>
      <w:r w:rsidR="00E8181A" w:rsidRPr="008E73D7">
        <w:rPr>
          <w:lang w:val="fr-FR"/>
        </w:rPr>
        <w:t xml:space="preserve"> générales</w:t>
      </w:r>
      <w:r w:rsidR="00F32D25" w:rsidRPr="008E73D7">
        <w:rPr>
          <w:lang w:val="fr-FR"/>
        </w:rPr>
        <w:t xml:space="preserve">, </w:t>
      </w:r>
      <w:r w:rsidR="00E8181A" w:rsidRPr="008E73D7">
        <w:rPr>
          <w:lang w:val="fr-FR"/>
        </w:rPr>
        <w:t>de</w:t>
      </w:r>
      <w:r w:rsidR="00F32D25" w:rsidRPr="008E73D7">
        <w:rPr>
          <w:lang w:val="fr-FR"/>
        </w:rPr>
        <w:t xml:space="preserve">s instruments et </w:t>
      </w:r>
      <w:r w:rsidR="00E8181A" w:rsidRPr="008E73D7">
        <w:rPr>
          <w:lang w:val="fr-FR"/>
        </w:rPr>
        <w:t>d</w:t>
      </w:r>
      <w:r w:rsidR="00F32D25" w:rsidRPr="008E73D7">
        <w:rPr>
          <w:lang w:val="fr-FR"/>
        </w:rPr>
        <w:t>es agences</w:t>
      </w:r>
      <w:r w:rsidR="007A38DF" w:rsidRPr="008E73D7">
        <w:rPr>
          <w:lang w:val="fr-FR"/>
        </w:rPr>
        <w:t xml:space="preserve">.  </w:t>
      </w:r>
      <w:r w:rsidR="00F32D25" w:rsidRPr="008E73D7">
        <w:rPr>
          <w:lang w:val="fr-FR"/>
        </w:rPr>
        <w:t>À cet égard</w:t>
      </w:r>
      <w:r w:rsidR="007A38DF" w:rsidRPr="008E73D7">
        <w:rPr>
          <w:lang w:val="fr-FR"/>
        </w:rPr>
        <w:t xml:space="preserve">, </w:t>
      </w:r>
      <w:r w:rsidR="00F32D25" w:rsidRPr="008E73D7">
        <w:rPr>
          <w:lang w:val="fr-FR"/>
        </w:rPr>
        <w:t xml:space="preserve">le cadre juridique du </w:t>
      </w:r>
      <w:r w:rsidR="00581222" w:rsidRPr="008E73D7">
        <w:rPr>
          <w:lang w:val="fr-FR"/>
        </w:rPr>
        <w:t xml:space="preserve">système de protection des droits de propriété intellectuelle </w:t>
      </w:r>
      <w:r w:rsidR="00F32D25" w:rsidRPr="008E73D7">
        <w:rPr>
          <w:lang w:val="fr-FR"/>
        </w:rPr>
        <w:t xml:space="preserve">au Brésil </w:t>
      </w:r>
      <w:r w:rsidR="00581222" w:rsidRPr="008E73D7">
        <w:rPr>
          <w:lang w:val="fr-FR"/>
        </w:rPr>
        <w:t xml:space="preserve">a été modifié afin </w:t>
      </w:r>
      <w:r w:rsidR="00E8181A" w:rsidRPr="008E73D7">
        <w:rPr>
          <w:lang w:val="fr-FR"/>
        </w:rPr>
        <w:t>de tenir compte de</w:t>
      </w:r>
      <w:r w:rsidR="00581222" w:rsidRPr="008E73D7">
        <w:rPr>
          <w:lang w:val="fr-FR"/>
        </w:rPr>
        <w:t xml:space="preserve"> </w:t>
      </w:r>
      <w:r w:rsidR="003A02A9" w:rsidRPr="008E73D7">
        <w:rPr>
          <w:lang w:val="fr-FR"/>
        </w:rPr>
        <w:t>l</w:t>
      </w:r>
      <w:r w:rsidR="00F22EE4" w:rsidRPr="008E73D7">
        <w:rPr>
          <w:lang w:val="fr-FR"/>
        </w:rPr>
        <w:t>’</w:t>
      </w:r>
      <w:r w:rsidR="003A02A9" w:rsidRPr="008E73D7">
        <w:rPr>
          <w:lang w:val="fr-FR"/>
        </w:rPr>
        <w:t xml:space="preserve">Acte final </w:t>
      </w:r>
      <w:r w:rsidR="00804C72" w:rsidRPr="008E73D7">
        <w:rPr>
          <w:lang w:val="fr-FR"/>
        </w:rPr>
        <w:t>des négociations commerciales multilatérales du cycle d</w:t>
      </w:r>
      <w:r w:rsidR="00F22EE4" w:rsidRPr="008E73D7">
        <w:rPr>
          <w:lang w:val="fr-FR"/>
        </w:rPr>
        <w:t>’</w:t>
      </w:r>
      <w:r w:rsidR="00804C72" w:rsidRPr="008E73D7">
        <w:rPr>
          <w:lang w:val="fr-FR"/>
        </w:rPr>
        <w:t>Uruguay de l</w:t>
      </w:r>
      <w:r w:rsidR="00F22EE4" w:rsidRPr="008E73D7">
        <w:rPr>
          <w:lang w:val="fr-FR"/>
        </w:rPr>
        <w:t>’</w:t>
      </w:r>
      <w:r w:rsidR="00804C72" w:rsidRPr="008E73D7">
        <w:rPr>
          <w:lang w:val="fr-FR"/>
        </w:rPr>
        <w:t>Accord général sur les tarifs douaniers et le commerce (GATT)</w:t>
      </w:r>
      <w:r w:rsidR="007A38DF" w:rsidRPr="008E73D7">
        <w:rPr>
          <w:lang w:val="fr-FR"/>
        </w:rPr>
        <w:t xml:space="preserve">, </w:t>
      </w:r>
      <w:r w:rsidR="00F22EE4" w:rsidRPr="008E73D7">
        <w:rPr>
          <w:lang w:val="fr-FR"/>
        </w:rPr>
        <w:t>y compris</w:t>
      </w:r>
      <w:r w:rsidR="00804C72" w:rsidRPr="008E73D7">
        <w:rPr>
          <w:lang w:val="fr-FR"/>
        </w:rPr>
        <w:t xml:space="preserve"> </w:t>
      </w:r>
      <w:r w:rsidR="007C6FAD" w:rsidRPr="008E73D7">
        <w:rPr>
          <w:lang w:val="fr-FR"/>
        </w:rPr>
        <w:t>l</w:t>
      </w:r>
      <w:r w:rsidR="00F22EE4" w:rsidRPr="008E73D7">
        <w:rPr>
          <w:lang w:val="fr-FR"/>
        </w:rPr>
        <w:t>’</w:t>
      </w:r>
      <w:r w:rsidR="007C6FAD" w:rsidRPr="008E73D7">
        <w:rPr>
          <w:lang w:val="fr-FR"/>
        </w:rPr>
        <w:t>Accord sur les aspects des droits de propriété intellectuelle qui touchent au commerce</w:t>
      </w:r>
      <w:r w:rsidR="007A38DF" w:rsidRPr="008E73D7">
        <w:rPr>
          <w:lang w:val="fr-FR"/>
        </w:rPr>
        <w:t xml:space="preserve"> </w:t>
      </w:r>
      <w:r w:rsidR="007C6FAD" w:rsidRPr="008E73D7">
        <w:rPr>
          <w:lang w:val="fr-FR"/>
        </w:rPr>
        <w:t>(Accord sur</w:t>
      </w:r>
      <w:r w:rsidR="00F22EE4" w:rsidRPr="008E73D7">
        <w:rPr>
          <w:lang w:val="fr-FR"/>
        </w:rPr>
        <w:t xml:space="preserve"> les ADP</w:t>
      </w:r>
      <w:r w:rsidR="007C6FAD" w:rsidRPr="008E73D7">
        <w:rPr>
          <w:lang w:val="fr-FR"/>
        </w:rPr>
        <w:t>IC</w:t>
      </w:r>
      <w:r w:rsidR="007A38DF" w:rsidRPr="008E73D7">
        <w:rPr>
          <w:lang w:val="fr-FR"/>
        </w:rPr>
        <w:t xml:space="preserve">).  </w:t>
      </w:r>
      <w:r w:rsidR="00370BE3" w:rsidRPr="008E73D7">
        <w:rPr>
          <w:lang w:val="fr-FR"/>
        </w:rPr>
        <w:t>Les </w:t>
      </w:r>
      <w:r w:rsidR="009770BD" w:rsidRPr="008E73D7">
        <w:rPr>
          <w:lang w:val="fr-FR"/>
        </w:rPr>
        <w:t>changements les plus significatifs</w:t>
      </w:r>
      <w:r w:rsidR="005E652B" w:rsidRPr="008E73D7">
        <w:rPr>
          <w:lang w:val="fr-FR"/>
        </w:rPr>
        <w:t xml:space="preserve"> concernent</w:t>
      </w:r>
      <w:r w:rsidR="009770BD" w:rsidRPr="008E73D7">
        <w:rPr>
          <w:lang w:val="fr-FR"/>
        </w:rPr>
        <w:t xml:space="preserve"> la portée de la protection</w:t>
      </w:r>
      <w:r w:rsidR="005E652B" w:rsidRPr="008E73D7">
        <w:rPr>
          <w:lang w:val="fr-FR"/>
        </w:rPr>
        <w:t>,</w:t>
      </w:r>
      <w:r w:rsidR="009770BD" w:rsidRPr="008E73D7">
        <w:rPr>
          <w:lang w:val="fr-FR"/>
        </w:rPr>
        <w:t xml:space="preserve"> qui a été étendue à tous les domaines de </w:t>
      </w:r>
      <w:r w:rsidR="005E652B" w:rsidRPr="008E73D7">
        <w:rPr>
          <w:lang w:val="fr-FR"/>
        </w:rPr>
        <w:t xml:space="preserve">la </w:t>
      </w:r>
      <w:r w:rsidR="00EB6425" w:rsidRPr="008E73D7">
        <w:rPr>
          <w:lang w:val="fr-FR"/>
        </w:rPr>
        <w:t>connaissance</w:t>
      </w:r>
      <w:r w:rsidR="007A38DF" w:rsidRPr="008E73D7">
        <w:rPr>
          <w:lang w:val="fr-FR"/>
        </w:rPr>
        <w:t xml:space="preserve">.  </w:t>
      </w:r>
      <w:r w:rsidR="008C17BD" w:rsidRPr="008E73D7">
        <w:rPr>
          <w:lang w:val="fr-FR"/>
        </w:rPr>
        <w:t>Comme suite à l</w:t>
      </w:r>
      <w:r w:rsidR="00F22EE4" w:rsidRPr="008E73D7">
        <w:rPr>
          <w:lang w:val="fr-FR"/>
        </w:rPr>
        <w:t>’</w:t>
      </w:r>
      <w:r w:rsidR="008C17BD" w:rsidRPr="008E73D7">
        <w:rPr>
          <w:lang w:val="fr-FR"/>
        </w:rPr>
        <w:t>Accord sur</w:t>
      </w:r>
      <w:r w:rsidR="00F22EE4" w:rsidRPr="008E73D7">
        <w:rPr>
          <w:lang w:val="fr-FR"/>
        </w:rPr>
        <w:t xml:space="preserve"> les ADP</w:t>
      </w:r>
      <w:r w:rsidR="008C17BD" w:rsidRPr="008E73D7">
        <w:rPr>
          <w:lang w:val="fr-FR"/>
        </w:rPr>
        <w:t xml:space="preserve">IC </w:t>
      </w:r>
      <w:r w:rsidR="00370BE3" w:rsidRPr="008E73D7">
        <w:rPr>
          <w:lang w:val="fr-FR"/>
        </w:rPr>
        <w:t>(a</w:t>
      </w:r>
      <w:r w:rsidR="007A38DF" w:rsidRPr="008E73D7">
        <w:rPr>
          <w:lang w:val="fr-FR"/>
        </w:rPr>
        <w:t>rticle</w:t>
      </w:r>
      <w:r w:rsidR="00C30FD9" w:rsidRPr="008E73D7">
        <w:rPr>
          <w:lang w:val="fr-FR"/>
        </w:rPr>
        <w:t> </w:t>
      </w:r>
      <w:r w:rsidR="007A38DF" w:rsidRPr="008E73D7">
        <w:rPr>
          <w:lang w:val="fr-FR"/>
        </w:rPr>
        <w:t xml:space="preserve">27), </w:t>
      </w:r>
      <w:r w:rsidR="00AA5797" w:rsidRPr="008E73D7">
        <w:rPr>
          <w:lang w:val="fr-FR"/>
        </w:rPr>
        <w:t>la nouvelle loi régissant les droits et obligations dans le domaine de la propriété industrielle</w:t>
      </w:r>
      <w:r w:rsidR="00370BE3" w:rsidRPr="008E73D7">
        <w:rPr>
          <w:lang w:val="fr-FR"/>
        </w:rPr>
        <w:t xml:space="preserve"> (l</w:t>
      </w:r>
      <w:r w:rsidR="00A6504F" w:rsidRPr="008E73D7">
        <w:rPr>
          <w:lang w:val="fr-FR"/>
        </w:rPr>
        <w:t>oi</w:t>
      </w:r>
      <w:r w:rsidR="007A38DF" w:rsidRPr="008E73D7">
        <w:rPr>
          <w:lang w:val="fr-FR"/>
        </w:rPr>
        <w:t xml:space="preserve"> </w:t>
      </w:r>
      <w:r w:rsidR="00C30FD9" w:rsidRPr="008E73D7">
        <w:rPr>
          <w:lang w:val="fr-FR"/>
        </w:rPr>
        <w:t>n° </w:t>
      </w:r>
      <w:r w:rsidR="007A38DF" w:rsidRPr="008E73D7">
        <w:rPr>
          <w:lang w:val="fr-FR"/>
        </w:rPr>
        <w:t xml:space="preserve">9.279/96) </w:t>
      </w:r>
      <w:r w:rsidR="002303ED" w:rsidRPr="008E73D7">
        <w:rPr>
          <w:lang w:val="fr-FR"/>
        </w:rPr>
        <w:t>reconnaît</w:t>
      </w:r>
      <w:r w:rsidR="00101C23" w:rsidRPr="008E73D7">
        <w:rPr>
          <w:lang w:val="fr-FR"/>
        </w:rPr>
        <w:t xml:space="preserve"> l</w:t>
      </w:r>
      <w:r w:rsidR="005E652B" w:rsidRPr="008E73D7">
        <w:rPr>
          <w:lang w:val="fr-FR"/>
        </w:rPr>
        <w:t xml:space="preserve">a brevetabilité </w:t>
      </w:r>
      <w:r w:rsidR="00A6504F" w:rsidRPr="008E73D7">
        <w:rPr>
          <w:lang w:val="fr-FR"/>
        </w:rPr>
        <w:t xml:space="preserve">des </w:t>
      </w:r>
      <w:r w:rsidR="005E652B" w:rsidRPr="008E73D7">
        <w:rPr>
          <w:lang w:val="fr-FR"/>
        </w:rPr>
        <w:t>“</w:t>
      </w:r>
      <w:r w:rsidR="00A6504F" w:rsidRPr="008E73D7">
        <w:rPr>
          <w:lang w:val="fr-FR"/>
        </w:rPr>
        <w:t>substances, matières ou produits obtenus par des moyens ou procédés chimiques et pour des produits alimentaires et des substances, matières, mélanges ou produits pharmaceutiques et médicaments de tout type, ainsi que pour les procédés d</w:t>
      </w:r>
      <w:r w:rsidR="00F22EE4" w:rsidRPr="008E73D7">
        <w:rPr>
          <w:lang w:val="fr-FR"/>
        </w:rPr>
        <w:t>’</w:t>
      </w:r>
      <w:r w:rsidR="00A6504F" w:rsidRPr="008E73D7">
        <w:rPr>
          <w:lang w:val="fr-FR"/>
        </w:rPr>
        <w:t>obtention ou de modification respectifs</w:t>
      </w:r>
      <w:r w:rsidR="007A38DF" w:rsidRPr="008E73D7">
        <w:rPr>
          <w:lang w:val="fr-FR"/>
        </w:rPr>
        <w:t xml:space="preserve">”; </w:t>
      </w:r>
      <w:r w:rsidR="00C30FD9" w:rsidRPr="008E73D7">
        <w:rPr>
          <w:lang w:val="fr-FR"/>
        </w:rPr>
        <w:t xml:space="preserve"> </w:t>
      </w:r>
      <w:r w:rsidR="005E652B" w:rsidRPr="008E73D7">
        <w:rPr>
          <w:lang w:val="fr-FR"/>
        </w:rPr>
        <w:t xml:space="preserve">pour les </w:t>
      </w:r>
      <w:r w:rsidR="00B27825" w:rsidRPr="008E73D7">
        <w:rPr>
          <w:lang w:val="fr-FR"/>
        </w:rPr>
        <w:t>obtentions végétales et</w:t>
      </w:r>
      <w:r w:rsidR="005E652B" w:rsidRPr="008E73D7">
        <w:rPr>
          <w:lang w:val="fr-FR"/>
        </w:rPr>
        <w:t xml:space="preserve"> les</w:t>
      </w:r>
      <w:r w:rsidR="00B27825" w:rsidRPr="008E73D7">
        <w:rPr>
          <w:lang w:val="fr-FR"/>
        </w:rPr>
        <w:t xml:space="preserve"> micro</w:t>
      </w:r>
      <w:r w:rsidR="00D0608C" w:rsidRPr="008E73D7">
        <w:rPr>
          <w:lang w:val="fr-FR"/>
        </w:rPr>
        <w:noBreakHyphen/>
      </w:r>
      <w:r w:rsidR="00B27825" w:rsidRPr="008E73D7">
        <w:rPr>
          <w:lang w:val="fr-FR"/>
        </w:rPr>
        <w:t>organismes</w:t>
      </w:r>
      <w:r w:rsidR="005E652B" w:rsidRPr="008E73D7">
        <w:rPr>
          <w:lang w:val="fr-FR"/>
        </w:rPr>
        <w:t xml:space="preserve">, en revanche, une protection </w:t>
      </w:r>
      <w:r w:rsidR="005E652B" w:rsidRPr="008E73D7">
        <w:rPr>
          <w:i/>
          <w:lang w:val="fr-FR"/>
        </w:rPr>
        <w:t xml:space="preserve">sui generis </w:t>
      </w:r>
      <w:r w:rsidR="005E652B" w:rsidRPr="008E73D7">
        <w:rPr>
          <w:lang w:val="fr-FR"/>
        </w:rPr>
        <w:t>a</w:t>
      </w:r>
      <w:r w:rsidR="005E652B" w:rsidRPr="008E73D7">
        <w:rPr>
          <w:i/>
          <w:lang w:val="fr-FR"/>
        </w:rPr>
        <w:t xml:space="preserve"> </w:t>
      </w:r>
      <w:r w:rsidR="005E652B" w:rsidRPr="008E73D7">
        <w:rPr>
          <w:lang w:val="fr-FR"/>
        </w:rPr>
        <w:t>été privilégiée</w:t>
      </w:r>
      <w:r w:rsidR="007A38DF" w:rsidRPr="008E73D7">
        <w:rPr>
          <w:lang w:val="fr-FR"/>
        </w:rPr>
        <w:t>.</w:t>
      </w:r>
    </w:p>
    <w:p w:rsidR="000D4BEE" w:rsidRPr="008E73D7" w:rsidRDefault="000D4BEE" w:rsidP="00DF0747">
      <w:pPr>
        <w:rPr>
          <w:lang w:val="fr-FR"/>
        </w:rPr>
      </w:pPr>
    </w:p>
    <w:p w:rsidR="000D4BEE" w:rsidRPr="008E73D7" w:rsidRDefault="00063375" w:rsidP="00DF0747">
      <w:pPr>
        <w:rPr>
          <w:lang w:val="fr-FR"/>
        </w:rPr>
      </w:pPr>
      <w:r w:rsidRPr="008E73D7">
        <w:rPr>
          <w:lang w:val="fr-FR"/>
        </w:rPr>
        <w:t xml:space="preserve">Les données présentées dans le présent rapport attestent du fait que le Brésil </w:t>
      </w:r>
      <w:r w:rsidR="005E652B" w:rsidRPr="008E73D7">
        <w:rPr>
          <w:lang w:val="fr-FR"/>
        </w:rPr>
        <w:t xml:space="preserve">se distingue par </w:t>
      </w:r>
      <w:r w:rsidRPr="008E73D7">
        <w:rPr>
          <w:lang w:val="fr-FR"/>
        </w:rPr>
        <w:t>un système d</w:t>
      </w:r>
      <w:r w:rsidR="00F22EE4" w:rsidRPr="008E73D7">
        <w:rPr>
          <w:lang w:val="fr-FR"/>
        </w:rPr>
        <w:t>’</w:t>
      </w:r>
      <w:r w:rsidRPr="008E73D7">
        <w:rPr>
          <w:lang w:val="fr-FR"/>
        </w:rPr>
        <w:t xml:space="preserve">innovation </w:t>
      </w:r>
      <w:r w:rsidR="00AD3B74" w:rsidRPr="008E73D7">
        <w:rPr>
          <w:lang w:val="fr-FR"/>
        </w:rPr>
        <w:t xml:space="preserve">de plus en plus </w:t>
      </w:r>
      <w:r w:rsidRPr="008E73D7">
        <w:rPr>
          <w:lang w:val="fr-FR"/>
        </w:rPr>
        <w:t>élaboré</w:t>
      </w:r>
      <w:r w:rsidR="007A38DF" w:rsidRPr="008E73D7">
        <w:rPr>
          <w:lang w:val="fr-FR"/>
        </w:rPr>
        <w:t xml:space="preserve">.  </w:t>
      </w:r>
      <w:r w:rsidR="00953EF7" w:rsidRPr="008E73D7">
        <w:rPr>
          <w:lang w:val="fr-FR"/>
        </w:rPr>
        <w:t>La diminution graduelle des demandes de modèle d</w:t>
      </w:r>
      <w:r w:rsidR="00F22EE4" w:rsidRPr="008E73D7">
        <w:rPr>
          <w:lang w:val="fr-FR"/>
        </w:rPr>
        <w:t>’</w:t>
      </w:r>
      <w:r w:rsidR="00953EF7" w:rsidRPr="008E73D7">
        <w:rPr>
          <w:lang w:val="fr-FR"/>
        </w:rPr>
        <w:t xml:space="preserve">utilité entre </w:t>
      </w:r>
      <w:r w:rsidR="007A38DF" w:rsidRPr="008E73D7">
        <w:rPr>
          <w:lang w:val="fr-FR"/>
        </w:rPr>
        <w:t xml:space="preserve">2000 </w:t>
      </w:r>
      <w:r w:rsidR="00370BE3" w:rsidRPr="008E73D7">
        <w:rPr>
          <w:lang w:val="fr-FR"/>
        </w:rPr>
        <w:t>et </w:t>
      </w:r>
      <w:r w:rsidR="007A38DF" w:rsidRPr="008E73D7">
        <w:rPr>
          <w:lang w:val="fr-FR"/>
        </w:rPr>
        <w:t xml:space="preserve">2011 (7%) </w:t>
      </w:r>
      <w:r w:rsidR="00953EF7" w:rsidRPr="008E73D7">
        <w:rPr>
          <w:lang w:val="fr-FR"/>
        </w:rPr>
        <w:t>et la croissance rapide des demandes de brevet souligne</w:t>
      </w:r>
      <w:r w:rsidR="00096D35" w:rsidRPr="008E73D7">
        <w:rPr>
          <w:lang w:val="fr-FR"/>
        </w:rPr>
        <w:t>nt</w:t>
      </w:r>
      <w:r w:rsidR="00953EF7" w:rsidRPr="008E73D7">
        <w:rPr>
          <w:lang w:val="fr-FR"/>
        </w:rPr>
        <w:t xml:space="preserve"> cette tendance</w:t>
      </w:r>
      <w:r w:rsidR="007A38DF" w:rsidRPr="008E73D7">
        <w:rPr>
          <w:lang w:val="fr-FR"/>
        </w:rPr>
        <w:t xml:space="preserve">.  </w:t>
      </w:r>
      <w:r w:rsidR="00953EF7" w:rsidRPr="008E73D7">
        <w:rPr>
          <w:lang w:val="fr-FR"/>
        </w:rPr>
        <w:t xml:space="preserve">Au cours de cette période, les demandes de brevet ont </w:t>
      </w:r>
      <w:r w:rsidR="00C60AEF" w:rsidRPr="008E73D7">
        <w:rPr>
          <w:lang w:val="fr-FR"/>
        </w:rPr>
        <w:t>augmenté</w:t>
      </w:r>
      <w:r w:rsidR="00953EF7" w:rsidRPr="008E73D7">
        <w:rPr>
          <w:lang w:val="fr-FR"/>
        </w:rPr>
        <w:t xml:space="preserve"> de </w:t>
      </w:r>
      <w:r w:rsidR="007A38DF" w:rsidRPr="008E73D7">
        <w:rPr>
          <w:lang w:val="fr-FR"/>
        </w:rPr>
        <w:t xml:space="preserve">63%, </w:t>
      </w:r>
      <w:r w:rsidR="00953EF7" w:rsidRPr="008E73D7">
        <w:rPr>
          <w:lang w:val="fr-FR"/>
        </w:rPr>
        <w:t xml:space="preserve">atteignant plus de </w:t>
      </w:r>
      <w:r w:rsidR="007A38DF" w:rsidRPr="008E73D7">
        <w:rPr>
          <w:lang w:val="fr-FR"/>
        </w:rPr>
        <w:t>28</w:t>
      </w:r>
      <w:r w:rsidR="00C30FD9" w:rsidRPr="008E73D7">
        <w:rPr>
          <w:lang w:val="fr-FR"/>
        </w:rPr>
        <w:t> </w:t>
      </w:r>
      <w:r w:rsidR="007A38DF" w:rsidRPr="008E73D7">
        <w:rPr>
          <w:lang w:val="fr-FR"/>
        </w:rPr>
        <w:t xml:space="preserve">000 </w:t>
      </w:r>
      <w:r w:rsidR="00953EF7" w:rsidRPr="008E73D7">
        <w:rPr>
          <w:lang w:val="fr-FR"/>
        </w:rPr>
        <w:t>e</w:t>
      </w:r>
      <w:r w:rsidR="007A38DF" w:rsidRPr="008E73D7">
        <w:rPr>
          <w:lang w:val="fr-FR"/>
        </w:rPr>
        <w:t>n</w:t>
      </w:r>
      <w:r w:rsidR="00C30FD9" w:rsidRPr="008E73D7">
        <w:rPr>
          <w:lang w:val="fr-FR"/>
        </w:rPr>
        <w:t> </w:t>
      </w:r>
      <w:r w:rsidR="007A38DF" w:rsidRPr="008E73D7">
        <w:rPr>
          <w:lang w:val="fr-FR"/>
        </w:rPr>
        <w:t xml:space="preserve">2011.  </w:t>
      </w:r>
      <w:r w:rsidR="00953EF7" w:rsidRPr="008E73D7">
        <w:rPr>
          <w:lang w:val="fr-FR"/>
        </w:rPr>
        <w:t>En outre</w:t>
      </w:r>
      <w:r w:rsidR="007A38DF" w:rsidRPr="008E73D7">
        <w:rPr>
          <w:lang w:val="fr-FR"/>
        </w:rPr>
        <w:t xml:space="preserve">, </w:t>
      </w:r>
      <w:r w:rsidR="00953EF7" w:rsidRPr="008E73D7">
        <w:rPr>
          <w:lang w:val="fr-FR"/>
        </w:rPr>
        <w:t xml:space="preserve">les demandes </w:t>
      </w:r>
      <w:r w:rsidR="007A514F" w:rsidRPr="008E73D7">
        <w:rPr>
          <w:lang w:val="fr-FR"/>
        </w:rPr>
        <w:t xml:space="preserve">de brevet </w:t>
      </w:r>
      <w:r w:rsidR="00953EF7" w:rsidRPr="008E73D7">
        <w:rPr>
          <w:lang w:val="fr-FR"/>
        </w:rPr>
        <w:t>d</w:t>
      </w:r>
      <w:r w:rsidR="003E6461" w:rsidRPr="008E73D7">
        <w:rPr>
          <w:lang w:val="fr-FR"/>
        </w:rPr>
        <w:t>é</w:t>
      </w:r>
      <w:r w:rsidR="00953EF7" w:rsidRPr="008E73D7">
        <w:rPr>
          <w:lang w:val="fr-FR"/>
        </w:rPr>
        <w:t>pos</w:t>
      </w:r>
      <w:r w:rsidR="003E6461" w:rsidRPr="008E73D7">
        <w:rPr>
          <w:lang w:val="fr-FR"/>
        </w:rPr>
        <w:t>ée</w:t>
      </w:r>
      <w:r w:rsidR="00953EF7" w:rsidRPr="008E73D7">
        <w:rPr>
          <w:lang w:val="fr-FR"/>
        </w:rPr>
        <w:t xml:space="preserve">s par des </w:t>
      </w:r>
      <w:r w:rsidR="00096D35" w:rsidRPr="008E73D7">
        <w:rPr>
          <w:lang w:val="fr-FR"/>
        </w:rPr>
        <w:t>réside</w:t>
      </w:r>
      <w:r w:rsidR="00953EF7" w:rsidRPr="008E73D7">
        <w:rPr>
          <w:lang w:val="fr-FR"/>
        </w:rPr>
        <w:t>nt</w:t>
      </w:r>
      <w:r w:rsidR="00096D35" w:rsidRPr="008E73D7">
        <w:rPr>
          <w:lang w:val="fr-FR"/>
        </w:rPr>
        <w:t>s</w:t>
      </w:r>
      <w:r w:rsidR="007A38DF" w:rsidRPr="008E73D7">
        <w:rPr>
          <w:lang w:val="fr-FR"/>
        </w:rPr>
        <w:t xml:space="preserve"> (99% </w:t>
      </w:r>
      <w:r w:rsidR="00953EF7" w:rsidRPr="008E73D7">
        <w:rPr>
          <w:lang w:val="fr-FR"/>
        </w:rPr>
        <w:t>directement auprès de l</w:t>
      </w:r>
      <w:r w:rsidR="00F22EE4" w:rsidRPr="008E73D7">
        <w:rPr>
          <w:lang w:val="fr-FR"/>
        </w:rPr>
        <w:t>’</w:t>
      </w:r>
      <w:r w:rsidR="007A38DF" w:rsidRPr="008E73D7">
        <w:rPr>
          <w:lang w:val="fr-FR"/>
        </w:rPr>
        <w:t xml:space="preserve">INPI) </w:t>
      </w:r>
      <w:r w:rsidR="003E6461" w:rsidRPr="008E73D7">
        <w:rPr>
          <w:lang w:val="fr-FR"/>
        </w:rPr>
        <w:t xml:space="preserve">ont </w:t>
      </w:r>
      <w:r w:rsidR="00C60AEF" w:rsidRPr="008E73D7">
        <w:rPr>
          <w:lang w:val="fr-FR"/>
        </w:rPr>
        <w:t>augmenté</w:t>
      </w:r>
      <w:r w:rsidR="003E6461" w:rsidRPr="008E73D7">
        <w:rPr>
          <w:lang w:val="fr-FR"/>
        </w:rPr>
        <w:t xml:space="preserve"> de </w:t>
      </w:r>
      <w:r w:rsidR="007A38DF" w:rsidRPr="008E73D7">
        <w:rPr>
          <w:lang w:val="fr-FR"/>
        </w:rPr>
        <w:t xml:space="preserve">46%, </w:t>
      </w:r>
      <w:r w:rsidR="007A514F" w:rsidRPr="008E73D7">
        <w:rPr>
          <w:lang w:val="fr-FR"/>
        </w:rPr>
        <w:t>passant de</w:t>
      </w:r>
      <w:r w:rsidR="003E6461" w:rsidRPr="008E73D7">
        <w:rPr>
          <w:lang w:val="fr-FR"/>
        </w:rPr>
        <w:t xml:space="preserve"> </w:t>
      </w:r>
      <w:r w:rsidR="00C30FD9" w:rsidRPr="008E73D7">
        <w:rPr>
          <w:lang w:val="fr-FR"/>
        </w:rPr>
        <w:t>3200</w:t>
      </w:r>
      <w:r w:rsidR="007A38DF" w:rsidRPr="008E73D7">
        <w:rPr>
          <w:lang w:val="fr-FR"/>
        </w:rPr>
        <w:t xml:space="preserve"> </w:t>
      </w:r>
      <w:r w:rsidR="003E6461" w:rsidRPr="008E73D7">
        <w:rPr>
          <w:lang w:val="fr-FR"/>
        </w:rPr>
        <w:t>par an en</w:t>
      </w:r>
      <w:r w:rsidR="00C30FD9" w:rsidRPr="008E73D7">
        <w:rPr>
          <w:lang w:val="fr-FR"/>
        </w:rPr>
        <w:t> </w:t>
      </w:r>
      <w:r w:rsidR="007A38DF" w:rsidRPr="008E73D7">
        <w:rPr>
          <w:lang w:val="fr-FR"/>
        </w:rPr>
        <w:t xml:space="preserve">2000 </w:t>
      </w:r>
      <w:r w:rsidR="00096D35" w:rsidRPr="008E73D7">
        <w:rPr>
          <w:lang w:val="fr-FR"/>
        </w:rPr>
        <w:t>à quelque</w:t>
      </w:r>
      <w:r w:rsidR="003E6461" w:rsidRPr="008E73D7">
        <w:rPr>
          <w:lang w:val="fr-FR"/>
        </w:rPr>
        <w:t xml:space="preserve"> </w:t>
      </w:r>
      <w:r w:rsidR="00C30FD9" w:rsidRPr="008E73D7">
        <w:rPr>
          <w:lang w:val="fr-FR"/>
        </w:rPr>
        <w:t>4700</w:t>
      </w:r>
      <w:r w:rsidR="007A38DF" w:rsidRPr="008E73D7">
        <w:rPr>
          <w:lang w:val="fr-FR"/>
        </w:rPr>
        <w:t xml:space="preserve"> </w:t>
      </w:r>
      <w:r w:rsidR="003E6461" w:rsidRPr="008E73D7">
        <w:rPr>
          <w:lang w:val="fr-FR"/>
        </w:rPr>
        <w:t>e</w:t>
      </w:r>
      <w:r w:rsidR="007A38DF" w:rsidRPr="008E73D7">
        <w:rPr>
          <w:lang w:val="fr-FR"/>
        </w:rPr>
        <w:t>n</w:t>
      </w:r>
      <w:r w:rsidR="00C30FD9" w:rsidRPr="008E73D7">
        <w:rPr>
          <w:lang w:val="fr-FR"/>
        </w:rPr>
        <w:t> </w:t>
      </w:r>
      <w:r w:rsidR="007A38DF" w:rsidRPr="008E73D7">
        <w:rPr>
          <w:lang w:val="fr-FR"/>
        </w:rPr>
        <w:t xml:space="preserve">2011.  </w:t>
      </w:r>
      <w:r w:rsidR="008D3E1E" w:rsidRPr="008E73D7">
        <w:rPr>
          <w:lang w:val="fr-FR"/>
        </w:rPr>
        <w:t>Il convient également de noter l</w:t>
      </w:r>
      <w:r w:rsidR="00F22EE4" w:rsidRPr="008E73D7">
        <w:rPr>
          <w:lang w:val="fr-FR"/>
        </w:rPr>
        <w:t>’</w:t>
      </w:r>
      <w:r w:rsidR="008D3E1E" w:rsidRPr="008E73D7">
        <w:rPr>
          <w:lang w:val="fr-FR"/>
        </w:rPr>
        <w:t>augmentation</w:t>
      </w:r>
      <w:r w:rsidR="0030232C" w:rsidRPr="008E73D7">
        <w:rPr>
          <w:lang w:val="fr-FR"/>
        </w:rPr>
        <w:t xml:space="preserve"> </w:t>
      </w:r>
      <w:r w:rsidR="008D3E1E" w:rsidRPr="008E73D7">
        <w:rPr>
          <w:lang w:val="fr-FR"/>
        </w:rPr>
        <w:t xml:space="preserve">des demandes selon le PCT déposées par des </w:t>
      </w:r>
      <w:r w:rsidR="00096D35" w:rsidRPr="008E73D7">
        <w:rPr>
          <w:lang w:val="fr-FR"/>
        </w:rPr>
        <w:t>réside</w:t>
      </w:r>
      <w:r w:rsidR="008D3E1E" w:rsidRPr="008E73D7">
        <w:rPr>
          <w:lang w:val="fr-FR"/>
        </w:rPr>
        <w:t>nt</w:t>
      </w:r>
      <w:r w:rsidR="00096D35" w:rsidRPr="008E73D7">
        <w:rPr>
          <w:lang w:val="fr-FR"/>
        </w:rPr>
        <w:t>s depuis </w:t>
      </w:r>
      <w:r w:rsidR="0030232C" w:rsidRPr="008E73D7">
        <w:rPr>
          <w:lang w:val="fr-FR"/>
        </w:rPr>
        <w:t>2009</w:t>
      </w:r>
      <w:r w:rsidR="00096D35" w:rsidRPr="008E73D7">
        <w:rPr>
          <w:lang w:val="fr-FR"/>
        </w:rPr>
        <w:t>,</w:t>
      </w:r>
      <w:r w:rsidR="0030232C" w:rsidRPr="008E73D7">
        <w:rPr>
          <w:lang w:val="fr-FR"/>
        </w:rPr>
        <w:t xml:space="preserve"> </w:t>
      </w:r>
      <w:r w:rsidR="008D3E1E" w:rsidRPr="008E73D7">
        <w:rPr>
          <w:lang w:val="fr-FR"/>
        </w:rPr>
        <w:t>année au cours de laquelle l</w:t>
      </w:r>
      <w:r w:rsidR="00F22EE4" w:rsidRPr="008E73D7">
        <w:rPr>
          <w:lang w:val="fr-FR"/>
        </w:rPr>
        <w:t>’</w:t>
      </w:r>
      <w:r w:rsidR="008D3E1E" w:rsidRPr="008E73D7">
        <w:rPr>
          <w:lang w:val="fr-FR"/>
        </w:rPr>
        <w:t>INPI a commencé à opérer en tant qu</w:t>
      </w:r>
      <w:r w:rsidR="00F22EE4" w:rsidRPr="008E73D7">
        <w:rPr>
          <w:lang w:val="fr-FR"/>
        </w:rPr>
        <w:t>’</w:t>
      </w:r>
      <w:r w:rsidR="008D3E1E" w:rsidRPr="008E73D7">
        <w:rPr>
          <w:lang w:val="fr-FR"/>
        </w:rPr>
        <w:t>administration chargée de la recherche internationale et d</w:t>
      </w:r>
      <w:r w:rsidR="00F22EE4" w:rsidRPr="008E73D7">
        <w:rPr>
          <w:lang w:val="fr-FR"/>
        </w:rPr>
        <w:t>’</w:t>
      </w:r>
      <w:r w:rsidR="008D3E1E" w:rsidRPr="008E73D7">
        <w:rPr>
          <w:lang w:val="fr-FR"/>
        </w:rPr>
        <w:t>administration chargée de l</w:t>
      </w:r>
      <w:r w:rsidR="00F22EE4" w:rsidRPr="008E73D7">
        <w:rPr>
          <w:lang w:val="fr-FR"/>
        </w:rPr>
        <w:t>’</w:t>
      </w:r>
      <w:r w:rsidR="008D3E1E" w:rsidRPr="008E73D7">
        <w:rPr>
          <w:lang w:val="fr-FR"/>
        </w:rPr>
        <w:t>examen préliminaire international</w:t>
      </w:r>
      <w:r w:rsidR="007A38DF" w:rsidRPr="008E73D7">
        <w:rPr>
          <w:lang w:val="fr-FR"/>
        </w:rPr>
        <w:t xml:space="preserve">.  </w:t>
      </w:r>
      <w:r w:rsidR="0030232C" w:rsidRPr="008E73D7">
        <w:rPr>
          <w:lang w:val="fr-FR"/>
        </w:rPr>
        <w:t xml:space="preserve">Les données relatives </w:t>
      </w:r>
      <w:r w:rsidR="00F12157" w:rsidRPr="008E73D7">
        <w:rPr>
          <w:lang w:val="fr-FR"/>
        </w:rPr>
        <w:t xml:space="preserve">aux </w:t>
      </w:r>
      <w:r w:rsidR="0030232C" w:rsidRPr="008E73D7">
        <w:rPr>
          <w:lang w:val="fr-FR"/>
        </w:rPr>
        <w:t xml:space="preserve">demandes de brevet déposées </w:t>
      </w:r>
      <w:r w:rsidR="00096D35" w:rsidRPr="008E73D7">
        <w:rPr>
          <w:lang w:val="fr-FR"/>
        </w:rPr>
        <w:t>par le</w:t>
      </w:r>
      <w:r w:rsidR="00001F65" w:rsidRPr="008E73D7">
        <w:rPr>
          <w:lang w:val="fr-FR"/>
        </w:rPr>
        <w:t xml:space="preserve"> </w:t>
      </w:r>
      <w:r w:rsidR="0030232C" w:rsidRPr="008E73D7">
        <w:rPr>
          <w:lang w:val="fr-FR"/>
        </w:rPr>
        <w:t>pays d</w:t>
      </w:r>
      <w:r w:rsidR="00F22EE4" w:rsidRPr="008E73D7">
        <w:rPr>
          <w:lang w:val="fr-FR"/>
        </w:rPr>
        <w:t>’</w:t>
      </w:r>
      <w:r w:rsidR="0030232C" w:rsidRPr="008E73D7">
        <w:rPr>
          <w:lang w:val="fr-FR"/>
        </w:rPr>
        <w:t xml:space="preserve">origine montrent </w:t>
      </w:r>
      <w:r w:rsidR="00C60AEF" w:rsidRPr="008E73D7">
        <w:rPr>
          <w:lang w:val="fr-FR"/>
        </w:rPr>
        <w:t>qu</w:t>
      </w:r>
      <w:r w:rsidR="00F22EE4" w:rsidRPr="008E73D7">
        <w:rPr>
          <w:lang w:val="fr-FR"/>
        </w:rPr>
        <w:t>’</w:t>
      </w:r>
      <w:r w:rsidR="00F12157" w:rsidRPr="008E73D7">
        <w:rPr>
          <w:lang w:val="fr-FR"/>
        </w:rPr>
        <w:t>approximativement 30% émanent des États</w:t>
      </w:r>
      <w:r w:rsidR="00D0608C" w:rsidRPr="008E73D7">
        <w:rPr>
          <w:lang w:val="fr-FR"/>
        </w:rPr>
        <w:noBreakHyphen/>
      </w:r>
      <w:r w:rsidR="00F12157" w:rsidRPr="008E73D7">
        <w:rPr>
          <w:lang w:val="fr-FR"/>
        </w:rPr>
        <w:t>Unis d</w:t>
      </w:r>
      <w:r w:rsidR="00F22EE4" w:rsidRPr="008E73D7">
        <w:rPr>
          <w:lang w:val="fr-FR"/>
        </w:rPr>
        <w:t>’</w:t>
      </w:r>
      <w:r w:rsidR="00F12157" w:rsidRPr="008E73D7">
        <w:rPr>
          <w:lang w:val="fr-FR"/>
        </w:rPr>
        <w:t>Amérique</w:t>
      </w:r>
      <w:r w:rsidR="007A38DF" w:rsidRPr="008E73D7">
        <w:rPr>
          <w:lang w:val="fr-FR"/>
        </w:rPr>
        <w:t xml:space="preserve">, </w:t>
      </w:r>
      <w:r w:rsidR="00F12157" w:rsidRPr="008E73D7">
        <w:rPr>
          <w:lang w:val="fr-FR"/>
        </w:rPr>
        <w:t xml:space="preserve">suivis par le Brésil </w:t>
      </w:r>
      <w:r w:rsidR="007A38DF" w:rsidRPr="008E73D7">
        <w:rPr>
          <w:lang w:val="fr-FR"/>
        </w:rPr>
        <w:t xml:space="preserve">(16%), </w:t>
      </w:r>
      <w:r w:rsidR="00F12157" w:rsidRPr="008E73D7">
        <w:rPr>
          <w:lang w:val="fr-FR"/>
        </w:rPr>
        <w:t>l</w:t>
      </w:r>
      <w:r w:rsidR="00F22EE4" w:rsidRPr="008E73D7">
        <w:rPr>
          <w:lang w:val="fr-FR"/>
        </w:rPr>
        <w:t>’</w:t>
      </w:r>
      <w:r w:rsidR="00F12157" w:rsidRPr="008E73D7">
        <w:rPr>
          <w:lang w:val="fr-FR"/>
        </w:rPr>
        <w:t xml:space="preserve">Allemagne </w:t>
      </w:r>
      <w:r w:rsidR="007A38DF" w:rsidRPr="008E73D7">
        <w:rPr>
          <w:lang w:val="fr-FR"/>
        </w:rPr>
        <w:t xml:space="preserve">(10%) </w:t>
      </w:r>
      <w:r w:rsidR="00F12157" w:rsidRPr="008E73D7">
        <w:rPr>
          <w:lang w:val="fr-FR"/>
        </w:rPr>
        <w:t>et le Japon</w:t>
      </w:r>
      <w:r w:rsidR="007A38DF" w:rsidRPr="008E73D7">
        <w:rPr>
          <w:lang w:val="fr-FR"/>
        </w:rPr>
        <w:t xml:space="preserve"> (9%).  </w:t>
      </w:r>
      <w:r w:rsidR="00484454" w:rsidRPr="008E73D7">
        <w:rPr>
          <w:lang w:val="fr-FR"/>
        </w:rPr>
        <w:t xml:space="preserve">Les demandes provenant de </w:t>
      </w:r>
      <w:r w:rsidR="00096D35" w:rsidRPr="008E73D7">
        <w:rPr>
          <w:lang w:val="fr-FR"/>
        </w:rPr>
        <w:t xml:space="preserve">la </w:t>
      </w:r>
      <w:r w:rsidR="007A38DF" w:rsidRPr="008E73D7">
        <w:rPr>
          <w:lang w:val="fr-FR"/>
        </w:rPr>
        <w:t xml:space="preserve">France </w:t>
      </w:r>
      <w:r w:rsidR="00484454" w:rsidRPr="008E73D7">
        <w:rPr>
          <w:lang w:val="fr-FR"/>
        </w:rPr>
        <w:t>et de</w:t>
      </w:r>
      <w:r w:rsidR="00096D35" w:rsidRPr="008E73D7">
        <w:rPr>
          <w:lang w:val="fr-FR"/>
        </w:rPr>
        <w:t xml:space="preserve"> la</w:t>
      </w:r>
      <w:r w:rsidR="00484454" w:rsidRPr="008E73D7">
        <w:rPr>
          <w:lang w:val="fr-FR"/>
        </w:rPr>
        <w:t xml:space="preserve"> Suisse sont également significatives, atteignant environ </w:t>
      </w:r>
      <w:r w:rsidR="007A38DF" w:rsidRPr="008E73D7">
        <w:rPr>
          <w:lang w:val="fr-FR"/>
        </w:rPr>
        <w:t xml:space="preserve">5% </w:t>
      </w:r>
      <w:r w:rsidR="00484454" w:rsidRPr="008E73D7">
        <w:rPr>
          <w:lang w:val="fr-FR"/>
        </w:rPr>
        <w:t>respectivement</w:t>
      </w:r>
      <w:r w:rsidR="007A38DF" w:rsidRPr="008E73D7">
        <w:rPr>
          <w:lang w:val="fr-FR"/>
        </w:rPr>
        <w:t xml:space="preserve">.  </w:t>
      </w:r>
      <w:r w:rsidR="00885855" w:rsidRPr="008E73D7">
        <w:rPr>
          <w:lang w:val="fr-FR"/>
        </w:rPr>
        <w:t>Au cours de cette période, le Japon et la Chine se démarquent comme des pays témoignant d</w:t>
      </w:r>
      <w:r w:rsidR="00F22EE4" w:rsidRPr="008E73D7">
        <w:rPr>
          <w:lang w:val="fr-FR"/>
        </w:rPr>
        <w:t>’</w:t>
      </w:r>
      <w:r w:rsidR="00885855" w:rsidRPr="008E73D7">
        <w:rPr>
          <w:lang w:val="fr-FR"/>
        </w:rPr>
        <w:t>un</w:t>
      </w:r>
      <w:r w:rsidR="00E3179C" w:rsidRPr="008E73D7">
        <w:rPr>
          <w:lang w:val="fr-FR"/>
        </w:rPr>
        <w:t>e</w:t>
      </w:r>
      <w:r w:rsidR="00885855" w:rsidRPr="008E73D7">
        <w:rPr>
          <w:lang w:val="fr-FR"/>
        </w:rPr>
        <w:t xml:space="preserve"> forte croissance en matière de demande</w:t>
      </w:r>
      <w:r w:rsidR="00096D35" w:rsidRPr="008E73D7">
        <w:rPr>
          <w:lang w:val="fr-FR"/>
        </w:rPr>
        <w:t>s</w:t>
      </w:r>
      <w:r w:rsidR="00885855" w:rsidRPr="008E73D7">
        <w:rPr>
          <w:lang w:val="fr-FR"/>
        </w:rPr>
        <w:t xml:space="preserve"> de brevet</w:t>
      </w:r>
      <w:r w:rsidR="007A38DF" w:rsidRPr="008E73D7">
        <w:rPr>
          <w:lang w:val="fr-FR"/>
        </w:rPr>
        <w:t>.</w:t>
      </w:r>
    </w:p>
    <w:p w:rsidR="000D4BEE" w:rsidRPr="008E73D7" w:rsidRDefault="000D4BEE" w:rsidP="00DF0747">
      <w:pPr>
        <w:rPr>
          <w:lang w:val="fr-FR"/>
        </w:rPr>
      </w:pPr>
    </w:p>
    <w:p w:rsidR="000D4BEE" w:rsidRPr="008E73D7" w:rsidRDefault="00E3179C" w:rsidP="00DF0747">
      <w:pPr>
        <w:rPr>
          <w:lang w:val="fr-FR"/>
        </w:rPr>
      </w:pPr>
      <w:r w:rsidRPr="008E73D7">
        <w:rPr>
          <w:lang w:val="fr-FR"/>
        </w:rPr>
        <w:t xml:space="preserve">La répartition </w:t>
      </w:r>
      <w:r w:rsidR="00096D35" w:rsidRPr="008E73D7">
        <w:rPr>
          <w:lang w:val="fr-FR"/>
        </w:rPr>
        <w:t>par secteur</w:t>
      </w:r>
      <w:r w:rsidRPr="008E73D7">
        <w:rPr>
          <w:lang w:val="fr-FR"/>
        </w:rPr>
        <w:t xml:space="preserve"> technologique</w:t>
      </w:r>
      <w:r w:rsidR="00F53504" w:rsidRPr="008E73D7">
        <w:rPr>
          <w:lang w:val="fr-FR"/>
        </w:rPr>
        <w:t xml:space="preserve"> n</w:t>
      </w:r>
      <w:r w:rsidR="00F22EE4" w:rsidRPr="008E73D7">
        <w:rPr>
          <w:lang w:val="fr-FR"/>
        </w:rPr>
        <w:t>’</w:t>
      </w:r>
      <w:r w:rsidR="00F53504" w:rsidRPr="008E73D7">
        <w:rPr>
          <w:lang w:val="fr-FR"/>
        </w:rPr>
        <w:t>a pas vraiment évolué au cours de la période en question</w:t>
      </w:r>
      <w:r w:rsidRPr="008E73D7">
        <w:rPr>
          <w:lang w:val="fr-FR"/>
        </w:rPr>
        <w:t xml:space="preserve">, </w:t>
      </w:r>
      <w:r w:rsidR="00F53504" w:rsidRPr="008E73D7">
        <w:rPr>
          <w:lang w:val="fr-FR"/>
        </w:rPr>
        <w:t xml:space="preserve">et la majorité des demandes émane toujours de </w:t>
      </w:r>
      <w:r w:rsidR="00096D35" w:rsidRPr="008E73D7">
        <w:rPr>
          <w:lang w:val="fr-FR"/>
        </w:rPr>
        <w:t>non</w:t>
      </w:r>
      <w:r w:rsidR="00096D35" w:rsidRPr="008E73D7">
        <w:rPr>
          <w:lang w:val="fr-FR"/>
        </w:rPr>
        <w:noBreakHyphen/>
        <w:t>résidents</w:t>
      </w:r>
      <w:r w:rsidR="007A38DF" w:rsidRPr="008E73D7">
        <w:rPr>
          <w:lang w:val="fr-FR"/>
        </w:rPr>
        <w:t xml:space="preserve">.  </w:t>
      </w:r>
      <w:r w:rsidR="00F53504" w:rsidRPr="008E73D7">
        <w:rPr>
          <w:lang w:val="fr-FR"/>
        </w:rPr>
        <w:t>La part</w:t>
      </w:r>
      <w:r w:rsidR="00096D35" w:rsidRPr="008E73D7">
        <w:rPr>
          <w:lang w:val="fr-FR"/>
        </w:rPr>
        <w:t xml:space="preserve"> la plus importante</w:t>
      </w:r>
      <w:r w:rsidR="00F53504" w:rsidRPr="008E73D7">
        <w:rPr>
          <w:lang w:val="fr-FR"/>
        </w:rPr>
        <w:t xml:space="preserve"> du volume total des demandes concerne l</w:t>
      </w:r>
      <w:r w:rsidR="00370BE3" w:rsidRPr="008E73D7">
        <w:rPr>
          <w:lang w:val="fr-FR"/>
        </w:rPr>
        <w:t>e secteur de la chimie (plus de </w:t>
      </w:r>
      <w:r w:rsidR="00F53504" w:rsidRPr="008E73D7">
        <w:rPr>
          <w:lang w:val="fr-FR"/>
        </w:rPr>
        <w:t xml:space="preserve">40%), suivi par </w:t>
      </w:r>
      <w:r w:rsidR="00096D35" w:rsidRPr="008E73D7">
        <w:rPr>
          <w:lang w:val="fr-FR"/>
        </w:rPr>
        <w:t>le</w:t>
      </w:r>
      <w:r w:rsidR="005D3632" w:rsidRPr="008E73D7">
        <w:rPr>
          <w:lang w:val="fr-FR"/>
        </w:rPr>
        <w:t xml:space="preserve"> </w:t>
      </w:r>
      <w:r w:rsidR="00F53504" w:rsidRPr="008E73D7">
        <w:rPr>
          <w:lang w:val="fr-FR"/>
        </w:rPr>
        <w:t>génie mécanique</w:t>
      </w:r>
      <w:r w:rsidR="000A6A6E" w:rsidRPr="008E73D7">
        <w:rPr>
          <w:lang w:val="fr-FR"/>
        </w:rPr>
        <w:t xml:space="preserve"> </w:t>
      </w:r>
      <w:r w:rsidR="00370BE3" w:rsidRPr="008E73D7">
        <w:rPr>
          <w:lang w:val="fr-FR"/>
        </w:rPr>
        <w:t>(plus de </w:t>
      </w:r>
      <w:r w:rsidR="00F53504" w:rsidRPr="008E73D7">
        <w:rPr>
          <w:lang w:val="fr-FR"/>
        </w:rPr>
        <w:t xml:space="preserve">20%), le génie électrique (14%), les </w:t>
      </w:r>
      <w:r w:rsidR="007A38DF" w:rsidRPr="008E73D7">
        <w:rPr>
          <w:lang w:val="fr-FR"/>
        </w:rPr>
        <w:t xml:space="preserve">instruments (11%) </w:t>
      </w:r>
      <w:r w:rsidR="00F53504" w:rsidRPr="008E73D7">
        <w:rPr>
          <w:lang w:val="fr-FR"/>
        </w:rPr>
        <w:t>et d</w:t>
      </w:r>
      <w:r w:rsidR="00F22EE4" w:rsidRPr="008E73D7">
        <w:rPr>
          <w:lang w:val="fr-FR"/>
        </w:rPr>
        <w:t>’</w:t>
      </w:r>
      <w:r w:rsidR="00F53504" w:rsidRPr="008E73D7">
        <w:rPr>
          <w:lang w:val="fr-FR"/>
        </w:rPr>
        <w:t xml:space="preserve">autres </w:t>
      </w:r>
      <w:r w:rsidR="00C0728B" w:rsidRPr="008E73D7">
        <w:rPr>
          <w:lang w:val="fr-FR"/>
        </w:rPr>
        <w:t xml:space="preserve">secteurs </w:t>
      </w:r>
      <w:r w:rsidR="007A38DF" w:rsidRPr="008E73D7">
        <w:rPr>
          <w:lang w:val="fr-FR"/>
        </w:rPr>
        <w:t xml:space="preserve">(7%).  </w:t>
      </w:r>
      <w:r w:rsidR="004C2B59" w:rsidRPr="008E73D7">
        <w:rPr>
          <w:lang w:val="fr-FR"/>
        </w:rPr>
        <w:t>L</w:t>
      </w:r>
      <w:r w:rsidR="00F22EE4" w:rsidRPr="008E73D7">
        <w:rPr>
          <w:lang w:val="fr-FR"/>
        </w:rPr>
        <w:t>’</w:t>
      </w:r>
      <w:r w:rsidR="004C2B59" w:rsidRPr="008E73D7">
        <w:rPr>
          <w:lang w:val="fr-FR"/>
        </w:rPr>
        <w:t>analyse des demandes de brevet déposées en</w:t>
      </w:r>
      <w:r w:rsidR="00C30FD9" w:rsidRPr="008E73D7">
        <w:rPr>
          <w:lang w:val="fr-FR"/>
        </w:rPr>
        <w:t> </w:t>
      </w:r>
      <w:r w:rsidR="004C2B59" w:rsidRPr="008E73D7">
        <w:rPr>
          <w:lang w:val="fr-FR"/>
        </w:rPr>
        <w:t>2011 par domaine technologique révèle des variations en fonction de l</w:t>
      </w:r>
      <w:r w:rsidR="00F22EE4" w:rsidRPr="008E73D7">
        <w:rPr>
          <w:lang w:val="fr-FR"/>
        </w:rPr>
        <w:t>’</w:t>
      </w:r>
      <w:r w:rsidR="004C2B59" w:rsidRPr="008E73D7">
        <w:rPr>
          <w:lang w:val="fr-FR"/>
        </w:rPr>
        <w:t xml:space="preserve">origine des déposants et fait ressortir des contrastes entre les </w:t>
      </w:r>
      <w:r w:rsidR="00096D35" w:rsidRPr="008E73D7">
        <w:rPr>
          <w:lang w:val="fr-FR"/>
        </w:rPr>
        <w:t>capacités</w:t>
      </w:r>
      <w:r w:rsidR="004C2B59" w:rsidRPr="008E73D7">
        <w:rPr>
          <w:lang w:val="fr-FR"/>
        </w:rPr>
        <w:t xml:space="preserve"> technologiques internes et les domaines </w:t>
      </w:r>
      <w:r w:rsidR="00096D35" w:rsidRPr="008E73D7">
        <w:rPr>
          <w:lang w:val="fr-FR"/>
        </w:rPr>
        <w:t>où prévalent les</w:t>
      </w:r>
      <w:r w:rsidR="00DD5F7E" w:rsidRPr="008E73D7">
        <w:rPr>
          <w:lang w:val="fr-FR"/>
        </w:rPr>
        <w:t xml:space="preserve"> non</w:t>
      </w:r>
      <w:r w:rsidR="00D0608C" w:rsidRPr="008E73D7">
        <w:rPr>
          <w:lang w:val="fr-FR"/>
        </w:rPr>
        <w:noBreakHyphen/>
      </w:r>
      <w:r w:rsidR="00DD5F7E" w:rsidRPr="008E73D7">
        <w:rPr>
          <w:lang w:val="fr-FR"/>
        </w:rPr>
        <w:t>résidents</w:t>
      </w:r>
      <w:r w:rsidR="007A38DF" w:rsidRPr="008E73D7">
        <w:rPr>
          <w:lang w:val="fr-FR"/>
        </w:rPr>
        <w:t xml:space="preserve">.  </w:t>
      </w:r>
      <w:r w:rsidR="00DD5F7E" w:rsidRPr="008E73D7">
        <w:rPr>
          <w:lang w:val="fr-FR"/>
        </w:rPr>
        <w:t>Qui plus est</w:t>
      </w:r>
      <w:r w:rsidR="007A38DF" w:rsidRPr="008E73D7">
        <w:rPr>
          <w:lang w:val="fr-FR"/>
        </w:rPr>
        <w:t xml:space="preserve">, </w:t>
      </w:r>
      <w:r w:rsidR="00096D35" w:rsidRPr="008E73D7">
        <w:rPr>
          <w:lang w:val="fr-FR"/>
        </w:rPr>
        <w:t>lorsque l’on compare les dem</w:t>
      </w:r>
      <w:r w:rsidR="00DD5F7E" w:rsidRPr="008E73D7">
        <w:rPr>
          <w:lang w:val="fr-FR"/>
        </w:rPr>
        <w:t xml:space="preserve">andes déposées par les résidents </w:t>
      </w:r>
      <w:r w:rsidR="00096D35" w:rsidRPr="008E73D7">
        <w:rPr>
          <w:lang w:val="fr-FR"/>
        </w:rPr>
        <w:t>et</w:t>
      </w:r>
      <w:r w:rsidR="007112C5" w:rsidRPr="008E73D7">
        <w:rPr>
          <w:lang w:val="fr-FR"/>
        </w:rPr>
        <w:t xml:space="preserve"> </w:t>
      </w:r>
      <w:r w:rsidR="00DD5F7E" w:rsidRPr="008E73D7">
        <w:rPr>
          <w:lang w:val="fr-FR"/>
        </w:rPr>
        <w:t xml:space="preserve">celles </w:t>
      </w:r>
      <w:r w:rsidR="00BD4334" w:rsidRPr="008E73D7">
        <w:rPr>
          <w:lang w:val="fr-FR"/>
        </w:rPr>
        <w:t xml:space="preserve">déposées </w:t>
      </w:r>
      <w:r w:rsidR="00DD5F7E" w:rsidRPr="008E73D7">
        <w:rPr>
          <w:lang w:val="fr-FR"/>
        </w:rPr>
        <w:t>par les non</w:t>
      </w:r>
      <w:r w:rsidR="00D0608C" w:rsidRPr="008E73D7">
        <w:rPr>
          <w:lang w:val="fr-FR"/>
        </w:rPr>
        <w:noBreakHyphen/>
      </w:r>
      <w:r w:rsidR="00DD5F7E" w:rsidRPr="008E73D7">
        <w:rPr>
          <w:lang w:val="fr-FR"/>
        </w:rPr>
        <w:t>résidents</w:t>
      </w:r>
      <w:r w:rsidR="00096D35" w:rsidRPr="008E73D7">
        <w:rPr>
          <w:lang w:val="fr-FR"/>
        </w:rPr>
        <w:t>, l’ordre d’importance des</w:t>
      </w:r>
      <w:r w:rsidR="00DD5F7E" w:rsidRPr="008E73D7">
        <w:rPr>
          <w:lang w:val="fr-FR"/>
        </w:rPr>
        <w:t xml:space="preserve"> domaines techno</w:t>
      </w:r>
      <w:r w:rsidR="001F73C7" w:rsidRPr="008E73D7">
        <w:rPr>
          <w:lang w:val="fr-FR"/>
        </w:rPr>
        <w:t>lo</w:t>
      </w:r>
      <w:r w:rsidR="00DD5F7E" w:rsidRPr="008E73D7">
        <w:rPr>
          <w:lang w:val="fr-FR"/>
        </w:rPr>
        <w:t xml:space="preserve">giques </w:t>
      </w:r>
      <w:r w:rsidR="00096D35" w:rsidRPr="008E73D7">
        <w:rPr>
          <w:lang w:val="fr-FR"/>
        </w:rPr>
        <w:t>est identique</w:t>
      </w:r>
      <w:r w:rsidR="001F73C7" w:rsidRPr="008E73D7">
        <w:rPr>
          <w:lang w:val="fr-FR"/>
        </w:rPr>
        <w:t xml:space="preserve">. </w:t>
      </w:r>
      <w:r w:rsidR="007A38DF" w:rsidRPr="008E73D7">
        <w:rPr>
          <w:lang w:val="fr-FR"/>
        </w:rPr>
        <w:t xml:space="preserve"> </w:t>
      </w:r>
      <w:r w:rsidR="001F73C7" w:rsidRPr="008E73D7">
        <w:rPr>
          <w:lang w:val="fr-FR"/>
        </w:rPr>
        <w:t xml:space="preserve">Dans le </w:t>
      </w:r>
      <w:r w:rsidR="00234936" w:rsidRPr="008E73D7">
        <w:rPr>
          <w:lang w:val="fr-FR"/>
        </w:rPr>
        <w:t xml:space="preserve">secteur </w:t>
      </w:r>
      <w:r w:rsidR="001F73C7" w:rsidRPr="008E73D7">
        <w:rPr>
          <w:lang w:val="fr-FR"/>
        </w:rPr>
        <w:t xml:space="preserve">de la chimie, les demandes déposées par des résidents constituent une part plus réduite des </w:t>
      </w:r>
      <w:r w:rsidR="001F73C7" w:rsidRPr="008E73D7">
        <w:rPr>
          <w:lang w:val="fr-FR"/>
        </w:rPr>
        <w:lastRenderedPageBreak/>
        <w:t>demandes, environ 30%, alors qu</w:t>
      </w:r>
      <w:r w:rsidR="00F22EE4" w:rsidRPr="008E73D7">
        <w:rPr>
          <w:lang w:val="fr-FR"/>
        </w:rPr>
        <w:t>’</w:t>
      </w:r>
      <w:r w:rsidR="001F73C7" w:rsidRPr="008E73D7">
        <w:rPr>
          <w:lang w:val="fr-FR"/>
        </w:rPr>
        <w:t xml:space="preserve">elles représentent 40% de toutes les demandes confondues.  </w:t>
      </w:r>
      <w:r w:rsidR="00096D35" w:rsidRPr="008E73D7">
        <w:rPr>
          <w:lang w:val="fr-FR"/>
        </w:rPr>
        <w:t>L</w:t>
      </w:r>
      <w:r w:rsidR="001F73C7" w:rsidRPr="008E73D7">
        <w:rPr>
          <w:lang w:val="fr-FR"/>
        </w:rPr>
        <w:t>es résidents</w:t>
      </w:r>
      <w:r w:rsidR="00096D35" w:rsidRPr="008E73D7">
        <w:rPr>
          <w:lang w:val="fr-FR"/>
        </w:rPr>
        <w:t xml:space="preserve"> sont les plus présents dans les secteurs du génie mécanique et “secteurs divers”</w:t>
      </w:r>
      <w:r w:rsidR="007A38DF" w:rsidRPr="008E73D7">
        <w:rPr>
          <w:lang w:val="fr-FR"/>
        </w:rPr>
        <w:t>.</w:t>
      </w:r>
    </w:p>
    <w:p w:rsidR="000D4BEE" w:rsidRPr="008E73D7" w:rsidRDefault="000D4BEE" w:rsidP="00DF0747">
      <w:pPr>
        <w:rPr>
          <w:lang w:val="fr-FR"/>
        </w:rPr>
      </w:pPr>
    </w:p>
    <w:p w:rsidR="000D4BEE" w:rsidRPr="008E73D7" w:rsidRDefault="001F73C7" w:rsidP="00DF0747">
      <w:pPr>
        <w:rPr>
          <w:lang w:val="fr-FR"/>
        </w:rPr>
      </w:pPr>
      <w:r w:rsidRPr="008E73D7">
        <w:rPr>
          <w:lang w:val="fr-FR"/>
        </w:rPr>
        <w:t>Les données montrent également que les particuliers représentent plu</w:t>
      </w:r>
      <w:r w:rsidR="00CA27DC" w:rsidRPr="008E73D7">
        <w:rPr>
          <w:lang w:val="fr-FR"/>
        </w:rPr>
        <w:t>s</w:t>
      </w:r>
      <w:r w:rsidR="00370BA5" w:rsidRPr="008E73D7">
        <w:rPr>
          <w:lang w:val="fr-FR"/>
        </w:rPr>
        <w:t xml:space="preserve"> de </w:t>
      </w:r>
      <w:r w:rsidR="007A38DF" w:rsidRPr="008E73D7">
        <w:rPr>
          <w:lang w:val="fr-FR"/>
        </w:rPr>
        <w:t xml:space="preserve">70% </w:t>
      </w:r>
      <w:r w:rsidR="00CA27DC" w:rsidRPr="008E73D7">
        <w:rPr>
          <w:lang w:val="fr-FR"/>
        </w:rPr>
        <w:t>de l</w:t>
      </w:r>
      <w:r w:rsidR="00F22EE4" w:rsidRPr="008E73D7">
        <w:rPr>
          <w:lang w:val="fr-FR"/>
        </w:rPr>
        <w:t>’</w:t>
      </w:r>
      <w:r w:rsidR="00CA27DC" w:rsidRPr="008E73D7">
        <w:rPr>
          <w:lang w:val="fr-FR"/>
        </w:rPr>
        <w:t xml:space="preserve">ensemble des demandes de brevet </w:t>
      </w:r>
      <w:r w:rsidR="00C61585" w:rsidRPr="008E73D7">
        <w:rPr>
          <w:lang w:val="fr-FR"/>
        </w:rPr>
        <w:t>pour l</w:t>
      </w:r>
      <w:r w:rsidR="00F22EE4" w:rsidRPr="008E73D7">
        <w:rPr>
          <w:lang w:val="fr-FR"/>
        </w:rPr>
        <w:t>’</w:t>
      </w:r>
      <w:r w:rsidR="002303ED" w:rsidRPr="008E73D7">
        <w:rPr>
          <w:lang w:val="fr-FR"/>
        </w:rPr>
        <w:t>année </w:t>
      </w:r>
      <w:r w:rsidR="007A38DF" w:rsidRPr="008E73D7">
        <w:rPr>
          <w:lang w:val="fr-FR"/>
        </w:rPr>
        <w:t>2000 (</w:t>
      </w:r>
      <w:r w:rsidR="00C30FD9" w:rsidRPr="008E73D7">
        <w:rPr>
          <w:lang w:val="fr-FR"/>
        </w:rPr>
        <w:t>2286</w:t>
      </w:r>
      <w:r w:rsidR="00370BA5" w:rsidRPr="008E73D7">
        <w:rPr>
          <w:lang w:val="fr-FR"/>
        </w:rPr>
        <w:t> </w:t>
      </w:r>
      <w:r w:rsidR="00CA27DC" w:rsidRPr="008E73D7">
        <w:rPr>
          <w:lang w:val="fr-FR"/>
        </w:rPr>
        <w:t>demandes</w:t>
      </w:r>
      <w:r w:rsidR="007A38DF" w:rsidRPr="008E73D7">
        <w:rPr>
          <w:lang w:val="fr-FR"/>
        </w:rPr>
        <w:t xml:space="preserve">), </w:t>
      </w:r>
      <w:r w:rsidR="00CA27DC" w:rsidRPr="008E73D7">
        <w:rPr>
          <w:lang w:val="fr-FR"/>
        </w:rPr>
        <w:t xml:space="preserve">alors que les entreprises totalisent </w:t>
      </w:r>
      <w:r w:rsidR="007A38DF" w:rsidRPr="008E73D7">
        <w:rPr>
          <w:lang w:val="fr-FR"/>
        </w:rPr>
        <w:t>26</w:t>
      </w:r>
      <w:r w:rsidR="00CA27DC" w:rsidRPr="008E73D7">
        <w:rPr>
          <w:lang w:val="fr-FR"/>
        </w:rPr>
        <w:t>,</w:t>
      </w:r>
      <w:r w:rsidR="007A38DF" w:rsidRPr="008E73D7">
        <w:rPr>
          <w:lang w:val="fr-FR"/>
        </w:rPr>
        <w:t>8</w:t>
      </w:r>
      <w:r w:rsidR="00370BA5" w:rsidRPr="008E73D7">
        <w:rPr>
          <w:lang w:val="fr-FR"/>
        </w:rPr>
        <w:t>% (861 </w:t>
      </w:r>
      <w:r w:rsidR="00CA27DC" w:rsidRPr="008E73D7">
        <w:rPr>
          <w:lang w:val="fr-FR"/>
        </w:rPr>
        <w:t>demandes</w:t>
      </w:r>
      <w:r w:rsidR="007A38DF" w:rsidRPr="008E73D7">
        <w:rPr>
          <w:lang w:val="fr-FR"/>
        </w:rPr>
        <w:t>)</w:t>
      </w:r>
      <w:r w:rsidR="00CA27DC" w:rsidRPr="008E73D7">
        <w:rPr>
          <w:lang w:val="fr-FR"/>
        </w:rPr>
        <w:t xml:space="preserve">, et que les universités </w:t>
      </w:r>
      <w:r w:rsidR="00370BA5" w:rsidRPr="008E73D7">
        <w:rPr>
          <w:lang w:val="fr-FR"/>
        </w:rPr>
        <w:t>participent peu avec un taux de </w:t>
      </w:r>
      <w:r w:rsidR="007A38DF" w:rsidRPr="008E73D7">
        <w:rPr>
          <w:lang w:val="fr-FR"/>
        </w:rPr>
        <w:t>2</w:t>
      </w:r>
      <w:r w:rsidR="00096D35" w:rsidRPr="008E73D7">
        <w:rPr>
          <w:lang w:val="fr-FR"/>
        </w:rPr>
        <w:t>,0</w:t>
      </w:r>
      <w:r w:rsidR="007A38DF" w:rsidRPr="008E73D7">
        <w:rPr>
          <w:lang w:val="fr-FR"/>
        </w:rPr>
        <w:t xml:space="preserve">%.  </w:t>
      </w:r>
      <w:r w:rsidR="00C61585" w:rsidRPr="008E73D7">
        <w:rPr>
          <w:lang w:val="fr-FR"/>
        </w:rPr>
        <w:t>Au cours de la période observée, il convient de noter l</w:t>
      </w:r>
      <w:r w:rsidR="00F22EE4" w:rsidRPr="008E73D7">
        <w:rPr>
          <w:lang w:val="fr-FR"/>
        </w:rPr>
        <w:t>’</w:t>
      </w:r>
      <w:r w:rsidR="00C61585" w:rsidRPr="008E73D7">
        <w:rPr>
          <w:lang w:val="fr-FR"/>
        </w:rPr>
        <w:t>augmentation importante des demandes de brevet déposées par les universités et les entreprises</w:t>
      </w:r>
      <w:r w:rsidR="00234936" w:rsidRPr="008E73D7">
        <w:rPr>
          <w:lang w:val="fr-FR"/>
        </w:rPr>
        <w:t>.</w:t>
      </w:r>
      <w:r w:rsidR="007A38DF" w:rsidRPr="008E73D7">
        <w:rPr>
          <w:lang w:val="fr-FR"/>
        </w:rPr>
        <w:t xml:space="preserve">  </w:t>
      </w:r>
      <w:r w:rsidR="00C61585" w:rsidRPr="008E73D7">
        <w:rPr>
          <w:lang w:val="fr-FR"/>
        </w:rPr>
        <w:t xml:space="preserve">Ces dernières ont presque doublé </w:t>
      </w:r>
      <w:r w:rsidR="007A38DF" w:rsidRPr="008E73D7">
        <w:rPr>
          <w:lang w:val="fr-FR"/>
        </w:rPr>
        <w:t>(</w:t>
      </w:r>
      <w:r w:rsidR="00C30FD9" w:rsidRPr="008E73D7">
        <w:rPr>
          <w:lang w:val="fr-FR"/>
        </w:rPr>
        <w:t>1619</w:t>
      </w:r>
      <w:r w:rsidR="007A38DF" w:rsidRPr="008E73D7">
        <w:rPr>
          <w:lang w:val="fr-FR"/>
        </w:rPr>
        <w:t xml:space="preserve">) </w:t>
      </w:r>
      <w:r w:rsidR="00C61585" w:rsidRPr="008E73D7">
        <w:rPr>
          <w:lang w:val="fr-FR"/>
        </w:rPr>
        <w:t xml:space="preserve">atteignant </w:t>
      </w:r>
      <w:r w:rsidR="007A38DF" w:rsidRPr="008E73D7">
        <w:rPr>
          <w:lang w:val="fr-FR"/>
        </w:rPr>
        <w:t>34</w:t>
      </w:r>
      <w:r w:rsidR="00C61585" w:rsidRPr="008E73D7">
        <w:rPr>
          <w:lang w:val="fr-FR"/>
        </w:rPr>
        <w:t>,</w:t>
      </w:r>
      <w:r w:rsidR="007A38DF" w:rsidRPr="008E73D7">
        <w:rPr>
          <w:lang w:val="fr-FR"/>
        </w:rPr>
        <w:t xml:space="preserve">2% </w:t>
      </w:r>
      <w:r w:rsidR="00C61585" w:rsidRPr="008E73D7">
        <w:rPr>
          <w:lang w:val="fr-FR"/>
        </w:rPr>
        <w:t>de l</w:t>
      </w:r>
      <w:r w:rsidR="00F22EE4" w:rsidRPr="008E73D7">
        <w:rPr>
          <w:lang w:val="fr-FR"/>
        </w:rPr>
        <w:t>’</w:t>
      </w:r>
      <w:r w:rsidR="00C61585" w:rsidRPr="008E73D7">
        <w:rPr>
          <w:lang w:val="fr-FR"/>
        </w:rPr>
        <w:t>ensemble de</w:t>
      </w:r>
      <w:r w:rsidR="00096D35" w:rsidRPr="008E73D7">
        <w:rPr>
          <w:lang w:val="fr-FR"/>
        </w:rPr>
        <w:t>s</w:t>
      </w:r>
      <w:r w:rsidR="00C61585" w:rsidRPr="008E73D7">
        <w:rPr>
          <w:lang w:val="fr-FR"/>
        </w:rPr>
        <w:t xml:space="preserve"> demandes en</w:t>
      </w:r>
      <w:r w:rsidR="00C30FD9" w:rsidRPr="008E73D7">
        <w:rPr>
          <w:lang w:val="fr-FR"/>
        </w:rPr>
        <w:t> </w:t>
      </w:r>
      <w:r w:rsidR="007A38DF" w:rsidRPr="008E73D7">
        <w:rPr>
          <w:lang w:val="fr-FR"/>
        </w:rPr>
        <w:t xml:space="preserve">2011, </w:t>
      </w:r>
      <w:r w:rsidR="0007352C" w:rsidRPr="008E73D7">
        <w:rPr>
          <w:lang w:val="fr-FR"/>
        </w:rPr>
        <w:t xml:space="preserve">alors que les demandes déposées par des universités ont </w:t>
      </w:r>
      <w:r w:rsidR="00C60AEF" w:rsidRPr="008E73D7">
        <w:rPr>
          <w:lang w:val="fr-FR"/>
        </w:rPr>
        <w:t>connu</w:t>
      </w:r>
      <w:r w:rsidR="0007352C" w:rsidRPr="008E73D7">
        <w:rPr>
          <w:lang w:val="fr-FR"/>
        </w:rPr>
        <w:t xml:space="preserve"> une hausse de </w:t>
      </w:r>
      <w:r w:rsidR="007A38DF" w:rsidRPr="008E73D7">
        <w:rPr>
          <w:lang w:val="fr-FR"/>
        </w:rPr>
        <w:t>13</w:t>
      </w:r>
      <w:r w:rsidR="0007352C" w:rsidRPr="008E73D7">
        <w:rPr>
          <w:lang w:val="fr-FR"/>
        </w:rPr>
        <w:t>,</w:t>
      </w:r>
      <w:r w:rsidR="007A38DF" w:rsidRPr="008E73D7">
        <w:rPr>
          <w:lang w:val="fr-FR"/>
        </w:rPr>
        <w:t xml:space="preserve">8% </w:t>
      </w:r>
      <w:r w:rsidR="0007352C" w:rsidRPr="008E73D7">
        <w:rPr>
          <w:lang w:val="fr-FR"/>
        </w:rPr>
        <w:t>en</w:t>
      </w:r>
      <w:r w:rsidR="00C30FD9" w:rsidRPr="008E73D7">
        <w:rPr>
          <w:lang w:val="fr-FR"/>
        </w:rPr>
        <w:t> </w:t>
      </w:r>
      <w:r w:rsidR="007A38DF" w:rsidRPr="008E73D7">
        <w:rPr>
          <w:lang w:val="fr-FR"/>
        </w:rPr>
        <w:t>2011, totali</w:t>
      </w:r>
      <w:r w:rsidR="0007352C" w:rsidRPr="008E73D7">
        <w:rPr>
          <w:lang w:val="fr-FR"/>
        </w:rPr>
        <w:t>sant</w:t>
      </w:r>
      <w:r w:rsidR="007A38DF" w:rsidRPr="008E73D7">
        <w:rPr>
          <w:lang w:val="fr-FR"/>
        </w:rPr>
        <w:t xml:space="preserve"> </w:t>
      </w:r>
      <w:r w:rsidR="002303ED" w:rsidRPr="008E73D7">
        <w:rPr>
          <w:lang w:val="fr-FR"/>
        </w:rPr>
        <w:t>652 </w:t>
      </w:r>
      <w:r w:rsidR="0007352C" w:rsidRPr="008E73D7">
        <w:rPr>
          <w:lang w:val="fr-FR"/>
        </w:rPr>
        <w:t>demandes</w:t>
      </w:r>
      <w:r w:rsidR="007A38DF" w:rsidRPr="008E73D7">
        <w:rPr>
          <w:lang w:val="fr-FR"/>
        </w:rPr>
        <w:t xml:space="preserve">.  </w:t>
      </w:r>
      <w:r w:rsidR="009F74AA" w:rsidRPr="008E73D7">
        <w:rPr>
          <w:lang w:val="fr-FR"/>
        </w:rPr>
        <w:t xml:space="preserve">Les demandes déposées par des particuliers ont également </w:t>
      </w:r>
      <w:r w:rsidR="00C60AEF" w:rsidRPr="008E73D7">
        <w:rPr>
          <w:lang w:val="fr-FR"/>
        </w:rPr>
        <w:t>augmenté</w:t>
      </w:r>
      <w:r w:rsidR="00370BA5" w:rsidRPr="008E73D7">
        <w:rPr>
          <w:lang w:val="fr-FR"/>
        </w:rPr>
        <w:t xml:space="preserve"> de </w:t>
      </w:r>
      <w:r w:rsidR="007A38DF" w:rsidRPr="008E73D7">
        <w:rPr>
          <w:lang w:val="fr-FR"/>
        </w:rPr>
        <w:t>7</w:t>
      </w:r>
      <w:r w:rsidR="009F74AA" w:rsidRPr="008E73D7">
        <w:rPr>
          <w:lang w:val="fr-FR"/>
        </w:rPr>
        <w:t>,</w:t>
      </w:r>
      <w:r w:rsidR="007A38DF" w:rsidRPr="008E73D7">
        <w:rPr>
          <w:lang w:val="fr-FR"/>
        </w:rPr>
        <w:t>5</w:t>
      </w:r>
      <w:r w:rsidR="00C30FD9" w:rsidRPr="008E73D7">
        <w:rPr>
          <w:lang w:val="fr-FR"/>
        </w:rPr>
        <w:t>%</w:t>
      </w:r>
      <w:r w:rsidR="007A38DF" w:rsidRPr="008E73D7">
        <w:rPr>
          <w:lang w:val="fr-FR"/>
        </w:rPr>
        <w:t xml:space="preserve"> (</w:t>
      </w:r>
      <w:r w:rsidR="00C30FD9" w:rsidRPr="008E73D7">
        <w:rPr>
          <w:lang w:val="fr-FR"/>
        </w:rPr>
        <w:t>2459</w:t>
      </w:r>
      <w:r w:rsidR="00370BA5" w:rsidRPr="008E73D7">
        <w:rPr>
          <w:lang w:val="fr-FR"/>
        </w:rPr>
        <w:t> </w:t>
      </w:r>
      <w:r w:rsidR="009F74AA" w:rsidRPr="008E73D7">
        <w:rPr>
          <w:lang w:val="fr-FR"/>
        </w:rPr>
        <w:t>demandes</w:t>
      </w:r>
      <w:r w:rsidR="007A38DF" w:rsidRPr="008E73D7">
        <w:rPr>
          <w:lang w:val="fr-FR"/>
        </w:rPr>
        <w:t>)</w:t>
      </w:r>
      <w:r w:rsidR="009F74AA" w:rsidRPr="008E73D7">
        <w:rPr>
          <w:lang w:val="fr-FR"/>
        </w:rPr>
        <w:t xml:space="preserve">, mais leur </w:t>
      </w:r>
      <w:r w:rsidR="00096D35" w:rsidRPr="008E73D7">
        <w:rPr>
          <w:lang w:val="fr-FR"/>
        </w:rPr>
        <w:t>par</w:t>
      </w:r>
      <w:r w:rsidR="00DF0747" w:rsidRPr="008E73D7">
        <w:rPr>
          <w:lang w:val="fr-FR"/>
        </w:rPr>
        <w:t>t</w:t>
      </w:r>
      <w:r w:rsidR="00096D35" w:rsidRPr="008E73D7">
        <w:rPr>
          <w:lang w:val="fr-FR"/>
        </w:rPr>
        <w:t xml:space="preserve"> dans le total a</w:t>
      </w:r>
      <w:r w:rsidR="00370BA5" w:rsidRPr="008E73D7">
        <w:rPr>
          <w:lang w:val="fr-FR"/>
        </w:rPr>
        <w:t xml:space="preserve"> chuté à </w:t>
      </w:r>
      <w:r w:rsidR="007A38DF" w:rsidRPr="008E73D7">
        <w:rPr>
          <w:lang w:val="fr-FR"/>
        </w:rPr>
        <w:t xml:space="preserve">52%.  </w:t>
      </w:r>
      <w:r w:rsidR="00B86D89" w:rsidRPr="008E73D7">
        <w:rPr>
          <w:lang w:val="fr-FR"/>
        </w:rPr>
        <w:t xml:space="preserve">Les statistiques concernant la répartition des déposants indiquent ainsi des changements. </w:t>
      </w:r>
      <w:r w:rsidR="007A38DF" w:rsidRPr="008E73D7">
        <w:rPr>
          <w:lang w:val="fr-FR"/>
        </w:rPr>
        <w:t xml:space="preserve"> </w:t>
      </w:r>
      <w:r w:rsidR="00A033AA" w:rsidRPr="008E73D7">
        <w:rPr>
          <w:lang w:val="fr-FR"/>
        </w:rPr>
        <w:t>Ce</w:t>
      </w:r>
      <w:r w:rsidR="00377B1C" w:rsidRPr="008E73D7">
        <w:rPr>
          <w:lang w:val="fr-FR"/>
        </w:rPr>
        <w:t xml:space="preserve">tte évolution pourrait être mise au crédit des </w:t>
      </w:r>
      <w:r w:rsidR="00A033AA" w:rsidRPr="008E73D7">
        <w:rPr>
          <w:lang w:val="fr-FR"/>
        </w:rPr>
        <w:t>mesures d</w:t>
      </w:r>
      <w:r w:rsidR="00F22EE4" w:rsidRPr="008E73D7">
        <w:rPr>
          <w:lang w:val="fr-FR"/>
        </w:rPr>
        <w:t>’</w:t>
      </w:r>
      <w:r w:rsidR="00377B1C" w:rsidRPr="008E73D7">
        <w:rPr>
          <w:lang w:val="fr-FR"/>
        </w:rPr>
        <w:t>incitation prévues dans</w:t>
      </w:r>
      <w:r w:rsidR="00A033AA" w:rsidRPr="008E73D7">
        <w:rPr>
          <w:lang w:val="fr-FR"/>
        </w:rPr>
        <w:t xml:space="preserve"> </w:t>
      </w:r>
      <w:r w:rsidR="00A76A72" w:rsidRPr="008E73D7">
        <w:rPr>
          <w:lang w:val="fr-FR"/>
        </w:rPr>
        <w:t xml:space="preserve">les </w:t>
      </w:r>
      <w:r w:rsidR="00A033AA" w:rsidRPr="008E73D7">
        <w:rPr>
          <w:lang w:val="fr-FR"/>
        </w:rPr>
        <w:t xml:space="preserve">politiques générales </w:t>
      </w:r>
      <w:r w:rsidR="00A76A72" w:rsidRPr="008E73D7">
        <w:rPr>
          <w:lang w:val="fr-FR"/>
        </w:rPr>
        <w:t xml:space="preserve">récemment introduites </w:t>
      </w:r>
      <w:r w:rsidR="00A033AA" w:rsidRPr="008E73D7">
        <w:rPr>
          <w:lang w:val="fr-FR"/>
        </w:rPr>
        <w:t xml:space="preserve">en </w:t>
      </w:r>
      <w:r w:rsidR="00377B1C" w:rsidRPr="008E73D7">
        <w:rPr>
          <w:lang w:val="fr-FR"/>
        </w:rPr>
        <w:t>faveur de l’</w:t>
      </w:r>
      <w:r w:rsidR="00A033AA" w:rsidRPr="008E73D7">
        <w:rPr>
          <w:lang w:val="fr-FR"/>
        </w:rPr>
        <w:t>industrie et d</w:t>
      </w:r>
      <w:r w:rsidR="00377B1C" w:rsidRPr="008E73D7">
        <w:rPr>
          <w:lang w:val="fr-FR"/>
        </w:rPr>
        <w:t>e l</w:t>
      </w:r>
      <w:r w:rsidR="00F22EE4" w:rsidRPr="008E73D7">
        <w:rPr>
          <w:lang w:val="fr-FR"/>
        </w:rPr>
        <w:t>’</w:t>
      </w:r>
      <w:r w:rsidR="00A033AA" w:rsidRPr="008E73D7">
        <w:rPr>
          <w:lang w:val="fr-FR"/>
        </w:rPr>
        <w:t>innovation</w:t>
      </w:r>
      <w:r w:rsidR="00A76A72" w:rsidRPr="008E73D7">
        <w:rPr>
          <w:lang w:val="fr-FR"/>
        </w:rPr>
        <w:t>,</w:t>
      </w:r>
      <w:r w:rsidR="00A033AA" w:rsidRPr="008E73D7">
        <w:rPr>
          <w:lang w:val="fr-FR"/>
        </w:rPr>
        <w:t xml:space="preserve"> et également des changements </w:t>
      </w:r>
      <w:r w:rsidR="00A76A72" w:rsidRPr="008E73D7">
        <w:rPr>
          <w:lang w:val="fr-FR"/>
        </w:rPr>
        <w:t xml:space="preserve">au niveau </w:t>
      </w:r>
      <w:r w:rsidR="00A033AA" w:rsidRPr="008E73D7">
        <w:rPr>
          <w:lang w:val="fr-FR"/>
        </w:rPr>
        <w:t>de l</w:t>
      </w:r>
      <w:r w:rsidR="00F22EE4" w:rsidRPr="008E73D7">
        <w:rPr>
          <w:lang w:val="fr-FR"/>
        </w:rPr>
        <w:t>’</w:t>
      </w:r>
      <w:r w:rsidR="007A38DF" w:rsidRPr="008E73D7">
        <w:rPr>
          <w:lang w:val="fr-FR"/>
        </w:rPr>
        <w:t>INPI</w:t>
      </w:r>
      <w:r w:rsidR="00D0608C" w:rsidRPr="008E73D7">
        <w:rPr>
          <w:lang w:val="fr-FR"/>
        </w:rPr>
        <w:noBreakHyphen/>
      </w:r>
      <w:r w:rsidR="007A38DF" w:rsidRPr="008E73D7">
        <w:rPr>
          <w:lang w:val="fr-FR"/>
        </w:rPr>
        <w:t>Br</w:t>
      </w:r>
      <w:r w:rsidR="00A033AA" w:rsidRPr="008E73D7">
        <w:rPr>
          <w:lang w:val="fr-FR"/>
        </w:rPr>
        <w:t>ésil</w:t>
      </w:r>
      <w:r w:rsidR="007A38DF" w:rsidRPr="008E73D7">
        <w:rPr>
          <w:lang w:val="fr-FR"/>
        </w:rPr>
        <w:t xml:space="preserve">, </w:t>
      </w:r>
      <w:r w:rsidR="00A033AA" w:rsidRPr="008E73D7">
        <w:rPr>
          <w:lang w:val="fr-FR"/>
        </w:rPr>
        <w:t xml:space="preserve">qui a fait preuve de plus de dynamisme dans ses initiatives visant à diffuser </w:t>
      </w:r>
      <w:r w:rsidR="00A76A72" w:rsidRPr="008E73D7">
        <w:rPr>
          <w:lang w:val="fr-FR"/>
        </w:rPr>
        <w:t>l</w:t>
      </w:r>
      <w:r w:rsidR="00A033AA" w:rsidRPr="008E73D7">
        <w:rPr>
          <w:lang w:val="fr-FR"/>
        </w:rPr>
        <w:t>es informations concernant la propriété intellectuelle au sein des universités et des entreprises</w:t>
      </w:r>
      <w:r w:rsidR="007A38DF" w:rsidRPr="008E73D7">
        <w:rPr>
          <w:lang w:val="fr-FR"/>
        </w:rPr>
        <w:t>.</w:t>
      </w:r>
    </w:p>
    <w:p w:rsidR="000D4BEE" w:rsidRPr="008E73D7" w:rsidRDefault="000D4BEE" w:rsidP="00DF0747">
      <w:pPr>
        <w:rPr>
          <w:lang w:val="fr-FR"/>
        </w:rPr>
      </w:pPr>
    </w:p>
    <w:p w:rsidR="000D4BEE" w:rsidRPr="008E73D7" w:rsidRDefault="008344F3" w:rsidP="00DF0747">
      <w:pPr>
        <w:rPr>
          <w:lang w:val="fr-FR"/>
        </w:rPr>
      </w:pPr>
      <w:r w:rsidRPr="008E73D7">
        <w:rPr>
          <w:lang w:val="fr-FR"/>
        </w:rPr>
        <w:t>S</w:t>
      </w:r>
      <w:r w:rsidR="00F22EE4" w:rsidRPr="008E73D7">
        <w:rPr>
          <w:lang w:val="fr-FR"/>
        </w:rPr>
        <w:t>’</w:t>
      </w:r>
      <w:r w:rsidRPr="008E73D7">
        <w:rPr>
          <w:lang w:val="fr-FR"/>
        </w:rPr>
        <w:t>agissant de l</w:t>
      </w:r>
      <w:r w:rsidR="00F22EE4" w:rsidRPr="008E73D7">
        <w:rPr>
          <w:lang w:val="fr-FR"/>
        </w:rPr>
        <w:t>’</w:t>
      </w:r>
      <w:r w:rsidRPr="008E73D7">
        <w:rPr>
          <w:lang w:val="fr-FR"/>
        </w:rPr>
        <w:t xml:space="preserve">analyse des demandes de brevet </w:t>
      </w:r>
      <w:r w:rsidR="00377B1C" w:rsidRPr="008E73D7">
        <w:rPr>
          <w:lang w:val="fr-FR"/>
        </w:rPr>
        <w:t>par secteur</w:t>
      </w:r>
      <w:r w:rsidRPr="008E73D7">
        <w:rPr>
          <w:lang w:val="fr-FR"/>
        </w:rPr>
        <w:t xml:space="preserve"> économique</w:t>
      </w:r>
      <w:r w:rsidR="007A38DF" w:rsidRPr="008E73D7">
        <w:rPr>
          <w:lang w:val="fr-FR"/>
        </w:rPr>
        <w:t xml:space="preserve">, </w:t>
      </w:r>
      <w:r w:rsidRPr="008E73D7">
        <w:rPr>
          <w:lang w:val="fr-FR"/>
        </w:rPr>
        <w:t>le rapport souligne la participation étendue des universités et des instituts de recherche publics classés dans les catégories suivantes</w:t>
      </w:r>
      <w:r w:rsidR="00C30FD9" w:rsidRPr="008E73D7">
        <w:rPr>
          <w:lang w:val="fr-FR"/>
        </w:rPr>
        <w:t> </w:t>
      </w:r>
      <w:r w:rsidRPr="008E73D7">
        <w:rPr>
          <w:lang w:val="fr-FR"/>
        </w:rPr>
        <w:t xml:space="preserve">: </w:t>
      </w:r>
      <w:r w:rsidR="007A38DF" w:rsidRPr="008E73D7">
        <w:rPr>
          <w:lang w:val="fr-FR"/>
        </w:rPr>
        <w:t>“</w:t>
      </w:r>
      <w:r w:rsidRPr="008E73D7">
        <w:rPr>
          <w:lang w:val="fr-FR"/>
        </w:rPr>
        <w:t>éd</w:t>
      </w:r>
      <w:r w:rsidR="007A38DF" w:rsidRPr="008E73D7">
        <w:rPr>
          <w:lang w:val="fr-FR"/>
        </w:rPr>
        <w:t xml:space="preserve">ucation”, </w:t>
      </w:r>
      <w:r w:rsidR="002303ED" w:rsidRPr="008E73D7">
        <w:rPr>
          <w:lang w:val="fr-FR"/>
        </w:rPr>
        <w:t>“</w:t>
      </w:r>
      <w:r w:rsidRPr="008E73D7">
        <w:rPr>
          <w:lang w:val="fr-FR"/>
        </w:rPr>
        <w:t>administration publique</w:t>
      </w:r>
      <w:r w:rsidR="007A38DF" w:rsidRPr="008E73D7">
        <w:rPr>
          <w:lang w:val="fr-FR"/>
        </w:rPr>
        <w:t>, d</w:t>
      </w:r>
      <w:r w:rsidRPr="008E73D7">
        <w:rPr>
          <w:lang w:val="fr-FR"/>
        </w:rPr>
        <w:t>é</w:t>
      </w:r>
      <w:r w:rsidR="007A38DF" w:rsidRPr="008E73D7">
        <w:rPr>
          <w:lang w:val="fr-FR"/>
        </w:rPr>
        <w:t xml:space="preserve">fense </w:t>
      </w:r>
      <w:r w:rsidRPr="008E73D7">
        <w:rPr>
          <w:lang w:val="fr-FR"/>
        </w:rPr>
        <w:t>et sécurité sociale</w:t>
      </w:r>
      <w:r w:rsidR="007A38DF" w:rsidRPr="008E73D7">
        <w:rPr>
          <w:lang w:val="fr-FR"/>
        </w:rPr>
        <w:t>” (</w:t>
      </w:r>
      <w:r w:rsidRPr="008E73D7">
        <w:rPr>
          <w:lang w:val="fr-FR"/>
        </w:rPr>
        <w:t xml:space="preserve">catégorie qui comprend </w:t>
      </w:r>
      <w:r w:rsidR="007E4B02" w:rsidRPr="008E73D7">
        <w:rPr>
          <w:lang w:val="fr-FR"/>
        </w:rPr>
        <w:t>les organismes gouvernementaux de recherche et les instituts de recherche en technologie relevant de l</w:t>
      </w:r>
      <w:r w:rsidR="00F22EE4" w:rsidRPr="008E73D7">
        <w:rPr>
          <w:lang w:val="fr-FR"/>
        </w:rPr>
        <w:t>’</w:t>
      </w:r>
      <w:r w:rsidR="007E4B02" w:rsidRPr="008E73D7">
        <w:rPr>
          <w:lang w:val="fr-FR"/>
        </w:rPr>
        <w:t>armée de terre et des forces aériennes</w:t>
      </w:r>
      <w:r w:rsidR="007A38DF" w:rsidRPr="008E73D7">
        <w:rPr>
          <w:lang w:val="fr-FR"/>
        </w:rPr>
        <w:t xml:space="preserve">) </w:t>
      </w:r>
      <w:r w:rsidR="00FB5678" w:rsidRPr="008E73D7">
        <w:rPr>
          <w:lang w:val="fr-FR"/>
        </w:rPr>
        <w:t xml:space="preserve">et </w:t>
      </w:r>
      <w:r w:rsidR="007A38DF" w:rsidRPr="008E73D7">
        <w:rPr>
          <w:lang w:val="fr-FR"/>
        </w:rPr>
        <w:t>“</w:t>
      </w:r>
      <w:r w:rsidR="00377B1C" w:rsidRPr="008E73D7">
        <w:rPr>
          <w:lang w:val="fr-FR"/>
        </w:rPr>
        <w:t>la recherche</w:t>
      </w:r>
      <w:r w:rsidR="00377B1C" w:rsidRPr="008E73D7">
        <w:rPr>
          <w:lang w:val="fr-FR"/>
        </w:rPr>
        <w:noBreakHyphen/>
      </w:r>
      <w:r w:rsidR="007E4B02" w:rsidRPr="008E73D7">
        <w:rPr>
          <w:lang w:val="fr-FR"/>
        </w:rPr>
        <w:t>développement scientifique</w:t>
      </w:r>
      <w:r w:rsidR="007A38DF" w:rsidRPr="008E73D7">
        <w:rPr>
          <w:lang w:val="fr-FR"/>
        </w:rPr>
        <w:t>” (</w:t>
      </w:r>
      <w:r w:rsidR="007E4B02" w:rsidRPr="008E73D7">
        <w:rPr>
          <w:lang w:val="fr-FR"/>
        </w:rPr>
        <w:t>catégorie qui comprend également les fondations publiques et privées qui financent la recherche</w:t>
      </w:r>
      <w:r w:rsidR="007A38DF" w:rsidRPr="008E73D7">
        <w:rPr>
          <w:lang w:val="fr-FR"/>
        </w:rPr>
        <w:t xml:space="preserve">).  </w:t>
      </w:r>
      <w:r w:rsidR="00FE39C2" w:rsidRPr="008E73D7">
        <w:rPr>
          <w:lang w:val="fr-FR"/>
        </w:rPr>
        <w:t>Dans l</w:t>
      </w:r>
      <w:r w:rsidR="00F22EE4" w:rsidRPr="008E73D7">
        <w:rPr>
          <w:lang w:val="fr-FR"/>
        </w:rPr>
        <w:t>’</w:t>
      </w:r>
      <w:r w:rsidR="00FE39C2" w:rsidRPr="008E73D7">
        <w:rPr>
          <w:lang w:val="fr-FR"/>
        </w:rPr>
        <w:t>ensemble, ces secteurs représentaient 1</w:t>
      </w:r>
      <w:r w:rsidR="007A38DF" w:rsidRPr="008E73D7">
        <w:rPr>
          <w:lang w:val="fr-FR"/>
        </w:rPr>
        <w:t xml:space="preserve">9% </w:t>
      </w:r>
      <w:r w:rsidR="00FE39C2" w:rsidRPr="008E73D7">
        <w:rPr>
          <w:lang w:val="fr-FR"/>
        </w:rPr>
        <w:t>du total des demandes déposées par des résidents en</w:t>
      </w:r>
      <w:r w:rsidR="00C30FD9" w:rsidRPr="008E73D7">
        <w:rPr>
          <w:lang w:val="fr-FR"/>
        </w:rPr>
        <w:t> </w:t>
      </w:r>
      <w:r w:rsidR="007A38DF" w:rsidRPr="008E73D7">
        <w:rPr>
          <w:lang w:val="fr-FR"/>
        </w:rPr>
        <w:t>2006</w:t>
      </w:r>
      <w:r w:rsidR="00FE39C2" w:rsidRPr="008E73D7">
        <w:rPr>
          <w:lang w:val="fr-FR"/>
        </w:rPr>
        <w:t>, et jusqu</w:t>
      </w:r>
      <w:r w:rsidR="00F22EE4" w:rsidRPr="008E73D7">
        <w:rPr>
          <w:lang w:val="fr-FR"/>
        </w:rPr>
        <w:t>’</w:t>
      </w:r>
      <w:r w:rsidR="00FE39C2" w:rsidRPr="008E73D7">
        <w:rPr>
          <w:lang w:val="fr-FR"/>
        </w:rPr>
        <w:t xml:space="preserve">à </w:t>
      </w:r>
      <w:r w:rsidR="007A38DF" w:rsidRPr="008E73D7">
        <w:rPr>
          <w:lang w:val="fr-FR"/>
        </w:rPr>
        <w:t xml:space="preserve">31% </w:t>
      </w:r>
      <w:r w:rsidR="00FE39C2" w:rsidRPr="008E73D7">
        <w:rPr>
          <w:lang w:val="fr-FR"/>
        </w:rPr>
        <w:t>e</w:t>
      </w:r>
      <w:r w:rsidR="007A38DF" w:rsidRPr="008E73D7">
        <w:rPr>
          <w:lang w:val="fr-FR"/>
        </w:rPr>
        <w:t>n</w:t>
      </w:r>
      <w:r w:rsidR="00C30FD9" w:rsidRPr="008E73D7">
        <w:rPr>
          <w:lang w:val="fr-FR"/>
        </w:rPr>
        <w:t> </w:t>
      </w:r>
      <w:r w:rsidR="007A38DF" w:rsidRPr="008E73D7">
        <w:rPr>
          <w:lang w:val="fr-FR"/>
        </w:rPr>
        <w:t xml:space="preserve">2011.  </w:t>
      </w:r>
      <w:r w:rsidR="008F62FB" w:rsidRPr="008E73D7">
        <w:rPr>
          <w:lang w:val="fr-FR"/>
        </w:rPr>
        <w:t>Le</w:t>
      </w:r>
      <w:r w:rsidR="00587D91" w:rsidRPr="008E73D7">
        <w:rPr>
          <w:lang w:val="fr-FR"/>
        </w:rPr>
        <w:t> </w:t>
      </w:r>
      <w:r w:rsidR="008F62FB" w:rsidRPr="008E73D7">
        <w:rPr>
          <w:lang w:val="fr-FR"/>
        </w:rPr>
        <w:t>secteur de l</w:t>
      </w:r>
      <w:r w:rsidR="00F22EE4" w:rsidRPr="008E73D7">
        <w:rPr>
          <w:lang w:val="fr-FR"/>
        </w:rPr>
        <w:t>’</w:t>
      </w:r>
      <w:r w:rsidR="008F62FB" w:rsidRPr="008E73D7">
        <w:rPr>
          <w:lang w:val="fr-FR"/>
        </w:rPr>
        <w:t>industrie comp</w:t>
      </w:r>
      <w:r w:rsidR="00703556" w:rsidRPr="008E73D7">
        <w:rPr>
          <w:lang w:val="fr-FR"/>
        </w:rPr>
        <w:t xml:space="preserve">rend </w:t>
      </w:r>
      <w:r w:rsidR="008F62FB" w:rsidRPr="008E73D7">
        <w:rPr>
          <w:lang w:val="fr-FR"/>
        </w:rPr>
        <w:t>également une proportion importante de demandes émanant de résidents.</w:t>
      </w:r>
      <w:r w:rsidR="007A38DF" w:rsidRPr="008E73D7">
        <w:rPr>
          <w:lang w:val="fr-FR"/>
        </w:rPr>
        <w:t xml:space="preserve">  </w:t>
      </w:r>
      <w:r w:rsidR="00BD14F0" w:rsidRPr="008E73D7">
        <w:rPr>
          <w:lang w:val="fr-FR"/>
        </w:rPr>
        <w:t>Les demandes de brevet correspondant au secteur de l</w:t>
      </w:r>
      <w:r w:rsidR="00F22EE4" w:rsidRPr="008E73D7">
        <w:rPr>
          <w:lang w:val="fr-FR"/>
        </w:rPr>
        <w:t>’</w:t>
      </w:r>
      <w:r w:rsidR="00BD14F0" w:rsidRPr="008E73D7">
        <w:rPr>
          <w:lang w:val="fr-FR"/>
        </w:rPr>
        <w:t xml:space="preserve">équipement électrique </w:t>
      </w:r>
      <w:r w:rsidR="00C60AEF" w:rsidRPr="008E73D7">
        <w:rPr>
          <w:lang w:val="fr-FR"/>
        </w:rPr>
        <w:t>ont</w:t>
      </w:r>
      <w:r w:rsidR="00BD14F0" w:rsidRPr="008E73D7">
        <w:rPr>
          <w:lang w:val="fr-FR"/>
        </w:rPr>
        <w:t xml:space="preserve"> plus que doublé au cours de la période observ</w:t>
      </w:r>
      <w:r w:rsidR="00117F8C" w:rsidRPr="008E73D7">
        <w:rPr>
          <w:lang w:val="fr-FR"/>
        </w:rPr>
        <w:t>ée</w:t>
      </w:r>
      <w:r w:rsidR="00BD14F0" w:rsidRPr="008E73D7">
        <w:rPr>
          <w:lang w:val="fr-FR"/>
        </w:rPr>
        <w:t xml:space="preserve">, </w:t>
      </w:r>
      <w:r w:rsidR="005B619B" w:rsidRPr="008E73D7">
        <w:rPr>
          <w:lang w:val="fr-FR"/>
        </w:rPr>
        <w:t>sa part relative passant de </w:t>
      </w:r>
      <w:r w:rsidR="007A38DF" w:rsidRPr="008E73D7">
        <w:rPr>
          <w:lang w:val="fr-FR"/>
        </w:rPr>
        <w:t>4</w:t>
      </w:r>
      <w:r w:rsidR="00117F8C" w:rsidRPr="008E73D7">
        <w:rPr>
          <w:lang w:val="fr-FR"/>
        </w:rPr>
        <w:t>,</w:t>
      </w:r>
      <w:r w:rsidR="007A38DF" w:rsidRPr="008E73D7">
        <w:rPr>
          <w:lang w:val="fr-FR"/>
        </w:rPr>
        <w:t xml:space="preserve">4% </w:t>
      </w:r>
      <w:r w:rsidR="00117F8C" w:rsidRPr="008E73D7">
        <w:rPr>
          <w:lang w:val="fr-FR"/>
        </w:rPr>
        <w:t>à</w:t>
      </w:r>
      <w:r w:rsidR="005B619B" w:rsidRPr="008E73D7">
        <w:rPr>
          <w:lang w:val="fr-FR"/>
        </w:rPr>
        <w:t> </w:t>
      </w:r>
      <w:r w:rsidR="007A38DF" w:rsidRPr="008E73D7">
        <w:rPr>
          <w:lang w:val="fr-FR"/>
        </w:rPr>
        <w:t>8</w:t>
      </w:r>
      <w:r w:rsidR="00117F8C" w:rsidRPr="008E73D7">
        <w:rPr>
          <w:lang w:val="fr-FR"/>
        </w:rPr>
        <w:t>,</w:t>
      </w:r>
      <w:r w:rsidR="007A38DF" w:rsidRPr="008E73D7">
        <w:rPr>
          <w:lang w:val="fr-FR"/>
        </w:rPr>
        <w:t xml:space="preserve">5%.  </w:t>
      </w:r>
      <w:r w:rsidR="00ED6E88" w:rsidRPr="008E73D7">
        <w:rPr>
          <w:lang w:val="fr-FR"/>
        </w:rPr>
        <w:t>Le secteur de</w:t>
      </w:r>
      <w:r w:rsidR="00377B1C" w:rsidRPr="008E73D7">
        <w:rPr>
          <w:lang w:val="fr-FR"/>
        </w:rPr>
        <w:t>s</w:t>
      </w:r>
      <w:r w:rsidR="00ED6E88" w:rsidRPr="008E73D7">
        <w:rPr>
          <w:lang w:val="fr-FR"/>
        </w:rPr>
        <w:t xml:space="preserve"> machine</w:t>
      </w:r>
      <w:r w:rsidR="00377B1C" w:rsidRPr="008E73D7">
        <w:rPr>
          <w:lang w:val="fr-FR"/>
        </w:rPr>
        <w:t>s</w:t>
      </w:r>
      <w:r w:rsidR="00ED6E88" w:rsidRPr="008E73D7">
        <w:rPr>
          <w:lang w:val="fr-FR"/>
        </w:rPr>
        <w:t xml:space="preserve"> et de l</w:t>
      </w:r>
      <w:r w:rsidR="00F22EE4" w:rsidRPr="008E73D7">
        <w:rPr>
          <w:lang w:val="fr-FR"/>
        </w:rPr>
        <w:t>’</w:t>
      </w:r>
      <w:r w:rsidR="00ED6E88" w:rsidRPr="008E73D7">
        <w:rPr>
          <w:lang w:val="fr-FR"/>
        </w:rPr>
        <w:t>équipement</w:t>
      </w:r>
      <w:r w:rsidR="007A38DF" w:rsidRPr="008E73D7">
        <w:rPr>
          <w:lang w:val="fr-FR"/>
        </w:rPr>
        <w:t xml:space="preserve">, </w:t>
      </w:r>
      <w:r w:rsidR="00ED6E88" w:rsidRPr="008E73D7">
        <w:rPr>
          <w:lang w:val="fr-FR"/>
        </w:rPr>
        <w:t>bien que connaissant une baisse en proportion pour la période allant de</w:t>
      </w:r>
      <w:r w:rsidR="00C30FD9" w:rsidRPr="008E73D7">
        <w:rPr>
          <w:lang w:val="fr-FR"/>
        </w:rPr>
        <w:t> </w:t>
      </w:r>
      <w:r w:rsidR="005B619B" w:rsidRPr="008E73D7">
        <w:rPr>
          <w:lang w:val="fr-FR"/>
        </w:rPr>
        <w:t>2006 à </w:t>
      </w:r>
      <w:r w:rsidR="00ED6E88" w:rsidRPr="008E73D7">
        <w:rPr>
          <w:lang w:val="fr-FR"/>
        </w:rPr>
        <w:t>2011, continue d</w:t>
      </w:r>
      <w:r w:rsidR="00F22EE4" w:rsidRPr="008E73D7">
        <w:rPr>
          <w:lang w:val="fr-FR"/>
        </w:rPr>
        <w:t>’</w:t>
      </w:r>
      <w:r w:rsidR="00ED6E88" w:rsidRPr="008E73D7">
        <w:rPr>
          <w:lang w:val="fr-FR"/>
        </w:rPr>
        <w:t xml:space="preserve">être </w:t>
      </w:r>
      <w:r w:rsidR="004C0D7D" w:rsidRPr="008E73D7">
        <w:rPr>
          <w:lang w:val="fr-FR"/>
        </w:rPr>
        <w:t>l</w:t>
      </w:r>
      <w:r w:rsidR="00F22EE4" w:rsidRPr="008E73D7">
        <w:rPr>
          <w:lang w:val="fr-FR"/>
        </w:rPr>
        <w:t>’</w:t>
      </w:r>
      <w:r w:rsidR="00ED6E88" w:rsidRPr="008E73D7">
        <w:rPr>
          <w:lang w:val="fr-FR"/>
        </w:rPr>
        <w:t xml:space="preserve">un des plus importants </w:t>
      </w:r>
      <w:r w:rsidR="007A38DF" w:rsidRPr="008E73D7">
        <w:rPr>
          <w:lang w:val="fr-FR"/>
        </w:rPr>
        <w:t>2011 (6</w:t>
      </w:r>
      <w:r w:rsidR="00ED6E88" w:rsidRPr="008E73D7">
        <w:rPr>
          <w:lang w:val="fr-FR"/>
        </w:rPr>
        <w:t>,</w:t>
      </w:r>
      <w:r w:rsidR="007A38DF" w:rsidRPr="008E73D7">
        <w:rPr>
          <w:lang w:val="fr-FR"/>
        </w:rPr>
        <w:t>2%</w:t>
      </w:r>
      <w:r w:rsidR="00ED6E88" w:rsidRPr="008E73D7">
        <w:rPr>
          <w:lang w:val="fr-FR"/>
        </w:rPr>
        <w:t xml:space="preserve"> des demandes</w:t>
      </w:r>
      <w:r w:rsidR="007A38DF" w:rsidRPr="008E73D7">
        <w:rPr>
          <w:lang w:val="fr-FR"/>
        </w:rPr>
        <w:t>).</w:t>
      </w:r>
    </w:p>
    <w:p w:rsidR="000D4BEE" w:rsidRPr="008E73D7" w:rsidRDefault="000D4BEE" w:rsidP="00DF0747">
      <w:pPr>
        <w:rPr>
          <w:lang w:val="fr-FR"/>
        </w:rPr>
      </w:pPr>
    </w:p>
    <w:p w:rsidR="000D4BEE" w:rsidRPr="008E73D7" w:rsidRDefault="007613FA" w:rsidP="00DF0747">
      <w:pPr>
        <w:rPr>
          <w:lang w:val="fr-FR"/>
        </w:rPr>
      </w:pPr>
      <w:r w:rsidRPr="008E73D7">
        <w:rPr>
          <w:lang w:val="fr-FR"/>
        </w:rPr>
        <w:t>Au cours de la période</w:t>
      </w:r>
      <w:r w:rsidR="00C30FD9" w:rsidRPr="008E73D7">
        <w:rPr>
          <w:lang w:val="fr-FR"/>
        </w:rPr>
        <w:t> </w:t>
      </w:r>
      <w:r w:rsidR="007A38DF" w:rsidRPr="008E73D7">
        <w:rPr>
          <w:lang w:val="fr-FR"/>
        </w:rPr>
        <w:t>2000</w:t>
      </w:r>
      <w:r w:rsidR="00D0608C" w:rsidRPr="008E73D7">
        <w:rPr>
          <w:lang w:val="fr-FR"/>
        </w:rPr>
        <w:noBreakHyphen/>
      </w:r>
      <w:r w:rsidRPr="008E73D7">
        <w:rPr>
          <w:lang w:val="fr-FR"/>
        </w:rPr>
        <w:t>20</w:t>
      </w:r>
      <w:r w:rsidR="007A38DF" w:rsidRPr="008E73D7">
        <w:rPr>
          <w:lang w:val="fr-FR"/>
        </w:rPr>
        <w:t xml:space="preserve">11, </w:t>
      </w:r>
      <w:r w:rsidRPr="008E73D7">
        <w:rPr>
          <w:lang w:val="fr-FR"/>
        </w:rPr>
        <w:t>l</w:t>
      </w:r>
      <w:r w:rsidR="00F22EE4" w:rsidRPr="008E73D7">
        <w:rPr>
          <w:lang w:val="fr-FR"/>
        </w:rPr>
        <w:t>’</w:t>
      </w:r>
      <w:r w:rsidR="007A38DF" w:rsidRPr="008E73D7">
        <w:rPr>
          <w:lang w:val="fr-FR"/>
        </w:rPr>
        <w:t xml:space="preserve">INPI </w:t>
      </w:r>
      <w:r w:rsidRPr="008E73D7">
        <w:rPr>
          <w:lang w:val="fr-FR"/>
        </w:rPr>
        <w:t xml:space="preserve">du Brésil a délivré plus de </w:t>
      </w:r>
      <w:r w:rsidR="005B619B" w:rsidRPr="008E73D7">
        <w:rPr>
          <w:lang w:val="fr-FR"/>
        </w:rPr>
        <w:t>38 </w:t>
      </w:r>
      <w:r w:rsidR="002303ED" w:rsidRPr="008E73D7">
        <w:rPr>
          <w:lang w:val="fr-FR"/>
        </w:rPr>
        <w:t>000 </w:t>
      </w:r>
      <w:r w:rsidRPr="008E73D7">
        <w:rPr>
          <w:lang w:val="fr-FR"/>
        </w:rPr>
        <w:t>brevets</w:t>
      </w:r>
      <w:r w:rsidR="007A38DF" w:rsidRPr="008E73D7">
        <w:rPr>
          <w:lang w:val="fr-FR"/>
        </w:rPr>
        <w:t xml:space="preserve">.  </w:t>
      </w:r>
      <w:r w:rsidR="00125620" w:rsidRPr="008E73D7">
        <w:rPr>
          <w:lang w:val="fr-FR"/>
        </w:rPr>
        <w:t xml:space="preserve">Sur ce total, </w:t>
      </w:r>
      <w:r w:rsidR="007A38DF" w:rsidRPr="008E73D7">
        <w:rPr>
          <w:lang w:val="fr-FR"/>
        </w:rPr>
        <w:t>34</w:t>
      </w:r>
      <w:r w:rsidR="00C30FD9" w:rsidRPr="008E73D7">
        <w:rPr>
          <w:lang w:val="fr-FR"/>
        </w:rPr>
        <w:t> </w:t>
      </w:r>
      <w:r w:rsidR="007A38DF" w:rsidRPr="008E73D7">
        <w:rPr>
          <w:lang w:val="fr-FR"/>
        </w:rPr>
        <w:t xml:space="preserve">291 </w:t>
      </w:r>
      <w:r w:rsidR="00125620" w:rsidRPr="008E73D7">
        <w:rPr>
          <w:lang w:val="fr-FR"/>
        </w:rPr>
        <w:t>ont été délivrés à des non</w:t>
      </w:r>
      <w:r w:rsidR="00D0608C" w:rsidRPr="008E73D7">
        <w:rPr>
          <w:lang w:val="fr-FR"/>
        </w:rPr>
        <w:noBreakHyphen/>
      </w:r>
      <w:r w:rsidR="00125620" w:rsidRPr="008E73D7">
        <w:rPr>
          <w:lang w:val="fr-FR"/>
        </w:rPr>
        <w:t>r</w:t>
      </w:r>
      <w:r w:rsidR="00270516" w:rsidRPr="008E73D7">
        <w:rPr>
          <w:lang w:val="fr-FR"/>
        </w:rPr>
        <w:t>é</w:t>
      </w:r>
      <w:r w:rsidR="00125620" w:rsidRPr="008E73D7">
        <w:rPr>
          <w:lang w:val="fr-FR"/>
        </w:rPr>
        <w:t xml:space="preserve">sidents, et </w:t>
      </w:r>
      <w:r w:rsidR="00C30FD9" w:rsidRPr="008E73D7">
        <w:rPr>
          <w:lang w:val="fr-FR"/>
        </w:rPr>
        <w:t>3985</w:t>
      </w:r>
      <w:r w:rsidR="007A38DF" w:rsidRPr="008E73D7">
        <w:rPr>
          <w:lang w:val="fr-FR"/>
        </w:rPr>
        <w:t xml:space="preserve"> </w:t>
      </w:r>
      <w:r w:rsidR="00125620" w:rsidRPr="008E73D7">
        <w:rPr>
          <w:lang w:val="fr-FR"/>
        </w:rPr>
        <w:t xml:space="preserve">à des </w:t>
      </w:r>
      <w:r w:rsidR="007A38DF" w:rsidRPr="008E73D7">
        <w:rPr>
          <w:lang w:val="fr-FR"/>
        </w:rPr>
        <w:t>r</w:t>
      </w:r>
      <w:r w:rsidR="00125620" w:rsidRPr="008E73D7">
        <w:rPr>
          <w:lang w:val="fr-FR"/>
        </w:rPr>
        <w:t>é</w:t>
      </w:r>
      <w:r w:rsidR="007A38DF" w:rsidRPr="008E73D7">
        <w:rPr>
          <w:lang w:val="fr-FR"/>
        </w:rPr>
        <w:t xml:space="preserve">sidents.  </w:t>
      </w:r>
      <w:r w:rsidR="00377B1C" w:rsidRPr="008E73D7">
        <w:rPr>
          <w:lang w:val="fr-FR"/>
        </w:rPr>
        <w:t>En ce qui concerne l’évolution</w:t>
      </w:r>
      <w:r w:rsidR="00DD0CCB" w:rsidRPr="008E73D7">
        <w:rPr>
          <w:lang w:val="fr-FR"/>
        </w:rPr>
        <w:t xml:space="preserve"> en fonction des années, l</w:t>
      </w:r>
      <w:r w:rsidR="00F22EE4" w:rsidRPr="008E73D7">
        <w:rPr>
          <w:lang w:val="fr-FR"/>
        </w:rPr>
        <w:t>’</w:t>
      </w:r>
      <w:r w:rsidR="007A38DF" w:rsidRPr="008E73D7">
        <w:rPr>
          <w:lang w:val="fr-FR"/>
        </w:rPr>
        <w:t xml:space="preserve">INPI </w:t>
      </w:r>
      <w:r w:rsidR="00DD0CCB" w:rsidRPr="008E73D7">
        <w:rPr>
          <w:lang w:val="fr-FR"/>
        </w:rPr>
        <w:t xml:space="preserve">a délivré </w:t>
      </w:r>
      <w:r w:rsidR="002303ED" w:rsidRPr="008E73D7">
        <w:rPr>
          <w:lang w:val="fr-FR"/>
        </w:rPr>
        <w:t>6006 </w:t>
      </w:r>
      <w:r w:rsidR="00DD0CCB" w:rsidRPr="008E73D7">
        <w:rPr>
          <w:lang w:val="fr-FR"/>
        </w:rPr>
        <w:t>brevets en</w:t>
      </w:r>
      <w:r w:rsidR="00C30FD9" w:rsidRPr="008E73D7">
        <w:rPr>
          <w:lang w:val="fr-FR"/>
        </w:rPr>
        <w:t> </w:t>
      </w:r>
      <w:r w:rsidR="007A38DF" w:rsidRPr="008E73D7">
        <w:rPr>
          <w:lang w:val="fr-FR"/>
        </w:rPr>
        <w:t xml:space="preserve">2000, </w:t>
      </w:r>
      <w:r w:rsidR="00DD0CCB" w:rsidRPr="008E73D7">
        <w:rPr>
          <w:lang w:val="fr-FR"/>
        </w:rPr>
        <w:t xml:space="preserve">chiffre qui tombe à </w:t>
      </w:r>
      <w:r w:rsidR="002303ED" w:rsidRPr="008E73D7">
        <w:rPr>
          <w:lang w:val="fr-FR"/>
        </w:rPr>
        <w:t>2100 </w:t>
      </w:r>
      <w:r w:rsidR="00DD0CCB" w:rsidRPr="008E73D7">
        <w:rPr>
          <w:lang w:val="fr-FR"/>
        </w:rPr>
        <w:t>brevets délivrés en</w:t>
      </w:r>
      <w:r w:rsidR="00C30FD9" w:rsidRPr="008E73D7">
        <w:rPr>
          <w:lang w:val="fr-FR"/>
        </w:rPr>
        <w:t> </w:t>
      </w:r>
      <w:r w:rsidR="00377B1C" w:rsidRPr="008E73D7">
        <w:rPr>
          <w:lang w:val="fr-FR"/>
        </w:rPr>
        <w:t>2004 pour remonter à</w:t>
      </w:r>
      <w:r w:rsidR="00DD0CCB" w:rsidRPr="008E73D7">
        <w:rPr>
          <w:lang w:val="fr-FR"/>
        </w:rPr>
        <w:t xml:space="preserve"> </w:t>
      </w:r>
      <w:r w:rsidR="00C30FD9" w:rsidRPr="008E73D7">
        <w:rPr>
          <w:lang w:val="fr-FR"/>
        </w:rPr>
        <w:t>3437</w:t>
      </w:r>
      <w:r w:rsidR="00377B1C" w:rsidRPr="008E73D7">
        <w:rPr>
          <w:lang w:val="fr-FR"/>
        </w:rPr>
        <w:t xml:space="preserve"> en</w:t>
      </w:r>
      <w:r w:rsidR="002303ED" w:rsidRPr="008E73D7">
        <w:rPr>
          <w:lang w:val="fr-FR"/>
        </w:rPr>
        <w:t> </w:t>
      </w:r>
      <w:r w:rsidR="007A38DF" w:rsidRPr="008E73D7">
        <w:rPr>
          <w:lang w:val="fr-FR"/>
        </w:rPr>
        <w:t xml:space="preserve">2011.  </w:t>
      </w:r>
      <w:r w:rsidR="00377B1C" w:rsidRPr="008E73D7">
        <w:rPr>
          <w:lang w:val="fr-FR"/>
        </w:rPr>
        <w:t>Sur l</w:t>
      </w:r>
      <w:r w:rsidR="00270516" w:rsidRPr="008E73D7">
        <w:rPr>
          <w:lang w:val="fr-FR"/>
        </w:rPr>
        <w:t xml:space="preserve">a période observée, les principaux pays </w:t>
      </w:r>
      <w:r w:rsidR="00377B1C" w:rsidRPr="008E73D7">
        <w:rPr>
          <w:lang w:val="fr-FR"/>
        </w:rPr>
        <w:t>d’origine des titulaires</w:t>
      </w:r>
      <w:r w:rsidR="00F854E8" w:rsidRPr="008E73D7">
        <w:rPr>
          <w:lang w:val="fr-FR"/>
        </w:rPr>
        <w:t xml:space="preserve"> ont été les</w:t>
      </w:r>
      <w:r w:rsidR="00F73A1A" w:rsidRPr="008E73D7">
        <w:rPr>
          <w:lang w:val="fr-FR"/>
        </w:rPr>
        <w:t xml:space="preserve"> États</w:t>
      </w:r>
      <w:r w:rsidR="00D0608C" w:rsidRPr="008E73D7">
        <w:rPr>
          <w:lang w:val="fr-FR"/>
        </w:rPr>
        <w:noBreakHyphen/>
      </w:r>
      <w:r w:rsidR="00F73A1A" w:rsidRPr="008E73D7">
        <w:rPr>
          <w:lang w:val="fr-FR"/>
        </w:rPr>
        <w:t>Unis d</w:t>
      </w:r>
      <w:r w:rsidR="00F22EE4" w:rsidRPr="008E73D7">
        <w:rPr>
          <w:lang w:val="fr-FR"/>
        </w:rPr>
        <w:t>’</w:t>
      </w:r>
      <w:r w:rsidR="00F73A1A" w:rsidRPr="008E73D7">
        <w:rPr>
          <w:lang w:val="fr-FR"/>
        </w:rPr>
        <w:t>Amérique avec 34% du total, l</w:t>
      </w:r>
      <w:r w:rsidR="00F22EE4" w:rsidRPr="008E73D7">
        <w:rPr>
          <w:lang w:val="fr-FR"/>
        </w:rPr>
        <w:t>’</w:t>
      </w:r>
      <w:r w:rsidR="00F73A1A" w:rsidRPr="008E73D7">
        <w:rPr>
          <w:lang w:val="fr-FR"/>
        </w:rPr>
        <w:t>Allemagne avec 14%, la France avec 7</w:t>
      </w:r>
      <w:r w:rsidR="00941ABA" w:rsidRPr="008E73D7">
        <w:rPr>
          <w:lang w:val="fr-FR"/>
        </w:rPr>
        <w:t>%</w:t>
      </w:r>
      <w:r w:rsidR="00F73A1A" w:rsidRPr="008E73D7">
        <w:rPr>
          <w:lang w:val="fr-FR"/>
        </w:rPr>
        <w:t xml:space="preserve"> et le Japon</w:t>
      </w:r>
      <w:r w:rsidR="007A38DF" w:rsidRPr="008E73D7">
        <w:rPr>
          <w:lang w:val="fr-FR"/>
        </w:rPr>
        <w:t xml:space="preserve"> </w:t>
      </w:r>
      <w:r w:rsidR="00F73A1A" w:rsidRPr="008E73D7">
        <w:rPr>
          <w:lang w:val="fr-FR"/>
        </w:rPr>
        <w:t xml:space="preserve">avec </w:t>
      </w:r>
      <w:r w:rsidR="007A38DF" w:rsidRPr="008E73D7">
        <w:rPr>
          <w:lang w:val="fr-FR"/>
        </w:rPr>
        <w:t>5%.</w:t>
      </w:r>
    </w:p>
    <w:p w:rsidR="000D4BEE" w:rsidRPr="008E73D7" w:rsidRDefault="000D4BEE" w:rsidP="00DF0747">
      <w:pPr>
        <w:rPr>
          <w:lang w:val="fr-FR"/>
        </w:rPr>
      </w:pPr>
    </w:p>
    <w:p w:rsidR="000D4BEE" w:rsidRPr="008E73D7" w:rsidRDefault="004F0970" w:rsidP="00DF0747">
      <w:pPr>
        <w:rPr>
          <w:lang w:val="fr-FR"/>
        </w:rPr>
      </w:pPr>
      <w:r w:rsidRPr="008E73D7">
        <w:rPr>
          <w:lang w:val="fr-FR"/>
        </w:rPr>
        <w:t>S</w:t>
      </w:r>
      <w:r w:rsidR="00F22EE4" w:rsidRPr="008E73D7">
        <w:rPr>
          <w:lang w:val="fr-FR"/>
        </w:rPr>
        <w:t>’</w:t>
      </w:r>
      <w:r w:rsidRPr="008E73D7">
        <w:rPr>
          <w:lang w:val="fr-FR"/>
        </w:rPr>
        <w:t>agissant des demandes de modèles d</w:t>
      </w:r>
      <w:r w:rsidR="00F22EE4" w:rsidRPr="008E73D7">
        <w:rPr>
          <w:lang w:val="fr-FR"/>
        </w:rPr>
        <w:t>’</w:t>
      </w:r>
      <w:r w:rsidRPr="008E73D7">
        <w:rPr>
          <w:lang w:val="fr-FR"/>
        </w:rPr>
        <w:t xml:space="preserve">utilité, malgré une baisse de presque </w:t>
      </w:r>
      <w:r w:rsidR="007A38DF" w:rsidRPr="008E73D7">
        <w:rPr>
          <w:lang w:val="fr-FR"/>
        </w:rPr>
        <w:t xml:space="preserve">7% </w:t>
      </w:r>
      <w:r w:rsidRPr="008E73D7">
        <w:rPr>
          <w:lang w:val="fr-FR"/>
        </w:rPr>
        <w:t>au cours de la période observée, il est intéressant de noter que cette baisse n</w:t>
      </w:r>
      <w:r w:rsidR="00F22EE4" w:rsidRPr="008E73D7">
        <w:rPr>
          <w:lang w:val="fr-FR"/>
        </w:rPr>
        <w:t>’</w:t>
      </w:r>
      <w:r w:rsidRPr="008E73D7">
        <w:rPr>
          <w:lang w:val="fr-FR"/>
        </w:rPr>
        <w:t xml:space="preserve">a pas été de nature continue. </w:t>
      </w:r>
      <w:r w:rsidR="007A38DF" w:rsidRPr="008E73D7">
        <w:rPr>
          <w:lang w:val="fr-FR"/>
        </w:rPr>
        <w:t xml:space="preserve"> </w:t>
      </w:r>
      <w:r w:rsidR="00AE6B79" w:rsidRPr="008E73D7">
        <w:rPr>
          <w:lang w:val="fr-FR"/>
        </w:rPr>
        <w:t>Au </w:t>
      </w:r>
      <w:r w:rsidRPr="008E73D7">
        <w:rPr>
          <w:lang w:val="fr-FR"/>
        </w:rPr>
        <w:t>début de la décennie en question</w:t>
      </w:r>
      <w:r w:rsidR="007A38DF" w:rsidRPr="008E73D7">
        <w:rPr>
          <w:lang w:val="fr-FR"/>
        </w:rPr>
        <w:t xml:space="preserve">, </w:t>
      </w:r>
      <w:r w:rsidR="00DA7A9F" w:rsidRPr="008E73D7">
        <w:rPr>
          <w:lang w:val="fr-FR"/>
        </w:rPr>
        <w:t>de</w:t>
      </w:r>
      <w:r w:rsidR="00C30FD9" w:rsidRPr="008E73D7">
        <w:rPr>
          <w:lang w:val="fr-FR"/>
        </w:rPr>
        <w:t> </w:t>
      </w:r>
      <w:r w:rsidR="007A38DF" w:rsidRPr="008E73D7">
        <w:rPr>
          <w:lang w:val="fr-FR"/>
        </w:rPr>
        <w:t xml:space="preserve">2000 </w:t>
      </w:r>
      <w:r w:rsidR="00AE6B79" w:rsidRPr="008E73D7">
        <w:rPr>
          <w:lang w:val="fr-FR"/>
        </w:rPr>
        <w:t>à </w:t>
      </w:r>
      <w:r w:rsidR="007A38DF" w:rsidRPr="008E73D7">
        <w:rPr>
          <w:lang w:val="fr-FR"/>
        </w:rPr>
        <w:t xml:space="preserve">2004, </w:t>
      </w:r>
      <w:r w:rsidR="00DA7A9F" w:rsidRPr="008E73D7">
        <w:rPr>
          <w:lang w:val="fr-FR"/>
        </w:rPr>
        <w:t>les demandes de modèles d</w:t>
      </w:r>
      <w:r w:rsidR="00F22EE4" w:rsidRPr="008E73D7">
        <w:rPr>
          <w:lang w:val="fr-FR"/>
        </w:rPr>
        <w:t>’</w:t>
      </w:r>
      <w:r w:rsidR="00DA7A9F" w:rsidRPr="008E73D7">
        <w:rPr>
          <w:lang w:val="fr-FR"/>
        </w:rPr>
        <w:t>utilité étaient à la hausse</w:t>
      </w:r>
      <w:r w:rsidR="007A38DF" w:rsidRPr="008E73D7">
        <w:rPr>
          <w:lang w:val="fr-FR"/>
        </w:rPr>
        <w:t xml:space="preserve">, </w:t>
      </w:r>
      <w:r w:rsidR="00DA7A9F" w:rsidRPr="008E73D7">
        <w:rPr>
          <w:lang w:val="fr-FR"/>
        </w:rPr>
        <w:t xml:space="preserve">allant de </w:t>
      </w:r>
      <w:r w:rsidR="00C30FD9" w:rsidRPr="008E73D7">
        <w:rPr>
          <w:lang w:val="fr-FR"/>
        </w:rPr>
        <w:t>3300</w:t>
      </w:r>
      <w:r w:rsidR="007A38DF" w:rsidRPr="008E73D7">
        <w:rPr>
          <w:lang w:val="fr-FR"/>
        </w:rPr>
        <w:t xml:space="preserve"> </w:t>
      </w:r>
      <w:r w:rsidR="00AE6B79" w:rsidRPr="008E73D7">
        <w:rPr>
          <w:lang w:val="fr-FR"/>
        </w:rPr>
        <w:t>à </w:t>
      </w:r>
      <w:r w:rsidR="00C30FD9" w:rsidRPr="008E73D7">
        <w:rPr>
          <w:lang w:val="fr-FR"/>
        </w:rPr>
        <w:t>3600</w:t>
      </w:r>
      <w:r w:rsidR="007A38DF" w:rsidRPr="008E73D7">
        <w:rPr>
          <w:lang w:val="fr-FR"/>
        </w:rPr>
        <w:t xml:space="preserve">.  </w:t>
      </w:r>
      <w:r w:rsidR="004650F8" w:rsidRPr="008E73D7">
        <w:rPr>
          <w:lang w:val="fr-FR"/>
        </w:rPr>
        <w:t>Ensuite</w:t>
      </w:r>
      <w:r w:rsidR="00112CE4" w:rsidRPr="008E73D7">
        <w:rPr>
          <w:lang w:val="fr-FR"/>
        </w:rPr>
        <w:t>, le nombre total des demandes de modèles d</w:t>
      </w:r>
      <w:r w:rsidR="00F22EE4" w:rsidRPr="008E73D7">
        <w:rPr>
          <w:lang w:val="fr-FR"/>
        </w:rPr>
        <w:t>’</w:t>
      </w:r>
      <w:r w:rsidR="00112CE4" w:rsidRPr="008E73D7">
        <w:rPr>
          <w:lang w:val="fr-FR"/>
        </w:rPr>
        <w:t>utilité d</w:t>
      </w:r>
      <w:r w:rsidR="00981136" w:rsidRPr="008E73D7">
        <w:rPr>
          <w:lang w:val="fr-FR"/>
        </w:rPr>
        <w:t>é</w:t>
      </w:r>
      <w:r w:rsidR="00112CE4" w:rsidRPr="008E73D7">
        <w:rPr>
          <w:lang w:val="fr-FR"/>
        </w:rPr>
        <w:t>pos</w:t>
      </w:r>
      <w:r w:rsidR="00981136" w:rsidRPr="008E73D7">
        <w:rPr>
          <w:lang w:val="fr-FR"/>
        </w:rPr>
        <w:t>é</w:t>
      </w:r>
      <w:r w:rsidR="00112CE4" w:rsidRPr="008E73D7">
        <w:rPr>
          <w:lang w:val="fr-FR"/>
        </w:rPr>
        <w:t>es au Brésil</w:t>
      </w:r>
      <w:r w:rsidR="00AE6B79" w:rsidRPr="008E73D7">
        <w:rPr>
          <w:lang w:val="fr-FR"/>
        </w:rPr>
        <w:t xml:space="preserve"> entre 2004 et </w:t>
      </w:r>
      <w:r w:rsidR="00981136" w:rsidRPr="008E73D7">
        <w:rPr>
          <w:lang w:val="fr-FR"/>
        </w:rPr>
        <w:t xml:space="preserve">2007 </w:t>
      </w:r>
      <w:r w:rsidR="00112CE4" w:rsidRPr="008E73D7">
        <w:rPr>
          <w:lang w:val="fr-FR"/>
        </w:rPr>
        <w:t xml:space="preserve">a fortement chuté </w:t>
      </w:r>
      <w:r w:rsidR="007A38DF" w:rsidRPr="008E73D7">
        <w:rPr>
          <w:lang w:val="fr-FR"/>
        </w:rPr>
        <w:t>(</w:t>
      </w:r>
      <w:r w:rsidR="00D0608C" w:rsidRPr="008E73D7">
        <w:rPr>
          <w:lang w:val="fr-FR"/>
        </w:rPr>
        <w:noBreakHyphen/>
      </w:r>
      <w:r w:rsidR="007A38DF" w:rsidRPr="008E73D7">
        <w:rPr>
          <w:lang w:val="fr-FR"/>
        </w:rPr>
        <w:t xml:space="preserve">15%), </w:t>
      </w:r>
      <w:r w:rsidR="004650F8" w:rsidRPr="008E73D7">
        <w:rPr>
          <w:lang w:val="fr-FR"/>
        </w:rPr>
        <w:t xml:space="preserve">et </w:t>
      </w:r>
      <w:r w:rsidR="007A3DEF" w:rsidRPr="008E73D7">
        <w:rPr>
          <w:lang w:val="fr-FR"/>
        </w:rPr>
        <w:t>a connu un rétablissement en</w:t>
      </w:r>
      <w:r w:rsidR="00C30FD9" w:rsidRPr="008E73D7">
        <w:rPr>
          <w:lang w:val="fr-FR"/>
        </w:rPr>
        <w:t> </w:t>
      </w:r>
      <w:r w:rsidR="007A38DF" w:rsidRPr="008E73D7">
        <w:rPr>
          <w:lang w:val="fr-FR"/>
        </w:rPr>
        <w:t>2008</w:t>
      </w:r>
      <w:r w:rsidR="00D0608C" w:rsidRPr="008E73D7">
        <w:rPr>
          <w:lang w:val="fr-FR"/>
        </w:rPr>
        <w:noBreakHyphen/>
      </w:r>
      <w:r w:rsidR="007A38DF" w:rsidRPr="008E73D7">
        <w:rPr>
          <w:lang w:val="fr-FR"/>
        </w:rPr>
        <w:t>2009 (11%)</w:t>
      </w:r>
      <w:r w:rsidR="004650F8" w:rsidRPr="008E73D7">
        <w:rPr>
          <w:lang w:val="fr-FR"/>
        </w:rPr>
        <w:t xml:space="preserve">, pour </w:t>
      </w:r>
      <w:r w:rsidR="009D5051" w:rsidRPr="008E73D7">
        <w:rPr>
          <w:lang w:val="fr-FR"/>
        </w:rPr>
        <w:t>à</w:t>
      </w:r>
      <w:r w:rsidR="004650F8" w:rsidRPr="008E73D7">
        <w:rPr>
          <w:lang w:val="fr-FR"/>
        </w:rPr>
        <w:t xml:space="preserve"> </w:t>
      </w:r>
      <w:r w:rsidR="007A3DEF" w:rsidRPr="008E73D7">
        <w:rPr>
          <w:lang w:val="fr-FR"/>
        </w:rPr>
        <w:t>nouveau reparti</w:t>
      </w:r>
      <w:r w:rsidR="004650F8" w:rsidRPr="008E73D7">
        <w:rPr>
          <w:lang w:val="fr-FR"/>
        </w:rPr>
        <w:t>r</w:t>
      </w:r>
      <w:r w:rsidR="007A3DEF" w:rsidRPr="008E73D7">
        <w:rPr>
          <w:lang w:val="fr-FR"/>
        </w:rPr>
        <w:t xml:space="preserve"> à la baisse en</w:t>
      </w:r>
      <w:r w:rsidR="00C30FD9" w:rsidRPr="008E73D7">
        <w:rPr>
          <w:lang w:val="fr-FR"/>
        </w:rPr>
        <w:t> </w:t>
      </w:r>
      <w:r w:rsidR="007A38DF" w:rsidRPr="008E73D7">
        <w:rPr>
          <w:lang w:val="fr-FR"/>
        </w:rPr>
        <w:t>2010</w:t>
      </w:r>
      <w:r w:rsidR="00D0608C" w:rsidRPr="008E73D7">
        <w:rPr>
          <w:lang w:val="fr-FR"/>
        </w:rPr>
        <w:noBreakHyphen/>
      </w:r>
      <w:r w:rsidR="007A38DF" w:rsidRPr="008E73D7">
        <w:rPr>
          <w:lang w:val="fr-FR"/>
        </w:rPr>
        <w:t>2011 (</w:t>
      </w:r>
      <w:r w:rsidR="00D0608C" w:rsidRPr="008E73D7">
        <w:rPr>
          <w:lang w:val="fr-FR"/>
        </w:rPr>
        <w:noBreakHyphen/>
      </w:r>
      <w:r w:rsidR="007A38DF" w:rsidRPr="008E73D7">
        <w:rPr>
          <w:lang w:val="fr-FR"/>
        </w:rPr>
        <w:t>11%)</w:t>
      </w:r>
      <w:r w:rsidR="004650F8" w:rsidRPr="008E73D7">
        <w:rPr>
          <w:lang w:val="fr-FR"/>
        </w:rPr>
        <w:t xml:space="preserve">, </w:t>
      </w:r>
      <w:r w:rsidR="007A3DEF" w:rsidRPr="008E73D7">
        <w:rPr>
          <w:lang w:val="fr-FR"/>
        </w:rPr>
        <w:t>atteignant un niveau plus bas qu</w:t>
      </w:r>
      <w:r w:rsidR="00377B1C" w:rsidRPr="008E73D7">
        <w:rPr>
          <w:lang w:val="fr-FR"/>
        </w:rPr>
        <w:t>’au</w:t>
      </w:r>
      <w:r w:rsidR="00EA4EBA" w:rsidRPr="008E73D7">
        <w:rPr>
          <w:lang w:val="fr-FR"/>
        </w:rPr>
        <w:t xml:space="preserve"> </w:t>
      </w:r>
      <w:r w:rsidR="007A3DEF" w:rsidRPr="008E73D7">
        <w:rPr>
          <w:lang w:val="fr-FR"/>
        </w:rPr>
        <w:t xml:space="preserve">début de la période. </w:t>
      </w:r>
      <w:r w:rsidR="007A38DF" w:rsidRPr="008E73D7">
        <w:rPr>
          <w:lang w:val="fr-FR"/>
        </w:rPr>
        <w:t xml:space="preserve"> </w:t>
      </w:r>
      <w:r w:rsidR="00D577E4" w:rsidRPr="008E73D7">
        <w:rPr>
          <w:lang w:val="fr-FR"/>
        </w:rPr>
        <w:t>En ce qui concerne le pays d</w:t>
      </w:r>
      <w:r w:rsidR="00F22EE4" w:rsidRPr="008E73D7">
        <w:rPr>
          <w:lang w:val="fr-FR"/>
        </w:rPr>
        <w:t>’</w:t>
      </w:r>
      <w:r w:rsidR="00D577E4" w:rsidRPr="008E73D7">
        <w:rPr>
          <w:lang w:val="fr-FR"/>
        </w:rPr>
        <w:t xml:space="preserve">origine des déposants </w:t>
      </w:r>
      <w:r w:rsidR="00377B1C" w:rsidRPr="008E73D7">
        <w:rPr>
          <w:lang w:val="fr-FR"/>
        </w:rPr>
        <w:t>non</w:t>
      </w:r>
      <w:r w:rsidR="00377B1C" w:rsidRPr="008E73D7">
        <w:rPr>
          <w:lang w:val="fr-FR"/>
        </w:rPr>
        <w:noBreakHyphen/>
      </w:r>
      <w:r w:rsidR="002303ED" w:rsidRPr="008E73D7">
        <w:rPr>
          <w:lang w:val="fr-FR"/>
        </w:rPr>
        <w:t>résidents</w:t>
      </w:r>
      <w:r w:rsidR="007A38DF" w:rsidRPr="008E73D7">
        <w:rPr>
          <w:lang w:val="fr-FR"/>
        </w:rPr>
        <w:t xml:space="preserve">, </w:t>
      </w:r>
      <w:r w:rsidR="00D577E4" w:rsidRPr="008E73D7">
        <w:rPr>
          <w:lang w:val="fr-FR"/>
        </w:rPr>
        <w:t>plus de la moitié des demandes émana</w:t>
      </w:r>
      <w:r w:rsidR="00377B1C" w:rsidRPr="008E73D7">
        <w:rPr>
          <w:lang w:val="fr-FR"/>
        </w:rPr>
        <w:t>ie</w:t>
      </w:r>
      <w:r w:rsidR="00D577E4" w:rsidRPr="008E73D7">
        <w:rPr>
          <w:lang w:val="fr-FR"/>
        </w:rPr>
        <w:t>nt de la Province chinoise de Taiwan</w:t>
      </w:r>
      <w:r w:rsidR="00DF0747" w:rsidRPr="008E73D7">
        <w:rPr>
          <w:lang w:val="fr-FR"/>
        </w:rPr>
        <w:t xml:space="preserve"> (21%)</w:t>
      </w:r>
      <w:r w:rsidR="007A38DF" w:rsidRPr="008E73D7">
        <w:rPr>
          <w:lang w:val="fr-FR"/>
        </w:rPr>
        <w:t xml:space="preserve"> </w:t>
      </w:r>
      <w:r w:rsidR="00377B1C" w:rsidRPr="008E73D7">
        <w:rPr>
          <w:lang w:val="fr-FR"/>
        </w:rPr>
        <w:t>suivie de</w:t>
      </w:r>
      <w:r w:rsidR="00D577E4" w:rsidRPr="008E73D7">
        <w:rPr>
          <w:lang w:val="fr-FR"/>
        </w:rPr>
        <w:t xml:space="preserve"> l</w:t>
      </w:r>
      <w:r w:rsidR="00F22EE4" w:rsidRPr="008E73D7">
        <w:rPr>
          <w:lang w:val="fr-FR"/>
        </w:rPr>
        <w:t>’</w:t>
      </w:r>
      <w:r w:rsidR="007A38DF" w:rsidRPr="008E73D7">
        <w:rPr>
          <w:lang w:val="fr-FR"/>
        </w:rPr>
        <w:t>Argentin</w:t>
      </w:r>
      <w:r w:rsidR="00D577E4" w:rsidRPr="008E73D7">
        <w:rPr>
          <w:lang w:val="fr-FR"/>
        </w:rPr>
        <w:t>e</w:t>
      </w:r>
      <w:r w:rsidR="007A38DF" w:rsidRPr="008E73D7">
        <w:rPr>
          <w:lang w:val="fr-FR"/>
        </w:rPr>
        <w:t xml:space="preserve">, </w:t>
      </w:r>
      <w:r w:rsidR="00377B1C" w:rsidRPr="008E73D7">
        <w:rPr>
          <w:lang w:val="fr-FR"/>
        </w:rPr>
        <w:t>d</w:t>
      </w:r>
      <w:r w:rsidR="00D577E4" w:rsidRPr="008E73D7">
        <w:rPr>
          <w:lang w:val="fr-FR"/>
        </w:rPr>
        <w:t>es États</w:t>
      </w:r>
      <w:r w:rsidR="00D0608C" w:rsidRPr="008E73D7">
        <w:rPr>
          <w:lang w:val="fr-FR"/>
        </w:rPr>
        <w:noBreakHyphen/>
      </w:r>
      <w:r w:rsidR="00D577E4" w:rsidRPr="008E73D7">
        <w:rPr>
          <w:lang w:val="fr-FR"/>
        </w:rPr>
        <w:t>Unis d</w:t>
      </w:r>
      <w:r w:rsidR="00F22EE4" w:rsidRPr="008E73D7">
        <w:rPr>
          <w:lang w:val="fr-FR"/>
        </w:rPr>
        <w:t>’</w:t>
      </w:r>
      <w:r w:rsidR="00D577E4" w:rsidRPr="008E73D7">
        <w:rPr>
          <w:lang w:val="fr-FR"/>
        </w:rPr>
        <w:t>Amérique et</w:t>
      </w:r>
      <w:r w:rsidR="00377B1C" w:rsidRPr="008E73D7">
        <w:rPr>
          <w:lang w:val="fr-FR"/>
        </w:rPr>
        <w:t xml:space="preserve"> de</w:t>
      </w:r>
      <w:r w:rsidR="00D577E4" w:rsidRPr="008E73D7">
        <w:rPr>
          <w:lang w:val="fr-FR"/>
        </w:rPr>
        <w:t xml:space="preserve"> la Chine</w:t>
      </w:r>
      <w:r w:rsidR="00377B1C" w:rsidRPr="008E73D7">
        <w:rPr>
          <w:lang w:val="fr-FR"/>
        </w:rPr>
        <w:t xml:space="preserve"> (11% pour chaque)</w:t>
      </w:r>
      <w:r w:rsidR="007A38DF" w:rsidRPr="008E73D7">
        <w:rPr>
          <w:lang w:val="fr-FR"/>
        </w:rPr>
        <w:t xml:space="preserve">.  </w:t>
      </w:r>
      <w:r w:rsidR="00112B30" w:rsidRPr="008E73D7">
        <w:rPr>
          <w:lang w:val="fr-FR"/>
        </w:rPr>
        <w:t>Pour ce qui est de la répartition des demandes de modèles d</w:t>
      </w:r>
      <w:r w:rsidR="00F22EE4" w:rsidRPr="008E73D7">
        <w:rPr>
          <w:lang w:val="fr-FR"/>
        </w:rPr>
        <w:t>’</w:t>
      </w:r>
      <w:r w:rsidR="00112B30" w:rsidRPr="008E73D7">
        <w:rPr>
          <w:lang w:val="fr-FR"/>
        </w:rPr>
        <w:t xml:space="preserve">utilité </w:t>
      </w:r>
      <w:r w:rsidR="00E47AB1" w:rsidRPr="008E73D7">
        <w:rPr>
          <w:lang w:val="fr-FR"/>
        </w:rPr>
        <w:t xml:space="preserve">en fonction des </w:t>
      </w:r>
      <w:r w:rsidR="00112B30" w:rsidRPr="008E73D7">
        <w:rPr>
          <w:lang w:val="fr-FR"/>
        </w:rPr>
        <w:t>secteu</w:t>
      </w:r>
      <w:r w:rsidR="009D5051" w:rsidRPr="008E73D7">
        <w:rPr>
          <w:lang w:val="fr-FR"/>
        </w:rPr>
        <w:t>r</w:t>
      </w:r>
      <w:r w:rsidR="00E47AB1" w:rsidRPr="008E73D7">
        <w:rPr>
          <w:lang w:val="fr-FR"/>
        </w:rPr>
        <w:t>s</w:t>
      </w:r>
      <w:r w:rsidR="00112B30" w:rsidRPr="008E73D7">
        <w:rPr>
          <w:lang w:val="fr-FR"/>
        </w:rPr>
        <w:t xml:space="preserve"> technologique</w:t>
      </w:r>
      <w:r w:rsidR="00173379" w:rsidRPr="008E73D7">
        <w:rPr>
          <w:lang w:val="fr-FR"/>
        </w:rPr>
        <w:t>s</w:t>
      </w:r>
      <w:r w:rsidR="00112B30" w:rsidRPr="008E73D7">
        <w:rPr>
          <w:lang w:val="fr-FR"/>
        </w:rPr>
        <w:t xml:space="preserve">, le secteur </w:t>
      </w:r>
      <w:proofErr w:type="gramStart"/>
      <w:r w:rsidR="00112B30" w:rsidRPr="008E73D7">
        <w:rPr>
          <w:lang w:val="fr-FR"/>
        </w:rPr>
        <w:t>du g</w:t>
      </w:r>
      <w:r w:rsidR="009D5051" w:rsidRPr="008E73D7">
        <w:rPr>
          <w:lang w:val="fr-FR"/>
        </w:rPr>
        <w:t>é</w:t>
      </w:r>
      <w:r w:rsidR="00112B30" w:rsidRPr="008E73D7">
        <w:rPr>
          <w:lang w:val="fr-FR"/>
        </w:rPr>
        <w:t>nie mécanique et autres</w:t>
      </w:r>
      <w:proofErr w:type="gramEnd"/>
      <w:r w:rsidR="00112B30" w:rsidRPr="008E73D7">
        <w:rPr>
          <w:lang w:val="fr-FR"/>
        </w:rPr>
        <w:t xml:space="preserve"> </w:t>
      </w:r>
      <w:r w:rsidR="009D5051" w:rsidRPr="008E73D7">
        <w:rPr>
          <w:lang w:val="fr-FR"/>
        </w:rPr>
        <w:t xml:space="preserve">représente la plus forte proportion du total des demandes avec pratiquement </w:t>
      </w:r>
      <w:r w:rsidR="007A38DF" w:rsidRPr="008E73D7">
        <w:rPr>
          <w:lang w:val="fr-FR"/>
        </w:rPr>
        <w:t xml:space="preserve">75%.  </w:t>
      </w:r>
      <w:r w:rsidR="00377B1C" w:rsidRPr="008E73D7">
        <w:rPr>
          <w:lang w:val="fr-FR"/>
        </w:rPr>
        <w:t xml:space="preserve">La ventilation des titulaires résidents par secteur de la technologie diffère </w:t>
      </w:r>
      <w:r w:rsidR="00377B1C" w:rsidRPr="008E73D7">
        <w:rPr>
          <w:lang w:val="fr-FR"/>
        </w:rPr>
        <w:lastRenderedPageBreak/>
        <w:t>selon qu’il s’agit de brevets ou de modèles d’utilité</w:t>
      </w:r>
      <w:r w:rsidR="007A38DF" w:rsidRPr="008E73D7">
        <w:rPr>
          <w:lang w:val="fr-FR"/>
        </w:rPr>
        <w:t xml:space="preserve">.  </w:t>
      </w:r>
      <w:r w:rsidR="000A0187" w:rsidRPr="008E73D7">
        <w:rPr>
          <w:lang w:val="fr-FR"/>
        </w:rPr>
        <w:t>E</w:t>
      </w:r>
      <w:r w:rsidR="007A38DF" w:rsidRPr="008E73D7">
        <w:rPr>
          <w:lang w:val="fr-FR"/>
        </w:rPr>
        <w:t xml:space="preserve">n </w:t>
      </w:r>
      <w:r w:rsidR="000A0187" w:rsidRPr="008E73D7">
        <w:rPr>
          <w:lang w:val="fr-FR"/>
        </w:rPr>
        <w:t>d</w:t>
      </w:r>
      <w:r w:rsidR="00F22EE4" w:rsidRPr="008E73D7">
        <w:rPr>
          <w:lang w:val="fr-FR"/>
        </w:rPr>
        <w:t>’</w:t>
      </w:r>
      <w:r w:rsidR="000A0187" w:rsidRPr="008E73D7">
        <w:rPr>
          <w:lang w:val="fr-FR"/>
        </w:rPr>
        <w:t>autres termes</w:t>
      </w:r>
      <w:r w:rsidR="007A38DF" w:rsidRPr="008E73D7">
        <w:rPr>
          <w:lang w:val="fr-FR"/>
        </w:rPr>
        <w:t xml:space="preserve">, </w:t>
      </w:r>
      <w:r w:rsidR="005D2510" w:rsidRPr="008E73D7">
        <w:rPr>
          <w:lang w:val="fr-FR"/>
        </w:rPr>
        <w:t>la forme de protection est spécifique à chaque secteur.</w:t>
      </w:r>
      <w:r w:rsidR="007A38DF" w:rsidRPr="008E73D7">
        <w:rPr>
          <w:lang w:val="fr-FR"/>
        </w:rPr>
        <w:t xml:space="preserve">  </w:t>
      </w:r>
      <w:r w:rsidR="002D1F2E" w:rsidRPr="008E73D7">
        <w:rPr>
          <w:lang w:val="fr-FR"/>
        </w:rPr>
        <w:t>À titre d</w:t>
      </w:r>
      <w:r w:rsidR="00F22EE4" w:rsidRPr="008E73D7">
        <w:rPr>
          <w:lang w:val="fr-FR"/>
        </w:rPr>
        <w:t>’</w:t>
      </w:r>
      <w:r w:rsidR="002D1F2E" w:rsidRPr="008E73D7">
        <w:rPr>
          <w:lang w:val="fr-FR"/>
        </w:rPr>
        <w:t>exemple</w:t>
      </w:r>
      <w:r w:rsidR="007A38DF" w:rsidRPr="008E73D7">
        <w:rPr>
          <w:lang w:val="fr-FR"/>
        </w:rPr>
        <w:t xml:space="preserve">, </w:t>
      </w:r>
      <w:r w:rsidR="002D1F2E" w:rsidRPr="008E73D7">
        <w:rPr>
          <w:lang w:val="fr-FR"/>
        </w:rPr>
        <w:t xml:space="preserve">la chimie </w:t>
      </w:r>
      <w:r w:rsidR="00377B1C" w:rsidRPr="008E73D7">
        <w:rPr>
          <w:lang w:val="fr-FR"/>
        </w:rPr>
        <w:t xml:space="preserve">est fortement représentée dans les </w:t>
      </w:r>
      <w:r w:rsidR="002D1F2E" w:rsidRPr="008E73D7">
        <w:rPr>
          <w:lang w:val="fr-FR"/>
        </w:rPr>
        <w:t xml:space="preserve">demandes de brevet, </w:t>
      </w:r>
      <w:r w:rsidR="00CB5058" w:rsidRPr="008E73D7">
        <w:rPr>
          <w:lang w:val="fr-FR"/>
        </w:rPr>
        <w:t xml:space="preserve">à hauteur de </w:t>
      </w:r>
      <w:r w:rsidR="007A38DF" w:rsidRPr="008E73D7">
        <w:rPr>
          <w:lang w:val="fr-FR"/>
        </w:rPr>
        <w:t xml:space="preserve">30%, </w:t>
      </w:r>
      <w:r w:rsidR="002D1F2E" w:rsidRPr="008E73D7">
        <w:rPr>
          <w:lang w:val="fr-FR"/>
        </w:rPr>
        <w:t xml:space="preserve">mais ne représente que </w:t>
      </w:r>
      <w:r w:rsidR="007A38DF" w:rsidRPr="008E73D7">
        <w:rPr>
          <w:lang w:val="fr-FR"/>
        </w:rPr>
        <w:t xml:space="preserve">7% </w:t>
      </w:r>
      <w:r w:rsidR="002D1F2E" w:rsidRPr="008E73D7">
        <w:rPr>
          <w:lang w:val="fr-FR"/>
        </w:rPr>
        <w:t>des demandes de modèles d</w:t>
      </w:r>
      <w:r w:rsidR="00F22EE4" w:rsidRPr="008E73D7">
        <w:rPr>
          <w:lang w:val="fr-FR"/>
        </w:rPr>
        <w:t>’</w:t>
      </w:r>
      <w:r w:rsidR="002D1F2E" w:rsidRPr="008E73D7">
        <w:rPr>
          <w:lang w:val="fr-FR"/>
        </w:rPr>
        <w:t>utilité</w:t>
      </w:r>
      <w:r w:rsidR="007A38DF" w:rsidRPr="008E73D7">
        <w:rPr>
          <w:lang w:val="fr-FR"/>
        </w:rPr>
        <w:t xml:space="preserve">.  </w:t>
      </w:r>
      <w:r w:rsidR="00CB5058" w:rsidRPr="008E73D7">
        <w:rPr>
          <w:lang w:val="fr-FR"/>
        </w:rPr>
        <w:t>Pris individuellement, les cinq</w:t>
      </w:r>
      <w:r w:rsidR="00C30FD9" w:rsidRPr="008E73D7">
        <w:rPr>
          <w:lang w:val="fr-FR"/>
        </w:rPr>
        <w:t> </w:t>
      </w:r>
      <w:r w:rsidR="00CB5058" w:rsidRPr="008E73D7">
        <w:rPr>
          <w:lang w:val="fr-FR"/>
        </w:rPr>
        <w:t xml:space="preserve">secteurs les plus importants étaient </w:t>
      </w:r>
      <w:r w:rsidR="002303ED" w:rsidRPr="008E73D7">
        <w:rPr>
          <w:lang w:val="fr-FR"/>
        </w:rPr>
        <w:t>“</w:t>
      </w:r>
      <w:r w:rsidR="000132D0" w:rsidRPr="008E73D7">
        <w:rPr>
          <w:lang w:val="fr-FR"/>
        </w:rPr>
        <w:t>m</w:t>
      </w:r>
      <w:r w:rsidR="00CB5058" w:rsidRPr="008E73D7">
        <w:rPr>
          <w:lang w:val="fr-FR"/>
        </w:rPr>
        <w:t>obilier, jeux</w:t>
      </w:r>
      <w:r w:rsidR="002303ED" w:rsidRPr="008E73D7">
        <w:rPr>
          <w:lang w:val="fr-FR"/>
        </w:rPr>
        <w:t>”</w:t>
      </w:r>
      <w:r w:rsidR="007A38DF" w:rsidRPr="008E73D7">
        <w:rPr>
          <w:lang w:val="fr-FR"/>
        </w:rPr>
        <w:t>, “</w:t>
      </w:r>
      <w:r w:rsidR="000132D0" w:rsidRPr="008E73D7">
        <w:rPr>
          <w:lang w:val="fr-FR"/>
        </w:rPr>
        <w:t>a</w:t>
      </w:r>
      <w:r w:rsidR="006C217A" w:rsidRPr="008E73D7">
        <w:rPr>
          <w:lang w:val="fr-FR"/>
        </w:rPr>
        <w:t>ppareils de manutention</w:t>
      </w:r>
      <w:r w:rsidR="002303ED" w:rsidRPr="008E73D7">
        <w:rPr>
          <w:lang w:val="fr-FR"/>
        </w:rPr>
        <w:t>”</w:t>
      </w:r>
      <w:r w:rsidR="007A38DF" w:rsidRPr="008E73D7">
        <w:rPr>
          <w:lang w:val="fr-FR"/>
        </w:rPr>
        <w:t xml:space="preserve">, </w:t>
      </w:r>
      <w:r w:rsidR="002303ED" w:rsidRPr="008E73D7">
        <w:rPr>
          <w:lang w:val="fr-FR"/>
        </w:rPr>
        <w:t>“</w:t>
      </w:r>
      <w:r w:rsidR="000132D0" w:rsidRPr="008E73D7">
        <w:rPr>
          <w:lang w:val="fr-FR"/>
        </w:rPr>
        <w:t>a</w:t>
      </w:r>
      <w:r w:rsidR="00CB5058" w:rsidRPr="008E73D7">
        <w:rPr>
          <w:lang w:val="fr-FR"/>
        </w:rPr>
        <w:t>utres biens de consommation</w:t>
      </w:r>
      <w:r w:rsidR="002303ED" w:rsidRPr="008E73D7">
        <w:rPr>
          <w:lang w:val="fr-FR"/>
        </w:rPr>
        <w:t>”</w:t>
      </w:r>
      <w:r w:rsidR="007A38DF" w:rsidRPr="008E73D7">
        <w:rPr>
          <w:lang w:val="fr-FR"/>
        </w:rPr>
        <w:t>, “</w:t>
      </w:r>
      <w:r w:rsidR="00CB5058" w:rsidRPr="008E73D7">
        <w:rPr>
          <w:lang w:val="fr-FR"/>
        </w:rPr>
        <w:t>génie civil</w:t>
      </w:r>
      <w:r w:rsidR="007A38DF" w:rsidRPr="008E73D7">
        <w:rPr>
          <w:lang w:val="fr-FR"/>
        </w:rPr>
        <w:t xml:space="preserve">” </w:t>
      </w:r>
      <w:r w:rsidR="00CB5058" w:rsidRPr="008E73D7">
        <w:rPr>
          <w:lang w:val="fr-FR"/>
        </w:rPr>
        <w:t>et</w:t>
      </w:r>
      <w:r w:rsidR="007A38DF" w:rsidRPr="008E73D7">
        <w:rPr>
          <w:lang w:val="fr-FR"/>
        </w:rPr>
        <w:t xml:space="preserve"> “transport</w:t>
      </w:r>
      <w:r w:rsidR="00CB5058" w:rsidRPr="008E73D7">
        <w:rPr>
          <w:lang w:val="fr-FR"/>
        </w:rPr>
        <w:t>s</w:t>
      </w:r>
      <w:r w:rsidR="007A38DF" w:rsidRPr="008E73D7">
        <w:rPr>
          <w:lang w:val="fr-FR"/>
        </w:rPr>
        <w:t xml:space="preserve">”.  </w:t>
      </w:r>
      <w:r w:rsidR="00CB5058" w:rsidRPr="008E73D7">
        <w:rPr>
          <w:lang w:val="fr-FR"/>
        </w:rPr>
        <w:t xml:space="preserve">En ce qui concerne les </w:t>
      </w:r>
      <w:r w:rsidR="00A44E9B" w:rsidRPr="008E73D7">
        <w:rPr>
          <w:lang w:val="fr-FR"/>
        </w:rPr>
        <w:t>demandes de modèles d</w:t>
      </w:r>
      <w:r w:rsidR="00F22EE4" w:rsidRPr="008E73D7">
        <w:rPr>
          <w:lang w:val="fr-FR"/>
        </w:rPr>
        <w:t>’</w:t>
      </w:r>
      <w:r w:rsidR="00A44E9B" w:rsidRPr="008E73D7">
        <w:rPr>
          <w:lang w:val="fr-FR"/>
        </w:rPr>
        <w:t xml:space="preserve">utilité réparties en fonction des secteurs économiques, les plus importants étaient ceux </w:t>
      </w:r>
      <w:r w:rsidR="000D564E" w:rsidRPr="008E73D7">
        <w:rPr>
          <w:lang w:val="fr-FR"/>
        </w:rPr>
        <w:t xml:space="preserve">relevant </w:t>
      </w:r>
      <w:r w:rsidR="00A44E9B" w:rsidRPr="008E73D7">
        <w:rPr>
          <w:lang w:val="fr-FR"/>
        </w:rPr>
        <w:t>de</w:t>
      </w:r>
      <w:r w:rsidR="000D564E" w:rsidRPr="008E73D7">
        <w:rPr>
          <w:lang w:val="fr-FR"/>
        </w:rPr>
        <w:t xml:space="preserve">s secteurs </w:t>
      </w:r>
      <w:r w:rsidR="007A38DF" w:rsidRPr="008E73D7">
        <w:rPr>
          <w:lang w:val="fr-FR"/>
        </w:rPr>
        <w:t>“</w:t>
      </w:r>
      <w:r w:rsidR="00A44E9B" w:rsidRPr="008E73D7">
        <w:rPr>
          <w:lang w:val="fr-FR"/>
        </w:rPr>
        <w:t>matériel et équipements de production</w:t>
      </w:r>
      <w:r w:rsidR="007A38DF" w:rsidRPr="008E73D7">
        <w:rPr>
          <w:lang w:val="fr-FR"/>
        </w:rPr>
        <w:t>”, “</w:t>
      </w:r>
      <w:r w:rsidR="00A44E9B" w:rsidRPr="008E73D7">
        <w:rPr>
          <w:lang w:val="fr-FR"/>
        </w:rPr>
        <w:t>produits métalliques</w:t>
      </w:r>
      <w:r w:rsidR="007A38DF" w:rsidRPr="008E73D7">
        <w:rPr>
          <w:lang w:val="fr-FR"/>
        </w:rPr>
        <w:t xml:space="preserve">” </w:t>
      </w:r>
      <w:r w:rsidR="00C60AEF" w:rsidRPr="008E73D7">
        <w:rPr>
          <w:lang w:val="fr-FR"/>
        </w:rPr>
        <w:t>et</w:t>
      </w:r>
      <w:r w:rsidR="007A38DF" w:rsidRPr="008E73D7">
        <w:rPr>
          <w:lang w:val="fr-FR"/>
        </w:rPr>
        <w:t xml:space="preserve"> “</w:t>
      </w:r>
      <w:r w:rsidR="00A44E9B" w:rsidRPr="008E73D7">
        <w:rPr>
          <w:lang w:val="fr-FR"/>
        </w:rPr>
        <w:t>caoutchouc et matières plastiques</w:t>
      </w:r>
      <w:r w:rsidR="007A38DF" w:rsidRPr="008E73D7">
        <w:rPr>
          <w:lang w:val="fr-FR"/>
        </w:rPr>
        <w:t xml:space="preserve">”.  </w:t>
      </w:r>
      <w:r w:rsidR="00A44E9B" w:rsidRPr="008E73D7">
        <w:rPr>
          <w:lang w:val="fr-FR"/>
        </w:rPr>
        <w:t>Au cours de la période</w:t>
      </w:r>
      <w:r w:rsidR="00C30FD9" w:rsidRPr="008E73D7">
        <w:rPr>
          <w:lang w:val="fr-FR"/>
        </w:rPr>
        <w:t> </w:t>
      </w:r>
      <w:r w:rsidR="007A38DF" w:rsidRPr="008E73D7">
        <w:rPr>
          <w:lang w:val="fr-FR"/>
        </w:rPr>
        <w:t>2000</w:t>
      </w:r>
      <w:r w:rsidR="00D0608C" w:rsidRPr="008E73D7">
        <w:rPr>
          <w:lang w:val="fr-FR"/>
        </w:rPr>
        <w:noBreakHyphen/>
      </w:r>
      <w:r w:rsidR="000132D0" w:rsidRPr="008E73D7">
        <w:rPr>
          <w:lang w:val="fr-FR"/>
        </w:rPr>
        <w:t>20</w:t>
      </w:r>
      <w:r w:rsidR="007A38DF" w:rsidRPr="008E73D7">
        <w:rPr>
          <w:lang w:val="fr-FR"/>
        </w:rPr>
        <w:t xml:space="preserve">11, </w:t>
      </w:r>
      <w:r w:rsidR="00A44E9B" w:rsidRPr="008E73D7">
        <w:rPr>
          <w:lang w:val="fr-FR"/>
        </w:rPr>
        <w:t xml:space="preserve">le Brésil a délivré </w:t>
      </w:r>
      <w:r w:rsidR="002303ED" w:rsidRPr="008E73D7">
        <w:rPr>
          <w:lang w:val="fr-FR"/>
        </w:rPr>
        <w:t>4007 </w:t>
      </w:r>
      <w:r w:rsidR="00A44E9B" w:rsidRPr="008E73D7">
        <w:rPr>
          <w:lang w:val="fr-FR"/>
        </w:rPr>
        <w:t>modèles d</w:t>
      </w:r>
      <w:r w:rsidR="00F22EE4" w:rsidRPr="008E73D7">
        <w:rPr>
          <w:lang w:val="fr-FR"/>
        </w:rPr>
        <w:t>’</w:t>
      </w:r>
      <w:r w:rsidR="00A44E9B" w:rsidRPr="008E73D7">
        <w:rPr>
          <w:lang w:val="fr-FR"/>
        </w:rPr>
        <w:t xml:space="preserve">utilité, dont </w:t>
      </w:r>
      <w:r w:rsidR="00C30FD9" w:rsidRPr="008E73D7">
        <w:rPr>
          <w:lang w:val="fr-FR"/>
        </w:rPr>
        <w:t>3799</w:t>
      </w:r>
      <w:r w:rsidR="007A38DF" w:rsidRPr="008E73D7">
        <w:rPr>
          <w:lang w:val="fr-FR"/>
        </w:rPr>
        <w:t xml:space="preserve"> </w:t>
      </w:r>
      <w:r w:rsidR="00A44E9B" w:rsidRPr="008E73D7">
        <w:rPr>
          <w:lang w:val="fr-FR"/>
        </w:rPr>
        <w:t xml:space="preserve">à des </w:t>
      </w:r>
      <w:r w:rsidR="007A38DF" w:rsidRPr="008E73D7">
        <w:rPr>
          <w:lang w:val="fr-FR"/>
        </w:rPr>
        <w:t>r</w:t>
      </w:r>
      <w:r w:rsidR="00A44E9B" w:rsidRPr="008E73D7">
        <w:rPr>
          <w:lang w:val="fr-FR"/>
        </w:rPr>
        <w:t>é</w:t>
      </w:r>
      <w:r w:rsidR="007A38DF" w:rsidRPr="008E73D7">
        <w:rPr>
          <w:lang w:val="fr-FR"/>
        </w:rPr>
        <w:t xml:space="preserve">sidents </w:t>
      </w:r>
      <w:r w:rsidR="00A44E9B" w:rsidRPr="008E73D7">
        <w:rPr>
          <w:lang w:val="fr-FR"/>
        </w:rPr>
        <w:t xml:space="preserve">et </w:t>
      </w:r>
      <w:r w:rsidR="007A38DF" w:rsidRPr="008E73D7">
        <w:rPr>
          <w:lang w:val="fr-FR"/>
        </w:rPr>
        <w:t xml:space="preserve">208 </w:t>
      </w:r>
      <w:r w:rsidR="00A44E9B" w:rsidRPr="008E73D7">
        <w:rPr>
          <w:lang w:val="fr-FR"/>
        </w:rPr>
        <w:t xml:space="preserve">à des </w:t>
      </w:r>
      <w:r w:rsidR="007A38DF" w:rsidRPr="008E73D7">
        <w:rPr>
          <w:lang w:val="fr-FR"/>
        </w:rPr>
        <w:t>non</w:t>
      </w:r>
      <w:r w:rsidR="00D0608C" w:rsidRPr="008E73D7">
        <w:rPr>
          <w:lang w:val="fr-FR"/>
        </w:rPr>
        <w:noBreakHyphen/>
      </w:r>
      <w:r w:rsidR="007A38DF" w:rsidRPr="008E73D7">
        <w:rPr>
          <w:lang w:val="fr-FR"/>
        </w:rPr>
        <w:t>r</w:t>
      </w:r>
      <w:r w:rsidR="00A44E9B" w:rsidRPr="008E73D7">
        <w:rPr>
          <w:lang w:val="fr-FR"/>
        </w:rPr>
        <w:t>é</w:t>
      </w:r>
      <w:r w:rsidR="007A38DF" w:rsidRPr="008E73D7">
        <w:rPr>
          <w:lang w:val="fr-FR"/>
        </w:rPr>
        <w:t>sidents.</w:t>
      </w:r>
    </w:p>
    <w:p w:rsidR="000D4BEE" w:rsidRPr="008E73D7" w:rsidRDefault="000D4BEE" w:rsidP="00DF0747">
      <w:pPr>
        <w:rPr>
          <w:lang w:val="fr-FR"/>
        </w:rPr>
      </w:pPr>
    </w:p>
    <w:p w:rsidR="000D4BEE" w:rsidRPr="008E73D7" w:rsidRDefault="002B2CA1" w:rsidP="00DF0747">
      <w:pPr>
        <w:rPr>
          <w:lang w:val="fr-FR"/>
        </w:rPr>
      </w:pPr>
      <w:r w:rsidRPr="008E73D7">
        <w:rPr>
          <w:lang w:val="fr-FR"/>
        </w:rPr>
        <w:t>Le rapport montre également que le nombre total de demandes d</w:t>
      </w:r>
      <w:r w:rsidR="00F22EE4" w:rsidRPr="008E73D7">
        <w:rPr>
          <w:lang w:val="fr-FR"/>
        </w:rPr>
        <w:t>’</w:t>
      </w:r>
      <w:r w:rsidRPr="008E73D7">
        <w:rPr>
          <w:lang w:val="fr-FR"/>
        </w:rPr>
        <w:t>enregistrement de dessins et modèles industriels d</w:t>
      </w:r>
      <w:r w:rsidR="002B0917" w:rsidRPr="008E73D7">
        <w:rPr>
          <w:lang w:val="fr-FR"/>
        </w:rPr>
        <w:t>é</w:t>
      </w:r>
      <w:r w:rsidRPr="008E73D7">
        <w:rPr>
          <w:lang w:val="fr-FR"/>
        </w:rPr>
        <w:t>pos</w:t>
      </w:r>
      <w:r w:rsidR="002B0917" w:rsidRPr="008E73D7">
        <w:rPr>
          <w:lang w:val="fr-FR"/>
        </w:rPr>
        <w:t>é</w:t>
      </w:r>
      <w:r w:rsidRPr="008E73D7">
        <w:rPr>
          <w:lang w:val="fr-FR"/>
        </w:rPr>
        <w:t xml:space="preserve">es au Brésil </w:t>
      </w:r>
      <w:r w:rsidR="00D97747" w:rsidRPr="008E73D7">
        <w:rPr>
          <w:lang w:val="fr-FR"/>
        </w:rPr>
        <w:t>pour la période allant de</w:t>
      </w:r>
      <w:r w:rsidR="00C30FD9" w:rsidRPr="008E73D7">
        <w:rPr>
          <w:lang w:val="fr-FR"/>
        </w:rPr>
        <w:t> </w:t>
      </w:r>
      <w:r w:rsidR="007A38DF" w:rsidRPr="008E73D7">
        <w:rPr>
          <w:lang w:val="fr-FR"/>
        </w:rPr>
        <w:t xml:space="preserve">2000 </w:t>
      </w:r>
      <w:r w:rsidR="00352A09" w:rsidRPr="008E73D7">
        <w:rPr>
          <w:lang w:val="fr-FR"/>
        </w:rPr>
        <w:t>à </w:t>
      </w:r>
      <w:r w:rsidR="007A38DF" w:rsidRPr="008E73D7">
        <w:rPr>
          <w:lang w:val="fr-FR"/>
        </w:rPr>
        <w:t xml:space="preserve">2011 </w:t>
      </w:r>
      <w:r w:rsidR="00352A09" w:rsidRPr="008E73D7">
        <w:rPr>
          <w:lang w:val="fr-FR"/>
        </w:rPr>
        <w:t>a augmenté de </w:t>
      </w:r>
      <w:r w:rsidR="007A38DF" w:rsidRPr="008E73D7">
        <w:rPr>
          <w:lang w:val="fr-FR"/>
        </w:rPr>
        <w:t xml:space="preserve">89%, </w:t>
      </w:r>
      <w:r w:rsidR="00D97747" w:rsidRPr="008E73D7">
        <w:rPr>
          <w:lang w:val="fr-FR"/>
        </w:rPr>
        <w:t xml:space="preserve">allant </w:t>
      </w:r>
      <w:r w:rsidR="00C60AEF" w:rsidRPr="008E73D7">
        <w:rPr>
          <w:lang w:val="fr-FR"/>
        </w:rPr>
        <w:t>d</w:t>
      </w:r>
      <w:r w:rsidR="00F22EE4" w:rsidRPr="008E73D7">
        <w:rPr>
          <w:lang w:val="fr-FR"/>
        </w:rPr>
        <w:t>’</w:t>
      </w:r>
      <w:r w:rsidR="00D97747" w:rsidRPr="008E73D7">
        <w:rPr>
          <w:lang w:val="fr-FR"/>
        </w:rPr>
        <w:t xml:space="preserve">approximativement </w:t>
      </w:r>
      <w:r w:rsidR="00C30FD9" w:rsidRPr="008E73D7">
        <w:rPr>
          <w:lang w:val="fr-FR"/>
        </w:rPr>
        <w:t>3610</w:t>
      </w:r>
      <w:r w:rsidR="007A38DF" w:rsidRPr="008E73D7">
        <w:rPr>
          <w:lang w:val="fr-FR"/>
        </w:rPr>
        <w:t xml:space="preserve"> </w:t>
      </w:r>
      <w:r w:rsidR="00D97747" w:rsidRPr="008E73D7">
        <w:rPr>
          <w:lang w:val="fr-FR"/>
        </w:rPr>
        <w:t>jusqu</w:t>
      </w:r>
      <w:r w:rsidR="00F22EE4" w:rsidRPr="008E73D7">
        <w:rPr>
          <w:lang w:val="fr-FR"/>
        </w:rPr>
        <w:t>’</w:t>
      </w:r>
      <w:r w:rsidR="00D97747" w:rsidRPr="008E73D7">
        <w:rPr>
          <w:lang w:val="fr-FR"/>
        </w:rPr>
        <w:t xml:space="preserve">à </w:t>
      </w:r>
      <w:r w:rsidR="00C30FD9" w:rsidRPr="008E73D7">
        <w:rPr>
          <w:lang w:val="fr-FR"/>
        </w:rPr>
        <w:t>6835</w:t>
      </w:r>
      <w:r w:rsidR="007A38DF" w:rsidRPr="008E73D7">
        <w:rPr>
          <w:lang w:val="fr-FR"/>
        </w:rPr>
        <w:t xml:space="preserve">.  </w:t>
      </w:r>
      <w:r w:rsidR="00D97747" w:rsidRPr="008E73D7">
        <w:rPr>
          <w:lang w:val="fr-FR"/>
        </w:rPr>
        <w:t xml:space="preserve">Les </w:t>
      </w:r>
      <w:r w:rsidR="002303ED" w:rsidRPr="008E73D7">
        <w:rPr>
          <w:lang w:val="fr-FR"/>
        </w:rPr>
        <w:t>6835 </w:t>
      </w:r>
      <w:r w:rsidR="00D97747" w:rsidRPr="008E73D7">
        <w:rPr>
          <w:lang w:val="fr-FR"/>
        </w:rPr>
        <w:t>demandes déposées en</w:t>
      </w:r>
      <w:r w:rsidR="00C30FD9" w:rsidRPr="008E73D7">
        <w:rPr>
          <w:lang w:val="fr-FR"/>
        </w:rPr>
        <w:t> </w:t>
      </w:r>
      <w:r w:rsidR="007A38DF" w:rsidRPr="008E73D7">
        <w:rPr>
          <w:lang w:val="fr-FR"/>
        </w:rPr>
        <w:t xml:space="preserve">2011 </w:t>
      </w:r>
      <w:r w:rsidR="00D97747" w:rsidRPr="008E73D7">
        <w:rPr>
          <w:lang w:val="fr-FR"/>
        </w:rPr>
        <w:t xml:space="preserve">comprenaient </w:t>
      </w:r>
      <w:r w:rsidR="002303ED" w:rsidRPr="008E73D7">
        <w:rPr>
          <w:lang w:val="fr-FR"/>
        </w:rPr>
        <w:t>4364 </w:t>
      </w:r>
      <w:r w:rsidR="00D97747" w:rsidRPr="008E73D7">
        <w:rPr>
          <w:lang w:val="fr-FR"/>
        </w:rPr>
        <w:t>demandes émanant de ré</w:t>
      </w:r>
      <w:r w:rsidR="007A38DF" w:rsidRPr="008E73D7">
        <w:rPr>
          <w:lang w:val="fr-FR"/>
        </w:rPr>
        <w:t>sident</w:t>
      </w:r>
      <w:r w:rsidR="00377B1C" w:rsidRPr="008E73D7">
        <w:rPr>
          <w:lang w:val="fr-FR"/>
        </w:rPr>
        <w:t>s</w:t>
      </w:r>
      <w:r w:rsidR="007A38DF" w:rsidRPr="008E73D7">
        <w:rPr>
          <w:lang w:val="fr-FR"/>
        </w:rPr>
        <w:t xml:space="preserve"> </w:t>
      </w:r>
      <w:r w:rsidR="00D97747" w:rsidRPr="008E73D7">
        <w:rPr>
          <w:lang w:val="fr-FR"/>
        </w:rPr>
        <w:t xml:space="preserve">et </w:t>
      </w:r>
      <w:r w:rsidR="00C30FD9" w:rsidRPr="008E73D7">
        <w:rPr>
          <w:lang w:val="fr-FR"/>
        </w:rPr>
        <w:t>2471</w:t>
      </w:r>
      <w:r w:rsidR="007A38DF" w:rsidRPr="008E73D7">
        <w:rPr>
          <w:lang w:val="fr-FR"/>
        </w:rPr>
        <w:t xml:space="preserve"> </w:t>
      </w:r>
      <w:r w:rsidR="00D97747" w:rsidRPr="008E73D7">
        <w:rPr>
          <w:lang w:val="fr-FR"/>
        </w:rPr>
        <w:t xml:space="preserve">de </w:t>
      </w:r>
      <w:r w:rsidR="000132D0" w:rsidRPr="008E73D7">
        <w:rPr>
          <w:lang w:val="fr-FR"/>
        </w:rPr>
        <w:t>non</w:t>
      </w:r>
      <w:r w:rsidR="000132D0" w:rsidRPr="008E73D7">
        <w:rPr>
          <w:lang w:val="fr-FR"/>
        </w:rPr>
        <w:noBreakHyphen/>
      </w:r>
      <w:r w:rsidR="002303ED" w:rsidRPr="008E73D7">
        <w:rPr>
          <w:lang w:val="fr-FR"/>
        </w:rPr>
        <w:t>résidents</w:t>
      </w:r>
      <w:r w:rsidR="007A38DF" w:rsidRPr="008E73D7">
        <w:rPr>
          <w:lang w:val="fr-FR"/>
        </w:rPr>
        <w:t xml:space="preserve">.  </w:t>
      </w:r>
      <w:r w:rsidR="002B0917" w:rsidRPr="008E73D7">
        <w:rPr>
          <w:lang w:val="fr-FR"/>
        </w:rPr>
        <w:t>En comparaison avec les chiffres de l</w:t>
      </w:r>
      <w:r w:rsidR="00F22EE4" w:rsidRPr="008E73D7">
        <w:rPr>
          <w:lang w:val="fr-FR"/>
        </w:rPr>
        <w:t>’</w:t>
      </w:r>
      <w:r w:rsidR="002303ED" w:rsidRPr="008E73D7">
        <w:rPr>
          <w:lang w:val="fr-FR"/>
        </w:rPr>
        <w:t>année </w:t>
      </w:r>
      <w:r w:rsidR="007A38DF" w:rsidRPr="008E73D7">
        <w:rPr>
          <w:lang w:val="fr-FR"/>
        </w:rPr>
        <w:t xml:space="preserve">2000, </w:t>
      </w:r>
      <w:r w:rsidR="002B0917" w:rsidRPr="008E73D7">
        <w:rPr>
          <w:lang w:val="fr-FR"/>
        </w:rPr>
        <w:t xml:space="preserve">le nombre de demandes </w:t>
      </w:r>
      <w:r w:rsidR="00377B1C" w:rsidRPr="008E73D7">
        <w:rPr>
          <w:lang w:val="fr-FR"/>
        </w:rPr>
        <w:t xml:space="preserve">déposées par </w:t>
      </w:r>
      <w:r w:rsidR="002B0917" w:rsidRPr="008E73D7">
        <w:rPr>
          <w:lang w:val="fr-FR"/>
        </w:rPr>
        <w:t xml:space="preserve">des </w:t>
      </w:r>
      <w:r w:rsidR="007A38DF" w:rsidRPr="008E73D7">
        <w:rPr>
          <w:lang w:val="fr-FR"/>
        </w:rPr>
        <w:t>non</w:t>
      </w:r>
      <w:r w:rsidR="00D0608C" w:rsidRPr="008E73D7">
        <w:rPr>
          <w:lang w:val="fr-FR"/>
        </w:rPr>
        <w:noBreakHyphen/>
      </w:r>
      <w:r w:rsidR="007A38DF" w:rsidRPr="008E73D7">
        <w:rPr>
          <w:lang w:val="fr-FR"/>
        </w:rPr>
        <w:t>r</w:t>
      </w:r>
      <w:r w:rsidR="002B0917" w:rsidRPr="008E73D7">
        <w:rPr>
          <w:lang w:val="fr-FR"/>
        </w:rPr>
        <w:t>é</w:t>
      </w:r>
      <w:r w:rsidR="007A38DF" w:rsidRPr="008E73D7">
        <w:rPr>
          <w:lang w:val="fr-FR"/>
        </w:rPr>
        <w:t>sident</w:t>
      </w:r>
      <w:r w:rsidR="002B0917" w:rsidRPr="008E73D7">
        <w:rPr>
          <w:lang w:val="fr-FR"/>
        </w:rPr>
        <w:t>s</w:t>
      </w:r>
      <w:r w:rsidR="007A38DF" w:rsidRPr="008E73D7">
        <w:rPr>
          <w:lang w:val="fr-FR"/>
        </w:rPr>
        <w:t xml:space="preserve"> </w:t>
      </w:r>
      <w:r w:rsidR="00377B1C" w:rsidRPr="008E73D7">
        <w:rPr>
          <w:lang w:val="fr-FR"/>
        </w:rPr>
        <w:t>en</w:t>
      </w:r>
      <w:r w:rsidR="002303ED" w:rsidRPr="008E73D7">
        <w:rPr>
          <w:lang w:val="fr-FR"/>
        </w:rPr>
        <w:t> </w:t>
      </w:r>
      <w:r w:rsidR="007A38DF" w:rsidRPr="008E73D7">
        <w:rPr>
          <w:lang w:val="fr-FR"/>
        </w:rPr>
        <w:t xml:space="preserve">2011 </w:t>
      </w:r>
      <w:r w:rsidR="002B0917" w:rsidRPr="008E73D7">
        <w:rPr>
          <w:lang w:val="fr-FR"/>
        </w:rPr>
        <w:t xml:space="preserve">avait connu une hausse importante et avait presque triplé </w:t>
      </w:r>
      <w:r w:rsidR="007A38DF" w:rsidRPr="008E73D7">
        <w:rPr>
          <w:lang w:val="fr-FR"/>
        </w:rPr>
        <w:t xml:space="preserve">(175%), </w:t>
      </w:r>
      <w:r w:rsidR="002B0917" w:rsidRPr="008E73D7">
        <w:rPr>
          <w:lang w:val="fr-FR"/>
        </w:rPr>
        <w:t xml:space="preserve">tandis que les demandes provenant de </w:t>
      </w:r>
      <w:r w:rsidR="007A38DF" w:rsidRPr="008E73D7">
        <w:rPr>
          <w:lang w:val="fr-FR"/>
        </w:rPr>
        <w:t>r</w:t>
      </w:r>
      <w:r w:rsidR="002B0917" w:rsidRPr="008E73D7">
        <w:rPr>
          <w:lang w:val="fr-FR"/>
        </w:rPr>
        <w:t>é</w:t>
      </w:r>
      <w:r w:rsidR="007A38DF" w:rsidRPr="008E73D7">
        <w:rPr>
          <w:lang w:val="fr-FR"/>
        </w:rPr>
        <w:t>sident</w:t>
      </w:r>
      <w:r w:rsidR="002B0917" w:rsidRPr="008E73D7">
        <w:rPr>
          <w:lang w:val="fr-FR"/>
        </w:rPr>
        <w:t>s</w:t>
      </w:r>
      <w:r w:rsidR="007A38DF" w:rsidRPr="008E73D7">
        <w:rPr>
          <w:lang w:val="fr-FR"/>
        </w:rPr>
        <w:t xml:space="preserve"> </w:t>
      </w:r>
      <w:r w:rsidR="00C60AEF" w:rsidRPr="008E73D7">
        <w:rPr>
          <w:lang w:val="fr-FR"/>
        </w:rPr>
        <w:t>avaient</w:t>
      </w:r>
      <w:r w:rsidR="002B0917" w:rsidRPr="008E73D7">
        <w:rPr>
          <w:lang w:val="fr-FR"/>
        </w:rPr>
        <w:t xml:space="preserve"> également augmenté, mais de façon plus modeste (</w:t>
      </w:r>
      <w:r w:rsidR="007A38DF" w:rsidRPr="008E73D7">
        <w:rPr>
          <w:lang w:val="fr-FR"/>
        </w:rPr>
        <w:t xml:space="preserve">62%).  </w:t>
      </w:r>
      <w:r w:rsidR="00A62B98" w:rsidRPr="008E73D7">
        <w:rPr>
          <w:lang w:val="fr-FR"/>
        </w:rPr>
        <w:t>Ainsi, il y a</w:t>
      </w:r>
      <w:r w:rsidR="00377B1C" w:rsidRPr="008E73D7">
        <w:rPr>
          <w:lang w:val="fr-FR"/>
        </w:rPr>
        <w:t xml:space="preserve"> eu un accroissement de la part</w:t>
      </w:r>
      <w:r w:rsidR="00A62B98" w:rsidRPr="008E73D7">
        <w:rPr>
          <w:lang w:val="fr-FR"/>
        </w:rPr>
        <w:t xml:space="preserve"> des </w:t>
      </w:r>
      <w:r w:rsidR="007A38DF" w:rsidRPr="008E73D7">
        <w:rPr>
          <w:lang w:val="fr-FR"/>
        </w:rPr>
        <w:t>non</w:t>
      </w:r>
      <w:r w:rsidR="00377B1C" w:rsidRPr="008E73D7">
        <w:rPr>
          <w:lang w:val="fr-FR"/>
        </w:rPr>
        <w:noBreakHyphen/>
      </w:r>
      <w:r w:rsidR="007A38DF" w:rsidRPr="008E73D7">
        <w:rPr>
          <w:lang w:val="fr-FR"/>
        </w:rPr>
        <w:t>r</w:t>
      </w:r>
      <w:r w:rsidR="00A62B98" w:rsidRPr="008E73D7">
        <w:rPr>
          <w:lang w:val="fr-FR"/>
        </w:rPr>
        <w:t>é</w:t>
      </w:r>
      <w:r w:rsidR="007A38DF" w:rsidRPr="008E73D7">
        <w:rPr>
          <w:lang w:val="fr-FR"/>
        </w:rPr>
        <w:t>sident</w:t>
      </w:r>
      <w:r w:rsidR="00A62B98" w:rsidRPr="008E73D7">
        <w:rPr>
          <w:lang w:val="fr-FR"/>
        </w:rPr>
        <w:t>s</w:t>
      </w:r>
      <w:r w:rsidR="007A38DF" w:rsidRPr="008E73D7">
        <w:rPr>
          <w:lang w:val="fr-FR"/>
        </w:rPr>
        <w:t xml:space="preserve"> </w:t>
      </w:r>
      <w:r w:rsidR="00377B1C" w:rsidRPr="008E73D7">
        <w:rPr>
          <w:lang w:val="fr-FR"/>
        </w:rPr>
        <w:t>dans le nombre total de</w:t>
      </w:r>
      <w:r w:rsidR="00A62B98" w:rsidRPr="008E73D7">
        <w:rPr>
          <w:lang w:val="fr-FR"/>
        </w:rPr>
        <w:t xml:space="preserve"> demandes d</w:t>
      </w:r>
      <w:r w:rsidR="00F22EE4" w:rsidRPr="008E73D7">
        <w:rPr>
          <w:lang w:val="fr-FR"/>
        </w:rPr>
        <w:t>’</w:t>
      </w:r>
      <w:r w:rsidR="00A62B98" w:rsidRPr="008E73D7">
        <w:rPr>
          <w:lang w:val="fr-FR"/>
        </w:rPr>
        <w:t>enregistrement de dessins et modèles industriels déposées au cours de la pé</w:t>
      </w:r>
      <w:r w:rsidR="00905678" w:rsidRPr="008E73D7">
        <w:rPr>
          <w:lang w:val="fr-FR"/>
        </w:rPr>
        <w:t>riode concernée.</w:t>
      </w:r>
      <w:r w:rsidR="007A38DF" w:rsidRPr="008E73D7">
        <w:rPr>
          <w:lang w:val="fr-FR"/>
        </w:rPr>
        <w:t xml:space="preserve">  </w:t>
      </w:r>
      <w:r w:rsidR="00980F45" w:rsidRPr="008E73D7">
        <w:rPr>
          <w:lang w:val="fr-FR"/>
        </w:rPr>
        <w:t>E</w:t>
      </w:r>
      <w:r w:rsidR="007A38DF" w:rsidRPr="008E73D7">
        <w:rPr>
          <w:lang w:val="fr-FR"/>
        </w:rPr>
        <w:t>n</w:t>
      </w:r>
      <w:r w:rsidR="00C30FD9" w:rsidRPr="008E73D7">
        <w:rPr>
          <w:lang w:val="fr-FR"/>
        </w:rPr>
        <w:t> </w:t>
      </w:r>
      <w:r w:rsidR="007A38DF" w:rsidRPr="008E73D7">
        <w:rPr>
          <w:lang w:val="fr-FR"/>
        </w:rPr>
        <w:t xml:space="preserve">2000, </w:t>
      </w:r>
      <w:r w:rsidR="00980F45" w:rsidRPr="008E73D7">
        <w:rPr>
          <w:lang w:val="fr-FR"/>
        </w:rPr>
        <w:t>la ré</w:t>
      </w:r>
      <w:r w:rsidR="00352A09" w:rsidRPr="008E73D7">
        <w:rPr>
          <w:lang w:val="fr-FR"/>
        </w:rPr>
        <w:t>partition des demandes était de </w:t>
      </w:r>
      <w:r w:rsidR="007A38DF" w:rsidRPr="008E73D7">
        <w:rPr>
          <w:lang w:val="fr-FR"/>
        </w:rPr>
        <w:t xml:space="preserve">25% </w:t>
      </w:r>
      <w:r w:rsidR="00980F45" w:rsidRPr="008E73D7">
        <w:rPr>
          <w:lang w:val="fr-FR"/>
        </w:rPr>
        <w:t xml:space="preserve">pour les </w:t>
      </w:r>
      <w:r w:rsidR="007A38DF" w:rsidRPr="008E73D7">
        <w:rPr>
          <w:lang w:val="fr-FR"/>
        </w:rPr>
        <w:t>non</w:t>
      </w:r>
      <w:r w:rsidR="00D0608C" w:rsidRPr="008E73D7">
        <w:rPr>
          <w:lang w:val="fr-FR"/>
        </w:rPr>
        <w:noBreakHyphen/>
      </w:r>
      <w:r w:rsidR="007A38DF" w:rsidRPr="008E73D7">
        <w:rPr>
          <w:lang w:val="fr-FR"/>
        </w:rPr>
        <w:t>r</w:t>
      </w:r>
      <w:r w:rsidR="00980F45" w:rsidRPr="008E73D7">
        <w:rPr>
          <w:lang w:val="fr-FR"/>
        </w:rPr>
        <w:t>é</w:t>
      </w:r>
      <w:r w:rsidR="007A38DF" w:rsidRPr="008E73D7">
        <w:rPr>
          <w:lang w:val="fr-FR"/>
        </w:rPr>
        <w:t xml:space="preserve">sidents </w:t>
      </w:r>
      <w:r w:rsidR="00352A09" w:rsidRPr="008E73D7">
        <w:rPr>
          <w:lang w:val="fr-FR"/>
        </w:rPr>
        <w:t>et de </w:t>
      </w:r>
      <w:r w:rsidR="007A38DF" w:rsidRPr="008E73D7">
        <w:rPr>
          <w:lang w:val="fr-FR"/>
        </w:rPr>
        <w:t xml:space="preserve">75% </w:t>
      </w:r>
      <w:r w:rsidR="00980F45" w:rsidRPr="008E73D7">
        <w:rPr>
          <w:lang w:val="fr-FR"/>
        </w:rPr>
        <w:t xml:space="preserve">pour les </w:t>
      </w:r>
      <w:r w:rsidR="007A38DF" w:rsidRPr="008E73D7">
        <w:rPr>
          <w:lang w:val="fr-FR"/>
        </w:rPr>
        <w:t>r</w:t>
      </w:r>
      <w:r w:rsidR="00980F45" w:rsidRPr="008E73D7">
        <w:rPr>
          <w:lang w:val="fr-FR"/>
        </w:rPr>
        <w:t>é</w:t>
      </w:r>
      <w:r w:rsidR="007A38DF" w:rsidRPr="008E73D7">
        <w:rPr>
          <w:lang w:val="fr-FR"/>
        </w:rPr>
        <w:t xml:space="preserve">sidents, </w:t>
      </w:r>
      <w:r w:rsidR="00980F45" w:rsidRPr="008E73D7">
        <w:rPr>
          <w:lang w:val="fr-FR"/>
        </w:rPr>
        <w:t>alors qu</w:t>
      </w:r>
      <w:r w:rsidR="00F22EE4" w:rsidRPr="008E73D7">
        <w:rPr>
          <w:lang w:val="fr-FR"/>
        </w:rPr>
        <w:t>’</w:t>
      </w:r>
      <w:r w:rsidR="00980F45" w:rsidRPr="008E73D7">
        <w:rPr>
          <w:lang w:val="fr-FR"/>
        </w:rPr>
        <w:t>en</w:t>
      </w:r>
      <w:r w:rsidR="00C30FD9" w:rsidRPr="008E73D7">
        <w:rPr>
          <w:lang w:val="fr-FR"/>
        </w:rPr>
        <w:t> </w:t>
      </w:r>
      <w:r w:rsidR="007A38DF" w:rsidRPr="008E73D7">
        <w:rPr>
          <w:lang w:val="fr-FR"/>
        </w:rPr>
        <w:t xml:space="preserve">2011, </w:t>
      </w:r>
      <w:r w:rsidR="00980F45" w:rsidRPr="008E73D7">
        <w:rPr>
          <w:lang w:val="fr-FR"/>
        </w:rPr>
        <w:t>les pourcentage</w:t>
      </w:r>
      <w:r w:rsidR="00927C63" w:rsidRPr="008E73D7">
        <w:rPr>
          <w:lang w:val="fr-FR"/>
        </w:rPr>
        <w:t xml:space="preserve">s </w:t>
      </w:r>
      <w:r w:rsidR="00352A09" w:rsidRPr="008E73D7">
        <w:rPr>
          <w:lang w:val="fr-FR"/>
        </w:rPr>
        <w:t>étaient passés à </w:t>
      </w:r>
      <w:r w:rsidR="007A38DF" w:rsidRPr="008E73D7">
        <w:rPr>
          <w:lang w:val="fr-FR"/>
        </w:rPr>
        <w:t xml:space="preserve">36% </w:t>
      </w:r>
      <w:r w:rsidR="00352A09" w:rsidRPr="008E73D7">
        <w:rPr>
          <w:lang w:val="fr-FR"/>
        </w:rPr>
        <w:t>et </w:t>
      </w:r>
      <w:r w:rsidR="007A38DF" w:rsidRPr="008E73D7">
        <w:rPr>
          <w:lang w:val="fr-FR"/>
        </w:rPr>
        <w:t>64% respective</w:t>
      </w:r>
      <w:r w:rsidR="00980F45" w:rsidRPr="008E73D7">
        <w:rPr>
          <w:lang w:val="fr-FR"/>
        </w:rPr>
        <w:t>ment</w:t>
      </w:r>
      <w:r w:rsidR="007A38DF" w:rsidRPr="008E73D7">
        <w:rPr>
          <w:lang w:val="fr-FR"/>
        </w:rPr>
        <w:t xml:space="preserve">.  </w:t>
      </w:r>
      <w:r w:rsidR="003A0E8D" w:rsidRPr="008E73D7">
        <w:rPr>
          <w:lang w:val="fr-FR"/>
        </w:rPr>
        <w:t>Le</w:t>
      </w:r>
      <w:r w:rsidR="005661DD" w:rsidRPr="008E73D7">
        <w:rPr>
          <w:lang w:val="fr-FR"/>
        </w:rPr>
        <w:t xml:space="preserve"> quota des</w:t>
      </w:r>
      <w:r w:rsidR="003A0E8D" w:rsidRPr="008E73D7">
        <w:rPr>
          <w:lang w:val="fr-FR"/>
        </w:rPr>
        <w:t xml:space="preserve"> ré</w:t>
      </w:r>
      <w:r w:rsidR="007A38DF" w:rsidRPr="008E73D7">
        <w:rPr>
          <w:lang w:val="fr-FR"/>
        </w:rPr>
        <w:t xml:space="preserve">sidents </w:t>
      </w:r>
      <w:r w:rsidR="003A0E8D" w:rsidRPr="008E73D7">
        <w:rPr>
          <w:lang w:val="fr-FR"/>
        </w:rPr>
        <w:t>des États</w:t>
      </w:r>
      <w:r w:rsidR="00D0608C" w:rsidRPr="008E73D7">
        <w:rPr>
          <w:lang w:val="fr-FR"/>
        </w:rPr>
        <w:noBreakHyphen/>
      </w:r>
      <w:r w:rsidR="003A0E8D" w:rsidRPr="008E73D7">
        <w:rPr>
          <w:lang w:val="fr-FR"/>
        </w:rPr>
        <w:t>Unis d</w:t>
      </w:r>
      <w:r w:rsidR="00F22EE4" w:rsidRPr="008E73D7">
        <w:rPr>
          <w:lang w:val="fr-FR"/>
        </w:rPr>
        <w:t>’</w:t>
      </w:r>
      <w:r w:rsidR="003A0E8D" w:rsidRPr="008E73D7">
        <w:rPr>
          <w:lang w:val="fr-FR"/>
        </w:rPr>
        <w:t xml:space="preserve">Amérique représentait la plus forte composante de la hausse du taux de demandes émanant de </w:t>
      </w:r>
      <w:r w:rsidR="000132D0" w:rsidRPr="008E73D7">
        <w:rPr>
          <w:lang w:val="fr-FR"/>
        </w:rPr>
        <w:t>non</w:t>
      </w:r>
      <w:r w:rsidR="000132D0" w:rsidRPr="008E73D7">
        <w:rPr>
          <w:lang w:val="fr-FR"/>
        </w:rPr>
        <w:noBreakHyphen/>
      </w:r>
      <w:r w:rsidR="002303ED" w:rsidRPr="008E73D7">
        <w:rPr>
          <w:lang w:val="fr-FR"/>
        </w:rPr>
        <w:t>résidents</w:t>
      </w:r>
      <w:r w:rsidR="003A0E8D" w:rsidRPr="008E73D7">
        <w:rPr>
          <w:lang w:val="fr-FR"/>
        </w:rPr>
        <w:t xml:space="preserve"> </w:t>
      </w:r>
      <w:r w:rsidR="007A38DF" w:rsidRPr="008E73D7">
        <w:rPr>
          <w:lang w:val="fr-FR"/>
        </w:rPr>
        <w:t xml:space="preserve">(27%), </w:t>
      </w:r>
      <w:r w:rsidR="003A0E8D" w:rsidRPr="008E73D7">
        <w:rPr>
          <w:lang w:val="fr-FR"/>
        </w:rPr>
        <w:t xml:space="preserve">mais </w:t>
      </w:r>
      <w:r w:rsidR="00377B1C" w:rsidRPr="008E73D7">
        <w:rPr>
          <w:lang w:val="fr-FR"/>
        </w:rPr>
        <w:t>avait perdu</w:t>
      </w:r>
      <w:r w:rsidR="003A0E8D" w:rsidRPr="008E73D7">
        <w:rPr>
          <w:lang w:val="fr-FR"/>
        </w:rPr>
        <w:t xml:space="preserve"> son importance relative</w:t>
      </w:r>
      <w:r w:rsidR="007A38DF" w:rsidRPr="008E73D7">
        <w:rPr>
          <w:lang w:val="fr-FR"/>
        </w:rPr>
        <w:t xml:space="preserve">.  </w:t>
      </w:r>
      <w:r w:rsidR="00DC7F9F" w:rsidRPr="008E73D7">
        <w:rPr>
          <w:lang w:val="fr-FR"/>
        </w:rPr>
        <w:t xml:space="preserve">Le Japon comptait pour </w:t>
      </w:r>
      <w:r w:rsidR="007A38DF" w:rsidRPr="008E73D7">
        <w:rPr>
          <w:lang w:val="fr-FR"/>
        </w:rPr>
        <w:t>19</w:t>
      </w:r>
      <w:r w:rsidR="00DC7F9F" w:rsidRPr="008E73D7">
        <w:rPr>
          <w:lang w:val="fr-FR"/>
        </w:rPr>
        <w:t xml:space="preserve">% de la croissance du total des demandes, </w:t>
      </w:r>
      <w:r w:rsidR="00377B1C" w:rsidRPr="008E73D7">
        <w:rPr>
          <w:lang w:val="fr-FR"/>
        </w:rPr>
        <w:t>avec</w:t>
      </w:r>
      <w:r w:rsidR="00DC7F9F" w:rsidRPr="008E73D7">
        <w:rPr>
          <w:lang w:val="fr-FR"/>
        </w:rPr>
        <w:t xml:space="preserve"> une forte hausse de </w:t>
      </w:r>
      <w:r w:rsidR="007A38DF" w:rsidRPr="008E73D7">
        <w:rPr>
          <w:lang w:val="fr-FR"/>
        </w:rPr>
        <w:t xml:space="preserve">574%.  </w:t>
      </w:r>
      <w:r w:rsidR="008D67E8" w:rsidRPr="008E73D7">
        <w:rPr>
          <w:lang w:val="fr-FR"/>
        </w:rPr>
        <w:t>S</w:t>
      </w:r>
      <w:r w:rsidR="00F22EE4" w:rsidRPr="008E73D7">
        <w:rPr>
          <w:lang w:val="fr-FR"/>
        </w:rPr>
        <w:t>’</w:t>
      </w:r>
      <w:r w:rsidR="008D67E8" w:rsidRPr="008E73D7">
        <w:rPr>
          <w:lang w:val="fr-FR"/>
        </w:rPr>
        <w:t>agissant des demandes d</w:t>
      </w:r>
      <w:r w:rsidR="009B4CB5" w:rsidRPr="008E73D7">
        <w:rPr>
          <w:lang w:val="fr-FR"/>
        </w:rPr>
        <w:t>é</w:t>
      </w:r>
      <w:r w:rsidR="008D67E8" w:rsidRPr="008E73D7">
        <w:rPr>
          <w:lang w:val="fr-FR"/>
        </w:rPr>
        <w:t>pos</w:t>
      </w:r>
      <w:r w:rsidR="009B4CB5" w:rsidRPr="008E73D7">
        <w:rPr>
          <w:lang w:val="fr-FR"/>
        </w:rPr>
        <w:t>é</w:t>
      </w:r>
      <w:r w:rsidR="008D67E8" w:rsidRPr="008E73D7">
        <w:rPr>
          <w:lang w:val="fr-FR"/>
        </w:rPr>
        <w:t xml:space="preserve">es par des </w:t>
      </w:r>
      <w:r w:rsidR="009B4CB5" w:rsidRPr="008E73D7">
        <w:rPr>
          <w:lang w:val="fr-FR"/>
        </w:rPr>
        <w:t>résidents pour la période concernée, l</w:t>
      </w:r>
      <w:r w:rsidR="00F22EE4" w:rsidRPr="008E73D7">
        <w:rPr>
          <w:lang w:val="fr-FR"/>
        </w:rPr>
        <w:t>’</w:t>
      </w:r>
      <w:r w:rsidR="009B4CB5" w:rsidRPr="008E73D7">
        <w:rPr>
          <w:lang w:val="fr-FR"/>
        </w:rPr>
        <w:t>État de São Paulo était à l</w:t>
      </w:r>
      <w:r w:rsidR="00F22EE4" w:rsidRPr="008E73D7">
        <w:rPr>
          <w:lang w:val="fr-FR"/>
        </w:rPr>
        <w:t>’</w:t>
      </w:r>
      <w:r w:rsidR="009B4CB5" w:rsidRPr="008E73D7">
        <w:rPr>
          <w:lang w:val="fr-FR"/>
        </w:rPr>
        <w:t xml:space="preserve">origine de la majeure partie des demandes émanant </w:t>
      </w:r>
      <w:r w:rsidR="00EE7FC2" w:rsidRPr="008E73D7">
        <w:rPr>
          <w:lang w:val="fr-FR"/>
        </w:rPr>
        <w:t xml:space="preserve">du </w:t>
      </w:r>
      <w:r w:rsidR="009B4CB5" w:rsidRPr="008E73D7">
        <w:rPr>
          <w:lang w:val="fr-FR"/>
        </w:rPr>
        <w:t>Brésil, mais connaissait une légère baisse au cours de ladite période</w:t>
      </w:r>
      <w:r w:rsidR="00EE7FC2" w:rsidRPr="008E73D7">
        <w:rPr>
          <w:lang w:val="fr-FR"/>
        </w:rPr>
        <w:t>,</w:t>
      </w:r>
      <w:r w:rsidR="007A38DF" w:rsidRPr="008E73D7">
        <w:rPr>
          <w:lang w:val="fr-FR"/>
        </w:rPr>
        <w:t xml:space="preserve"> </w:t>
      </w:r>
      <w:r w:rsidR="009B4CB5" w:rsidRPr="008E73D7">
        <w:rPr>
          <w:lang w:val="fr-FR"/>
        </w:rPr>
        <w:t xml:space="preserve">passant de </w:t>
      </w:r>
      <w:r w:rsidR="002303ED" w:rsidRPr="008E73D7">
        <w:rPr>
          <w:lang w:val="fr-FR"/>
        </w:rPr>
        <w:t>1344 </w:t>
      </w:r>
      <w:r w:rsidR="009B4CB5" w:rsidRPr="008E73D7">
        <w:rPr>
          <w:lang w:val="fr-FR"/>
        </w:rPr>
        <w:t>demandes en</w:t>
      </w:r>
      <w:r w:rsidR="00C30FD9" w:rsidRPr="008E73D7">
        <w:rPr>
          <w:lang w:val="fr-FR"/>
        </w:rPr>
        <w:t> </w:t>
      </w:r>
      <w:r w:rsidR="007A38DF" w:rsidRPr="008E73D7">
        <w:rPr>
          <w:lang w:val="fr-FR"/>
        </w:rPr>
        <w:t>2000 (49</w:t>
      </w:r>
      <w:r w:rsidR="009B4CB5" w:rsidRPr="008E73D7">
        <w:rPr>
          <w:lang w:val="fr-FR"/>
        </w:rPr>
        <w:t>,</w:t>
      </w:r>
      <w:r w:rsidR="007A38DF" w:rsidRPr="008E73D7">
        <w:rPr>
          <w:lang w:val="fr-FR"/>
        </w:rPr>
        <w:t xml:space="preserve">7%) </w:t>
      </w:r>
      <w:r w:rsidR="00352A09" w:rsidRPr="008E73D7">
        <w:rPr>
          <w:lang w:val="fr-FR"/>
        </w:rPr>
        <w:t>à </w:t>
      </w:r>
      <w:r w:rsidR="00C30FD9" w:rsidRPr="008E73D7">
        <w:rPr>
          <w:lang w:val="fr-FR"/>
        </w:rPr>
        <w:t>2129</w:t>
      </w:r>
      <w:r w:rsidR="007A38DF" w:rsidRPr="008E73D7">
        <w:rPr>
          <w:lang w:val="fr-FR"/>
        </w:rPr>
        <w:t xml:space="preserve"> </w:t>
      </w:r>
      <w:r w:rsidR="009B4CB5" w:rsidRPr="008E73D7">
        <w:rPr>
          <w:lang w:val="fr-FR"/>
        </w:rPr>
        <w:t>en</w:t>
      </w:r>
      <w:r w:rsidR="00C30FD9" w:rsidRPr="008E73D7">
        <w:rPr>
          <w:lang w:val="fr-FR"/>
        </w:rPr>
        <w:t> </w:t>
      </w:r>
      <w:r w:rsidR="007A38DF" w:rsidRPr="008E73D7">
        <w:rPr>
          <w:lang w:val="fr-FR"/>
        </w:rPr>
        <w:t>2011 (48</w:t>
      </w:r>
      <w:r w:rsidR="009B4CB5" w:rsidRPr="008E73D7">
        <w:rPr>
          <w:lang w:val="fr-FR"/>
        </w:rPr>
        <w:t>,</w:t>
      </w:r>
      <w:r w:rsidR="007A38DF" w:rsidRPr="008E73D7">
        <w:rPr>
          <w:lang w:val="fr-FR"/>
        </w:rPr>
        <w:t xml:space="preserve">8%).  </w:t>
      </w:r>
      <w:r w:rsidR="00356B51" w:rsidRPr="008E73D7">
        <w:rPr>
          <w:lang w:val="fr-FR"/>
        </w:rPr>
        <w:t>Le m</w:t>
      </w:r>
      <w:r w:rsidR="00CD713D" w:rsidRPr="008E73D7">
        <w:rPr>
          <w:lang w:val="fr-FR"/>
        </w:rPr>
        <w:t>ê</w:t>
      </w:r>
      <w:r w:rsidR="00356B51" w:rsidRPr="008E73D7">
        <w:rPr>
          <w:lang w:val="fr-FR"/>
        </w:rPr>
        <w:t>me phénomène s</w:t>
      </w:r>
      <w:r w:rsidR="00F22EE4" w:rsidRPr="008E73D7">
        <w:rPr>
          <w:lang w:val="fr-FR"/>
        </w:rPr>
        <w:t>’</w:t>
      </w:r>
      <w:r w:rsidR="00356B51" w:rsidRPr="008E73D7">
        <w:rPr>
          <w:lang w:val="fr-FR"/>
        </w:rPr>
        <w:t xml:space="preserve">est produit pour ce qui est des demandes provenant de </w:t>
      </w:r>
      <w:r w:rsidR="00352A09" w:rsidRPr="008E73D7">
        <w:rPr>
          <w:lang w:val="fr-FR"/>
        </w:rPr>
        <w:t>Rio Grande do </w:t>
      </w:r>
      <w:r w:rsidR="007A38DF" w:rsidRPr="008E73D7">
        <w:rPr>
          <w:lang w:val="fr-FR"/>
        </w:rPr>
        <w:t xml:space="preserve">Sul, </w:t>
      </w:r>
      <w:r w:rsidR="00356B51" w:rsidRPr="008E73D7">
        <w:rPr>
          <w:lang w:val="fr-FR"/>
        </w:rPr>
        <w:t xml:space="preserve">qui ont </w:t>
      </w:r>
      <w:r w:rsidR="00C60AEF" w:rsidRPr="008E73D7">
        <w:rPr>
          <w:lang w:val="fr-FR"/>
        </w:rPr>
        <w:t>grimpé</w:t>
      </w:r>
      <w:r w:rsidR="00356B51" w:rsidRPr="008E73D7">
        <w:rPr>
          <w:lang w:val="fr-FR"/>
        </w:rPr>
        <w:t xml:space="preserve"> de </w:t>
      </w:r>
      <w:r w:rsidR="002303ED" w:rsidRPr="008E73D7">
        <w:rPr>
          <w:lang w:val="fr-FR"/>
        </w:rPr>
        <w:t>355 </w:t>
      </w:r>
      <w:r w:rsidR="00356B51" w:rsidRPr="008E73D7">
        <w:rPr>
          <w:lang w:val="fr-FR"/>
        </w:rPr>
        <w:t>demandes en</w:t>
      </w:r>
      <w:r w:rsidR="00C30FD9" w:rsidRPr="008E73D7">
        <w:rPr>
          <w:lang w:val="fr-FR"/>
        </w:rPr>
        <w:t> </w:t>
      </w:r>
      <w:r w:rsidR="007A38DF" w:rsidRPr="008E73D7">
        <w:rPr>
          <w:lang w:val="fr-FR"/>
        </w:rPr>
        <w:t>2000 (13</w:t>
      </w:r>
      <w:r w:rsidR="00356B51" w:rsidRPr="008E73D7">
        <w:rPr>
          <w:lang w:val="fr-FR"/>
        </w:rPr>
        <w:t>,</w:t>
      </w:r>
      <w:r w:rsidR="007A38DF" w:rsidRPr="008E73D7">
        <w:rPr>
          <w:lang w:val="fr-FR"/>
        </w:rPr>
        <w:t xml:space="preserve">1%) </w:t>
      </w:r>
      <w:r w:rsidR="00356B51" w:rsidRPr="008E73D7">
        <w:rPr>
          <w:lang w:val="fr-FR"/>
        </w:rPr>
        <w:t>jusqu</w:t>
      </w:r>
      <w:r w:rsidR="00F22EE4" w:rsidRPr="008E73D7">
        <w:rPr>
          <w:lang w:val="fr-FR"/>
        </w:rPr>
        <w:t>’</w:t>
      </w:r>
      <w:r w:rsidR="00356B51" w:rsidRPr="008E73D7">
        <w:rPr>
          <w:lang w:val="fr-FR"/>
        </w:rPr>
        <w:t xml:space="preserve">à </w:t>
      </w:r>
      <w:r w:rsidR="002303ED" w:rsidRPr="008E73D7">
        <w:rPr>
          <w:lang w:val="fr-FR"/>
        </w:rPr>
        <w:t>547 </w:t>
      </w:r>
      <w:r w:rsidR="00356B51" w:rsidRPr="008E73D7">
        <w:rPr>
          <w:lang w:val="fr-FR"/>
        </w:rPr>
        <w:t>demandes en</w:t>
      </w:r>
      <w:r w:rsidR="00C30FD9" w:rsidRPr="008E73D7">
        <w:rPr>
          <w:lang w:val="fr-FR"/>
        </w:rPr>
        <w:t> </w:t>
      </w:r>
      <w:r w:rsidR="007A38DF" w:rsidRPr="008E73D7">
        <w:rPr>
          <w:lang w:val="fr-FR"/>
        </w:rPr>
        <w:t>2011 (12</w:t>
      </w:r>
      <w:r w:rsidR="00356B51" w:rsidRPr="008E73D7">
        <w:rPr>
          <w:lang w:val="fr-FR"/>
        </w:rPr>
        <w:t>,</w:t>
      </w:r>
      <w:r w:rsidR="007A38DF" w:rsidRPr="008E73D7">
        <w:rPr>
          <w:lang w:val="fr-FR"/>
        </w:rPr>
        <w:t xml:space="preserve">5%), </w:t>
      </w:r>
      <w:r w:rsidR="00356B51" w:rsidRPr="008E73D7">
        <w:rPr>
          <w:lang w:val="fr-FR"/>
        </w:rPr>
        <w:t>et d</w:t>
      </w:r>
      <w:r w:rsidR="00EE7FC2" w:rsidRPr="008E73D7">
        <w:rPr>
          <w:lang w:val="fr-FR"/>
        </w:rPr>
        <w:t>u</w:t>
      </w:r>
      <w:r w:rsidR="00356B51" w:rsidRPr="008E73D7">
        <w:rPr>
          <w:lang w:val="fr-FR"/>
        </w:rPr>
        <w:t xml:space="preserve"> </w:t>
      </w:r>
      <w:r w:rsidR="007A38DF" w:rsidRPr="008E73D7">
        <w:rPr>
          <w:lang w:val="fr-FR"/>
        </w:rPr>
        <w:t xml:space="preserve">Paraná, </w:t>
      </w:r>
      <w:r w:rsidR="00D90ECD" w:rsidRPr="008E73D7">
        <w:rPr>
          <w:lang w:val="fr-FR"/>
        </w:rPr>
        <w:t xml:space="preserve">où les demandes ont vu leur nombre </w:t>
      </w:r>
      <w:r w:rsidR="00EE7FC2" w:rsidRPr="008E73D7">
        <w:rPr>
          <w:lang w:val="fr-FR"/>
        </w:rPr>
        <w:t>passer</w:t>
      </w:r>
      <w:r w:rsidR="00D90ECD" w:rsidRPr="008E73D7">
        <w:rPr>
          <w:lang w:val="fr-FR"/>
        </w:rPr>
        <w:t xml:space="preserve"> de </w:t>
      </w:r>
      <w:r w:rsidR="002303ED" w:rsidRPr="008E73D7">
        <w:rPr>
          <w:lang w:val="fr-FR"/>
        </w:rPr>
        <w:t>303 </w:t>
      </w:r>
      <w:r w:rsidR="00D90ECD" w:rsidRPr="008E73D7">
        <w:rPr>
          <w:lang w:val="fr-FR"/>
        </w:rPr>
        <w:t>en</w:t>
      </w:r>
      <w:r w:rsidR="00C30FD9" w:rsidRPr="008E73D7">
        <w:rPr>
          <w:lang w:val="fr-FR"/>
        </w:rPr>
        <w:t> </w:t>
      </w:r>
      <w:r w:rsidR="007A38DF" w:rsidRPr="008E73D7">
        <w:rPr>
          <w:lang w:val="fr-FR"/>
        </w:rPr>
        <w:t>2000 (11</w:t>
      </w:r>
      <w:r w:rsidR="00D90ECD" w:rsidRPr="008E73D7">
        <w:rPr>
          <w:lang w:val="fr-FR"/>
        </w:rPr>
        <w:t>,</w:t>
      </w:r>
      <w:r w:rsidR="007A38DF" w:rsidRPr="008E73D7">
        <w:rPr>
          <w:lang w:val="fr-FR"/>
        </w:rPr>
        <w:t xml:space="preserve">2%) </w:t>
      </w:r>
      <w:r w:rsidR="00EE7FC2" w:rsidRPr="008E73D7">
        <w:rPr>
          <w:lang w:val="fr-FR"/>
        </w:rPr>
        <w:t>à</w:t>
      </w:r>
      <w:r w:rsidR="00D90ECD" w:rsidRPr="008E73D7">
        <w:rPr>
          <w:lang w:val="fr-FR"/>
        </w:rPr>
        <w:t xml:space="preserve"> </w:t>
      </w:r>
      <w:r w:rsidR="002303ED" w:rsidRPr="008E73D7">
        <w:rPr>
          <w:lang w:val="fr-FR"/>
        </w:rPr>
        <w:t>427 </w:t>
      </w:r>
      <w:r w:rsidR="00D90ECD" w:rsidRPr="008E73D7">
        <w:rPr>
          <w:lang w:val="fr-FR"/>
        </w:rPr>
        <w:t>en</w:t>
      </w:r>
      <w:r w:rsidR="00C30FD9" w:rsidRPr="008E73D7">
        <w:rPr>
          <w:lang w:val="fr-FR"/>
        </w:rPr>
        <w:t> </w:t>
      </w:r>
      <w:r w:rsidR="007A38DF" w:rsidRPr="008E73D7">
        <w:rPr>
          <w:lang w:val="fr-FR"/>
        </w:rPr>
        <w:t>2011 (9</w:t>
      </w:r>
      <w:r w:rsidR="00D90ECD" w:rsidRPr="008E73D7">
        <w:rPr>
          <w:lang w:val="fr-FR"/>
        </w:rPr>
        <w:t>,</w:t>
      </w:r>
      <w:r w:rsidR="007A38DF" w:rsidRPr="008E73D7">
        <w:rPr>
          <w:lang w:val="fr-FR"/>
        </w:rPr>
        <w:t xml:space="preserve">8%).  </w:t>
      </w:r>
      <w:r w:rsidR="00352A09" w:rsidRPr="008E73D7">
        <w:rPr>
          <w:lang w:val="fr-FR"/>
        </w:rPr>
        <w:t>Les </w:t>
      </w:r>
      <w:r w:rsidR="00FF4B8A" w:rsidRPr="008E73D7">
        <w:rPr>
          <w:lang w:val="fr-FR"/>
        </w:rPr>
        <w:t>demandes émanant de la région Nord</w:t>
      </w:r>
      <w:r w:rsidR="00D0608C" w:rsidRPr="008E73D7">
        <w:rPr>
          <w:lang w:val="fr-FR"/>
        </w:rPr>
        <w:noBreakHyphen/>
      </w:r>
      <w:r w:rsidR="00FF4B8A" w:rsidRPr="008E73D7">
        <w:rPr>
          <w:lang w:val="fr-FR"/>
        </w:rPr>
        <w:t>Est du pays ont r</w:t>
      </w:r>
      <w:r w:rsidR="00C43C22" w:rsidRPr="008E73D7">
        <w:rPr>
          <w:lang w:val="fr-FR"/>
        </w:rPr>
        <w:t>e</w:t>
      </w:r>
      <w:r w:rsidR="00FF4B8A" w:rsidRPr="008E73D7">
        <w:rPr>
          <w:lang w:val="fr-FR"/>
        </w:rPr>
        <w:t xml:space="preserve">présenté seulement </w:t>
      </w:r>
      <w:r w:rsidR="007A38DF" w:rsidRPr="008E73D7">
        <w:rPr>
          <w:lang w:val="fr-FR"/>
        </w:rPr>
        <w:t xml:space="preserve">5% </w:t>
      </w:r>
      <w:r w:rsidR="00FF4B8A" w:rsidRPr="008E73D7">
        <w:rPr>
          <w:lang w:val="fr-FR"/>
        </w:rPr>
        <w:t xml:space="preserve">du </w:t>
      </w:r>
      <w:r w:rsidR="007A38DF" w:rsidRPr="008E73D7">
        <w:rPr>
          <w:lang w:val="fr-FR"/>
        </w:rPr>
        <w:t xml:space="preserve">total </w:t>
      </w:r>
      <w:r w:rsidR="00FF4B8A" w:rsidRPr="008E73D7">
        <w:rPr>
          <w:lang w:val="fr-FR"/>
        </w:rPr>
        <w:t>des demandes déposées par des résidents, alors que les régions Nord et Centre</w:t>
      </w:r>
      <w:r w:rsidR="00D0608C" w:rsidRPr="008E73D7">
        <w:rPr>
          <w:lang w:val="fr-FR"/>
        </w:rPr>
        <w:noBreakHyphen/>
      </w:r>
      <w:r w:rsidR="00FF4B8A" w:rsidRPr="008E73D7">
        <w:rPr>
          <w:lang w:val="fr-FR"/>
        </w:rPr>
        <w:t>Ouest comptai</w:t>
      </w:r>
      <w:r w:rsidR="00C43C22" w:rsidRPr="008E73D7">
        <w:rPr>
          <w:lang w:val="fr-FR"/>
        </w:rPr>
        <w:t>en</w:t>
      </w:r>
      <w:r w:rsidR="00FF4B8A" w:rsidRPr="008E73D7">
        <w:rPr>
          <w:lang w:val="fr-FR"/>
        </w:rPr>
        <w:t>t pour 1% chacune</w:t>
      </w:r>
      <w:r w:rsidR="007A38DF" w:rsidRPr="008E73D7">
        <w:rPr>
          <w:lang w:val="fr-FR"/>
        </w:rPr>
        <w:t xml:space="preserve">.  </w:t>
      </w:r>
      <w:r w:rsidR="00FF4B8A" w:rsidRPr="008E73D7">
        <w:rPr>
          <w:lang w:val="fr-FR"/>
        </w:rPr>
        <w:t>E</w:t>
      </w:r>
      <w:r w:rsidR="007A38DF" w:rsidRPr="008E73D7">
        <w:rPr>
          <w:lang w:val="fr-FR"/>
        </w:rPr>
        <w:t>n</w:t>
      </w:r>
      <w:r w:rsidR="00C30FD9" w:rsidRPr="008E73D7">
        <w:rPr>
          <w:lang w:val="fr-FR"/>
        </w:rPr>
        <w:t> </w:t>
      </w:r>
      <w:r w:rsidR="007A38DF" w:rsidRPr="008E73D7">
        <w:rPr>
          <w:lang w:val="fr-FR"/>
        </w:rPr>
        <w:t xml:space="preserve">2000, </w:t>
      </w:r>
      <w:r w:rsidR="00C43C22" w:rsidRPr="008E73D7">
        <w:rPr>
          <w:lang w:val="fr-FR"/>
        </w:rPr>
        <w:t>les demandes déposées par des pa</w:t>
      </w:r>
      <w:r w:rsidR="00352A09" w:rsidRPr="008E73D7">
        <w:rPr>
          <w:lang w:val="fr-FR"/>
        </w:rPr>
        <w:t>rticuliers étaient au nombre de </w:t>
      </w:r>
      <w:r w:rsidR="00C30FD9" w:rsidRPr="008E73D7">
        <w:rPr>
          <w:lang w:val="fr-FR"/>
        </w:rPr>
        <w:t>2479</w:t>
      </w:r>
      <w:r w:rsidR="007A38DF" w:rsidRPr="008E73D7">
        <w:rPr>
          <w:lang w:val="fr-FR"/>
        </w:rPr>
        <w:t xml:space="preserve"> (68</w:t>
      </w:r>
      <w:r w:rsidR="00C43C22" w:rsidRPr="008E73D7">
        <w:rPr>
          <w:lang w:val="fr-FR"/>
        </w:rPr>
        <w:t>,</w:t>
      </w:r>
      <w:r w:rsidR="007A38DF" w:rsidRPr="008E73D7">
        <w:rPr>
          <w:lang w:val="fr-FR"/>
        </w:rPr>
        <w:t xml:space="preserve">8% </w:t>
      </w:r>
      <w:r w:rsidR="00C43C22" w:rsidRPr="008E73D7">
        <w:rPr>
          <w:lang w:val="fr-FR"/>
        </w:rPr>
        <w:t>du volume total des demandes</w:t>
      </w:r>
      <w:r w:rsidR="007A38DF" w:rsidRPr="008E73D7">
        <w:rPr>
          <w:lang w:val="fr-FR"/>
        </w:rPr>
        <w:t xml:space="preserve">), </w:t>
      </w:r>
      <w:r w:rsidR="00C43C22" w:rsidRPr="008E73D7">
        <w:rPr>
          <w:lang w:val="fr-FR"/>
        </w:rPr>
        <w:t>tandis qu</w:t>
      </w:r>
      <w:r w:rsidR="00F22EE4" w:rsidRPr="008E73D7">
        <w:rPr>
          <w:lang w:val="fr-FR"/>
        </w:rPr>
        <w:t>’</w:t>
      </w:r>
      <w:r w:rsidR="00C43C22" w:rsidRPr="008E73D7">
        <w:rPr>
          <w:lang w:val="fr-FR"/>
        </w:rPr>
        <w:t>en</w:t>
      </w:r>
      <w:r w:rsidR="00C30FD9" w:rsidRPr="008E73D7">
        <w:rPr>
          <w:lang w:val="fr-FR"/>
        </w:rPr>
        <w:t> </w:t>
      </w:r>
      <w:r w:rsidR="00EE7FC2" w:rsidRPr="008E73D7">
        <w:rPr>
          <w:lang w:val="fr-FR"/>
        </w:rPr>
        <w:t xml:space="preserve">2011 </w:t>
      </w:r>
      <w:r w:rsidR="00C43C22" w:rsidRPr="008E73D7">
        <w:rPr>
          <w:lang w:val="fr-FR"/>
        </w:rPr>
        <w:t xml:space="preserve">les particuliers ont déposé </w:t>
      </w:r>
      <w:r w:rsidR="002303ED" w:rsidRPr="008E73D7">
        <w:rPr>
          <w:lang w:val="fr-FR"/>
        </w:rPr>
        <w:t>5176 </w:t>
      </w:r>
      <w:r w:rsidR="00C43C22" w:rsidRPr="008E73D7">
        <w:rPr>
          <w:lang w:val="fr-FR"/>
        </w:rPr>
        <w:t xml:space="preserve">demandes </w:t>
      </w:r>
      <w:r w:rsidR="000B5EB2" w:rsidRPr="008E73D7">
        <w:rPr>
          <w:lang w:val="fr-FR"/>
        </w:rPr>
        <w:t>d</w:t>
      </w:r>
      <w:r w:rsidR="00F22EE4" w:rsidRPr="008E73D7">
        <w:rPr>
          <w:lang w:val="fr-FR"/>
        </w:rPr>
        <w:t>’</w:t>
      </w:r>
      <w:r w:rsidR="000B5EB2" w:rsidRPr="008E73D7">
        <w:rPr>
          <w:lang w:val="fr-FR"/>
        </w:rPr>
        <w:t xml:space="preserve">enregistrement de dessins et modèles industriels </w:t>
      </w:r>
      <w:r w:rsidR="007A38DF" w:rsidRPr="008E73D7">
        <w:rPr>
          <w:lang w:val="fr-FR"/>
        </w:rPr>
        <w:t>(75</w:t>
      </w:r>
      <w:r w:rsidR="000B5EB2" w:rsidRPr="008E73D7">
        <w:rPr>
          <w:lang w:val="fr-FR"/>
        </w:rPr>
        <w:t>,</w:t>
      </w:r>
      <w:r w:rsidR="007A38DF" w:rsidRPr="008E73D7">
        <w:rPr>
          <w:lang w:val="fr-FR"/>
        </w:rPr>
        <w:t xml:space="preserve">7%).  </w:t>
      </w:r>
      <w:r w:rsidR="00E66D00" w:rsidRPr="008E73D7">
        <w:rPr>
          <w:lang w:val="fr-FR"/>
        </w:rPr>
        <w:t>S</w:t>
      </w:r>
      <w:r w:rsidR="00F22EE4" w:rsidRPr="008E73D7">
        <w:rPr>
          <w:lang w:val="fr-FR"/>
        </w:rPr>
        <w:t>’</w:t>
      </w:r>
      <w:r w:rsidR="00E66D00" w:rsidRPr="008E73D7">
        <w:rPr>
          <w:lang w:val="fr-FR"/>
        </w:rPr>
        <w:t xml:space="preserve">agissant uniquement des entreprises résidentes, le secteur le plus important était celui de la </w:t>
      </w:r>
      <w:r w:rsidR="007A38DF" w:rsidRPr="008E73D7">
        <w:rPr>
          <w:lang w:val="fr-FR"/>
        </w:rPr>
        <w:t>“</w:t>
      </w:r>
      <w:r w:rsidR="00E66D00" w:rsidRPr="008E73D7">
        <w:rPr>
          <w:lang w:val="fr-FR"/>
        </w:rPr>
        <w:t>fabrication du cuir et produits connexes</w:t>
      </w:r>
      <w:r w:rsidR="007A38DF" w:rsidRPr="008E73D7">
        <w:rPr>
          <w:lang w:val="fr-FR"/>
        </w:rPr>
        <w:t xml:space="preserve">”, </w:t>
      </w:r>
      <w:r w:rsidR="00E66D00" w:rsidRPr="008E73D7">
        <w:rPr>
          <w:lang w:val="fr-FR"/>
        </w:rPr>
        <w:t xml:space="preserve">qui représentait </w:t>
      </w:r>
      <w:r w:rsidR="007A38DF" w:rsidRPr="008E73D7">
        <w:rPr>
          <w:lang w:val="fr-FR"/>
        </w:rPr>
        <w:t>23</w:t>
      </w:r>
      <w:r w:rsidR="00E66D00" w:rsidRPr="008E73D7">
        <w:rPr>
          <w:lang w:val="fr-FR"/>
        </w:rPr>
        <w:t>,</w:t>
      </w:r>
      <w:r w:rsidR="007A38DF" w:rsidRPr="008E73D7">
        <w:rPr>
          <w:lang w:val="fr-FR"/>
        </w:rPr>
        <w:t xml:space="preserve">1% </w:t>
      </w:r>
      <w:r w:rsidR="00E66D00" w:rsidRPr="008E73D7">
        <w:rPr>
          <w:lang w:val="fr-FR"/>
        </w:rPr>
        <w:t>e</w:t>
      </w:r>
      <w:r w:rsidR="007A38DF" w:rsidRPr="008E73D7">
        <w:rPr>
          <w:lang w:val="fr-FR"/>
        </w:rPr>
        <w:t>n</w:t>
      </w:r>
      <w:r w:rsidR="00C30FD9" w:rsidRPr="008E73D7">
        <w:rPr>
          <w:lang w:val="fr-FR"/>
        </w:rPr>
        <w:t> </w:t>
      </w:r>
      <w:r w:rsidR="007A38DF" w:rsidRPr="008E73D7">
        <w:rPr>
          <w:lang w:val="fr-FR"/>
        </w:rPr>
        <w:t>2011 (</w:t>
      </w:r>
      <w:r w:rsidR="00EE7FC2" w:rsidRPr="008E73D7">
        <w:rPr>
          <w:lang w:val="fr-FR"/>
        </w:rPr>
        <w:t>contre</w:t>
      </w:r>
      <w:r w:rsidR="00E66D00" w:rsidRPr="008E73D7">
        <w:rPr>
          <w:lang w:val="fr-FR"/>
        </w:rPr>
        <w:t xml:space="preserve"> </w:t>
      </w:r>
      <w:r w:rsidR="007A38DF" w:rsidRPr="008E73D7">
        <w:rPr>
          <w:lang w:val="fr-FR"/>
        </w:rPr>
        <w:t>10</w:t>
      </w:r>
      <w:r w:rsidR="00E66D00" w:rsidRPr="008E73D7">
        <w:rPr>
          <w:lang w:val="fr-FR"/>
        </w:rPr>
        <w:t>,</w:t>
      </w:r>
      <w:r w:rsidR="007A38DF" w:rsidRPr="008E73D7">
        <w:rPr>
          <w:lang w:val="fr-FR"/>
        </w:rPr>
        <w:t xml:space="preserve">3% </w:t>
      </w:r>
      <w:r w:rsidR="00E66D00" w:rsidRPr="008E73D7">
        <w:rPr>
          <w:lang w:val="fr-FR"/>
        </w:rPr>
        <w:t>e</w:t>
      </w:r>
      <w:r w:rsidR="007A38DF" w:rsidRPr="008E73D7">
        <w:rPr>
          <w:lang w:val="fr-FR"/>
        </w:rPr>
        <w:t>n</w:t>
      </w:r>
      <w:r w:rsidR="00C30FD9" w:rsidRPr="008E73D7">
        <w:rPr>
          <w:lang w:val="fr-FR"/>
        </w:rPr>
        <w:t> </w:t>
      </w:r>
      <w:r w:rsidR="007A38DF" w:rsidRPr="008E73D7">
        <w:rPr>
          <w:lang w:val="fr-FR"/>
        </w:rPr>
        <w:t xml:space="preserve">2006).  </w:t>
      </w:r>
      <w:r w:rsidR="000E200F" w:rsidRPr="008E73D7">
        <w:rPr>
          <w:lang w:val="fr-FR"/>
        </w:rPr>
        <w:t>Ce </w:t>
      </w:r>
      <w:r w:rsidR="00D96726" w:rsidRPr="008E73D7">
        <w:rPr>
          <w:lang w:val="fr-FR"/>
        </w:rPr>
        <w:t xml:space="preserve">secteur était suivi par celui de la </w:t>
      </w:r>
      <w:r w:rsidR="007A38DF" w:rsidRPr="008E73D7">
        <w:rPr>
          <w:lang w:val="fr-FR"/>
        </w:rPr>
        <w:t>“</w:t>
      </w:r>
      <w:r w:rsidR="00D96726" w:rsidRPr="008E73D7">
        <w:rPr>
          <w:lang w:val="fr-FR"/>
        </w:rPr>
        <w:t>fabrication d</w:t>
      </w:r>
      <w:r w:rsidR="00F22EE4" w:rsidRPr="008E73D7">
        <w:rPr>
          <w:lang w:val="fr-FR"/>
        </w:rPr>
        <w:t>’</w:t>
      </w:r>
      <w:r w:rsidR="00D96726" w:rsidRPr="008E73D7">
        <w:rPr>
          <w:lang w:val="fr-FR"/>
        </w:rPr>
        <w:t>équipements électriques</w:t>
      </w:r>
      <w:r w:rsidR="007A38DF" w:rsidRPr="008E73D7">
        <w:rPr>
          <w:lang w:val="fr-FR"/>
        </w:rPr>
        <w:t>” (8</w:t>
      </w:r>
      <w:r w:rsidR="00D96726" w:rsidRPr="008E73D7">
        <w:rPr>
          <w:lang w:val="fr-FR"/>
        </w:rPr>
        <w:t>,</w:t>
      </w:r>
      <w:r w:rsidR="007A38DF" w:rsidRPr="008E73D7">
        <w:rPr>
          <w:lang w:val="fr-FR"/>
        </w:rPr>
        <w:t xml:space="preserve">9%), </w:t>
      </w:r>
      <w:r w:rsidR="00D96726" w:rsidRPr="008E73D7">
        <w:rPr>
          <w:lang w:val="fr-FR"/>
        </w:rPr>
        <w:t xml:space="preserve">la </w:t>
      </w:r>
      <w:r w:rsidR="007A38DF" w:rsidRPr="008E73D7">
        <w:rPr>
          <w:lang w:val="fr-FR"/>
        </w:rPr>
        <w:t>“</w:t>
      </w:r>
      <w:r w:rsidR="00D96726" w:rsidRPr="008E73D7">
        <w:rPr>
          <w:lang w:val="fr-FR"/>
        </w:rPr>
        <w:t>fabrication de véhicules à moteur, remorques et semi</w:t>
      </w:r>
      <w:r w:rsidR="00D0608C" w:rsidRPr="008E73D7">
        <w:rPr>
          <w:lang w:val="fr-FR"/>
        </w:rPr>
        <w:noBreakHyphen/>
      </w:r>
      <w:r w:rsidR="00D96726" w:rsidRPr="008E73D7">
        <w:rPr>
          <w:lang w:val="fr-FR"/>
        </w:rPr>
        <w:t>remorques</w:t>
      </w:r>
      <w:r w:rsidR="007A38DF" w:rsidRPr="008E73D7">
        <w:rPr>
          <w:lang w:val="fr-FR"/>
        </w:rPr>
        <w:t>” (8</w:t>
      </w:r>
      <w:r w:rsidR="00D96726" w:rsidRPr="008E73D7">
        <w:rPr>
          <w:lang w:val="fr-FR"/>
        </w:rPr>
        <w:t>,</w:t>
      </w:r>
      <w:r w:rsidR="007A38DF" w:rsidRPr="008E73D7">
        <w:rPr>
          <w:lang w:val="fr-FR"/>
        </w:rPr>
        <w:t xml:space="preserve">8%) </w:t>
      </w:r>
      <w:r w:rsidR="00D96726" w:rsidRPr="008E73D7">
        <w:rPr>
          <w:lang w:val="fr-FR"/>
        </w:rPr>
        <w:t xml:space="preserve">et la </w:t>
      </w:r>
      <w:r w:rsidR="007A38DF" w:rsidRPr="008E73D7">
        <w:rPr>
          <w:lang w:val="fr-FR"/>
        </w:rPr>
        <w:t>“</w:t>
      </w:r>
      <w:r w:rsidR="00D96726" w:rsidRPr="008E73D7">
        <w:rPr>
          <w:lang w:val="fr-FR"/>
        </w:rPr>
        <w:t xml:space="preserve">fabrication de </w:t>
      </w:r>
      <w:r w:rsidR="000702B2" w:rsidRPr="008E73D7">
        <w:rPr>
          <w:lang w:val="fr-FR"/>
        </w:rPr>
        <w:t>produits en caoutchouc et en matières plastiques</w:t>
      </w:r>
      <w:r w:rsidR="007A38DF" w:rsidRPr="008E73D7">
        <w:rPr>
          <w:lang w:val="fr-FR"/>
        </w:rPr>
        <w:t>” (8</w:t>
      </w:r>
      <w:r w:rsidR="000702B2" w:rsidRPr="008E73D7">
        <w:rPr>
          <w:lang w:val="fr-FR"/>
        </w:rPr>
        <w:t>,</w:t>
      </w:r>
      <w:r w:rsidR="007A38DF" w:rsidRPr="008E73D7">
        <w:rPr>
          <w:lang w:val="fr-FR"/>
        </w:rPr>
        <w:t xml:space="preserve">2%).  </w:t>
      </w:r>
      <w:r w:rsidR="00277823" w:rsidRPr="008E73D7">
        <w:rPr>
          <w:lang w:val="fr-FR"/>
        </w:rPr>
        <w:t xml:space="preserve">Il est intéressant de noter que le secteur de la </w:t>
      </w:r>
      <w:r w:rsidR="002303ED" w:rsidRPr="008E73D7">
        <w:rPr>
          <w:lang w:val="fr-FR"/>
        </w:rPr>
        <w:t>“</w:t>
      </w:r>
      <w:r w:rsidR="00277823" w:rsidRPr="008E73D7">
        <w:rPr>
          <w:lang w:val="fr-FR"/>
        </w:rPr>
        <w:t>fabrication d</w:t>
      </w:r>
      <w:r w:rsidR="00F22EE4" w:rsidRPr="008E73D7">
        <w:rPr>
          <w:lang w:val="fr-FR"/>
        </w:rPr>
        <w:t>’</w:t>
      </w:r>
      <w:r w:rsidR="00277823" w:rsidRPr="008E73D7">
        <w:rPr>
          <w:lang w:val="fr-FR"/>
        </w:rPr>
        <w:t>ouvrages en métaux, à l</w:t>
      </w:r>
      <w:r w:rsidR="00F22EE4" w:rsidRPr="008E73D7">
        <w:rPr>
          <w:lang w:val="fr-FR"/>
        </w:rPr>
        <w:t>’</w:t>
      </w:r>
      <w:r w:rsidR="00277823" w:rsidRPr="008E73D7">
        <w:rPr>
          <w:lang w:val="fr-FR"/>
        </w:rPr>
        <w:t>exclusion des machines et du matériel</w:t>
      </w:r>
      <w:r w:rsidR="002303ED" w:rsidRPr="008E73D7">
        <w:rPr>
          <w:lang w:val="fr-FR"/>
        </w:rPr>
        <w:t>”</w:t>
      </w:r>
      <w:r w:rsidR="007A38DF" w:rsidRPr="008E73D7">
        <w:rPr>
          <w:lang w:val="fr-FR"/>
        </w:rPr>
        <w:t xml:space="preserve">, </w:t>
      </w:r>
      <w:r w:rsidR="00277823" w:rsidRPr="008E73D7">
        <w:rPr>
          <w:lang w:val="fr-FR"/>
        </w:rPr>
        <w:t xml:space="preserve">qui représentait </w:t>
      </w:r>
      <w:r w:rsidR="007A38DF" w:rsidRPr="008E73D7">
        <w:rPr>
          <w:lang w:val="fr-FR"/>
        </w:rPr>
        <w:t>9</w:t>
      </w:r>
      <w:r w:rsidR="00277823" w:rsidRPr="008E73D7">
        <w:rPr>
          <w:lang w:val="fr-FR"/>
        </w:rPr>
        <w:t>,</w:t>
      </w:r>
      <w:r w:rsidR="007A38DF" w:rsidRPr="008E73D7">
        <w:rPr>
          <w:lang w:val="fr-FR"/>
        </w:rPr>
        <w:t xml:space="preserve">3% </w:t>
      </w:r>
      <w:r w:rsidR="00277823" w:rsidRPr="008E73D7">
        <w:rPr>
          <w:lang w:val="fr-FR"/>
        </w:rPr>
        <w:t>des demandes émanant d</w:t>
      </w:r>
      <w:r w:rsidR="00F22EE4" w:rsidRPr="008E73D7">
        <w:rPr>
          <w:lang w:val="fr-FR"/>
        </w:rPr>
        <w:t>’</w:t>
      </w:r>
      <w:r w:rsidR="00277823" w:rsidRPr="008E73D7">
        <w:rPr>
          <w:lang w:val="fr-FR"/>
        </w:rPr>
        <w:t>entreprises résidentes en</w:t>
      </w:r>
      <w:r w:rsidR="00C30FD9" w:rsidRPr="008E73D7">
        <w:rPr>
          <w:lang w:val="fr-FR"/>
        </w:rPr>
        <w:t> </w:t>
      </w:r>
      <w:r w:rsidR="007A38DF" w:rsidRPr="008E73D7">
        <w:rPr>
          <w:lang w:val="fr-FR"/>
        </w:rPr>
        <w:t xml:space="preserve">2006, </w:t>
      </w:r>
      <w:r w:rsidR="00277823" w:rsidRPr="008E73D7">
        <w:rPr>
          <w:lang w:val="fr-FR"/>
        </w:rPr>
        <w:t xml:space="preserve">a perdu son importance </w:t>
      </w:r>
      <w:r w:rsidR="007A38DF" w:rsidRPr="008E73D7">
        <w:rPr>
          <w:lang w:val="fr-FR"/>
        </w:rPr>
        <w:t xml:space="preserve">(relative </w:t>
      </w:r>
      <w:r w:rsidR="00277823" w:rsidRPr="008E73D7">
        <w:rPr>
          <w:lang w:val="fr-FR"/>
        </w:rPr>
        <w:t>et absolue</w:t>
      </w:r>
      <w:r w:rsidR="007A38DF" w:rsidRPr="008E73D7">
        <w:rPr>
          <w:lang w:val="fr-FR"/>
        </w:rPr>
        <w:t xml:space="preserve">).  </w:t>
      </w:r>
      <w:r w:rsidR="002749E4" w:rsidRPr="008E73D7">
        <w:rPr>
          <w:lang w:val="fr-FR"/>
        </w:rPr>
        <w:t>Le nombre des enregistrements correspondant à des r</w:t>
      </w:r>
      <w:r w:rsidR="00031F40" w:rsidRPr="008E73D7">
        <w:rPr>
          <w:lang w:val="fr-FR"/>
        </w:rPr>
        <w:t>é</w:t>
      </w:r>
      <w:r w:rsidR="000E200F" w:rsidRPr="008E73D7">
        <w:rPr>
          <w:lang w:val="fr-FR"/>
        </w:rPr>
        <w:t>sidents a augmenté de </w:t>
      </w:r>
      <w:r w:rsidR="00C30FD9" w:rsidRPr="008E73D7">
        <w:rPr>
          <w:lang w:val="fr-FR"/>
        </w:rPr>
        <w:t>1934</w:t>
      </w:r>
      <w:r w:rsidR="007A38DF" w:rsidRPr="008E73D7">
        <w:rPr>
          <w:lang w:val="fr-FR"/>
        </w:rPr>
        <w:t xml:space="preserve"> </w:t>
      </w:r>
      <w:r w:rsidR="002749E4" w:rsidRPr="008E73D7">
        <w:rPr>
          <w:lang w:val="fr-FR"/>
        </w:rPr>
        <w:t>en l</w:t>
      </w:r>
      <w:r w:rsidR="00F22EE4" w:rsidRPr="008E73D7">
        <w:rPr>
          <w:lang w:val="fr-FR"/>
        </w:rPr>
        <w:t>’</w:t>
      </w:r>
      <w:r w:rsidR="002303ED" w:rsidRPr="008E73D7">
        <w:rPr>
          <w:lang w:val="fr-FR"/>
        </w:rPr>
        <w:t>an </w:t>
      </w:r>
      <w:r w:rsidR="007A38DF" w:rsidRPr="008E73D7">
        <w:rPr>
          <w:lang w:val="fr-FR"/>
        </w:rPr>
        <w:t xml:space="preserve">2000 </w:t>
      </w:r>
      <w:r w:rsidR="000E200F" w:rsidRPr="008E73D7">
        <w:rPr>
          <w:lang w:val="fr-FR"/>
        </w:rPr>
        <w:t>à </w:t>
      </w:r>
      <w:r w:rsidR="00C30FD9" w:rsidRPr="008E73D7">
        <w:rPr>
          <w:lang w:val="fr-FR"/>
        </w:rPr>
        <w:t>3348</w:t>
      </w:r>
      <w:r w:rsidR="007A38DF" w:rsidRPr="008E73D7">
        <w:rPr>
          <w:lang w:val="fr-FR"/>
        </w:rPr>
        <w:t xml:space="preserve"> </w:t>
      </w:r>
      <w:r w:rsidR="002749E4" w:rsidRPr="008E73D7">
        <w:rPr>
          <w:lang w:val="fr-FR"/>
        </w:rPr>
        <w:t>e</w:t>
      </w:r>
      <w:r w:rsidR="007A38DF" w:rsidRPr="008E73D7">
        <w:rPr>
          <w:lang w:val="fr-FR"/>
        </w:rPr>
        <w:t>n</w:t>
      </w:r>
      <w:r w:rsidR="00C30FD9" w:rsidRPr="008E73D7">
        <w:rPr>
          <w:lang w:val="fr-FR"/>
        </w:rPr>
        <w:t> </w:t>
      </w:r>
      <w:r w:rsidR="007A38DF" w:rsidRPr="008E73D7">
        <w:rPr>
          <w:lang w:val="fr-FR"/>
        </w:rPr>
        <w:t xml:space="preserve">2011, </w:t>
      </w:r>
      <w:r w:rsidR="00D154F2" w:rsidRPr="008E73D7">
        <w:rPr>
          <w:lang w:val="fr-FR"/>
        </w:rPr>
        <w:t>alors que ce</w:t>
      </w:r>
      <w:r w:rsidR="002303ED" w:rsidRPr="008E73D7">
        <w:rPr>
          <w:lang w:val="fr-FR"/>
        </w:rPr>
        <w:t>lui</w:t>
      </w:r>
      <w:r w:rsidR="00D154F2" w:rsidRPr="008E73D7">
        <w:rPr>
          <w:lang w:val="fr-FR"/>
        </w:rPr>
        <w:t xml:space="preserve"> correspondant à des non</w:t>
      </w:r>
      <w:r w:rsidR="00D0608C" w:rsidRPr="008E73D7">
        <w:rPr>
          <w:lang w:val="fr-FR"/>
        </w:rPr>
        <w:noBreakHyphen/>
      </w:r>
      <w:r w:rsidR="007A38DF" w:rsidRPr="008E73D7">
        <w:rPr>
          <w:lang w:val="fr-FR"/>
        </w:rPr>
        <w:t>r</w:t>
      </w:r>
      <w:r w:rsidR="00D154F2" w:rsidRPr="008E73D7">
        <w:rPr>
          <w:lang w:val="fr-FR"/>
        </w:rPr>
        <w:t>é</w:t>
      </w:r>
      <w:r w:rsidR="007A38DF" w:rsidRPr="008E73D7">
        <w:rPr>
          <w:lang w:val="fr-FR"/>
        </w:rPr>
        <w:t>sident</w:t>
      </w:r>
      <w:r w:rsidR="00D154F2" w:rsidRPr="008E73D7">
        <w:rPr>
          <w:lang w:val="fr-FR"/>
        </w:rPr>
        <w:t>s</w:t>
      </w:r>
      <w:r w:rsidR="007A38DF" w:rsidRPr="008E73D7">
        <w:rPr>
          <w:lang w:val="fr-FR"/>
        </w:rPr>
        <w:t xml:space="preserve"> </w:t>
      </w:r>
      <w:r w:rsidR="00C60AEF" w:rsidRPr="008E73D7">
        <w:rPr>
          <w:lang w:val="fr-FR"/>
        </w:rPr>
        <w:t xml:space="preserve">est passé </w:t>
      </w:r>
      <w:r w:rsidR="00D154F2" w:rsidRPr="008E73D7">
        <w:rPr>
          <w:lang w:val="fr-FR"/>
        </w:rPr>
        <w:t xml:space="preserve">de </w:t>
      </w:r>
      <w:r w:rsidR="007A38DF" w:rsidRPr="008E73D7">
        <w:rPr>
          <w:lang w:val="fr-FR"/>
        </w:rPr>
        <w:t xml:space="preserve">840 </w:t>
      </w:r>
      <w:r w:rsidR="00D154F2" w:rsidRPr="008E73D7">
        <w:rPr>
          <w:lang w:val="fr-FR"/>
        </w:rPr>
        <w:t>pour l</w:t>
      </w:r>
      <w:r w:rsidR="00F22EE4" w:rsidRPr="008E73D7">
        <w:rPr>
          <w:lang w:val="fr-FR"/>
        </w:rPr>
        <w:t>’</w:t>
      </w:r>
      <w:r w:rsidR="002303ED" w:rsidRPr="008E73D7">
        <w:rPr>
          <w:lang w:val="fr-FR"/>
        </w:rPr>
        <w:t>année </w:t>
      </w:r>
      <w:r w:rsidR="007A38DF" w:rsidRPr="008E73D7">
        <w:rPr>
          <w:lang w:val="fr-FR"/>
        </w:rPr>
        <w:t xml:space="preserve">2000 </w:t>
      </w:r>
      <w:r w:rsidR="00D154F2" w:rsidRPr="008E73D7">
        <w:rPr>
          <w:lang w:val="fr-FR"/>
        </w:rPr>
        <w:t xml:space="preserve">à </w:t>
      </w:r>
      <w:r w:rsidR="00C30FD9" w:rsidRPr="008E73D7">
        <w:rPr>
          <w:lang w:val="fr-FR"/>
        </w:rPr>
        <w:t>1298</w:t>
      </w:r>
      <w:r w:rsidR="007A38DF" w:rsidRPr="008E73D7">
        <w:rPr>
          <w:lang w:val="fr-FR"/>
        </w:rPr>
        <w:t xml:space="preserve"> </w:t>
      </w:r>
      <w:r w:rsidR="00D154F2" w:rsidRPr="008E73D7">
        <w:rPr>
          <w:lang w:val="fr-FR"/>
        </w:rPr>
        <w:t>en</w:t>
      </w:r>
      <w:r w:rsidR="00C30FD9" w:rsidRPr="008E73D7">
        <w:rPr>
          <w:lang w:val="fr-FR"/>
        </w:rPr>
        <w:t> </w:t>
      </w:r>
      <w:r w:rsidR="007A38DF" w:rsidRPr="008E73D7">
        <w:rPr>
          <w:lang w:val="fr-FR"/>
        </w:rPr>
        <w:t xml:space="preserve">2011.  </w:t>
      </w:r>
      <w:r w:rsidR="00031F40" w:rsidRPr="008E73D7">
        <w:rPr>
          <w:lang w:val="fr-FR"/>
        </w:rPr>
        <w:t>Cela signifie que, en dépit de sa plus forte hausse dans l</w:t>
      </w:r>
      <w:r w:rsidR="00F22EE4" w:rsidRPr="008E73D7">
        <w:rPr>
          <w:lang w:val="fr-FR"/>
        </w:rPr>
        <w:t>’</w:t>
      </w:r>
      <w:r w:rsidR="00031F40" w:rsidRPr="008E73D7">
        <w:rPr>
          <w:lang w:val="fr-FR"/>
        </w:rPr>
        <w:t xml:space="preserve">absolu, la proportion de résidents au sein des enregistrements accordés a fluctué </w:t>
      </w:r>
      <w:r w:rsidR="00C60AEF" w:rsidRPr="008E73D7">
        <w:rPr>
          <w:lang w:val="fr-FR"/>
        </w:rPr>
        <w:t>autour</w:t>
      </w:r>
      <w:r w:rsidR="00031F40" w:rsidRPr="008E73D7">
        <w:rPr>
          <w:lang w:val="fr-FR"/>
        </w:rPr>
        <w:t xml:space="preserve"> de</w:t>
      </w:r>
      <w:r w:rsidR="000E200F" w:rsidRPr="008E73D7">
        <w:rPr>
          <w:lang w:val="fr-FR"/>
        </w:rPr>
        <w:t> </w:t>
      </w:r>
      <w:r w:rsidR="00031F40" w:rsidRPr="008E73D7">
        <w:rPr>
          <w:lang w:val="fr-FR"/>
        </w:rPr>
        <w:t>7</w:t>
      </w:r>
      <w:r w:rsidR="007A38DF" w:rsidRPr="008E73D7">
        <w:rPr>
          <w:lang w:val="fr-FR"/>
        </w:rPr>
        <w:t xml:space="preserve">0% </w:t>
      </w:r>
      <w:r w:rsidR="00031F40" w:rsidRPr="008E73D7">
        <w:rPr>
          <w:lang w:val="fr-FR"/>
        </w:rPr>
        <w:t>chaque année</w:t>
      </w:r>
      <w:r w:rsidR="007A38DF" w:rsidRPr="008E73D7">
        <w:rPr>
          <w:lang w:val="fr-FR"/>
        </w:rPr>
        <w:t>.</w:t>
      </w:r>
    </w:p>
    <w:p w:rsidR="000D4BEE" w:rsidRPr="008E73D7" w:rsidRDefault="000D4BEE" w:rsidP="00DF0747">
      <w:pPr>
        <w:rPr>
          <w:lang w:val="fr-FR"/>
        </w:rPr>
      </w:pPr>
    </w:p>
    <w:p w:rsidR="000D4BEE" w:rsidRPr="008E73D7" w:rsidRDefault="004B42B5" w:rsidP="00DF0747">
      <w:pPr>
        <w:rPr>
          <w:lang w:val="fr-FR"/>
        </w:rPr>
      </w:pPr>
      <w:r w:rsidRPr="008E73D7">
        <w:rPr>
          <w:lang w:val="fr-FR"/>
        </w:rPr>
        <w:t>En ce qui concerne les marques, les demandes ont augmenté d</w:t>
      </w:r>
      <w:r w:rsidR="00F22EE4" w:rsidRPr="008E73D7">
        <w:rPr>
          <w:lang w:val="fr-FR"/>
        </w:rPr>
        <w:t>’</w:t>
      </w:r>
      <w:r w:rsidRPr="008E73D7">
        <w:rPr>
          <w:lang w:val="fr-FR"/>
        </w:rPr>
        <w:t xml:space="preserve">environ </w:t>
      </w:r>
      <w:r w:rsidR="007A38DF" w:rsidRPr="008E73D7">
        <w:rPr>
          <w:lang w:val="fr-FR"/>
        </w:rPr>
        <w:t xml:space="preserve">40% </w:t>
      </w:r>
      <w:r w:rsidRPr="008E73D7">
        <w:rPr>
          <w:lang w:val="fr-FR"/>
        </w:rPr>
        <w:t xml:space="preserve">pour la période </w:t>
      </w:r>
      <w:r w:rsidR="00EE7FC2" w:rsidRPr="008E73D7">
        <w:rPr>
          <w:lang w:val="fr-FR"/>
        </w:rPr>
        <w:t>allant</w:t>
      </w:r>
      <w:r w:rsidR="00DF0747" w:rsidRPr="008E73D7">
        <w:rPr>
          <w:lang w:val="fr-FR"/>
        </w:rPr>
        <w:t xml:space="preserve"> </w:t>
      </w:r>
      <w:r w:rsidRPr="008E73D7">
        <w:rPr>
          <w:lang w:val="fr-FR"/>
        </w:rPr>
        <w:t>de</w:t>
      </w:r>
      <w:r w:rsidR="00C30FD9" w:rsidRPr="008E73D7">
        <w:rPr>
          <w:lang w:val="fr-FR"/>
        </w:rPr>
        <w:t> </w:t>
      </w:r>
      <w:r w:rsidR="007A38DF" w:rsidRPr="008E73D7">
        <w:rPr>
          <w:lang w:val="fr-FR"/>
        </w:rPr>
        <w:t xml:space="preserve">2000 </w:t>
      </w:r>
      <w:r w:rsidR="000E200F" w:rsidRPr="008E73D7">
        <w:rPr>
          <w:lang w:val="fr-FR"/>
        </w:rPr>
        <w:t>à </w:t>
      </w:r>
      <w:r w:rsidR="007A38DF" w:rsidRPr="008E73D7">
        <w:rPr>
          <w:lang w:val="fr-FR"/>
        </w:rPr>
        <w:t xml:space="preserve">2012, </w:t>
      </w:r>
      <w:r w:rsidR="005D2130" w:rsidRPr="008E73D7">
        <w:rPr>
          <w:lang w:val="fr-FR"/>
        </w:rPr>
        <w:t xml:space="preserve">passant </w:t>
      </w:r>
      <w:r w:rsidRPr="008E73D7">
        <w:rPr>
          <w:lang w:val="fr-FR"/>
        </w:rPr>
        <w:t>de 1</w:t>
      </w:r>
      <w:r w:rsidR="007A38DF" w:rsidRPr="008E73D7">
        <w:rPr>
          <w:lang w:val="fr-FR"/>
        </w:rPr>
        <w:t>08</w:t>
      </w:r>
      <w:r w:rsidR="00C30FD9" w:rsidRPr="008E73D7">
        <w:rPr>
          <w:lang w:val="fr-FR"/>
        </w:rPr>
        <w:t> </w:t>
      </w:r>
      <w:r w:rsidR="007A38DF" w:rsidRPr="008E73D7">
        <w:rPr>
          <w:lang w:val="fr-FR"/>
        </w:rPr>
        <w:t xml:space="preserve">231 </w:t>
      </w:r>
      <w:r w:rsidR="000E200F" w:rsidRPr="008E73D7">
        <w:rPr>
          <w:lang w:val="fr-FR"/>
        </w:rPr>
        <w:t>à </w:t>
      </w:r>
      <w:r w:rsidR="007A38DF" w:rsidRPr="008E73D7">
        <w:rPr>
          <w:lang w:val="fr-FR"/>
        </w:rPr>
        <w:t>151</w:t>
      </w:r>
      <w:r w:rsidR="00C30FD9" w:rsidRPr="008E73D7">
        <w:rPr>
          <w:lang w:val="fr-FR"/>
        </w:rPr>
        <w:t> </w:t>
      </w:r>
      <w:r w:rsidR="007A38DF" w:rsidRPr="008E73D7">
        <w:rPr>
          <w:lang w:val="fr-FR"/>
        </w:rPr>
        <w:t xml:space="preserve">711.  </w:t>
      </w:r>
      <w:r w:rsidR="00B73C7C" w:rsidRPr="008E73D7">
        <w:rPr>
          <w:lang w:val="fr-FR"/>
        </w:rPr>
        <w:t>S</w:t>
      </w:r>
      <w:r w:rsidR="00F22EE4" w:rsidRPr="008E73D7">
        <w:rPr>
          <w:lang w:val="fr-FR"/>
        </w:rPr>
        <w:t>’</w:t>
      </w:r>
      <w:r w:rsidR="00B73C7C" w:rsidRPr="008E73D7">
        <w:rPr>
          <w:lang w:val="fr-FR"/>
        </w:rPr>
        <w:t>agissant de la nature de ces demandes, les marques de produits et les services ont constitué, à proportions égales, la majeure</w:t>
      </w:r>
      <w:r w:rsidR="005D2130" w:rsidRPr="008E73D7">
        <w:rPr>
          <w:lang w:val="fr-FR"/>
        </w:rPr>
        <w:t xml:space="preserve"> partie des </w:t>
      </w:r>
      <w:r w:rsidR="005D2130" w:rsidRPr="008E73D7">
        <w:rPr>
          <w:lang w:val="fr-FR"/>
        </w:rPr>
        <w:lastRenderedPageBreak/>
        <w:t>demandes</w:t>
      </w:r>
      <w:r w:rsidR="007A38DF" w:rsidRPr="008E73D7">
        <w:rPr>
          <w:lang w:val="fr-FR"/>
        </w:rPr>
        <w:t xml:space="preserve">.  </w:t>
      </w:r>
      <w:r w:rsidR="00E53E47" w:rsidRPr="008E73D7">
        <w:rPr>
          <w:lang w:val="fr-FR"/>
        </w:rPr>
        <w:t>Toutefois, les demandes d</w:t>
      </w:r>
      <w:r w:rsidR="00F22EE4" w:rsidRPr="008E73D7">
        <w:rPr>
          <w:lang w:val="fr-FR"/>
        </w:rPr>
        <w:t>’</w:t>
      </w:r>
      <w:r w:rsidR="00E53E47" w:rsidRPr="008E73D7">
        <w:rPr>
          <w:lang w:val="fr-FR"/>
        </w:rPr>
        <w:t>enregistrement de marque</w:t>
      </w:r>
      <w:r w:rsidR="00EE7FC2" w:rsidRPr="008E73D7">
        <w:rPr>
          <w:lang w:val="fr-FR"/>
        </w:rPr>
        <w:t>s de</w:t>
      </w:r>
      <w:r w:rsidR="003C179F" w:rsidRPr="008E73D7">
        <w:rPr>
          <w:lang w:val="fr-FR"/>
        </w:rPr>
        <w:t xml:space="preserve"> </w:t>
      </w:r>
      <w:r w:rsidR="00E53E47" w:rsidRPr="008E73D7">
        <w:rPr>
          <w:lang w:val="fr-FR"/>
        </w:rPr>
        <w:t>produits ont été prédominant</w:t>
      </w:r>
      <w:r w:rsidR="003C179F" w:rsidRPr="008E73D7">
        <w:rPr>
          <w:lang w:val="fr-FR"/>
        </w:rPr>
        <w:t>e</w:t>
      </w:r>
      <w:r w:rsidR="00E53E47" w:rsidRPr="008E73D7">
        <w:rPr>
          <w:lang w:val="fr-FR"/>
        </w:rPr>
        <w:t>s jusqu</w:t>
      </w:r>
      <w:r w:rsidR="00F22EE4" w:rsidRPr="008E73D7">
        <w:rPr>
          <w:lang w:val="fr-FR"/>
        </w:rPr>
        <w:t>’</w:t>
      </w:r>
      <w:r w:rsidR="00E53E47" w:rsidRPr="008E73D7">
        <w:rPr>
          <w:lang w:val="fr-FR"/>
        </w:rPr>
        <w:t xml:space="preserve">à </w:t>
      </w:r>
      <w:r w:rsidR="007A38DF" w:rsidRPr="008E73D7">
        <w:rPr>
          <w:lang w:val="fr-FR"/>
        </w:rPr>
        <w:t xml:space="preserve">2006, </w:t>
      </w:r>
      <w:r w:rsidR="00ED43FA" w:rsidRPr="008E73D7">
        <w:rPr>
          <w:lang w:val="fr-FR"/>
        </w:rPr>
        <w:t>lorsque les demandes d</w:t>
      </w:r>
      <w:r w:rsidR="00F22EE4" w:rsidRPr="008E73D7">
        <w:rPr>
          <w:lang w:val="fr-FR"/>
        </w:rPr>
        <w:t>’</w:t>
      </w:r>
      <w:r w:rsidR="00ED43FA" w:rsidRPr="008E73D7">
        <w:rPr>
          <w:lang w:val="fr-FR"/>
        </w:rPr>
        <w:t>enregistrement de marques de services</w:t>
      </w:r>
      <w:r w:rsidR="007A38DF" w:rsidRPr="008E73D7">
        <w:rPr>
          <w:lang w:val="fr-FR"/>
        </w:rPr>
        <w:t xml:space="preserve"> </w:t>
      </w:r>
      <w:r w:rsidR="00ED43FA" w:rsidRPr="008E73D7">
        <w:rPr>
          <w:lang w:val="fr-FR"/>
        </w:rPr>
        <w:t>sont devenues majoritaires</w:t>
      </w:r>
      <w:r w:rsidR="007A38DF" w:rsidRPr="008E73D7">
        <w:rPr>
          <w:lang w:val="fr-FR"/>
        </w:rPr>
        <w:t xml:space="preserve">.  </w:t>
      </w:r>
      <w:r w:rsidR="0055376F" w:rsidRPr="008E73D7">
        <w:rPr>
          <w:lang w:val="fr-FR"/>
        </w:rPr>
        <w:t>Pour ce qui est du type</w:t>
      </w:r>
      <w:r w:rsidR="00EE7FC2" w:rsidRPr="008E73D7">
        <w:rPr>
          <w:lang w:val="fr-FR"/>
        </w:rPr>
        <w:t xml:space="preserve"> de marques</w:t>
      </w:r>
      <w:r w:rsidR="0055376F" w:rsidRPr="008E73D7">
        <w:rPr>
          <w:lang w:val="fr-FR"/>
        </w:rPr>
        <w:t>, la plupart des demandes d</w:t>
      </w:r>
      <w:r w:rsidR="00F22EE4" w:rsidRPr="008E73D7">
        <w:rPr>
          <w:lang w:val="fr-FR"/>
        </w:rPr>
        <w:t>’</w:t>
      </w:r>
      <w:r w:rsidR="0055376F" w:rsidRPr="008E73D7">
        <w:rPr>
          <w:lang w:val="fr-FR"/>
        </w:rPr>
        <w:t xml:space="preserve">enregistrement concernent des marques combinées, </w:t>
      </w:r>
      <w:r w:rsidR="00F22EE4" w:rsidRPr="008E73D7">
        <w:rPr>
          <w:lang w:val="fr-FR"/>
        </w:rPr>
        <w:t>à savoir</w:t>
      </w:r>
      <w:r w:rsidR="0055376F" w:rsidRPr="008E73D7">
        <w:rPr>
          <w:lang w:val="fr-FR"/>
        </w:rPr>
        <w:t xml:space="preserve"> des sign</w:t>
      </w:r>
      <w:r w:rsidR="00EE7FC2" w:rsidRPr="008E73D7">
        <w:rPr>
          <w:lang w:val="fr-FR"/>
        </w:rPr>
        <w:t>es</w:t>
      </w:r>
      <w:r w:rsidR="0055376F" w:rsidRPr="008E73D7">
        <w:rPr>
          <w:lang w:val="fr-FR"/>
        </w:rPr>
        <w:t xml:space="preserve"> constitués à la fois de mots et d</w:t>
      </w:r>
      <w:r w:rsidR="00F22EE4" w:rsidRPr="008E73D7">
        <w:rPr>
          <w:lang w:val="fr-FR"/>
        </w:rPr>
        <w:t>’</w:t>
      </w:r>
      <w:r w:rsidR="0055376F" w:rsidRPr="008E73D7">
        <w:rPr>
          <w:lang w:val="fr-FR"/>
        </w:rPr>
        <w:t>éléments figuratifs</w:t>
      </w:r>
      <w:r w:rsidR="007A38DF" w:rsidRPr="008E73D7">
        <w:rPr>
          <w:lang w:val="fr-FR"/>
        </w:rPr>
        <w:t xml:space="preserve">.  </w:t>
      </w:r>
      <w:r w:rsidR="0055376F" w:rsidRPr="008E73D7">
        <w:rPr>
          <w:lang w:val="fr-FR"/>
        </w:rPr>
        <w:t xml:space="preserve">La majorité des déposants, </w:t>
      </w:r>
      <w:r w:rsidR="001A3374" w:rsidRPr="008E73D7">
        <w:rPr>
          <w:lang w:val="fr-FR"/>
        </w:rPr>
        <w:t xml:space="preserve">soit </w:t>
      </w:r>
      <w:r w:rsidR="007A38DF" w:rsidRPr="008E73D7">
        <w:rPr>
          <w:lang w:val="fr-FR"/>
        </w:rPr>
        <w:t xml:space="preserve">83%, </w:t>
      </w:r>
      <w:r w:rsidR="0055376F" w:rsidRPr="008E73D7">
        <w:rPr>
          <w:lang w:val="fr-FR"/>
        </w:rPr>
        <w:t>sont des résidents</w:t>
      </w:r>
      <w:r w:rsidR="007A38DF" w:rsidRPr="008E73D7">
        <w:rPr>
          <w:lang w:val="fr-FR"/>
        </w:rPr>
        <w:t xml:space="preserve">, </w:t>
      </w:r>
      <w:r w:rsidR="0055376F" w:rsidRPr="008E73D7">
        <w:rPr>
          <w:lang w:val="fr-FR"/>
        </w:rPr>
        <w:t>dont à peu près 40</w:t>
      </w:r>
      <w:r w:rsidR="007A38DF" w:rsidRPr="008E73D7">
        <w:rPr>
          <w:lang w:val="fr-FR"/>
        </w:rPr>
        <w:t xml:space="preserve">% </w:t>
      </w:r>
      <w:r w:rsidR="0055376F" w:rsidRPr="008E73D7">
        <w:rPr>
          <w:lang w:val="fr-FR"/>
        </w:rPr>
        <w:t xml:space="preserve">sont des </w:t>
      </w:r>
      <w:proofErr w:type="spellStart"/>
      <w:r w:rsidR="00C60AEF" w:rsidRPr="008E73D7">
        <w:rPr>
          <w:lang w:val="fr-FR"/>
        </w:rPr>
        <w:t>microentreprises</w:t>
      </w:r>
      <w:proofErr w:type="spellEnd"/>
      <w:r w:rsidR="0055376F" w:rsidRPr="008E73D7">
        <w:rPr>
          <w:lang w:val="fr-FR"/>
        </w:rPr>
        <w:t xml:space="preserve"> ou des entreprises</w:t>
      </w:r>
      <w:r w:rsidR="00BA3A6B" w:rsidRPr="008E73D7">
        <w:rPr>
          <w:lang w:val="fr-FR"/>
        </w:rPr>
        <w:t xml:space="preserve"> de petite taille</w:t>
      </w:r>
      <w:r w:rsidR="007A38DF" w:rsidRPr="008E73D7">
        <w:rPr>
          <w:lang w:val="fr-FR"/>
        </w:rPr>
        <w:t xml:space="preserve">.  </w:t>
      </w:r>
      <w:r w:rsidR="0055376F" w:rsidRPr="008E73D7">
        <w:rPr>
          <w:lang w:val="fr-FR"/>
        </w:rPr>
        <w:t xml:space="preserve">Au cours de la période concernée, </w:t>
      </w:r>
      <w:r w:rsidR="00BA3A6B" w:rsidRPr="008E73D7">
        <w:rPr>
          <w:lang w:val="fr-FR"/>
        </w:rPr>
        <w:t>seulement 18% des demandes d</w:t>
      </w:r>
      <w:r w:rsidR="00F22EE4" w:rsidRPr="008E73D7">
        <w:rPr>
          <w:lang w:val="fr-FR"/>
        </w:rPr>
        <w:t>’</w:t>
      </w:r>
      <w:r w:rsidR="00BA3A6B" w:rsidRPr="008E73D7">
        <w:rPr>
          <w:lang w:val="fr-FR"/>
        </w:rPr>
        <w:t>enregistrement de marques ont été déposées par des non</w:t>
      </w:r>
      <w:r w:rsidR="00D0608C" w:rsidRPr="008E73D7">
        <w:rPr>
          <w:lang w:val="fr-FR"/>
        </w:rPr>
        <w:noBreakHyphen/>
      </w:r>
      <w:r w:rsidR="00BA3A6B" w:rsidRPr="008E73D7">
        <w:rPr>
          <w:lang w:val="fr-FR"/>
        </w:rPr>
        <w:t xml:space="preserve">résidents, avec une baisse entre </w:t>
      </w:r>
      <w:r w:rsidR="007A38DF" w:rsidRPr="008E73D7">
        <w:rPr>
          <w:lang w:val="fr-FR"/>
        </w:rPr>
        <w:t xml:space="preserve">2001 </w:t>
      </w:r>
      <w:r w:rsidR="00BA3A6B" w:rsidRPr="008E73D7">
        <w:rPr>
          <w:lang w:val="fr-FR"/>
        </w:rPr>
        <w:t>et</w:t>
      </w:r>
      <w:r w:rsidR="000E200F" w:rsidRPr="008E73D7">
        <w:rPr>
          <w:lang w:val="fr-FR"/>
        </w:rPr>
        <w:t> </w:t>
      </w:r>
      <w:r w:rsidR="007A38DF" w:rsidRPr="008E73D7">
        <w:rPr>
          <w:lang w:val="fr-FR"/>
        </w:rPr>
        <w:t xml:space="preserve">2004 </w:t>
      </w:r>
      <w:r w:rsidR="00BA3A6B" w:rsidRPr="008E73D7">
        <w:rPr>
          <w:lang w:val="fr-FR"/>
        </w:rPr>
        <w:t>et une tendance à la hausse à partir de</w:t>
      </w:r>
      <w:r w:rsidR="00C30FD9" w:rsidRPr="008E73D7">
        <w:rPr>
          <w:lang w:val="fr-FR"/>
        </w:rPr>
        <w:t> </w:t>
      </w:r>
      <w:r w:rsidR="00BA3A6B" w:rsidRPr="008E73D7">
        <w:rPr>
          <w:lang w:val="fr-FR"/>
        </w:rPr>
        <w:t>2</w:t>
      </w:r>
      <w:r w:rsidR="007A38DF" w:rsidRPr="008E73D7">
        <w:rPr>
          <w:lang w:val="fr-FR"/>
        </w:rPr>
        <w:t xml:space="preserve">005.  </w:t>
      </w:r>
      <w:r w:rsidR="00B06A1D" w:rsidRPr="008E73D7">
        <w:rPr>
          <w:lang w:val="fr-FR"/>
        </w:rPr>
        <w:t>Les pays les plus représentés en matière de dépôts de demandes par des non</w:t>
      </w:r>
      <w:r w:rsidR="00D0608C" w:rsidRPr="008E73D7">
        <w:rPr>
          <w:lang w:val="fr-FR"/>
        </w:rPr>
        <w:noBreakHyphen/>
      </w:r>
      <w:r w:rsidR="00B06A1D" w:rsidRPr="008E73D7">
        <w:rPr>
          <w:lang w:val="fr-FR"/>
        </w:rPr>
        <w:t>résidents sont les suivants :</w:t>
      </w:r>
      <w:r w:rsidR="007A38DF" w:rsidRPr="008E73D7">
        <w:rPr>
          <w:lang w:val="fr-FR"/>
        </w:rPr>
        <w:t xml:space="preserve"> </w:t>
      </w:r>
      <w:r w:rsidR="00B06A1D" w:rsidRPr="008E73D7">
        <w:rPr>
          <w:lang w:val="fr-FR"/>
        </w:rPr>
        <w:t>les États</w:t>
      </w:r>
      <w:r w:rsidR="00D0608C" w:rsidRPr="008E73D7">
        <w:rPr>
          <w:lang w:val="fr-FR"/>
        </w:rPr>
        <w:noBreakHyphen/>
      </w:r>
      <w:r w:rsidR="00B06A1D" w:rsidRPr="008E73D7">
        <w:rPr>
          <w:lang w:val="fr-FR"/>
        </w:rPr>
        <w:t>Unis d</w:t>
      </w:r>
      <w:r w:rsidR="00F22EE4" w:rsidRPr="008E73D7">
        <w:rPr>
          <w:lang w:val="fr-FR"/>
        </w:rPr>
        <w:t>’</w:t>
      </w:r>
      <w:r w:rsidR="00B06A1D" w:rsidRPr="008E73D7">
        <w:rPr>
          <w:lang w:val="fr-FR"/>
        </w:rPr>
        <w:t>Amérique</w:t>
      </w:r>
      <w:r w:rsidR="007A38DF" w:rsidRPr="008E73D7">
        <w:rPr>
          <w:lang w:val="fr-FR"/>
        </w:rPr>
        <w:t xml:space="preserve"> (5%), </w:t>
      </w:r>
      <w:r w:rsidR="00B06A1D" w:rsidRPr="008E73D7">
        <w:rPr>
          <w:lang w:val="fr-FR"/>
        </w:rPr>
        <w:t>l</w:t>
      </w:r>
      <w:r w:rsidR="00F22EE4" w:rsidRPr="008E73D7">
        <w:rPr>
          <w:lang w:val="fr-FR"/>
        </w:rPr>
        <w:t>’</w:t>
      </w:r>
      <w:r w:rsidR="00B06A1D" w:rsidRPr="008E73D7">
        <w:rPr>
          <w:lang w:val="fr-FR"/>
        </w:rPr>
        <w:t>Allemagne</w:t>
      </w:r>
      <w:r w:rsidR="007A38DF" w:rsidRPr="008E73D7">
        <w:rPr>
          <w:lang w:val="fr-FR"/>
        </w:rPr>
        <w:t xml:space="preserve"> (2%), </w:t>
      </w:r>
      <w:r w:rsidR="00B06A1D" w:rsidRPr="008E73D7">
        <w:rPr>
          <w:lang w:val="fr-FR"/>
        </w:rPr>
        <w:t xml:space="preserve">la </w:t>
      </w:r>
      <w:r w:rsidR="007A38DF" w:rsidRPr="008E73D7">
        <w:rPr>
          <w:lang w:val="fr-FR"/>
        </w:rPr>
        <w:t xml:space="preserve">France </w:t>
      </w:r>
      <w:r w:rsidR="00B06A1D" w:rsidRPr="008E73D7">
        <w:rPr>
          <w:lang w:val="fr-FR"/>
        </w:rPr>
        <w:t xml:space="preserve">et la Suisse </w:t>
      </w:r>
      <w:r w:rsidR="007A38DF" w:rsidRPr="008E73D7">
        <w:rPr>
          <w:lang w:val="fr-FR"/>
        </w:rPr>
        <w:t>(1%</w:t>
      </w:r>
      <w:r w:rsidR="00B06A1D" w:rsidRPr="008E73D7">
        <w:rPr>
          <w:lang w:val="fr-FR"/>
        </w:rPr>
        <w:t xml:space="preserve"> chacune</w:t>
      </w:r>
      <w:r w:rsidR="007A38DF" w:rsidRPr="008E73D7">
        <w:rPr>
          <w:lang w:val="fr-FR"/>
        </w:rPr>
        <w:t xml:space="preserve">).  </w:t>
      </w:r>
      <w:r w:rsidR="00F84AB6" w:rsidRPr="008E73D7">
        <w:rPr>
          <w:lang w:val="fr-FR"/>
        </w:rPr>
        <w:t>S</w:t>
      </w:r>
      <w:r w:rsidR="00F22EE4" w:rsidRPr="008E73D7">
        <w:rPr>
          <w:lang w:val="fr-FR"/>
        </w:rPr>
        <w:t>’</w:t>
      </w:r>
      <w:r w:rsidR="00F84AB6" w:rsidRPr="008E73D7">
        <w:rPr>
          <w:lang w:val="fr-FR"/>
        </w:rPr>
        <w:t>agissant des demandes déposées par des résidents, de</w:t>
      </w:r>
      <w:r w:rsidR="00C30FD9" w:rsidRPr="008E73D7">
        <w:rPr>
          <w:lang w:val="fr-FR"/>
        </w:rPr>
        <w:t> </w:t>
      </w:r>
      <w:r w:rsidR="007A38DF" w:rsidRPr="008E73D7">
        <w:rPr>
          <w:lang w:val="fr-FR"/>
        </w:rPr>
        <w:t xml:space="preserve">2000 </w:t>
      </w:r>
      <w:r w:rsidR="00F84AB6" w:rsidRPr="008E73D7">
        <w:rPr>
          <w:lang w:val="fr-FR"/>
        </w:rPr>
        <w:t>à</w:t>
      </w:r>
      <w:r w:rsidR="000E200F" w:rsidRPr="008E73D7">
        <w:rPr>
          <w:lang w:val="fr-FR"/>
        </w:rPr>
        <w:t> </w:t>
      </w:r>
      <w:r w:rsidR="007A38DF" w:rsidRPr="008E73D7">
        <w:rPr>
          <w:lang w:val="fr-FR"/>
        </w:rPr>
        <w:t>2012</w:t>
      </w:r>
      <w:r w:rsidR="00F84AB6" w:rsidRPr="008E73D7">
        <w:rPr>
          <w:lang w:val="fr-FR"/>
        </w:rPr>
        <w:t xml:space="preserve">, les États de </w:t>
      </w:r>
      <w:r w:rsidR="007A38DF" w:rsidRPr="008E73D7">
        <w:rPr>
          <w:lang w:val="fr-FR"/>
        </w:rPr>
        <w:t>São</w:t>
      </w:r>
      <w:r w:rsidR="000E200F" w:rsidRPr="008E73D7">
        <w:rPr>
          <w:lang w:val="fr-FR"/>
        </w:rPr>
        <w:t> </w:t>
      </w:r>
      <w:r w:rsidR="007A38DF" w:rsidRPr="008E73D7">
        <w:rPr>
          <w:lang w:val="fr-FR"/>
        </w:rPr>
        <w:t>Paulo</w:t>
      </w:r>
      <w:r w:rsidR="000E200F" w:rsidRPr="008E73D7">
        <w:rPr>
          <w:lang w:val="fr-FR"/>
        </w:rPr>
        <w:t> </w:t>
      </w:r>
      <w:r w:rsidR="007A38DF" w:rsidRPr="008E73D7">
        <w:rPr>
          <w:lang w:val="fr-FR"/>
        </w:rPr>
        <w:t xml:space="preserve">(SP), Minas </w:t>
      </w:r>
      <w:proofErr w:type="spellStart"/>
      <w:r w:rsidR="007A38DF" w:rsidRPr="008E73D7">
        <w:rPr>
          <w:lang w:val="fr-FR"/>
        </w:rPr>
        <w:t>Gerais</w:t>
      </w:r>
      <w:proofErr w:type="spellEnd"/>
      <w:r w:rsidR="000E200F" w:rsidRPr="008E73D7">
        <w:rPr>
          <w:lang w:val="fr-FR"/>
        </w:rPr>
        <w:t> </w:t>
      </w:r>
      <w:r w:rsidR="007A38DF" w:rsidRPr="008E73D7">
        <w:rPr>
          <w:lang w:val="fr-FR"/>
        </w:rPr>
        <w:t xml:space="preserve">(MG) </w:t>
      </w:r>
      <w:r w:rsidR="00F84AB6" w:rsidRPr="008E73D7">
        <w:rPr>
          <w:lang w:val="fr-FR"/>
        </w:rPr>
        <w:t>et</w:t>
      </w:r>
      <w:r w:rsidR="007A38DF" w:rsidRPr="008E73D7">
        <w:rPr>
          <w:lang w:val="fr-FR"/>
        </w:rPr>
        <w:t xml:space="preserve"> Rio de Janeiro (RJ) </w:t>
      </w:r>
      <w:r w:rsidR="00F84AB6" w:rsidRPr="008E73D7">
        <w:rPr>
          <w:lang w:val="fr-FR"/>
        </w:rPr>
        <w:t xml:space="preserve">représentaient </w:t>
      </w:r>
      <w:r w:rsidR="007A38DF" w:rsidRPr="008E73D7">
        <w:rPr>
          <w:lang w:val="fr-FR"/>
        </w:rPr>
        <w:t xml:space="preserve">60% </w:t>
      </w:r>
      <w:r w:rsidR="00F84AB6" w:rsidRPr="008E73D7">
        <w:rPr>
          <w:lang w:val="fr-FR"/>
        </w:rPr>
        <w:t>des demandes</w:t>
      </w:r>
      <w:r w:rsidR="00C30FD9" w:rsidRPr="008E73D7">
        <w:rPr>
          <w:lang w:val="fr-FR"/>
        </w:rPr>
        <w:t xml:space="preserve">; </w:t>
      </w:r>
      <w:r w:rsidR="007A38DF" w:rsidRPr="008E73D7">
        <w:rPr>
          <w:lang w:val="fr-FR"/>
        </w:rPr>
        <w:t xml:space="preserve"> </w:t>
      </w:r>
      <w:r w:rsidR="00F84AB6" w:rsidRPr="008E73D7">
        <w:rPr>
          <w:lang w:val="fr-FR"/>
        </w:rPr>
        <w:t xml:space="preserve">les États de </w:t>
      </w:r>
      <w:r w:rsidR="007A38DF" w:rsidRPr="008E73D7">
        <w:rPr>
          <w:lang w:val="fr-FR"/>
        </w:rPr>
        <w:t>Paraná</w:t>
      </w:r>
      <w:r w:rsidR="000E200F" w:rsidRPr="008E73D7">
        <w:rPr>
          <w:lang w:val="fr-FR"/>
        </w:rPr>
        <w:t> </w:t>
      </w:r>
      <w:r w:rsidR="007A38DF" w:rsidRPr="008E73D7">
        <w:rPr>
          <w:lang w:val="fr-FR"/>
        </w:rPr>
        <w:t>(PR), Rio Grande do Sul</w:t>
      </w:r>
      <w:r w:rsidR="000E200F" w:rsidRPr="008E73D7">
        <w:rPr>
          <w:lang w:val="fr-FR"/>
        </w:rPr>
        <w:t> </w:t>
      </w:r>
      <w:r w:rsidR="007A38DF" w:rsidRPr="008E73D7">
        <w:rPr>
          <w:lang w:val="fr-FR"/>
        </w:rPr>
        <w:t xml:space="preserve">(RS) </w:t>
      </w:r>
      <w:r w:rsidR="00F84AB6" w:rsidRPr="008E73D7">
        <w:rPr>
          <w:lang w:val="fr-FR"/>
        </w:rPr>
        <w:t xml:space="preserve">et </w:t>
      </w:r>
      <w:r w:rsidR="007A38DF" w:rsidRPr="008E73D7">
        <w:rPr>
          <w:lang w:val="fr-FR"/>
        </w:rPr>
        <w:t>Santa Catarina</w:t>
      </w:r>
      <w:r w:rsidR="000E200F" w:rsidRPr="008E73D7">
        <w:rPr>
          <w:lang w:val="fr-FR"/>
        </w:rPr>
        <w:t> </w:t>
      </w:r>
      <w:r w:rsidR="007A38DF" w:rsidRPr="008E73D7">
        <w:rPr>
          <w:lang w:val="fr-FR"/>
        </w:rPr>
        <w:t xml:space="preserve">(SC) </w:t>
      </w:r>
      <w:r w:rsidR="00F84AB6" w:rsidRPr="008E73D7">
        <w:rPr>
          <w:lang w:val="fr-FR"/>
        </w:rPr>
        <w:t xml:space="preserve">représentaient </w:t>
      </w:r>
      <w:r w:rsidR="007A38DF" w:rsidRPr="008E73D7">
        <w:rPr>
          <w:lang w:val="fr-FR"/>
        </w:rPr>
        <w:t xml:space="preserve">20% </w:t>
      </w:r>
      <w:r w:rsidR="00F84AB6" w:rsidRPr="008E73D7">
        <w:rPr>
          <w:lang w:val="fr-FR"/>
        </w:rPr>
        <w:t>des demandes</w:t>
      </w:r>
      <w:r w:rsidR="007A38DF" w:rsidRPr="008E73D7">
        <w:rPr>
          <w:lang w:val="fr-FR"/>
        </w:rPr>
        <w:t xml:space="preserve">.  </w:t>
      </w:r>
      <w:r w:rsidR="007601DA" w:rsidRPr="008E73D7">
        <w:rPr>
          <w:lang w:val="fr-FR"/>
        </w:rPr>
        <w:t>En ce qui concerne l</w:t>
      </w:r>
      <w:r w:rsidR="00F22EE4" w:rsidRPr="008E73D7">
        <w:rPr>
          <w:lang w:val="fr-FR"/>
        </w:rPr>
        <w:t>’</w:t>
      </w:r>
      <w:r w:rsidR="007601DA" w:rsidRPr="008E73D7">
        <w:rPr>
          <w:lang w:val="fr-FR"/>
        </w:rPr>
        <w:t xml:space="preserve">activité principale des déposants, </w:t>
      </w:r>
      <w:r w:rsidR="00B46EA2" w:rsidRPr="008E73D7">
        <w:rPr>
          <w:lang w:val="fr-FR"/>
        </w:rPr>
        <w:t>les secteurs des services financiers, de l</w:t>
      </w:r>
      <w:r w:rsidR="00F22EE4" w:rsidRPr="008E73D7">
        <w:rPr>
          <w:lang w:val="fr-FR"/>
        </w:rPr>
        <w:t>’</w:t>
      </w:r>
      <w:r w:rsidR="00B46EA2" w:rsidRPr="008E73D7">
        <w:rPr>
          <w:lang w:val="fr-FR"/>
        </w:rPr>
        <w:t>immobilier, de la gestion d</w:t>
      </w:r>
      <w:r w:rsidR="00F22EE4" w:rsidRPr="008E73D7">
        <w:rPr>
          <w:lang w:val="fr-FR"/>
        </w:rPr>
        <w:t>’</w:t>
      </w:r>
      <w:r w:rsidR="00B46EA2" w:rsidRPr="008E73D7">
        <w:rPr>
          <w:lang w:val="fr-FR"/>
        </w:rPr>
        <w:t>entreprise et de la publicité ont r</w:t>
      </w:r>
      <w:r w:rsidR="000E200F" w:rsidRPr="008E73D7">
        <w:rPr>
          <w:lang w:val="fr-FR"/>
        </w:rPr>
        <w:t>eprésenté en moyenne un taux de </w:t>
      </w:r>
      <w:r w:rsidR="00B46EA2" w:rsidRPr="008E73D7">
        <w:rPr>
          <w:lang w:val="fr-FR"/>
        </w:rPr>
        <w:t>21% des demandes pour la même période, alors que les secteurs de l</w:t>
      </w:r>
      <w:r w:rsidR="00F22EE4" w:rsidRPr="008E73D7">
        <w:rPr>
          <w:lang w:val="fr-FR"/>
        </w:rPr>
        <w:t>’</w:t>
      </w:r>
      <w:r w:rsidR="00B46EA2" w:rsidRPr="008E73D7">
        <w:rPr>
          <w:lang w:val="fr-FR"/>
        </w:rPr>
        <w:t xml:space="preserve">éducation, de la formation et des loisirs représentaient </w:t>
      </w:r>
      <w:r w:rsidR="007A38DF" w:rsidRPr="008E73D7">
        <w:rPr>
          <w:lang w:val="fr-FR"/>
        </w:rPr>
        <w:t>16</w:t>
      </w:r>
      <w:r w:rsidR="00C30FD9" w:rsidRPr="008E73D7">
        <w:rPr>
          <w:lang w:val="fr-FR"/>
        </w:rPr>
        <w:t xml:space="preserve">%. </w:t>
      </w:r>
      <w:r w:rsidR="007A38DF" w:rsidRPr="008E73D7">
        <w:rPr>
          <w:lang w:val="fr-FR"/>
        </w:rPr>
        <w:t xml:space="preserve"> </w:t>
      </w:r>
      <w:r w:rsidR="00B46EA2" w:rsidRPr="008E73D7">
        <w:rPr>
          <w:lang w:val="fr-FR"/>
        </w:rPr>
        <w:t>La délivrance de droits de propriété intellectuelle relatifs à des marques a augmenté au cours de la période concernée, partant d</w:t>
      </w:r>
      <w:r w:rsidR="00F22EE4" w:rsidRPr="008E73D7">
        <w:rPr>
          <w:lang w:val="fr-FR"/>
        </w:rPr>
        <w:t>’</w:t>
      </w:r>
      <w:r w:rsidR="000E200F" w:rsidRPr="008E73D7">
        <w:rPr>
          <w:lang w:val="fr-FR"/>
        </w:rPr>
        <w:t>une moyenne de </w:t>
      </w:r>
      <w:r w:rsidR="007A38DF" w:rsidRPr="008E73D7">
        <w:rPr>
          <w:lang w:val="fr-FR"/>
        </w:rPr>
        <w:t>16</w:t>
      </w:r>
      <w:r w:rsidR="00B46EA2" w:rsidRPr="008E73D7">
        <w:rPr>
          <w:lang w:val="fr-FR"/>
        </w:rPr>
        <w:t> </w:t>
      </w:r>
      <w:r w:rsidR="007A38DF" w:rsidRPr="008E73D7">
        <w:rPr>
          <w:lang w:val="fr-FR"/>
        </w:rPr>
        <w:t xml:space="preserve">300, </w:t>
      </w:r>
      <w:r w:rsidR="00B46EA2" w:rsidRPr="008E73D7">
        <w:rPr>
          <w:lang w:val="fr-FR"/>
        </w:rPr>
        <w:t>pour la période</w:t>
      </w:r>
      <w:r w:rsidR="00C30FD9" w:rsidRPr="008E73D7">
        <w:rPr>
          <w:lang w:val="fr-FR"/>
        </w:rPr>
        <w:t> </w:t>
      </w:r>
      <w:r w:rsidR="007A38DF" w:rsidRPr="008E73D7">
        <w:rPr>
          <w:lang w:val="fr-FR"/>
        </w:rPr>
        <w:t>2000</w:t>
      </w:r>
      <w:r w:rsidR="00D0608C" w:rsidRPr="008E73D7">
        <w:rPr>
          <w:lang w:val="fr-FR"/>
        </w:rPr>
        <w:noBreakHyphen/>
      </w:r>
      <w:r w:rsidR="007A38DF" w:rsidRPr="008E73D7">
        <w:rPr>
          <w:lang w:val="fr-FR"/>
        </w:rPr>
        <w:t xml:space="preserve">2005, </w:t>
      </w:r>
      <w:r w:rsidR="00B46EA2" w:rsidRPr="008E73D7">
        <w:rPr>
          <w:lang w:val="fr-FR"/>
        </w:rPr>
        <w:t xml:space="preserve">pour atteindre </w:t>
      </w:r>
      <w:r w:rsidR="007A38DF" w:rsidRPr="008E73D7">
        <w:rPr>
          <w:lang w:val="fr-FR"/>
        </w:rPr>
        <w:t>60</w:t>
      </w:r>
      <w:r w:rsidR="00B46EA2" w:rsidRPr="008E73D7">
        <w:rPr>
          <w:lang w:val="fr-FR"/>
        </w:rPr>
        <w:t> </w:t>
      </w:r>
      <w:r w:rsidR="007A38DF" w:rsidRPr="008E73D7">
        <w:rPr>
          <w:lang w:val="fr-FR"/>
        </w:rPr>
        <w:t xml:space="preserve">900 </w:t>
      </w:r>
      <w:r w:rsidR="00B46EA2" w:rsidRPr="008E73D7">
        <w:rPr>
          <w:lang w:val="fr-FR"/>
        </w:rPr>
        <w:t>pour la période</w:t>
      </w:r>
      <w:r w:rsidR="00C30FD9" w:rsidRPr="008E73D7">
        <w:rPr>
          <w:lang w:val="fr-FR"/>
        </w:rPr>
        <w:t> </w:t>
      </w:r>
      <w:r w:rsidR="007A38DF" w:rsidRPr="008E73D7">
        <w:rPr>
          <w:lang w:val="fr-FR"/>
        </w:rPr>
        <w:t>2008</w:t>
      </w:r>
      <w:r w:rsidR="00D0608C" w:rsidRPr="008E73D7">
        <w:rPr>
          <w:lang w:val="fr-FR"/>
        </w:rPr>
        <w:noBreakHyphen/>
      </w:r>
      <w:r w:rsidR="007A38DF" w:rsidRPr="008E73D7">
        <w:rPr>
          <w:lang w:val="fr-FR"/>
        </w:rPr>
        <w:t>2012.</w:t>
      </w:r>
    </w:p>
    <w:p w:rsidR="000D4BEE" w:rsidRPr="008E73D7" w:rsidRDefault="000D4BEE" w:rsidP="00DF0747">
      <w:pPr>
        <w:rPr>
          <w:lang w:val="fr-FR"/>
        </w:rPr>
      </w:pPr>
    </w:p>
    <w:p w:rsidR="00F22EE4" w:rsidRPr="008E73D7" w:rsidRDefault="00235E21" w:rsidP="00DF0747">
      <w:pPr>
        <w:rPr>
          <w:lang w:val="fr-FR"/>
        </w:rPr>
      </w:pPr>
      <w:r w:rsidRPr="008E73D7">
        <w:rPr>
          <w:lang w:val="fr-FR"/>
        </w:rPr>
        <w:t>S</w:t>
      </w:r>
      <w:r w:rsidR="00F22EE4" w:rsidRPr="008E73D7">
        <w:rPr>
          <w:lang w:val="fr-FR"/>
        </w:rPr>
        <w:t>’</w:t>
      </w:r>
      <w:r w:rsidRPr="008E73D7">
        <w:rPr>
          <w:lang w:val="fr-FR"/>
        </w:rPr>
        <w:t xml:space="preserve">agissant des contrats </w:t>
      </w:r>
      <w:r w:rsidR="00EE7FC2" w:rsidRPr="008E73D7">
        <w:rPr>
          <w:lang w:val="fr-FR"/>
        </w:rPr>
        <w:t xml:space="preserve">de </w:t>
      </w:r>
      <w:r w:rsidR="00DF0747" w:rsidRPr="008E73D7">
        <w:rPr>
          <w:lang w:val="fr-FR"/>
        </w:rPr>
        <w:t>technologi</w:t>
      </w:r>
      <w:r w:rsidRPr="008E73D7">
        <w:rPr>
          <w:lang w:val="fr-FR"/>
        </w:rPr>
        <w:t xml:space="preserve">e, </w:t>
      </w:r>
      <w:r w:rsidR="00103555" w:rsidRPr="008E73D7">
        <w:rPr>
          <w:lang w:val="fr-FR"/>
        </w:rPr>
        <w:t>de</w:t>
      </w:r>
      <w:r w:rsidR="00C30FD9" w:rsidRPr="008E73D7">
        <w:rPr>
          <w:lang w:val="fr-FR"/>
        </w:rPr>
        <w:t> </w:t>
      </w:r>
      <w:r w:rsidR="007A38DF" w:rsidRPr="008E73D7">
        <w:rPr>
          <w:lang w:val="fr-FR"/>
        </w:rPr>
        <w:t xml:space="preserve">2000 </w:t>
      </w:r>
      <w:r w:rsidR="000E200F" w:rsidRPr="008E73D7">
        <w:rPr>
          <w:lang w:val="fr-FR"/>
        </w:rPr>
        <w:t>à </w:t>
      </w:r>
      <w:r w:rsidR="007A38DF" w:rsidRPr="008E73D7">
        <w:rPr>
          <w:lang w:val="fr-FR"/>
        </w:rPr>
        <w:t>2012</w:t>
      </w:r>
      <w:r w:rsidR="001B2205" w:rsidRPr="008E73D7">
        <w:rPr>
          <w:lang w:val="fr-FR"/>
        </w:rPr>
        <w:t>,</w:t>
      </w:r>
      <w:r w:rsidR="007A38DF" w:rsidRPr="008E73D7">
        <w:rPr>
          <w:lang w:val="fr-FR"/>
        </w:rPr>
        <w:t xml:space="preserve"> </w:t>
      </w:r>
      <w:r w:rsidR="00103555" w:rsidRPr="008E73D7">
        <w:rPr>
          <w:lang w:val="fr-FR"/>
        </w:rPr>
        <w:t>le nombre total de nouveaux contrats enregistrés par l</w:t>
      </w:r>
      <w:r w:rsidR="00F22EE4" w:rsidRPr="008E73D7">
        <w:rPr>
          <w:lang w:val="fr-FR"/>
        </w:rPr>
        <w:t>’</w:t>
      </w:r>
      <w:r w:rsidR="00103555" w:rsidRPr="008E73D7">
        <w:rPr>
          <w:lang w:val="fr-FR"/>
        </w:rPr>
        <w:t>I</w:t>
      </w:r>
      <w:r w:rsidR="007A38DF" w:rsidRPr="008E73D7">
        <w:rPr>
          <w:lang w:val="fr-FR"/>
        </w:rPr>
        <w:t xml:space="preserve">NPI </w:t>
      </w:r>
      <w:r w:rsidR="00103555" w:rsidRPr="008E73D7">
        <w:rPr>
          <w:lang w:val="fr-FR"/>
        </w:rPr>
        <w:t xml:space="preserve">a augmenté de </w:t>
      </w:r>
      <w:r w:rsidR="007A38DF" w:rsidRPr="008E73D7">
        <w:rPr>
          <w:lang w:val="fr-FR"/>
        </w:rPr>
        <w:t xml:space="preserve">2%, </w:t>
      </w:r>
      <w:r w:rsidR="00103555" w:rsidRPr="008E73D7">
        <w:rPr>
          <w:lang w:val="fr-FR"/>
        </w:rPr>
        <w:t xml:space="preserve">passant de </w:t>
      </w:r>
      <w:r w:rsidR="00C30FD9" w:rsidRPr="008E73D7">
        <w:rPr>
          <w:lang w:val="fr-FR"/>
        </w:rPr>
        <w:t>1212</w:t>
      </w:r>
      <w:r w:rsidR="007A38DF" w:rsidRPr="008E73D7">
        <w:rPr>
          <w:lang w:val="fr-FR"/>
        </w:rPr>
        <w:t xml:space="preserve"> </w:t>
      </w:r>
      <w:r w:rsidR="000E200F" w:rsidRPr="008E73D7">
        <w:rPr>
          <w:lang w:val="fr-FR"/>
        </w:rPr>
        <w:t>à </w:t>
      </w:r>
      <w:r w:rsidR="00C30FD9" w:rsidRPr="008E73D7">
        <w:rPr>
          <w:lang w:val="fr-FR"/>
        </w:rPr>
        <w:t>1238</w:t>
      </w:r>
      <w:r w:rsidR="007A38DF" w:rsidRPr="008E73D7">
        <w:rPr>
          <w:lang w:val="fr-FR"/>
        </w:rPr>
        <w:t xml:space="preserve">.  </w:t>
      </w:r>
      <w:r w:rsidR="00097C2F" w:rsidRPr="008E73D7">
        <w:rPr>
          <w:lang w:val="fr-FR"/>
        </w:rPr>
        <w:t>Les contrats en vue de la fourniture de services d</w:t>
      </w:r>
      <w:r w:rsidR="00F22EE4" w:rsidRPr="008E73D7">
        <w:rPr>
          <w:lang w:val="fr-FR"/>
        </w:rPr>
        <w:t>’</w:t>
      </w:r>
      <w:r w:rsidR="00097C2F" w:rsidRPr="008E73D7">
        <w:rPr>
          <w:lang w:val="fr-FR"/>
        </w:rPr>
        <w:t xml:space="preserve">assistance technique représentaient la majorité, bien que leur proportion ait </w:t>
      </w:r>
      <w:r w:rsidR="00C60AEF" w:rsidRPr="008E73D7">
        <w:rPr>
          <w:lang w:val="fr-FR"/>
        </w:rPr>
        <w:t>diminué</w:t>
      </w:r>
      <w:r w:rsidR="00097C2F" w:rsidRPr="008E73D7">
        <w:rPr>
          <w:lang w:val="fr-FR"/>
        </w:rPr>
        <w:t xml:space="preserve"> au cours de la période observée </w:t>
      </w:r>
      <w:r w:rsidR="007A38DF" w:rsidRPr="008E73D7">
        <w:rPr>
          <w:lang w:val="fr-FR"/>
        </w:rPr>
        <w:t>(</w:t>
      </w:r>
      <w:r w:rsidR="00097C2F" w:rsidRPr="008E73D7">
        <w:rPr>
          <w:lang w:val="fr-FR"/>
        </w:rPr>
        <w:t>de</w:t>
      </w:r>
      <w:r w:rsidR="000E200F" w:rsidRPr="008E73D7">
        <w:rPr>
          <w:lang w:val="fr-FR"/>
        </w:rPr>
        <w:t> </w:t>
      </w:r>
      <w:r w:rsidR="007A38DF" w:rsidRPr="008E73D7">
        <w:rPr>
          <w:lang w:val="fr-FR"/>
        </w:rPr>
        <w:t xml:space="preserve">74% </w:t>
      </w:r>
      <w:r w:rsidR="00097C2F" w:rsidRPr="008E73D7">
        <w:rPr>
          <w:lang w:val="fr-FR"/>
        </w:rPr>
        <w:t>en</w:t>
      </w:r>
      <w:r w:rsidR="00C30FD9" w:rsidRPr="008E73D7">
        <w:rPr>
          <w:lang w:val="fr-FR"/>
        </w:rPr>
        <w:t> </w:t>
      </w:r>
      <w:r w:rsidR="007A38DF" w:rsidRPr="008E73D7">
        <w:rPr>
          <w:lang w:val="fr-FR"/>
        </w:rPr>
        <w:t xml:space="preserve">2000 </w:t>
      </w:r>
      <w:r w:rsidR="00097C2F" w:rsidRPr="008E73D7">
        <w:rPr>
          <w:lang w:val="fr-FR"/>
        </w:rPr>
        <w:t>à</w:t>
      </w:r>
      <w:r w:rsidR="000E200F" w:rsidRPr="008E73D7">
        <w:rPr>
          <w:lang w:val="fr-FR"/>
        </w:rPr>
        <w:t> </w:t>
      </w:r>
      <w:r w:rsidR="007A38DF" w:rsidRPr="008E73D7">
        <w:rPr>
          <w:lang w:val="fr-FR"/>
        </w:rPr>
        <w:t xml:space="preserve">65% </w:t>
      </w:r>
      <w:r w:rsidR="00097C2F" w:rsidRPr="008E73D7">
        <w:rPr>
          <w:lang w:val="fr-FR"/>
        </w:rPr>
        <w:t>en</w:t>
      </w:r>
      <w:r w:rsidR="00C30FD9" w:rsidRPr="008E73D7">
        <w:rPr>
          <w:lang w:val="fr-FR"/>
        </w:rPr>
        <w:t> </w:t>
      </w:r>
      <w:r w:rsidR="007A38DF" w:rsidRPr="008E73D7">
        <w:rPr>
          <w:lang w:val="fr-FR"/>
        </w:rPr>
        <w:t xml:space="preserve">2012).  </w:t>
      </w:r>
      <w:r w:rsidR="00256A00" w:rsidRPr="008E73D7">
        <w:rPr>
          <w:lang w:val="fr-FR"/>
        </w:rPr>
        <w:t xml:space="preserve">La </w:t>
      </w:r>
      <w:r w:rsidR="006B5C87" w:rsidRPr="008E73D7">
        <w:rPr>
          <w:lang w:val="fr-FR"/>
        </w:rPr>
        <w:t xml:space="preserve">prépondérance </w:t>
      </w:r>
      <w:r w:rsidR="00256A00" w:rsidRPr="008E73D7">
        <w:rPr>
          <w:lang w:val="fr-FR"/>
        </w:rPr>
        <w:t xml:space="preserve">des contrats de </w:t>
      </w:r>
      <w:r w:rsidR="00C60AEF" w:rsidRPr="008E73D7">
        <w:rPr>
          <w:lang w:val="fr-FR"/>
        </w:rPr>
        <w:t>service</w:t>
      </w:r>
      <w:r w:rsidR="00EE7FC2" w:rsidRPr="008E73D7">
        <w:rPr>
          <w:lang w:val="fr-FR"/>
        </w:rPr>
        <w:t>s</w:t>
      </w:r>
      <w:r w:rsidR="00256A00" w:rsidRPr="008E73D7">
        <w:rPr>
          <w:lang w:val="fr-FR"/>
        </w:rPr>
        <w:t xml:space="preserve"> parmi les contrats enregistrés par l</w:t>
      </w:r>
      <w:r w:rsidR="00F22EE4" w:rsidRPr="008E73D7">
        <w:rPr>
          <w:lang w:val="fr-FR"/>
        </w:rPr>
        <w:t>’</w:t>
      </w:r>
      <w:r w:rsidR="007A38DF" w:rsidRPr="008E73D7">
        <w:rPr>
          <w:lang w:val="fr-FR"/>
        </w:rPr>
        <w:t xml:space="preserve">INPI </w:t>
      </w:r>
      <w:r w:rsidR="00256A00" w:rsidRPr="008E73D7">
        <w:rPr>
          <w:lang w:val="fr-FR"/>
        </w:rPr>
        <w:t>peut être attribuée</w:t>
      </w:r>
      <w:r w:rsidR="007A38DF" w:rsidRPr="008E73D7">
        <w:rPr>
          <w:lang w:val="fr-FR"/>
        </w:rPr>
        <w:t xml:space="preserve"> </w:t>
      </w:r>
      <w:r w:rsidR="00256A00" w:rsidRPr="008E73D7">
        <w:rPr>
          <w:lang w:val="fr-FR"/>
        </w:rPr>
        <w:t>à l</w:t>
      </w:r>
      <w:r w:rsidR="00F22EE4" w:rsidRPr="008E73D7">
        <w:rPr>
          <w:lang w:val="fr-FR"/>
        </w:rPr>
        <w:t>’</w:t>
      </w:r>
      <w:r w:rsidR="00256A00" w:rsidRPr="008E73D7">
        <w:rPr>
          <w:lang w:val="fr-FR"/>
        </w:rPr>
        <w:t>importance du secteur de</w:t>
      </w:r>
      <w:r w:rsidR="00EE7FC2" w:rsidRPr="008E73D7">
        <w:rPr>
          <w:lang w:val="fr-FR"/>
        </w:rPr>
        <w:t xml:space="preserve">s </w:t>
      </w:r>
      <w:r w:rsidR="00256A00" w:rsidRPr="008E73D7">
        <w:rPr>
          <w:lang w:val="fr-FR"/>
        </w:rPr>
        <w:t>machine</w:t>
      </w:r>
      <w:r w:rsidR="00EE7FC2" w:rsidRPr="008E73D7">
        <w:rPr>
          <w:lang w:val="fr-FR"/>
        </w:rPr>
        <w:t>s</w:t>
      </w:r>
      <w:r w:rsidR="00256A00" w:rsidRPr="008E73D7">
        <w:rPr>
          <w:lang w:val="fr-FR"/>
        </w:rPr>
        <w:t xml:space="preserve"> et de l</w:t>
      </w:r>
      <w:r w:rsidR="00F22EE4" w:rsidRPr="008E73D7">
        <w:rPr>
          <w:lang w:val="fr-FR"/>
        </w:rPr>
        <w:t>’</w:t>
      </w:r>
      <w:r w:rsidR="00EE7FC2" w:rsidRPr="008E73D7">
        <w:rPr>
          <w:lang w:val="fr-FR"/>
        </w:rPr>
        <w:t xml:space="preserve">équipement dans </w:t>
      </w:r>
      <w:r w:rsidR="00256A00" w:rsidRPr="008E73D7">
        <w:rPr>
          <w:lang w:val="fr-FR"/>
        </w:rPr>
        <w:t>la modernisation</w:t>
      </w:r>
      <w:r w:rsidR="00EE7FC2" w:rsidRPr="008E73D7">
        <w:rPr>
          <w:lang w:val="fr-FR"/>
        </w:rPr>
        <w:t xml:space="preserve"> de l’industrie</w:t>
      </w:r>
      <w:r w:rsidR="00256A00" w:rsidRPr="008E73D7">
        <w:rPr>
          <w:lang w:val="fr-FR"/>
        </w:rPr>
        <w:t xml:space="preserve">. </w:t>
      </w:r>
      <w:r w:rsidR="007A38DF" w:rsidRPr="008E73D7">
        <w:rPr>
          <w:lang w:val="fr-FR"/>
        </w:rPr>
        <w:t xml:space="preserve"> </w:t>
      </w:r>
      <w:r w:rsidR="00D03B7F" w:rsidRPr="008E73D7">
        <w:rPr>
          <w:lang w:val="fr-FR"/>
        </w:rPr>
        <w:t xml:space="preserve">Parmi les autres types de contrats, les contrats de licences de marque et les franchises </w:t>
      </w:r>
      <w:r w:rsidR="004D039A" w:rsidRPr="008E73D7">
        <w:rPr>
          <w:lang w:val="fr-FR"/>
        </w:rPr>
        <w:t xml:space="preserve">ont connu une hausse </w:t>
      </w:r>
      <w:r w:rsidR="00C60AEF" w:rsidRPr="008E73D7">
        <w:rPr>
          <w:lang w:val="fr-FR"/>
        </w:rPr>
        <w:t>au cours</w:t>
      </w:r>
      <w:r w:rsidR="004D039A" w:rsidRPr="008E73D7">
        <w:rPr>
          <w:lang w:val="fr-FR"/>
        </w:rPr>
        <w:t xml:space="preserve"> de la pé</w:t>
      </w:r>
      <w:r w:rsidR="000E200F" w:rsidRPr="008E73D7">
        <w:rPr>
          <w:lang w:val="fr-FR"/>
        </w:rPr>
        <w:t>riode concernée, de </w:t>
      </w:r>
      <w:r w:rsidR="007A38DF" w:rsidRPr="008E73D7">
        <w:rPr>
          <w:lang w:val="fr-FR"/>
        </w:rPr>
        <w:t xml:space="preserve">12% </w:t>
      </w:r>
      <w:r w:rsidR="004D039A" w:rsidRPr="008E73D7">
        <w:rPr>
          <w:lang w:val="fr-FR"/>
        </w:rPr>
        <w:t>du total des enregistrements en</w:t>
      </w:r>
      <w:r w:rsidR="00C30FD9" w:rsidRPr="008E73D7">
        <w:rPr>
          <w:lang w:val="fr-FR"/>
        </w:rPr>
        <w:t> </w:t>
      </w:r>
      <w:r w:rsidR="007A38DF" w:rsidRPr="008E73D7">
        <w:rPr>
          <w:lang w:val="fr-FR"/>
        </w:rPr>
        <w:t xml:space="preserve">2000 </w:t>
      </w:r>
      <w:r w:rsidR="004D039A" w:rsidRPr="008E73D7">
        <w:rPr>
          <w:lang w:val="fr-FR"/>
        </w:rPr>
        <w:t>à</w:t>
      </w:r>
      <w:r w:rsidR="000E200F" w:rsidRPr="008E73D7">
        <w:rPr>
          <w:lang w:val="fr-FR"/>
        </w:rPr>
        <w:t> </w:t>
      </w:r>
      <w:r w:rsidR="007A38DF" w:rsidRPr="008E73D7">
        <w:rPr>
          <w:lang w:val="fr-FR"/>
        </w:rPr>
        <w:t xml:space="preserve">22% </w:t>
      </w:r>
      <w:r w:rsidR="004D039A" w:rsidRPr="008E73D7">
        <w:rPr>
          <w:lang w:val="fr-FR"/>
        </w:rPr>
        <w:t>en</w:t>
      </w:r>
      <w:r w:rsidR="00C30FD9" w:rsidRPr="008E73D7">
        <w:rPr>
          <w:lang w:val="fr-FR"/>
        </w:rPr>
        <w:t> </w:t>
      </w:r>
      <w:r w:rsidR="007A38DF" w:rsidRPr="008E73D7">
        <w:rPr>
          <w:lang w:val="fr-FR"/>
        </w:rPr>
        <w:t xml:space="preserve">2012, </w:t>
      </w:r>
      <w:r w:rsidR="004D039A" w:rsidRPr="008E73D7">
        <w:rPr>
          <w:lang w:val="fr-FR"/>
        </w:rPr>
        <w:t>tandis que les contrats de fourniture de technologie</w:t>
      </w:r>
      <w:r w:rsidR="007A38DF" w:rsidRPr="008E73D7">
        <w:rPr>
          <w:lang w:val="fr-FR"/>
        </w:rPr>
        <w:t xml:space="preserve"> (</w:t>
      </w:r>
      <w:r w:rsidR="004D039A" w:rsidRPr="008E73D7">
        <w:rPr>
          <w:lang w:val="fr-FR"/>
        </w:rPr>
        <w:t>accords de “savoir</w:t>
      </w:r>
      <w:r w:rsidR="00D0608C" w:rsidRPr="008E73D7">
        <w:rPr>
          <w:lang w:val="fr-FR"/>
        </w:rPr>
        <w:noBreakHyphen/>
      </w:r>
      <w:r w:rsidR="004D039A" w:rsidRPr="008E73D7">
        <w:rPr>
          <w:lang w:val="fr-FR"/>
        </w:rPr>
        <w:t>faire”</w:t>
      </w:r>
      <w:r w:rsidR="007A38DF" w:rsidRPr="008E73D7">
        <w:rPr>
          <w:lang w:val="fr-FR"/>
        </w:rPr>
        <w:t xml:space="preserve">), </w:t>
      </w:r>
      <w:r w:rsidR="004D039A" w:rsidRPr="008E73D7">
        <w:rPr>
          <w:lang w:val="fr-FR"/>
        </w:rPr>
        <w:t xml:space="preserve">de concession de licences de brevet et de dessins et modèles industriels </w:t>
      </w:r>
      <w:r w:rsidR="00EE7FC2" w:rsidRPr="008E73D7">
        <w:rPr>
          <w:lang w:val="fr-FR"/>
        </w:rPr>
        <w:t>et les contrats multimodaux ma</w:t>
      </w:r>
      <w:r w:rsidR="004D039A" w:rsidRPr="008E73D7">
        <w:rPr>
          <w:lang w:val="fr-FR"/>
        </w:rPr>
        <w:t>intenaient une proportion stable avec environ</w:t>
      </w:r>
      <w:r w:rsidR="000E200F" w:rsidRPr="008E73D7">
        <w:rPr>
          <w:lang w:val="fr-FR"/>
        </w:rPr>
        <w:t> </w:t>
      </w:r>
      <w:r w:rsidR="007A38DF" w:rsidRPr="008E73D7">
        <w:rPr>
          <w:lang w:val="fr-FR"/>
        </w:rPr>
        <w:t xml:space="preserve">15%.  </w:t>
      </w:r>
      <w:r w:rsidR="004D039A" w:rsidRPr="008E73D7">
        <w:rPr>
          <w:lang w:val="fr-FR"/>
        </w:rPr>
        <w:t xml:space="preserve">Entre </w:t>
      </w:r>
      <w:r w:rsidR="007A38DF" w:rsidRPr="008E73D7">
        <w:rPr>
          <w:lang w:val="fr-FR"/>
        </w:rPr>
        <w:t xml:space="preserve">2001 </w:t>
      </w:r>
      <w:r w:rsidR="000E200F" w:rsidRPr="008E73D7">
        <w:rPr>
          <w:lang w:val="fr-FR"/>
        </w:rPr>
        <w:t>et </w:t>
      </w:r>
      <w:r w:rsidR="007A38DF" w:rsidRPr="008E73D7">
        <w:rPr>
          <w:lang w:val="fr-FR"/>
        </w:rPr>
        <w:t xml:space="preserve">2005, </w:t>
      </w:r>
      <w:r w:rsidR="004D039A" w:rsidRPr="008E73D7">
        <w:rPr>
          <w:lang w:val="fr-FR"/>
        </w:rPr>
        <w:t xml:space="preserve">la valeur des contrats en pourcentage des paiements étrangers </w:t>
      </w:r>
      <w:r w:rsidR="00C60AEF" w:rsidRPr="008E73D7">
        <w:rPr>
          <w:lang w:val="fr-FR"/>
        </w:rPr>
        <w:t>était</w:t>
      </w:r>
      <w:r w:rsidR="000E200F" w:rsidRPr="008E73D7">
        <w:rPr>
          <w:lang w:val="fr-FR"/>
        </w:rPr>
        <w:t xml:space="preserve"> très limitée, se situant entre </w:t>
      </w:r>
      <w:r w:rsidR="002303ED" w:rsidRPr="008E73D7">
        <w:rPr>
          <w:lang w:val="fr-FR"/>
        </w:rPr>
        <w:t>1</w:t>
      </w:r>
      <w:r w:rsidR="000E200F" w:rsidRPr="008E73D7">
        <w:rPr>
          <w:lang w:val="fr-FR"/>
        </w:rPr>
        <w:t xml:space="preserve"> </w:t>
      </w:r>
      <w:r w:rsidR="00FE58BC" w:rsidRPr="008E73D7">
        <w:rPr>
          <w:lang w:val="fr-FR"/>
        </w:rPr>
        <w:t>et</w:t>
      </w:r>
      <w:r w:rsidR="000E200F" w:rsidRPr="008E73D7">
        <w:rPr>
          <w:lang w:val="fr-FR"/>
        </w:rPr>
        <w:t> </w:t>
      </w:r>
      <w:r w:rsidR="007A38DF" w:rsidRPr="008E73D7">
        <w:rPr>
          <w:lang w:val="fr-FR"/>
        </w:rPr>
        <w:t xml:space="preserve">3%, </w:t>
      </w:r>
      <w:r w:rsidR="00FE58BC" w:rsidRPr="008E73D7">
        <w:rPr>
          <w:lang w:val="fr-FR"/>
        </w:rPr>
        <w:t>selon les calculs de la banque centrale du Brésil</w:t>
      </w:r>
      <w:r w:rsidR="007A38DF" w:rsidRPr="008E73D7">
        <w:rPr>
          <w:lang w:val="fr-FR"/>
        </w:rPr>
        <w:t xml:space="preserve">.  </w:t>
      </w:r>
      <w:r w:rsidR="00FE58BC" w:rsidRPr="008E73D7">
        <w:rPr>
          <w:lang w:val="fr-FR"/>
        </w:rPr>
        <w:t>E</w:t>
      </w:r>
      <w:r w:rsidR="007A38DF" w:rsidRPr="008E73D7">
        <w:rPr>
          <w:lang w:val="fr-FR"/>
        </w:rPr>
        <w:t>n</w:t>
      </w:r>
      <w:r w:rsidR="00C30FD9" w:rsidRPr="008E73D7">
        <w:rPr>
          <w:lang w:val="fr-FR"/>
        </w:rPr>
        <w:t> </w:t>
      </w:r>
      <w:r w:rsidR="007A38DF" w:rsidRPr="008E73D7">
        <w:rPr>
          <w:lang w:val="fr-FR"/>
        </w:rPr>
        <w:t xml:space="preserve">2006, </w:t>
      </w:r>
      <w:r w:rsidR="00FE58BC" w:rsidRPr="008E73D7">
        <w:rPr>
          <w:lang w:val="fr-FR"/>
        </w:rPr>
        <w:t xml:space="preserve">toutefois, </w:t>
      </w:r>
      <w:r w:rsidR="00852776" w:rsidRPr="008E73D7">
        <w:rPr>
          <w:lang w:val="fr-FR"/>
        </w:rPr>
        <w:t>la tendance de ces versements a chan</w:t>
      </w:r>
      <w:r w:rsidR="004729D2" w:rsidRPr="008E73D7">
        <w:rPr>
          <w:lang w:val="fr-FR"/>
        </w:rPr>
        <w:t>gé</w:t>
      </w:r>
      <w:r w:rsidR="00852776" w:rsidRPr="008E73D7">
        <w:rPr>
          <w:lang w:val="fr-FR"/>
        </w:rPr>
        <w:t xml:space="preserve">, atteignant </w:t>
      </w:r>
      <w:r w:rsidR="00C60AEF" w:rsidRPr="008E73D7">
        <w:rPr>
          <w:lang w:val="fr-FR"/>
        </w:rPr>
        <w:t>presque</w:t>
      </w:r>
      <w:r w:rsidR="00852776" w:rsidRPr="008E73D7">
        <w:rPr>
          <w:lang w:val="fr-FR"/>
        </w:rPr>
        <w:t xml:space="preserve"> </w:t>
      </w:r>
      <w:r w:rsidR="007A38DF" w:rsidRPr="008E73D7">
        <w:rPr>
          <w:lang w:val="fr-FR"/>
        </w:rPr>
        <w:t xml:space="preserve">50% </w:t>
      </w:r>
      <w:r w:rsidR="00852776" w:rsidRPr="008E73D7">
        <w:rPr>
          <w:lang w:val="fr-FR"/>
        </w:rPr>
        <w:t xml:space="preserve">du total pour cette année, soit </w:t>
      </w:r>
      <w:r w:rsidR="007A38DF" w:rsidRPr="008E73D7">
        <w:rPr>
          <w:lang w:val="fr-FR"/>
        </w:rPr>
        <w:t>716</w:t>
      </w:r>
      <w:r w:rsidR="00852776" w:rsidRPr="008E73D7">
        <w:rPr>
          <w:lang w:val="fr-FR"/>
        </w:rPr>
        <w:t>,</w:t>
      </w:r>
      <w:r w:rsidR="007A38DF" w:rsidRPr="008E73D7">
        <w:rPr>
          <w:lang w:val="fr-FR"/>
        </w:rPr>
        <w:t>5</w:t>
      </w:r>
      <w:r w:rsidR="00C30FD9" w:rsidRPr="008E73D7">
        <w:rPr>
          <w:lang w:val="fr-FR"/>
        </w:rPr>
        <w:t> </w:t>
      </w:r>
      <w:r w:rsidR="007A38DF" w:rsidRPr="008E73D7">
        <w:rPr>
          <w:lang w:val="fr-FR"/>
        </w:rPr>
        <w:t>million</w:t>
      </w:r>
      <w:r w:rsidR="00852776" w:rsidRPr="008E73D7">
        <w:rPr>
          <w:lang w:val="fr-FR"/>
        </w:rPr>
        <w:t>s de dollars É.</w:t>
      </w:r>
      <w:r w:rsidR="00D0608C" w:rsidRPr="008E73D7">
        <w:rPr>
          <w:lang w:val="fr-FR"/>
        </w:rPr>
        <w:noBreakHyphen/>
      </w:r>
      <w:r w:rsidR="00852776" w:rsidRPr="008E73D7">
        <w:rPr>
          <w:lang w:val="fr-FR"/>
        </w:rPr>
        <w:t>U</w:t>
      </w:r>
      <w:r w:rsidR="007A38DF" w:rsidRPr="008E73D7">
        <w:rPr>
          <w:lang w:val="fr-FR"/>
        </w:rPr>
        <w:t xml:space="preserve">.  </w:t>
      </w:r>
      <w:r w:rsidR="00852776" w:rsidRPr="008E73D7">
        <w:rPr>
          <w:lang w:val="fr-FR"/>
        </w:rPr>
        <w:t>E</w:t>
      </w:r>
      <w:r w:rsidR="007A38DF" w:rsidRPr="008E73D7">
        <w:rPr>
          <w:lang w:val="fr-FR"/>
        </w:rPr>
        <w:t>n</w:t>
      </w:r>
      <w:r w:rsidR="00C30FD9" w:rsidRPr="008E73D7">
        <w:rPr>
          <w:lang w:val="fr-FR"/>
        </w:rPr>
        <w:t> </w:t>
      </w:r>
      <w:r w:rsidR="007A38DF" w:rsidRPr="008E73D7">
        <w:rPr>
          <w:lang w:val="fr-FR"/>
        </w:rPr>
        <w:t xml:space="preserve">2012, </w:t>
      </w:r>
      <w:r w:rsidR="00763077" w:rsidRPr="008E73D7">
        <w:rPr>
          <w:lang w:val="fr-FR"/>
        </w:rPr>
        <w:t xml:space="preserve">les paiements relatifs aux contrats ont atteint </w:t>
      </w:r>
      <w:r w:rsidR="007A38DF" w:rsidRPr="008E73D7">
        <w:rPr>
          <w:lang w:val="fr-FR"/>
        </w:rPr>
        <w:t xml:space="preserve">44% </w:t>
      </w:r>
      <w:r w:rsidR="00763077" w:rsidRPr="008E73D7">
        <w:rPr>
          <w:lang w:val="fr-FR"/>
        </w:rPr>
        <w:t>du total des paiements</w:t>
      </w:r>
      <w:r w:rsidR="007A38DF" w:rsidRPr="008E73D7">
        <w:rPr>
          <w:lang w:val="fr-FR"/>
        </w:rPr>
        <w:t xml:space="preserve">, </w:t>
      </w:r>
      <w:r w:rsidR="00763077" w:rsidRPr="008E73D7">
        <w:rPr>
          <w:lang w:val="fr-FR"/>
        </w:rPr>
        <w:t xml:space="preserve">soit </w:t>
      </w:r>
      <w:r w:rsidR="00C60AEF" w:rsidRPr="008E73D7">
        <w:rPr>
          <w:lang w:val="fr-FR"/>
        </w:rPr>
        <w:t>1,37</w:t>
      </w:r>
      <w:r w:rsidR="00C30FD9" w:rsidRPr="008E73D7">
        <w:rPr>
          <w:lang w:val="fr-FR"/>
        </w:rPr>
        <w:t> </w:t>
      </w:r>
      <w:r w:rsidR="00C60AEF" w:rsidRPr="008E73D7">
        <w:rPr>
          <w:lang w:val="fr-FR"/>
        </w:rPr>
        <w:t>milliard</w:t>
      </w:r>
      <w:r w:rsidR="00763077" w:rsidRPr="008E73D7">
        <w:rPr>
          <w:lang w:val="fr-FR"/>
        </w:rPr>
        <w:t xml:space="preserve"> de dollars É.</w:t>
      </w:r>
      <w:r w:rsidR="00D0608C" w:rsidRPr="008E73D7">
        <w:rPr>
          <w:lang w:val="fr-FR"/>
        </w:rPr>
        <w:noBreakHyphen/>
      </w:r>
      <w:r w:rsidR="00763077" w:rsidRPr="008E73D7">
        <w:rPr>
          <w:lang w:val="fr-FR"/>
        </w:rPr>
        <w:t>U</w:t>
      </w:r>
      <w:r w:rsidR="007A38DF" w:rsidRPr="008E73D7">
        <w:rPr>
          <w:lang w:val="fr-FR"/>
        </w:rPr>
        <w:t xml:space="preserve">.  </w:t>
      </w:r>
      <w:r w:rsidR="00763077" w:rsidRPr="008E73D7">
        <w:rPr>
          <w:lang w:val="fr-FR"/>
        </w:rPr>
        <w:t>Le changement dans la tendance des paiements rel</w:t>
      </w:r>
      <w:r w:rsidR="00787D97" w:rsidRPr="008E73D7">
        <w:rPr>
          <w:lang w:val="fr-FR"/>
        </w:rPr>
        <w:t>a</w:t>
      </w:r>
      <w:r w:rsidR="00763077" w:rsidRPr="008E73D7">
        <w:rPr>
          <w:lang w:val="fr-FR"/>
        </w:rPr>
        <w:t>tifs aux redevances et à la fourniture d</w:t>
      </w:r>
      <w:r w:rsidR="00F22EE4" w:rsidRPr="008E73D7">
        <w:rPr>
          <w:lang w:val="fr-FR"/>
        </w:rPr>
        <w:t>’</w:t>
      </w:r>
      <w:r w:rsidR="00763077" w:rsidRPr="008E73D7">
        <w:rPr>
          <w:lang w:val="fr-FR"/>
        </w:rPr>
        <w:t>assistance technique en</w:t>
      </w:r>
      <w:r w:rsidR="00C30FD9" w:rsidRPr="008E73D7">
        <w:rPr>
          <w:lang w:val="fr-FR"/>
        </w:rPr>
        <w:t> </w:t>
      </w:r>
      <w:r w:rsidR="00763077" w:rsidRPr="008E73D7">
        <w:rPr>
          <w:lang w:val="fr-FR"/>
        </w:rPr>
        <w:t>2006 et la croissance de ces revenus au cours de la période d</w:t>
      </w:r>
      <w:r w:rsidR="00437329">
        <w:rPr>
          <w:lang w:val="fr-FR"/>
        </w:rPr>
        <w:t>u</w:t>
      </w:r>
      <w:r w:rsidR="00C30FD9" w:rsidRPr="008E73D7">
        <w:rPr>
          <w:lang w:val="fr-FR"/>
        </w:rPr>
        <w:t> </w:t>
      </w:r>
      <w:r w:rsidR="007A38DF" w:rsidRPr="008E73D7">
        <w:rPr>
          <w:lang w:val="fr-FR"/>
        </w:rPr>
        <w:t>2006</w:t>
      </w:r>
      <w:r w:rsidR="00EE7FC2" w:rsidRPr="008E73D7">
        <w:rPr>
          <w:lang w:val="fr-FR"/>
        </w:rPr>
        <w:noBreakHyphen/>
      </w:r>
      <w:r w:rsidR="007A38DF" w:rsidRPr="008E73D7">
        <w:rPr>
          <w:lang w:val="fr-FR"/>
        </w:rPr>
        <w:t xml:space="preserve">2012 </w:t>
      </w:r>
      <w:r w:rsidR="00763077" w:rsidRPr="008E73D7">
        <w:rPr>
          <w:lang w:val="fr-FR"/>
        </w:rPr>
        <w:t>s</w:t>
      </w:r>
      <w:r w:rsidR="00F22EE4" w:rsidRPr="008E73D7">
        <w:rPr>
          <w:lang w:val="fr-FR"/>
        </w:rPr>
        <w:t>’</w:t>
      </w:r>
      <w:r w:rsidR="00763077" w:rsidRPr="008E73D7">
        <w:rPr>
          <w:lang w:val="fr-FR"/>
        </w:rPr>
        <w:t>explique</w:t>
      </w:r>
      <w:r w:rsidR="00633928" w:rsidRPr="008E73D7">
        <w:rPr>
          <w:lang w:val="fr-FR"/>
        </w:rPr>
        <w:t>nt</w:t>
      </w:r>
      <w:r w:rsidR="00763077" w:rsidRPr="008E73D7">
        <w:rPr>
          <w:lang w:val="fr-FR"/>
        </w:rPr>
        <w:t xml:space="preserve"> principalement par les efforts déployés par les entreprises </w:t>
      </w:r>
      <w:r w:rsidR="00C60AEF" w:rsidRPr="008E73D7">
        <w:rPr>
          <w:lang w:val="fr-FR"/>
        </w:rPr>
        <w:t>brésiliennes</w:t>
      </w:r>
      <w:r w:rsidR="00763077" w:rsidRPr="008E73D7">
        <w:rPr>
          <w:lang w:val="fr-FR"/>
        </w:rPr>
        <w:t xml:space="preserve"> </w:t>
      </w:r>
      <w:r w:rsidR="00787D97" w:rsidRPr="008E73D7">
        <w:rPr>
          <w:lang w:val="fr-FR"/>
        </w:rPr>
        <w:t>afin de s</w:t>
      </w:r>
      <w:r w:rsidR="00F22EE4" w:rsidRPr="008E73D7">
        <w:rPr>
          <w:lang w:val="fr-FR"/>
        </w:rPr>
        <w:t>’</w:t>
      </w:r>
      <w:r w:rsidR="00787D97" w:rsidRPr="008E73D7">
        <w:rPr>
          <w:lang w:val="fr-FR"/>
        </w:rPr>
        <w:t>intégrer dans l</w:t>
      </w:r>
      <w:r w:rsidR="00F22EE4" w:rsidRPr="008E73D7">
        <w:rPr>
          <w:lang w:val="fr-FR"/>
        </w:rPr>
        <w:t>’</w:t>
      </w:r>
      <w:r w:rsidR="00787D97" w:rsidRPr="008E73D7">
        <w:rPr>
          <w:lang w:val="fr-FR"/>
        </w:rPr>
        <w:t xml:space="preserve">économie mondiale, encouragées </w:t>
      </w:r>
      <w:r w:rsidR="00DE2706" w:rsidRPr="008E73D7">
        <w:rPr>
          <w:lang w:val="fr-FR"/>
        </w:rPr>
        <w:t xml:space="preserve">en cela </w:t>
      </w:r>
      <w:r w:rsidR="00787D97" w:rsidRPr="008E73D7">
        <w:rPr>
          <w:lang w:val="fr-FR"/>
        </w:rPr>
        <w:t>par les politiques industrielles du Brésil.</w:t>
      </w:r>
      <w:r w:rsidR="007A38DF" w:rsidRPr="008E73D7">
        <w:rPr>
          <w:lang w:val="fr-FR"/>
        </w:rPr>
        <w:t xml:space="preserve">  </w:t>
      </w:r>
      <w:r w:rsidR="00787D97" w:rsidRPr="008E73D7">
        <w:rPr>
          <w:lang w:val="fr-FR"/>
        </w:rPr>
        <w:t>Dans ce context</w:t>
      </w:r>
      <w:r w:rsidR="004729D2" w:rsidRPr="008E73D7">
        <w:rPr>
          <w:lang w:val="fr-FR"/>
        </w:rPr>
        <w:t>e</w:t>
      </w:r>
      <w:r w:rsidR="00787D97" w:rsidRPr="008E73D7">
        <w:rPr>
          <w:lang w:val="fr-FR"/>
        </w:rPr>
        <w:t xml:space="preserve">, il convient de souligner les programmes financiers mis en </w:t>
      </w:r>
      <w:r w:rsidR="004729D2" w:rsidRPr="008E73D7">
        <w:rPr>
          <w:lang w:val="fr-FR"/>
        </w:rPr>
        <w:t>œuvre</w:t>
      </w:r>
      <w:r w:rsidR="00787D97" w:rsidRPr="008E73D7">
        <w:rPr>
          <w:lang w:val="fr-FR"/>
        </w:rPr>
        <w:t xml:space="preserve"> par </w:t>
      </w:r>
      <w:r w:rsidR="004729D2" w:rsidRPr="008E73D7">
        <w:rPr>
          <w:lang w:val="fr-FR"/>
        </w:rPr>
        <w:t xml:space="preserve">la </w:t>
      </w:r>
      <w:r w:rsidR="00C60AEF" w:rsidRPr="008E73D7">
        <w:rPr>
          <w:lang w:val="fr-FR"/>
        </w:rPr>
        <w:t xml:space="preserve">Banque </w:t>
      </w:r>
      <w:r w:rsidR="00EE7FC2" w:rsidRPr="008E73D7">
        <w:rPr>
          <w:lang w:val="fr-FR"/>
        </w:rPr>
        <w:t>n</w:t>
      </w:r>
      <w:r w:rsidR="00C60AEF" w:rsidRPr="008E73D7">
        <w:rPr>
          <w:lang w:val="fr-FR"/>
        </w:rPr>
        <w:t>ationale</w:t>
      </w:r>
      <w:r w:rsidR="00787D97" w:rsidRPr="008E73D7">
        <w:rPr>
          <w:lang w:val="fr-FR"/>
        </w:rPr>
        <w:t xml:space="preserve"> brésilienne de développement économique et social </w:t>
      </w:r>
      <w:r w:rsidR="007A38DF" w:rsidRPr="008E73D7">
        <w:rPr>
          <w:lang w:val="fr-FR"/>
        </w:rPr>
        <w:t xml:space="preserve">(BNDES) </w:t>
      </w:r>
      <w:r w:rsidR="00787D97" w:rsidRPr="008E73D7">
        <w:rPr>
          <w:lang w:val="fr-FR"/>
        </w:rPr>
        <w:t>depuis</w:t>
      </w:r>
      <w:r w:rsidR="00C30FD9" w:rsidRPr="008E73D7">
        <w:rPr>
          <w:lang w:val="fr-FR"/>
        </w:rPr>
        <w:t> </w:t>
      </w:r>
      <w:r w:rsidR="007A38DF" w:rsidRPr="008E73D7">
        <w:rPr>
          <w:lang w:val="fr-FR"/>
        </w:rPr>
        <w:t>2005.</w:t>
      </w:r>
    </w:p>
    <w:p w:rsidR="000D4BEE" w:rsidRPr="008E73D7" w:rsidRDefault="000D4BEE" w:rsidP="00DF0747">
      <w:pPr>
        <w:rPr>
          <w:lang w:val="fr-FR"/>
        </w:rPr>
      </w:pPr>
    </w:p>
    <w:p w:rsidR="000D4BEE" w:rsidRPr="008E73D7" w:rsidRDefault="009D7163" w:rsidP="00DF0747">
      <w:pPr>
        <w:rPr>
          <w:bdr w:val="single" w:sz="4" w:space="0" w:color="F5F5F5" w:frame="1"/>
          <w:shd w:val="clear" w:color="auto" w:fill="FFFFFF"/>
          <w:lang w:val="fr-FR"/>
        </w:rPr>
      </w:pPr>
      <w:r w:rsidRPr="008E73D7">
        <w:rPr>
          <w:lang w:val="fr-FR"/>
        </w:rPr>
        <w:t>Les demandes d</w:t>
      </w:r>
      <w:r w:rsidR="00F22EE4" w:rsidRPr="008E73D7">
        <w:rPr>
          <w:lang w:val="fr-FR"/>
        </w:rPr>
        <w:t>’</w:t>
      </w:r>
      <w:r w:rsidRPr="008E73D7">
        <w:rPr>
          <w:lang w:val="fr-FR"/>
        </w:rPr>
        <w:t>enregistrement d</w:t>
      </w:r>
      <w:r w:rsidR="00F22EE4" w:rsidRPr="008E73D7">
        <w:rPr>
          <w:lang w:val="fr-FR"/>
        </w:rPr>
        <w:t>’</w:t>
      </w:r>
      <w:r w:rsidRPr="008E73D7">
        <w:rPr>
          <w:lang w:val="fr-FR"/>
        </w:rPr>
        <w:t>indication</w:t>
      </w:r>
      <w:r w:rsidR="00EE7FC2" w:rsidRPr="008E73D7">
        <w:rPr>
          <w:lang w:val="fr-FR"/>
        </w:rPr>
        <w:t>s</w:t>
      </w:r>
      <w:r w:rsidRPr="008E73D7">
        <w:rPr>
          <w:lang w:val="fr-FR"/>
        </w:rPr>
        <w:t xml:space="preserve"> géographique</w:t>
      </w:r>
      <w:r w:rsidR="00EE7FC2" w:rsidRPr="008E73D7">
        <w:rPr>
          <w:lang w:val="fr-FR"/>
        </w:rPr>
        <w:t>s</w:t>
      </w:r>
      <w:r w:rsidRPr="008E73D7">
        <w:rPr>
          <w:lang w:val="fr-FR"/>
        </w:rPr>
        <w:t xml:space="preserve"> en sont encore à leurs débuts au </w:t>
      </w:r>
      <w:r w:rsidR="00C60AEF" w:rsidRPr="008E73D7">
        <w:rPr>
          <w:lang w:val="fr-FR"/>
        </w:rPr>
        <w:t>Brésil</w:t>
      </w:r>
      <w:r w:rsidR="007A38DF" w:rsidRPr="008E73D7">
        <w:rPr>
          <w:lang w:val="fr-FR"/>
        </w:rPr>
        <w:t xml:space="preserve">, </w:t>
      </w:r>
      <w:r w:rsidRPr="008E73D7">
        <w:rPr>
          <w:lang w:val="fr-FR"/>
        </w:rPr>
        <w:t>bien que l</w:t>
      </w:r>
      <w:r w:rsidR="00F22EE4" w:rsidRPr="008E73D7">
        <w:rPr>
          <w:lang w:val="fr-FR"/>
        </w:rPr>
        <w:t>’</w:t>
      </w:r>
      <w:r w:rsidRPr="008E73D7">
        <w:rPr>
          <w:lang w:val="fr-FR"/>
        </w:rPr>
        <w:t xml:space="preserve">intérêt des </w:t>
      </w:r>
      <w:r w:rsidR="00C60AEF" w:rsidRPr="008E73D7">
        <w:rPr>
          <w:lang w:val="fr-FR"/>
        </w:rPr>
        <w:t>Brésiliens</w:t>
      </w:r>
      <w:r w:rsidRPr="008E73D7">
        <w:rPr>
          <w:lang w:val="fr-FR"/>
        </w:rPr>
        <w:t xml:space="preserve"> envers cette forme de protection soit en hausse.</w:t>
      </w:r>
      <w:r w:rsidR="007A38DF" w:rsidRPr="008E73D7">
        <w:rPr>
          <w:lang w:val="fr-FR"/>
        </w:rPr>
        <w:t xml:space="preserve">  </w:t>
      </w:r>
      <w:r w:rsidRPr="008E73D7">
        <w:rPr>
          <w:lang w:val="fr-FR"/>
        </w:rPr>
        <w:t xml:space="preserve">Entre </w:t>
      </w:r>
      <w:r w:rsidR="007A38DF" w:rsidRPr="008E73D7">
        <w:rPr>
          <w:lang w:val="fr-FR"/>
        </w:rPr>
        <w:t xml:space="preserve">2000 </w:t>
      </w:r>
      <w:r w:rsidR="000E200F" w:rsidRPr="008E73D7">
        <w:rPr>
          <w:lang w:val="fr-FR"/>
        </w:rPr>
        <w:t>et </w:t>
      </w:r>
      <w:r w:rsidR="007A38DF" w:rsidRPr="008E73D7">
        <w:rPr>
          <w:lang w:val="fr-FR"/>
        </w:rPr>
        <w:t xml:space="preserve">2012, </w:t>
      </w:r>
      <w:r w:rsidRPr="008E73D7">
        <w:rPr>
          <w:lang w:val="fr-FR"/>
        </w:rPr>
        <w:t xml:space="preserve">il y a eu </w:t>
      </w:r>
      <w:r w:rsidR="002303ED" w:rsidRPr="008E73D7">
        <w:rPr>
          <w:lang w:val="fr-FR"/>
        </w:rPr>
        <w:t>67 </w:t>
      </w:r>
      <w:r w:rsidRPr="008E73D7">
        <w:rPr>
          <w:lang w:val="fr-FR"/>
        </w:rPr>
        <w:t>demandes</w:t>
      </w:r>
      <w:r w:rsidR="007A38DF" w:rsidRPr="008E73D7">
        <w:rPr>
          <w:lang w:val="fr-FR"/>
        </w:rPr>
        <w:t xml:space="preserve">, </w:t>
      </w:r>
      <w:r w:rsidRPr="008E73D7">
        <w:rPr>
          <w:lang w:val="fr-FR"/>
        </w:rPr>
        <w:t xml:space="preserve">émanant </w:t>
      </w:r>
      <w:r w:rsidR="00505EA3" w:rsidRPr="008E73D7">
        <w:rPr>
          <w:lang w:val="fr-FR"/>
        </w:rPr>
        <w:t xml:space="preserve">pour la majeure partie </w:t>
      </w:r>
      <w:r w:rsidRPr="008E73D7">
        <w:rPr>
          <w:lang w:val="fr-FR"/>
        </w:rPr>
        <w:t xml:space="preserve">de résidents </w:t>
      </w:r>
      <w:r w:rsidR="007A38DF" w:rsidRPr="008E73D7">
        <w:rPr>
          <w:lang w:val="fr-FR"/>
        </w:rPr>
        <w:t xml:space="preserve">(49) </w:t>
      </w:r>
      <w:r w:rsidRPr="008E73D7">
        <w:rPr>
          <w:lang w:val="fr-FR"/>
        </w:rPr>
        <w:t xml:space="preserve">et provenant principalement des États de </w:t>
      </w:r>
      <w:r w:rsidR="007A38DF" w:rsidRPr="008E73D7">
        <w:rPr>
          <w:lang w:val="fr-FR"/>
        </w:rPr>
        <w:t>Minas</w:t>
      </w:r>
      <w:r w:rsidR="000E200F" w:rsidRPr="008E73D7">
        <w:rPr>
          <w:lang w:val="fr-FR"/>
        </w:rPr>
        <w:t> </w:t>
      </w:r>
      <w:proofErr w:type="spellStart"/>
      <w:r w:rsidR="007A38DF" w:rsidRPr="008E73D7">
        <w:rPr>
          <w:lang w:val="fr-FR"/>
        </w:rPr>
        <w:t>Gerais</w:t>
      </w:r>
      <w:proofErr w:type="spellEnd"/>
      <w:r w:rsidR="007A38DF" w:rsidRPr="008E73D7">
        <w:rPr>
          <w:lang w:val="fr-FR"/>
        </w:rPr>
        <w:t xml:space="preserve"> </w:t>
      </w:r>
      <w:r w:rsidRPr="008E73D7">
        <w:rPr>
          <w:lang w:val="fr-FR"/>
        </w:rPr>
        <w:t>et de</w:t>
      </w:r>
      <w:r w:rsidR="000E200F" w:rsidRPr="008E73D7">
        <w:rPr>
          <w:lang w:val="fr-FR"/>
        </w:rPr>
        <w:t xml:space="preserve"> Rio Grande do </w:t>
      </w:r>
      <w:r w:rsidR="007A38DF" w:rsidRPr="008E73D7">
        <w:rPr>
          <w:lang w:val="fr-FR"/>
        </w:rPr>
        <w:t>Sul</w:t>
      </w:r>
      <w:r w:rsidR="000376E3" w:rsidRPr="008E73D7">
        <w:rPr>
          <w:lang w:val="fr-FR"/>
        </w:rPr>
        <w:t xml:space="preserve">, </w:t>
      </w:r>
      <w:r w:rsidRPr="008E73D7">
        <w:rPr>
          <w:lang w:val="fr-FR"/>
        </w:rPr>
        <w:t xml:space="preserve">avec </w:t>
      </w:r>
      <w:r w:rsidR="007A38DF" w:rsidRPr="008E73D7">
        <w:rPr>
          <w:lang w:val="fr-FR"/>
        </w:rPr>
        <w:t xml:space="preserve">10 </w:t>
      </w:r>
      <w:r w:rsidRPr="008E73D7">
        <w:rPr>
          <w:lang w:val="fr-FR"/>
        </w:rPr>
        <w:t xml:space="preserve">et </w:t>
      </w:r>
      <w:r w:rsidR="002303ED" w:rsidRPr="008E73D7">
        <w:rPr>
          <w:lang w:val="fr-FR"/>
        </w:rPr>
        <w:t>9 </w:t>
      </w:r>
      <w:r w:rsidRPr="008E73D7">
        <w:rPr>
          <w:lang w:val="fr-FR"/>
        </w:rPr>
        <w:t>demandes respectivement</w:t>
      </w:r>
      <w:r w:rsidR="007A38DF" w:rsidRPr="008E73D7">
        <w:rPr>
          <w:lang w:val="fr-FR"/>
        </w:rPr>
        <w:t xml:space="preserve">.  </w:t>
      </w:r>
      <w:r w:rsidR="000376E3" w:rsidRPr="008E73D7">
        <w:rPr>
          <w:lang w:val="fr-FR"/>
        </w:rPr>
        <w:t>S</w:t>
      </w:r>
      <w:r w:rsidR="00F22EE4" w:rsidRPr="008E73D7">
        <w:rPr>
          <w:lang w:val="fr-FR"/>
        </w:rPr>
        <w:t>’</w:t>
      </w:r>
      <w:r w:rsidR="000376E3" w:rsidRPr="008E73D7">
        <w:rPr>
          <w:lang w:val="fr-FR"/>
        </w:rPr>
        <w:t>agissant du type des demandes, la plupart des demandes concernent des indications d</w:t>
      </w:r>
      <w:r w:rsidR="00F22EE4" w:rsidRPr="008E73D7">
        <w:rPr>
          <w:lang w:val="fr-FR"/>
        </w:rPr>
        <w:t>’</w:t>
      </w:r>
      <w:r w:rsidR="000376E3" w:rsidRPr="008E73D7">
        <w:rPr>
          <w:lang w:val="fr-FR"/>
        </w:rPr>
        <w:t xml:space="preserve">origine </w:t>
      </w:r>
      <w:r w:rsidR="007A38DF" w:rsidRPr="008E73D7">
        <w:rPr>
          <w:lang w:val="fr-FR"/>
        </w:rPr>
        <w:t>(40)</w:t>
      </w:r>
      <w:r w:rsidR="00620B74" w:rsidRPr="008E73D7">
        <w:rPr>
          <w:lang w:val="fr-FR"/>
        </w:rPr>
        <w:t>,</w:t>
      </w:r>
      <w:r w:rsidR="007A38DF" w:rsidRPr="008E73D7">
        <w:rPr>
          <w:lang w:val="fr-FR"/>
        </w:rPr>
        <w:t xml:space="preserve"> </w:t>
      </w:r>
      <w:r w:rsidR="000376E3" w:rsidRPr="008E73D7">
        <w:rPr>
          <w:lang w:val="fr-FR"/>
        </w:rPr>
        <w:t>et s</w:t>
      </w:r>
      <w:r w:rsidR="00F22EE4" w:rsidRPr="008E73D7">
        <w:rPr>
          <w:lang w:val="fr-FR"/>
        </w:rPr>
        <w:t>’</w:t>
      </w:r>
      <w:r w:rsidR="000376E3" w:rsidRPr="008E73D7">
        <w:rPr>
          <w:lang w:val="fr-FR"/>
        </w:rPr>
        <w:t>agissant de la nature de</w:t>
      </w:r>
      <w:r w:rsidR="00DE2706" w:rsidRPr="008E73D7">
        <w:rPr>
          <w:lang w:val="fr-FR"/>
        </w:rPr>
        <w:t>s</w:t>
      </w:r>
      <w:r w:rsidR="000376E3" w:rsidRPr="008E73D7">
        <w:rPr>
          <w:lang w:val="fr-FR"/>
        </w:rPr>
        <w:t xml:space="preserve"> demandes</w:t>
      </w:r>
      <w:r w:rsidR="007A38DF" w:rsidRPr="008E73D7">
        <w:rPr>
          <w:lang w:val="fr-FR"/>
        </w:rPr>
        <w:t xml:space="preserve">, </w:t>
      </w:r>
      <w:r w:rsidR="000376E3" w:rsidRPr="008E73D7">
        <w:rPr>
          <w:lang w:val="fr-FR"/>
        </w:rPr>
        <w:t xml:space="preserve">la majeure partie est liée à des produits </w:t>
      </w:r>
      <w:r w:rsidR="007A38DF" w:rsidRPr="008E73D7">
        <w:rPr>
          <w:lang w:val="fr-FR"/>
        </w:rPr>
        <w:t xml:space="preserve">(63).  </w:t>
      </w:r>
      <w:r w:rsidR="00620B74" w:rsidRPr="008E73D7">
        <w:rPr>
          <w:lang w:val="fr-FR"/>
        </w:rPr>
        <w:t xml:space="preserve">Au cours de cette période, </w:t>
      </w:r>
      <w:r w:rsidR="002303ED" w:rsidRPr="008E73D7">
        <w:rPr>
          <w:lang w:val="fr-FR"/>
        </w:rPr>
        <w:t>39 </w:t>
      </w:r>
      <w:r w:rsidR="00620B74" w:rsidRPr="008E73D7">
        <w:rPr>
          <w:lang w:val="fr-FR"/>
        </w:rPr>
        <w:t>demandes d</w:t>
      </w:r>
      <w:r w:rsidR="00F22EE4" w:rsidRPr="008E73D7">
        <w:rPr>
          <w:lang w:val="fr-FR"/>
        </w:rPr>
        <w:t>’</w:t>
      </w:r>
      <w:r w:rsidR="00620B74" w:rsidRPr="008E73D7">
        <w:rPr>
          <w:lang w:val="fr-FR"/>
        </w:rPr>
        <w:t>enregistrement d</w:t>
      </w:r>
      <w:r w:rsidR="00F22EE4" w:rsidRPr="008E73D7">
        <w:rPr>
          <w:lang w:val="fr-FR"/>
        </w:rPr>
        <w:t>’</w:t>
      </w:r>
      <w:r w:rsidR="00620B74" w:rsidRPr="008E73D7">
        <w:rPr>
          <w:lang w:val="fr-FR"/>
        </w:rPr>
        <w:t xml:space="preserve">une indication géographique ont été </w:t>
      </w:r>
      <w:r w:rsidR="00DE2706" w:rsidRPr="008E73D7">
        <w:rPr>
          <w:lang w:val="fr-FR"/>
        </w:rPr>
        <w:t>accordées</w:t>
      </w:r>
      <w:r w:rsidR="007A38DF" w:rsidRPr="008E73D7">
        <w:rPr>
          <w:lang w:val="fr-FR"/>
        </w:rPr>
        <w:t xml:space="preserve">.  </w:t>
      </w:r>
      <w:r w:rsidR="0013178B" w:rsidRPr="008E73D7">
        <w:rPr>
          <w:lang w:val="fr-FR"/>
        </w:rPr>
        <w:t>Il y a eu une augmentation des enregistrements en</w:t>
      </w:r>
      <w:r w:rsidR="00C30FD9" w:rsidRPr="008E73D7">
        <w:rPr>
          <w:lang w:val="fr-FR"/>
        </w:rPr>
        <w:t> </w:t>
      </w:r>
      <w:r w:rsidR="007A38DF" w:rsidRPr="008E73D7">
        <w:rPr>
          <w:lang w:val="fr-FR"/>
        </w:rPr>
        <w:t xml:space="preserve">2012, </w:t>
      </w:r>
      <w:r w:rsidR="0013178B" w:rsidRPr="008E73D7">
        <w:rPr>
          <w:lang w:val="fr-FR"/>
        </w:rPr>
        <w:t xml:space="preserve">lorsque </w:t>
      </w:r>
      <w:r w:rsidR="002303ED" w:rsidRPr="008E73D7">
        <w:rPr>
          <w:lang w:val="fr-FR"/>
        </w:rPr>
        <w:t>21 </w:t>
      </w:r>
      <w:r w:rsidR="0013178B" w:rsidRPr="008E73D7">
        <w:rPr>
          <w:lang w:val="fr-FR"/>
        </w:rPr>
        <w:t xml:space="preserve">demandes ont été </w:t>
      </w:r>
      <w:r w:rsidR="00DE2706" w:rsidRPr="008E73D7">
        <w:rPr>
          <w:lang w:val="fr-FR"/>
        </w:rPr>
        <w:t>accordées</w:t>
      </w:r>
      <w:r w:rsidR="007A38DF" w:rsidRPr="008E73D7">
        <w:rPr>
          <w:lang w:val="fr-FR"/>
        </w:rPr>
        <w:t xml:space="preserve">, </w:t>
      </w:r>
      <w:r w:rsidR="00EE7FC2" w:rsidRPr="008E73D7">
        <w:rPr>
          <w:lang w:val="fr-FR"/>
        </w:rPr>
        <w:t>contre</w:t>
      </w:r>
      <w:r w:rsidR="000E200F" w:rsidRPr="008E73D7">
        <w:rPr>
          <w:lang w:val="fr-FR"/>
        </w:rPr>
        <w:t> </w:t>
      </w:r>
      <w:r w:rsidR="007A38DF" w:rsidRPr="008E73D7">
        <w:rPr>
          <w:lang w:val="fr-FR"/>
        </w:rPr>
        <w:t xml:space="preserve">18 </w:t>
      </w:r>
      <w:r w:rsidR="0013178B" w:rsidRPr="008E73D7">
        <w:rPr>
          <w:lang w:val="fr-FR"/>
        </w:rPr>
        <w:t>pour la période allant de</w:t>
      </w:r>
      <w:r w:rsidR="00C30FD9" w:rsidRPr="008E73D7">
        <w:rPr>
          <w:lang w:val="fr-FR"/>
        </w:rPr>
        <w:t> </w:t>
      </w:r>
      <w:r w:rsidR="007A38DF" w:rsidRPr="008E73D7">
        <w:rPr>
          <w:lang w:val="fr-FR"/>
        </w:rPr>
        <w:t xml:space="preserve">2000 </w:t>
      </w:r>
      <w:r w:rsidR="000E200F" w:rsidRPr="008E73D7">
        <w:rPr>
          <w:lang w:val="fr-FR"/>
        </w:rPr>
        <w:t>à </w:t>
      </w:r>
      <w:r w:rsidR="007A38DF" w:rsidRPr="008E73D7">
        <w:rPr>
          <w:lang w:val="fr-FR"/>
        </w:rPr>
        <w:t>2011.</w:t>
      </w:r>
    </w:p>
    <w:p w:rsidR="000D4BEE" w:rsidRPr="008E73D7" w:rsidRDefault="000D4BEE" w:rsidP="00DF0747">
      <w:pPr>
        <w:rPr>
          <w:lang w:val="fr-FR"/>
        </w:rPr>
      </w:pPr>
    </w:p>
    <w:p w:rsidR="00F22EE4" w:rsidRPr="008E73D7" w:rsidRDefault="00F23208" w:rsidP="00DF0747">
      <w:pPr>
        <w:rPr>
          <w:lang w:val="fr-FR"/>
        </w:rPr>
      </w:pPr>
      <w:r w:rsidRPr="008E73D7">
        <w:rPr>
          <w:lang w:val="fr-FR"/>
        </w:rPr>
        <w:t>Enfin, les demandes relatives aux logiciels informatiques ont pratiquement doublé entre 200</w:t>
      </w:r>
      <w:r w:rsidR="007A38DF" w:rsidRPr="008E73D7">
        <w:rPr>
          <w:lang w:val="fr-FR"/>
        </w:rPr>
        <w:t xml:space="preserve">0 </w:t>
      </w:r>
      <w:r w:rsidR="000E200F" w:rsidRPr="008E73D7">
        <w:rPr>
          <w:lang w:val="fr-FR"/>
        </w:rPr>
        <w:t>et </w:t>
      </w:r>
      <w:r w:rsidR="007A38DF" w:rsidRPr="008E73D7">
        <w:rPr>
          <w:lang w:val="fr-FR"/>
        </w:rPr>
        <w:t xml:space="preserve">2011, </w:t>
      </w:r>
      <w:r w:rsidR="000E200F" w:rsidRPr="008E73D7">
        <w:rPr>
          <w:lang w:val="fr-FR"/>
        </w:rPr>
        <w:t>allant de </w:t>
      </w:r>
      <w:r w:rsidR="007A38DF" w:rsidRPr="008E73D7">
        <w:rPr>
          <w:lang w:val="fr-FR"/>
        </w:rPr>
        <w:t xml:space="preserve">663 </w:t>
      </w:r>
      <w:r w:rsidRPr="008E73D7">
        <w:rPr>
          <w:lang w:val="fr-FR"/>
        </w:rPr>
        <w:t xml:space="preserve">à </w:t>
      </w:r>
      <w:r w:rsidR="002303ED" w:rsidRPr="008E73D7">
        <w:rPr>
          <w:lang w:val="fr-FR"/>
        </w:rPr>
        <w:t>1279 </w:t>
      </w:r>
      <w:r w:rsidRPr="008E73D7">
        <w:rPr>
          <w:lang w:val="fr-FR"/>
        </w:rPr>
        <w:t>demandes</w:t>
      </w:r>
      <w:r w:rsidR="007A38DF" w:rsidRPr="008E73D7">
        <w:rPr>
          <w:lang w:val="fr-FR"/>
        </w:rPr>
        <w:t xml:space="preserve">.  </w:t>
      </w:r>
      <w:r w:rsidR="00CF41D2" w:rsidRPr="008E73D7">
        <w:rPr>
          <w:lang w:val="fr-FR"/>
        </w:rPr>
        <w:t xml:space="preserve">Les demandes comprenant un seul et unique déposant représentent la majorité, </w:t>
      </w:r>
      <w:r w:rsidR="00EE7FC2" w:rsidRPr="008E73D7">
        <w:rPr>
          <w:lang w:val="fr-FR"/>
        </w:rPr>
        <w:t xml:space="preserve">10% </w:t>
      </w:r>
      <w:r w:rsidR="00CF41D2" w:rsidRPr="008E73D7">
        <w:rPr>
          <w:lang w:val="fr-FR"/>
        </w:rPr>
        <w:t xml:space="preserve">seulement </w:t>
      </w:r>
      <w:r w:rsidR="003F72E2" w:rsidRPr="008E73D7">
        <w:rPr>
          <w:lang w:val="fr-FR"/>
        </w:rPr>
        <w:t xml:space="preserve">de </w:t>
      </w:r>
      <w:r w:rsidR="00EE7FC2" w:rsidRPr="008E73D7">
        <w:rPr>
          <w:lang w:val="fr-FR"/>
        </w:rPr>
        <w:t>ces</w:t>
      </w:r>
      <w:r w:rsidR="003F72E2" w:rsidRPr="008E73D7">
        <w:rPr>
          <w:lang w:val="fr-FR"/>
        </w:rPr>
        <w:t xml:space="preserve"> demande</w:t>
      </w:r>
      <w:r w:rsidR="00EE7FC2" w:rsidRPr="008E73D7">
        <w:rPr>
          <w:lang w:val="fr-FR"/>
        </w:rPr>
        <w:t>s</w:t>
      </w:r>
      <w:r w:rsidR="003F72E2" w:rsidRPr="008E73D7">
        <w:rPr>
          <w:lang w:val="fr-FR"/>
        </w:rPr>
        <w:t xml:space="preserve"> étant déposées par des déposants multiples. </w:t>
      </w:r>
      <w:r w:rsidR="007A38DF" w:rsidRPr="008E73D7">
        <w:rPr>
          <w:lang w:val="fr-FR"/>
        </w:rPr>
        <w:t xml:space="preserve"> </w:t>
      </w:r>
      <w:r w:rsidR="003F72E2" w:rsidRPr="008E73D7">
        <w:rPr>
          <w:lang w:val="fr-FR"/>
        </w:rPr>
        <w:t>E</w:t>
      </w:r>
      <w:r w:rsidR="007A38DF" w:rsidRPr="008E73D7">
        <w:rPr>
          <w:lang w:val="fr-FR"/>
        </w:rPr>
        <w:t>n</w:t>
      </w:r>
      <w:r w:rsidR="00C30FD9" w:rsidRPr="008E73D7">
        <w:rPr>
          <w:lang w:val="fr-FR"/>
        </w:rPr>
        <w:t> </w:t>
      </w:r>
      <w:r w:rsidR="007A38DF" w:rsidRPr="008E73D7">
        <w:rPr>
          <w:lang w:val="fr-FR"/>
        </w:rPr>
        <w:t xml:space="preserve">2011, </w:t>
      </w:r>
      <w:r w:rsidR="003F72E2" w:rsidRPr="008E73D7">
        <w:rPr>
          <w:lang w:val="fr-FR"/>
        </w:rPr>
        <w:t>par exemple</w:t>
      </w:r>
      <w:r w:rsidR="007A38DF" w:rsidRPr="008E73D7">
        <w:rPr>
          <w:lang w:val="fr-FR"/>
        </w:rPr>
        <w:t xml:space="preserve">, </w:t>
      </w:r>
      <w:r w:rsidR="003F72E2" w:rsidRPr="008E73D7">
        <w:rPr>
          <w:lang w:val="fr-FR"/>
        </w:rPr>
        <w:t xml:space="preserve">les </w:t>
      </w:r>
      <w:r w:rsidR="002303ED" w:rsidRPr="008E73D7">
        <w:rPr>
          <w:lang w:val="fr-FR"/>
        </w:rPr>
        <w:t>1279 </w:t>
      </w:r>
      <w:r w:rsidR="003F72E2" w:rsidRPr="008E73D7">
        <w:rPr>
          <w:lang w:val="fr-FR"/>
        </w:rPr>
        <w:t xml:space="preserve">demandes concernaient environ </w:t>
      </w:r>
      <w:r w:rsidR="002303ED" w:rsidRPr="008E73D7">
        <w:rPr>
          <w:lang w:val="fr-FR"/>
        </w:rPr>
        <w:t>1400 </w:t>
      </w:r>
      <w:r w:rsidR="003F72E2" w:rsidRPr="008E73D7">
        <w:rPr>
          <w:lang w:val="fr-FR"/>
        </w:rPr>
        <w:t>déposants</w:t>
      </w:r>
      <w:r w:rsidR="007A38DF" w:rsidRPr="008E73D7">
        <w:rPr>
          <w:lang w:val="fr-FR"/>
        </w:rPr>
        <w:t xml:space="preserve">, </w:t>
      </w:r>
      <w:r w:rsidR="003F72E2" w:rsidRPr="008E73D7">
        <w:rPr>
          <w:lang w:val="fr-FR"/>
        </w:rPr>
        <w:t xml:space="preserve">dont approximativement </w:t>
      </w:r>
      <w:r w:rsidR="007A38DF" w:rsidRPr="008E73D7">
        <w:rPr>
          <w:lang w:val="fr-FR"/>
        </w:rPr>
        <w:t xml:space="preserve">60% </w:t>
      </w:r>
      <w:r w:rsidR="003F72E2" w:rsidRPr="008E73D7">
        <w:rPr>
          <w:lang w:val="fr-FR"/>
        </w:rPr>
        <w:t>étaient des personnes morales</w:t>
      </w:r>
      <w:r w:rsidR="007A38DF" w:rsidRPr="008E73D7">
        <w:rPr>
          <w:lang w:val="fr-FR"/>
        </w:rPr>
        <w:t xml:space="preserve">.  </w:t>
      </w:r>
      <w:r w:rsidR="003F72E2" w:rsidRPr="008E73D7">
        <w:rPr>
          <w:lang w:val="fr-FR"/>
        </w:rPr>
        <w:t>Les fabricants de logiciels ne sont pas tenus de s</w:t>
      </w:r>
      <w:r w:rsidR="00F22EE4" w:rsidRPr="008E73D7">
        <w:rPr>
          <w:lang w:val="fr-FR"/>
        </w:rPr>
        <w:t>’</w:t>
      </w:r>
      <w:r w:rsidR="003F72E2" w:rsidRPr="008E73D7">
        <w:rPr>
          <w:lang w:val="fr-FR"/>
        </w:rPr>
        <w:t>enregistrer auprès de l</w:t>
      </w:r>
      <w:r w:rsidR="00F22EE4" w:rsidRPr="008E73D7">
        <w:rPr>
          <w:lang w:val="fr-FR"/>
        </w:rPr>
        <w:t>’</w:t>
      </w:r>
      <w:r w:rsidR="007A38DF" w:rsidRPr="008E73D7">
        <w:rPr>
          <w:lang w:val="fr-FR"/>
        </w:rPr>
        <w:t xml:space="preserve">INPI </w:t>
      </w:r>
      <w:r w:rsidR="003F72E2" w:rsidRPr="008E73D7">
        <w:rPr>
          <w:lang w:val="fr-FR"/>
        </w:rPr>
        <w:t>afin de bénéficier</w:t>
      </w:r>
      <w:r w:rsidR="00C60AEF" w:rsidRPr="008E73D7">
        <w:rPr>
          <w:lang w:val="fr-FR"/>
        </w:rPr>
        <w:t xml:space="preserve"> d</w:t>
      </w:r>
      <w:r w:rsidR="003F72E2" w:rsidRPr="008E73D7">
        <w:rPr>
          <w:lang w:val="fr-FR"/>
        </w:rPr>
        <w:t>e la protection accordée par la législation brésilienne</w:t>
      </w:r>
      <w:r w:rsidR="007A38DF" w:rsidRPr="008E73D7">
        <w:rPr>
          <w:lang w:val="fr-FR"/>
        </w:rPr>
        <w:t>.</w:t>
      </w:r>
    </w:p>
    <w:p w:rsidR="000D4BEE" w:rsidRPr="008E73D7" w:rsidRDefault="000D4BEE" w:rsidP="00DF0747">
      <w:pPr>
        <w:pStyle w:val="Endofdocument-Annex"/>
        <w:rPr>
          <w:lang w:val="fr-FR"/>
        </w:rPr>
      </w:pPr>
    </w:p>
    <w:p w:rsidR="00370BE3" w:rsidRPr="008E73D7" w:rsidRDefault="00370BE3" w:rsidP="00DF0747">
      <w:pPr>
        <w:pStyle w:val="Endofdocument-Annex"/>
        <w:rPr>
          <w:lang w:val="fr-FR"/>
        </w:rPr>
      </w:pPr>
    </w:p>
    <w:p w:rsidR="000D4BEE" w:rsidRPr="008E73D7" w:rsidRDefault="000D4BEE" w:rsidP="00DF0747">
      <w:pPr>
        <w:pStyle w:val="Endofdocument-Annex"/>
        <w:rPr>
          <w:lang w:val="fr-FR"/>
        </w:rPr>
      </w:pPr>
    </w:p>
    <w:p w:rsidR="000D4BEE" w:rsidRPr="008E73D7" w:rsidRDefault="007A38DF" w:rsidP="00DF0747">
      <w:pPr>
        <w:pStyle w:val="Endofdocument-Annex"/>
        <w:rPr>
          <w:lang w:val="fr-FR"/>
        </w:rPr>
      </w:pPr>
      <w:r w:rsidRPr="008E73D7">
        <w:rPr>
          <w:lang w:val="fr-FR"/>
        </w:rPr>
        <w:t>[</w:t>
      </w:r>
      <w:r w:rsidR="003F72E2" w:rsidRPr="008E73D7">
        <w:rPr>
          <w:lang w:val="fr-FR"/>
        </w:rPr>
        <w:t>Fin de l</w:t>
      </w:r>
      <w:r w:rsidR="00F22EE4" w:rsidRPr="008E73D7">
        <w:rPr>
          <w:lang w:val="fr-FR"/>
        </w:rPr>
        <w:t>’</w:t>
      </w:r>
      <w:r w:rsidR="003F72E2" w:rsidRPr="008E73D7">
        <w:rPr>
          <w:lang w:val="fr-FR"/>
        </w:rPr>
        <w:t xml:space="preserve">annexe et du </w:t>
      </w:r>
      <w:r w:rsidRPr="008E73D7">
        <w:rPr>
          <w:lang w:val="fr-FR"/>
        </w:rPr>
        <w:t>document]</w:t>
      </w:r>
    </w:p>
    <w:p w:rsidR="000D4BEE" w:rsidRPr="008E73D7" w:rsidRDefault="000D4BEE" w:rsidP="00DF0747">
      <w:pPr>
        <w:tabs>
          <w:tab w:val="left" w:pos="5670"/>
        </w:tabs>
        <w:rPr>
          <w:lang w:val="fr-FR"/>
        </w:rPr>
      </w:pPr>
    </w:p>
    <w:p w:rsidR="000D4BEE" w:rsidRPr="008E73D7" w:rsidRDefault="000D4BEE" w:rsidP="00DF0747">
      <w:pPr>
        <w:rPr>
          <w:lang w:val="fr-FR"/>
        </w:rPr>
      </w:pPr>
      <w:bookmarkStart w:id="4" w:name="_GoBack"/>
      <w:bookmarkEnd w:id="4"/>
    </w:p>
    <w:sectPr w:rsidR="000D4BEE" w:rsidRPr="008E73D7" w:rsidSect="00F22EE4">
      <w:headerReference w:type="default" r:id="rId12"/>
      <w:headerReference w:type="first" r:id="rId13"/>
      <w:footerReference w:type="first" r:id="rId14"/>
      <w:pgSz w:w="12240" w:h="15840" w:code="1"/>
      <w:pgMar w:top="567"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E4" w:rsidRDefault="00D577E4" w:rsidP="009E1F8B">
      <w:r>
        <w:separator/>
      </w:r>
    </w:p>
  </w:endnote>
  <w:endnote w:type="continuationSeparator" w:id="0">
    <w:p w:rsidR="00D577E4" w:rsidRDefault="00D577E4" w:rsidP="009E1F8B">
      <w:r>
        <w:continuationSeparator/>
      </w:r>
    </w:p>
  </w:endnote>
  <w:endnote w:type="continuationNotice" w:id="1">
    <w:p w:rsidR="00D0608C" w:rsidRDefault="00D06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E4" w:rsidRPr="00F22EE4" w:rsidRDefault="00F22EE4" w:rsidP="00F2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E4" w:rsidRDefault="00D577E4" w:rsidP="009E1F8B">
      <w:r>
        <w:separator/>
      </w:r>
    </w:p>
  </w:footnote>
  <w:footnote w:type="continuationSeparator" w:id="0">
    <w:p w:rsidR="00D577E4" w:rsidRDefault="00D577E4" w:rsidP="009E1F8B">
      <w:r>
        <w:continuationSeparator/>
      </w:r>
    </w:p>
  </w:footnote>
  <w:footnote w:type="continuationNotice" w:id="1">
    <w:p w:rsidR="00D0608C" w:rsidRDefault="00D06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E4" w:rsidRDefault="00370BE3" w:rsidP="00370BE3">
    <w:pPr>
      <w:pStyle w:val="Header"/>
      <w:jc w:val="right"/>
      <w:rPr>
        <w:lang w:val="fr-CH"/>
      </w:rPr>
    </w:pPr>
    <w:r>
      <w:rPr>
        <w:lang w:val="fr-CH"/>
      </w:rPr>
      <w:t>CDIP/14/INF/6</w:t>
    </w:r>
  </w:p>
  <w:p w:rsidR="00370BE3" w:rsidRDefault="00370BE3" w:rsidP="00370BE3">
    <w:pPr>
      <w:pStyle w:val="Header"/>
      <w:jc w:val="right"/>
      <w:rPr>
        <w:lang w:val="fr-CH"/>
      </w:rPr>
    </w:pPr>
    <w:proofErr w:type="gramStart"/>
    <w:r>
      <w:rPr>
        <w:lang w:val="fr-CH"/>
      </w:rPr>
      <w:t>page</w:t>
    </w:r>
    <w:proofErr w:type="gramEnd"/>
    <w:r>
      <w:rPr>
        <w:lang w:val="fr-CH"/>
      </w:rPr>
      <w:t xml:space="preserve"> </w:t>
    </w:r>
    <w:r w:rsidRPr="00370BE3">
      <w:rPr>
        <w:lang w:val="fr-CH"/>
      </w:rPr>
      <w:fldChar w:fldCharType="begin"/>
    </w:r>
    <w:r w:rsidRPr="00370BE3">
      <w:rPr>
        <w:lang w:val="fr-CH"/>
      </w:rPr>
      <w:instrText>PAGE   \* MERGEFORMAT</w:instrText>
    </w:r>
    <w:r w:rsidRPr="00370BE3">
      <w:rPr>
        <w:lang w:val="fr-CH"/>
      </w:rPr>
      <w:fldChar w:fldCharType="separate"/>
    </w:r>
    <w:r w:rsidR="009B32F3">
      <w:rPr>
        <w:noProof/>
        <w:lang w:val="fr-CH"/>
      </w:rPr>
      <w:t>1</w:t>
    </w:r>
    <w:r w:rsidRPr="00370BE3">
      <w:rPr>
        <w:lang w:val="fr-CH"/>
      </w:rPr>
      <w:fldChar w:fldCharType="end"/>
    </w:r>
  </w:p>
  <w:p w:rsidR="00370BE3" w:rsidRPr="00370BE3" w:rsidRDefault="00370BE3" w:rsidP="00370BE3">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E4" w:rsidRDefault="00D577E4" w:rsidP="009E1F8B">
    <w:pPr>
      <w:pStyle w:val="Header"/>
      <w:jc w:val="right"/>
    </w:pPr>
    <w:r>
      <w:t>CDIP/14/INF/6</w:t>
    </w:r>
  </w:p>
  <w:p w:rsidR="00D577E4" w:rsidRDefault="00D577E4" w:rsidP="009E1F8B">
    <w:pPr>
      <w:pStyle w:val="Header"/>
      <w:jc w:val="right"/>
    </w:pPr>
    <w:proofErr w:type="spellStart"/>
    <w:r>
      <w:t>Annex</w:t>
    </w:r>
    <w:r w:rsidR="00F22EE4">
      <w:t>e</w:t>
    </w:r>
    <w:proofErr w:type="spellEnd"/>
    <w:r>
      <w:t xml:space="preserve">, page </w:t>
    </w:r>
    <w:r w:rsidR="00F22EE4">
      <w:fldChar w:fldCharType="begin"/>
    </w:r>
    <w:r w:rsidR="00F22EE4">
      <w:instrText>PAGE   \* MERGEFORMAT</w:instrText>
    </w:r>
    <w:r w:rsidR="00F22EE4">
      <w:fldChar w:fldCharType="separate"/>
    </w:r>
    <w:r w:rsidR="00A1501F" w:rsidRPr="00A1501F">
      <w:rPr>
        <w:noProof/>
        <w:lang w:val="fr-FR"/>
      </w:rPr>
      <w:t>5</w:t>
    </w:r>
    <w:r w:rsidR="00F22EE4">
      <w:fldChar w:fldCharType="end"/>
    </w:r>
  </w:p>
  <w:p w:rsidR="00D577E4" w:rsidRDefault="00D577E4" w:rsidP="00F22EE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E4" w:rsidRDefault="00D577E4" w:rsidP="009E1F8B">
    <w:pPr>
      <w:pStyle w:val="Header"/>
      <w:jc w:val="right"/>
    </w:pPr>
    <w:r>
      <w:t>CDIP/14/INF/6</w:t>
    </w:r>
  </w:p>
  <w:p w:rsidR="00D577E4" w:rsidRDefault="00D577E4" w:rsidP="009E1F8B">
    <w:pPr>
      <w:pStyle w:val="Header"/>
      <w:jc w:val="right"/>
    </w:pPr>
    <w:r>
      <w:t>ANNEX</w:t>
    </w:r>
    <w:r w:rsidR="00F22EE4">
      <w:t>E</w:t>
    </w:r>
  </w:p>
  <w:p w:rsidR="00D577E4" w:rsidRDefault="00D577E4" w:rsidP="00F22E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A216B6"/>
    <w:lvl w:ilvl="0">
      <w:start w:val="1"/>
      <w:numFmt w:val="decimal"/>
      <w:lvlText w:val="%1."/>
      <w:lvlJc w:val="left"/>
      <w:pPr>
        <w:tabs>
          <w:tab w:val="num" w:pos="360"/>
        </w:tabs>
        <w:ind w:left="360" w:hanging="360"/>
      </w:pPr>
    </w:lvl>
  </w:abstractNum>
  <w:abstractNum w:abstractNumId="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PCT|WorkspaceFTS\EN-FR\SCP|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LT|WorkspaceFTS\EN-FR\SCCR|WorkspaceFTS\EN-FR\SCT|WorkspaceFTS\EN-FR\UPOV|WorkspaceFTS\EN-FR\WO_CC|WorkspaceFTS\EN-FR\WO_GA|WorkspaceFTS\EN-FR\WO_PBC|Administrative\Meetings|Administrative\Other|Administrative\Publications|IP in General\Academy|IP in General\Arbitration and Mediation|IP in General\Meetings|IP in General\Other|IP in General\Press Room|IP in General\Publications"/>
    <w:docVar w:name="TextBaseURL" w:val="empty"/>
    <w:docVar w:name="UILng" w:val="en"/>
  </w:docVars>
  <w:rsids>
    <w:rsidRoot w:val="007A38DF"/>
    <w:rsid w:val="00001F65"/>
    <w:rsid w:val="000132D0"/>
    <w:rsid w:val="0002377C"/>
    <w:rsid w:val="00031F40"/>
    <w:rsid w:val="000376E3"/>
    <w:rsid w:val="00063375"/>
    <w:rsid w:val="000702B2"/>
    <w:rsid w:val="0007352C"/>
    <w:rsid w:val="00096D35"/>
    <w:rsid w:val="00097C2F"/>
    <w:rsid w:val="000A0187"/>
    <w:rsid w:val="000A6A6E"/>
    <w:rsid w:val="000B37A0"/>
    <w:rsid w:val="000B5EB2"/>
    <w:rsid w:val="000D4BEE"/>
    <w:rsid w:val="000D564E"/>
    <w:rsid w:val="000E200F"/>
    <w:rsid w:val="000F24CF"/>
    <w:rsid w:val="00101C23"/>
    <w:rsid w:val="00103555"/>
    <w:rsid w:val="00107133"/>
    <w:rsid w:val="00112B30"/>
    <w:rsid w:val="00112CE4"/>
    <w:rsid w:val="00115DCD"/>
    <w:rsid w:val="00117F8C"/>
    <w:rsid w:val="00125620"/>
    <w:rsid w:val="0013178B"/>
    <w:rsid w:val="00173379"/>
    <w:rsid w:val="001868EC"/>
    <w:rsid w:val="001A3374"/>
    <w:rsid w:val="001B2205"/>
    <w:rsid w:val="001C623C"/>
    <w:rsid w:val="001F648E"/>
    <w:rsid w:val="001F73C7"/>
    <w:rsid w:val="002303ED"/>
    <w:rsid w:val="00234936"/>
    <w:rsid w:val="00235E21"/>
    <w:rsid w:val="00256275"/>
    <w:rsid w:val="00256A00"/>
    <w:rsid w:val="00270516"/>
    <w:rsid w:val="0027453E"/>
    <w:rsid w:val="002749E4"/>
    <w:rsid w:val="00277823"/>
    <w:rsid w:val="00277895"/>
    <w:rsid w:val="002B0917"/>
    <w:rsid w:val="002B2CA1"/>
    <w:rsid w:val="002D1F2E"/>
    <w:rsid w:val="002D203D"/>
    <w:rsid w:val="0030232C"/>
    <w:rsid w:val="00352A09"/>
    <w:rsid w:val="00356B51"/>
    <w:rsid w:val="00370BA5"/>
    <w:rsid w:val="00370BE3"/>
    <w:rsid w:val="00377B1C"/>
    <w:rsid w:val="003851E6"/>
    <w:rsid w:val="00397927"/>
    <w:rsid w:val="003A02A9"/>
    <w:rsid w:val="003A0E8D"/>
    <w:rsid w:val="003C179F"/>
    <w:rsid w:val="003E6461"/>
    <w:rsid w:val="003F61FB"/>
    <w:rsid w:val="003F72E2"/>
    <w:rsid w:val="00436F4B"/>
    <w:rsid w:val="00437329"/>
    <w:rsid w:val="004650F8"/>
    <w:rsid w:val="004729D2"/>
    <w:rsid w:val="00483BAE"/>
    <w:rsid w:val="00484454"/>
    <w:rsid w:val="0049077A"/>
    <w:rsid w:val="00493DDC"/>
    <w:rsid w:val="004B42B5"/>
    <w:rsid w:val="004C0D7D"/>
    <w:rsid w:val="004C2B59"/>
    <w:rsid w:val="004D039A"/>
    <w:rsid w:val="004F0970"/>
    <w:rsid w:val="00505EA3"/>
    <w:rsid w:val="00514220"/>
    <w:rsid w:val="0055376F"/>
    <w:rsid w:val="005661DD"/>
    <w:rsid w:val="00581222"/>
    <w:rsid w:val="00587D91"/>
    <w:rsid w:val="005B58AB"/>
    <w:rsid w:val="005B619B"/>
    <w:rsid w:val="005D2130"/>
    <w:rsid w:val="005D2510"/>
    <w:rsid w:val="005D3632"/>
    <w:rsid w:val="005E652B"/>
    <w:rsid w:val="006052D2"/>
    <w:rsid w:val="00620B74"/>
    <w:rsid w:val="00633928"/>
    <w:rsid w:val="00692BE7"/>
    <w:rsid w:val="006B5C87"/>
    <w:rsid w:val="006C217A"/>
    <w:rsid w:val="00703556"/>
    <w:rsid w:val="007112C5"/>
    <w:rsid w:val="007138FB"/>
    <w:rsid w:val="00715628"/>
    <w:rsid w:val="007465E5"/>
    <w:rsid w:val="007601DA"/>
    <w:rsid w:val="007613FA"/>
    <w:rsid w:val="00763077"/>
    <w:rsid w:val="00787D97"/>
    <w:rsid w:val="007A38DF"/>
    <w:rsid w:val="007A3DEF"/>
    <w:rsid w:val="007A514F"/>
    <w:rsid w:val="007C6FAD"/>
    <w:rsid w:val="007E4B02"/>
    <w:rsid w:val="00804C72"/>
    <w:rsid w:val="008344F3"/>
    <w:rsid w:val="00852776"/>
    <w:rsid w:val="00860929"/>
    <w:rsid w:val="0087400E"/>
    <w:rsid w:val="00885855"/>
    <w:rsid w:val="008C17BD"/>
    <w:rsid w:val="008D3E1E"/>
    <w:rsid w:val="008D67E8"/>
    <w:rsid w:val="008E73D7"/>
    <w:rsid w:val="008F62FB"/>
    <w:rsid w:val="00905678"/>
    <w:rsid w:val="00927C63"/>
    <w:rsid w:val="009325DC"/>
    <w:rsid w:val="00941ABA"/>
    <w:rsid w:val="00953EF7"/>
    <w:rsid w:val="009700B5"/>
    <w:rsid w:val="00976971"/>
    <w:rsid w:val="009770BD"/>
    <w:rsid w:val="00980F45"/>
    <w:rsid w:val="00981136"/>
    <w:rsid w:val="0098749A"/>
    <w:rsid w:val="009B32F3"/>
    <w:rsid w:val="009B4CB5"/>
    <w:rsid w:val="009D5051"/>
    <w:rsid w:val="009D7163"/>
    <w:rsid w:val="009E1F8B"/>
    <w:rsid w:val="009E2B67"/>
    <w:rsid w:val="009F74AA"/>
    <w:rsid w:val="00A033AA"/>
    <w:rsid w:val="00A1501F"/>
    <w:rsid w:val="00A43A74"/>
    <w:rsid w:val="00A44E9B"/>
    <w:rsid w:val="00A540D0"/>
    <w:rsid w:val="00A62B98"/>
    <w:rsid w:val="00A6504F"/>
    <w:rsid w:val="00A76A72"/>
    <w:rsid w:val="00AA5797"/>
    <w:rsid w:val="00AA7496"/>
    <w:rsid w:val="00AD3B74"/>
    <w:rsid w:val="00AE6B79"/>
    <w:rsid w:val="00B06A1D"/>
    <w:rsid w:val="00B27825"/>
    <w:rsid w:val="00B46EA2"/>
    <w:rsid w:val="00B609F9"/>
    <w:rsid w:val="00B73C7C"/>
    <w:rsid w:val="00B86D89"/>
    <w:rsid w:val="00BA3A6B"/>
    <w:rsid w:val="00BD14F0"/>
    <w:rsid w:val="00BD4334"/>
    <w:rsid w:val="00C0728B"/>
    <w:rsid w:val="00C30FD9"/>
    <w:rsid w:val="00C43C22"/>
    <w:rsid w:val="00C60AEF"/>
    <w:rsid w:val="00C61585"/>
    <w:rsid w:val="00C754F5"/>
    <w:rsid w:val="00C86AE0"/>
    <w:rsid w:val="00C947C3"/>
    <w:rsid w:val="00CA27DC"/>
    <w:rsid w:val="00CB5058"/>
    <w:rsid w:val="00CD713D"/>
    <w:rsid w:val="00CF1861"/>
    <w:rsid w:val="00CF41D2"/>
    <w:rsid w:val="00D03B7F"/>
    <w:rsid w:val="00D0608C"/>
    <w:rsid w:val="00D154F2"/>
    <w:rsid w:val="00D1775B"/>
    <w:rsid w:val="00D24BC7"/>
    <w:rsid w:val="00D27F73"/>
    <w:rsid w:val="00D45F81"/>
    <w:rsid w:val="00D577E4"/>
    <w:rsid w:val="00D90ECD"/>
    <w:rsid w:val="00D95742"/>
    <w:rsid w:val="00D96726"/>
    <w:rsid w:val="00D97747"/>
    <w:rsid w:val="00D978EC"/>
    <w:rsid w:val="00DA7A9F"/>
    <w:rsid w:val="00DC7F9F"/>
    <w:rsid w:val="00DD0CCB"/>
    <w:rsid w:val="00DD5F7E"/>
    <w:rsid w:val="00DE2706"/>
    <w:rsid w:val="00DE294F"/>
    <w:rsid w:val="00DF0747"/>
    <w:rsid w:val="00E3179C"/>
    <w:rsid w:val="00E402AA"/>
    <w:rsid w:val="00E47AB1"/>
    <w:rsid w:val="00E53E47"/>
    <w:rsid w:val="00E66D00"/>
    <w:rsid w:val="00E8181A"/>
    <w:rsid w:val="00EA26C0"/>
    <w:rsid w:val="00EA4EBA"/>
    <w:rsid w:val="00EB6425"/>
    <w:rsid w:val="00ED43FA"/>
    <w:rsid w:val="00ED6E88"/>
    <w:rsid w:val="00EE7FC2"/>
    <w:rsid w:val="00F12157"/>
    <w:rsid w:val="00F22EE4"/>
    <w:rsid w:val="00F23208"/>
    <w:rsid w:val="00F32D25"/>
    <w:rsid w:val="00F53504"/>
    <w:rsid w:val="00F622EA"/>
    <w:rsid w:val="00F73A1A"/>
    <w:rsid w:val="00F84AB6"/>
    <w:rsid w:val="00F854E8"/>
    <w:rsid w:val="00FB5678"/>
    <w:rsid w:val="00FE39C2"/>
    <w:rsid w:val="00FE58BC"/>
    <w:rsid w:val="00FF4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E4"/>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F22EE4"/>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22EE4"/>
    <w:pPr>
      <w:keepNext/>
      <w:spacing w:before="240" w:after="60"/>
      <w:outlineLvl w:val="1"/>
    </w:pPr>
    <w:rPr>
      <w:rFonts w:eastAsia="SimSun"/>
      <w:bCs/>
      <w:iCs/>
      <w:caps/>
      <w:szCs w:val="28"/>
    </w:rPr>
  </w:style>
  <w:style w:type="paragraph" w:styleId="Heading3">
    <w:name w:val="heading 3"/>
    <w:basedOn w:val="Normal"/>
    <w:next w:val="Normal"/>
    <w:link w:val="Heading3Char"/>
    <w:qFormat/>
    <w:rsid w:val="00F22EE4"/>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22EE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8DF"/>
    <w:rPr>
      <w:rFonts w:ascii="Arial" w:eastAsia="SimSun" w:hAnsi="Arial" w:cs="Arial"/>
      <w:b/>
      <w:bCs/>
      <w:caps/>
      <w:kern w:val="32"/>
      <w:szCs w:val="32"/>
    </w:rPr>
  </w:style>
  <w:style w:type="paragraph" w:styleId="Title">
    <w:name w:val="Title"/>
    <w:basedOn w:val="Normal"/>
    <w:link w:val="TitleChar"/>
    <w:uiPriority w:val="99"/>
    <w:qFormat/>
    <w:rsid w:val="007A38DF"/>
    <w:pPr>
      <w:jc w:val="center"/>
      <w:outlineLvl w:val="0"/>
    </w:pPr>
    <w:rPr>
      <w:b/>
      <w:bCs/>
      <w:kern w:val="28"/>
      <w:sz w:val="32"/>
      <w:szCs w:val="32"/>
    </w:rPr>
  </w:style>
  <w:style w:type="character" w:customStyle="1" w:styleId="TitleChar">
    <w:name w:val="Title Char"/>
    <w:basedOn w:val="DefaultParagraphFont"/>
    <w:link w:val="Title"/>
    <w:uiPriority w:val="99"/>
    <w:rsid w:val="007A38DF"/>
    <w:rPr>
      <w:rFonts w:ascii="Arial" w:eastAsia="Times New Roman" w:hAnsi="Arial"/>
      <w:b/>
      <w:bCs/>
      <w:kern w:val="28"/>
      <w:sz w:val="32"/>
      <w:szCs w:val="32"/>
    </w:rPr>
  </w:style>
  <w:style w:type="paragraph" w:styleId="BalloonText">
    <w:name w:val="Balloon Text"/>
    <w:basedOn w:val="Normal"/>
    <w:link w:val="BalloonTextChar"/>
    <w:uiPriority w:val="99"/>
    <w:semiHidden/>
    <w:unhideWhenUsed/>
    <w:rsid w:val="0098749A"/>
    <w:rPr>
      <w:rFonts w:ascii="Tahoma" w:hAnsi="Tahoma" w:cs="Tahoma"/>
      <w:sz w:val="16"/>
      <w:szCs w:val="16"/>
    </w:rPr>
  </w:style>
  <w:style w:type="character" w:customStyle="1" w:styleId="BalloonTextChar">
    <w:name w:val="Balloon Text Char"/>
    <w:basedOn w:val="DefaultParagraphFont"/>
    <w:link w:val="BalloonText"/>
    <w:uiPriority w:val="99"/>
    <w:semiHidden/>
    <w:rsid w:val="0098749A"/>
    <w:rPr>
      <w:rFonts w:ascii="Tahoma" w:hAnsi="Tahoma" w:cs="Tahoma"/>
      <w:sz w:val="16"/>
      <w:szCs w:val="16"/>
    </w:rPr>
  </w:style>
  <w:style w:type="paragraph" w:customStyle="1" w:styleId="Endofdocument-Annex">
    <w:name w:val="[End of document - Annex]"/>
    <w:basedOn w:val="Normal"/>
    <w:rsid w:val="00D27F73"/>
    <w:pPr>
      <w:ind w:left="5534"/>
    </w:pPr>
  </w:style>
  <w:style w:type="paragraph" w:styleId="Header">
    <w:name w:val="header"/>
    <w:basedOn w:val="Normal"/>
    <w:link w:val="HeaderChar"/>
    <w:rsid w:val="00F22EE4"/>
    <w:pPr>
      <w:tabs>
        <w:tab w:val="center" w:pos="4536"/>
        <w:tab w:val="right" w:pos="9072"/>
      </w:tabs>
    </w:pPr>
  </w:style>
  <w:style w:type="character" w:customStyle="1" w:styleId="HeaderChar">
    <w:name w:val="Header Char"/>
    <w:basedOn w:val="DefaultParagraphFont"/>
    <w:link w:val="Header"/>
    <w:rsid w:val="009E1F8B"/>
    <w:rPr>
      <w:rFonts w:ascii="Arial" w:eastAsia="Times New Roman" w:hAnsi="Arial" w:cs="Arial"/>
      <w:szCs w:val="20"/>
    </w:rPr>
  </w:style>
  <w:style w:type="paragraph" w:styleId="Footer">
    <w:name w:val="footer"/>
    <w:basedOn w:val="Normal"/>
    <w:link w:val="FooterChar"/>
    <w:rsid w:val="00F22EE4"/>
    <w:pPr>
      <w:tabs>
        <w:tab w:val="center" w:pos="4320"/>
        <w:tab w:val="right" w:pos="8640"/>
      </w:tabs>
    </w:pPr>
  </w:style>
  <w:style w:type="character" w:customStyle="1" w:styleId="FooterChar">
    <w:name w:val="Footer Char"/>
    <w:basedOn w:val="DefaultParagraphFont"/>
    <w:link w:val="Footer"/>
    <w:rsid w:val="009E1F8B"/>
    <w:rPr>
      <w:rFonts w:ascii="Arial" w:eastAsia="Times New Roman" w:hAnsi="Arial" w:cs="Arial"/>
      <w:szCs w:val="20"/>
    </w:rPr>
  </w:style>
  <w:style w:type="character" w:customStyle="1" w:styleId="highlight">
    <w:name w:val="highlight"/>
    <w:basedOn w:val="DefaultParagraphFont"/>
    <w:rsid w:val="00A6504F"/>
  </w:style>
  <w:style w:type="paragraph" w:styleId="BodyText">
    <w:name w:val="Body Text"/>
    <w:basedOn w:val="Normal"/>
    <w:link w:val="BodyTextChar"/>
    <w:rsid w:val="00F22EE4"/>
    <w:pPr>
      <w:spacing w:after="220"/>
    </w:pPr>
  </w:style>
  <w:style w:type="character" w:customStyle="1" w:styleId="BodyTextChar">
    <w:name w:val="Body Text Char"/>
    <w:basedOn w:val="DefaultParagraphFont"/>
    <w:link w:val="BodyText"/>
    <w:rsid w:val="00F22EE4"/>
    <w:rPr>
      <w:rFonts w:ascii="Arial" w:eastAsia="Times New Roman" w:hAnsi="Arial" w:cs="Arial"/>
      <w:szCs w:val="20"/>
    </w:rPr>
  </w:style>
  <w:style w:type="paragraph" w:styleId="Caption">
    <w:name w:val="caption"/>
    <w:basedOn w:val="Normal"/>
    <w:next w:val="Normal"/>
    <w:qFormat/>
    <w:rsid w:val="00F22EE4"/>
    <w:rPr>
      <w:b/>
      <w:bCs/>
      <w:sz w:val="18"/>
    </w:rPr>
  </w:style>
  <w:style w:type="paragraph" w:styleId="CommentText">
    <w:name w:val="annotation text"/>
    <w:basedOn w:val="Normal"/>
    <w:link w:val="CommentTextChar"/>
    <w:semiHidden/>
    <w:rsid w:val="00F22EE4"/>
    <w:rPr>
      <w:sz w:val="18"/>
    </w:rPr>
  </w:style>
  <w:style w:type="character" w:customStyle="1" w:styleId="CommentTextChar">
    <w:name w:val="Comment Text Char"/>
    <w:basedOn w:val="DefaultParagraphFont"/>
    <w:link w:val="CommentText"/>
    <w:semiHidden/>
    <w:rsid w:val="00F22EE4"/>
    <w:rPr>
      <w:rFonts w:ascii="Arial" w:eastAsia="Times New Roman" w:hAnsi="Arial" w:cs="Arial"/>
      <w:sz w:val="18"/>
      <w:szCs w:val="20"/>
    </w:rPr>
  </w:style>
  <w:style w:type="paragraph" w:styleId="EndnoteText">
    <w:name w:val="endnote text"/>
    <w:basedOn w:val="Normal"/>
    <w:link w:val="EndnoteTextChar"/>
    <w:semiHidden/>
    <w:rsid w:val="00F22EE4"/>
    <w:rPr>
      <w:sz w:val="18"/>
    </w:rPr>
  </w:style>
  <w:style w:type="character" w:customStyle="1" w:styleId="EndnoteTextChar">
    <w:name w:val="Endnote Text Char"/>
    <w:basedOn w:val="DefaultParagraphFont"/>
    <w:link w:val="EndnoteText"/>
    <w:semiHidden/>
    <w:rsid w:val="00F22EE4"/>
    <w:rPr>
      <w:rFonts w:ascii="Arial" w:eastAsia="Times New Roman" w:hAnsi="Arial" w:cs="Arial"/>
      <w:sz w:val="18"/>
      <w:szCs w:val="20"/>
    </w:rPr>
  </w:style>
  <w:style w:type="paragraph" w:styleId="FootnoteText">
    <w:name w:val="footnote text"/>
    <w:basedOn w:val="Normal"/>
    <w:link w:val="FootnoteTextChar"/>
    <w:semiHidden/>
    <w:rsid w:val="00F22EE4"/>
    <w:rPr>
      <w:sz w:val="18"/>
    </w:rPr>
  </w:style>
  <w:style w:type="character" w:customStyle="1" w:styleId="FootnoteTextChar">
    <w:name w:val="Footnote Text Char"/>
    <w:basedOn w:val="DefaultParagraphFont"/>
    <w:link w:val="FootnoteText"/>
    <w:semiHidden/>
    <w:rsid w:val="00F22EE4"/>
    <w:rPr>
      <w:rFonts w:ascii="Arial" w:eastAsia="Times New Roman" w:hAnsi="Arial" w:cs="Arial"/>
      <w:sz w:val="18"/>
      <w:szCs w:val="20"/>
    </w:rPr>
  </w:style>
  <w:style w:type="character" w:customStyle="1" w:styleId="Heading2Char">
    <w:name w:val="Heading 2 Char"/>
    <w:basedOn w:val="DefaultParagraphFont"/>
    <w:link w:val="Heading2"/>
    <w:rsid w:val="00F22EE4"/>
    <w:rPr>
      <w:rFonts w:ascii="Arial" w:eastAsia="SimSun" w:hAnsi="Arial" w:cs="Arial"/>
      <w:bCs/>
      <w:iCs/>
      <w:caps/>
      <w:szCs w:val="28"/>
    </w:rPr>
  </w:style>
  <w:style w:type="character" w:customStyle="1" w:styleId="Heading3Char">
    <w:name w:val="Heading 3 Char"/>
    <w:basedOn w:val="DefaultParagraphFont"/>
    <w:link w:val="Heading3"/>
    <w:rsid w:val="00F22EE4"/>
    <w:rPr>
      <w:rFonts w:ascii="Arial" w:eastAsia="SimSun" w:hAnsi="Arial" w:cs="Arial"/>
      <w:bCs/>
      <w:szCs w:val="26"/>
      <w:u w:val="single"/>
    </w:rPr>
  </w:style>
  <w:style w:type="character" w:customStyle="1" w:styleId="Heading4Char">
    <w:name w:val="Heading 4 Char"/>
    <w:basedOn w:val="DefaultParagraphFont"/>
    <w:link w:val="Heading4"/>
    <w:rsid w:val="00F22EE4"/>
    <w:rPr>
      <w:rFonts w:ascii="Arial" w:eastAsia="SimSun" w:hAnsi="Arial" w:cs="Arial"/>
      <w:bCs/>
      <w:i/>
      <w:szCs w:val="28"/>
    </w:rPr>
  </w:style>
  <w:style w:type="paragraph" w:styleId="ListNumber">
    <w:name w:val="List Number"/>
    <w:basedOn w:val="Normal"/>
    <w:semiHidden/>
    <w:rsid w:val="00F22EE4"/>
    <w:pPr>
      <w:numPr>
        <w:numId w:val="2"/>
      </w:numPr>
    </w:pPr>
  </w:style>
  <w:style w:type="paragraph" w:customStyle="1" w:styleId="ONUME">
    <w:name w:val="ONUM E"/>
    <w:basedOn w:val="BodyText"/>
    <w:rsid w:val="00F22EE4"/>
    <w:pPr>
      <w:numPr>
        <w:numId w:val="3"/>
      </w:numPr>
    </w:pPr>
  </w:style>
  <w:style w:type="paragraph" w:customStyle="1" w:styleId="ONUMFS">
    <w:name w:val="ONUM FS"/>
    <w:basedOn w:val="BodyText"/>
    <w:rsid w:val="00F22EE4"/>
    <w:pPr>
      <w:numPr>
        <w:numId w:val="4"/>
      </w:numPr>
    </w:pPr>
  </w:style>
  <w:style w:type="paragraph" w:styleId="Salutation">
    <w:name w:val="Salutation"/>
    <w:basedOn w:val="Normal"/>
    <w:next w:val="Normal"/>
    <w:link w:val="SalutationChar"/>
    <w:semiHidden/>
    <w:rsid w:val="00F22EE4"/>
  </w:style>
  <w:style w:type="character" w:customStyle="1" w:styleId="SalutationChar">
    <w:name w:val="Salutation Char"/>
    <w:basedOn w:val="DefaultParagraphFont"/>
    <w:link w:val="Salutation"/>
    <w:semiHidden/>
    <w:rsid w:val="00F22EE4"/>
    <w:rPr>
      <w:rFonts w:ascii="Arial" w:eastAsia="Times New Roman" w:hAnsi="Arial" w:cs="Arial"/>
      <w:szCs w:val="20"/>
    </w:rPr>
  </w:style>
  <w:style w:type="paragraph" w:styleId="Signature">
    <w:name w:val="Signature"/>
    <w:basedOn w:val="Normal"/>
    <w:link w:val="SignatureChar"/>
    <w:semiHidden/>
    <w:rsid w:val="00F22EE4"/>
    <w:pPr>
      <w:ind w:left="5250"/>
    </w:pPr>
  </w:style>
  <w:style w:type="character" w:customStyle="1" w:styleId="SignatureChar">
    <w:name w:val="Signature Char"/>
    <w:basedOn w:val="DefaultParagraphFont"/>
    <w:link w:val="Signature"/>
    <w:semiHidden/>
    <w:rsid w:val="00F22EE4"/>
    <w:rPr>
      <w:rFonts w:ascii="Arial" w:eastAsia="Times New Roman" w:hAnsi="Arial" w:cs="Arial"/>
      <w:szCs w:val="20"/>
    </w:rPr>
  </w:style>
  <w:style w:type="character" w:styleId="Hyperlink">
    <w:name w:val="Hyperlink"/>
    <w:basedOn w:val="DefaultParagraphFont"/>
    <w:uiPriority w:val="99"/>
    <w:semiHidden/>
    <w:unhideWhenUsed/>
    <w:rsid w:val="00D0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List Number" w:uiPriority="0"/>
    <w:lsdException w:name="Title" w:semiHidden="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E4"/>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F22EE4"/>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22EE4"/>
    <w:pPr>
      <w:keepNext/>
      <w:spacing w:before="240" w:after="60"/>
      <w:outlineLvl w:val="1"/>
    </w:pPr>
    <w:rPr>
      <w:rFonts w:eastAsia="SimSun"/>
      <w:bCs/>
      <w:iCs/>
      <w:caps/>
      <w:szCs w:val="28"/>
    </w:rPr>
  </w:style>
  <w:style w:type="paragraph" w:styleId="Heading3">
    <w:name w:val="heading 3"/>
    <w:basedOn w:val="Normal"/>
    <w:next w:val="Normal"/>
    <w:link w:val="Heading3Char"/>
    <w:qFormat/>
    <w:rsid w:val="00F22EE4"/>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22EE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8DF"/>
    <w:rPr>
      <w:rFonts w:ascii="Arial" w:eastAsia="SimSun" w:hAnsi="Arial" w:cs="Arial"/>
      <w:b/>
      <w:bCs/>
      <w:caps/>
      <w:kern w:val="32"/>
      <w:szCs w:val="32"/>
    </w:rPr>
  </w:style>
  <w:style w:type="paragraph" w:styleId="Title">
    <w:name w:val="Title"/>
    <w:basedOn w:val="Normal"/>
    <w:link w:val="TitleChar"/>
    <w:uiPriority w:val="99"/>
    <w:qFormat/>
    <w:rsid w:val="007A38DF"/>
    <w:pPr>
      <w:jc w:val="center"/>
      <w:outlineLvl w:val="0"/>
    </w:pPr>
    <w:rPr>
      <w:b/>
      <w:bCs/>
      <w:kern w:val="28"/>
      <w:sz w:val="32"/>
      <w:szCs w:val="32"/>
    </w:rPr>
  </w:style>
  <w:style w:type="character" w:customStyle="1" w:styleId="TitleChar">
    <w:name w:val="Title Char"/>
    <w:basedOn w:val="DefaultParagraphFont"/>
    <w:link w:val="Title"/>
    <w:uiPriority w:val="99"/>
    <w:rsid w:val="007A38DF"/>
    <w:rPr>
      <w:rFonts w:ascii="Arial" w:eastAsia="Times New Roman" w:hAnsi="Arial"/>
      <w:b/>
      <w:bCs/>
      <w:kern w:val="28"/>
      <w:sz w:val="32"/>
      <w:szCs w:val="32"/>
    </w:rPr>
  </w:style>
  <w:style w:type="paragraph" w:styleId="BalloonText">
    <w:name w:val="Balloon Text"/>
    <w:basedOn w:val="Normal"/>
    <w:link w:val="BalloonTextChar"/>
    <w:uiPriority w:val="99"/>
    <w:semiHidden/>
    <w:unhideWhenUsed/>
    <w:rsid w:val="0098749A"/>
    <w:rPr>
      <w:rFonts w:ascii="Tahoma" w:hAnsi="Tahoma" w:cs="Tahoma"/>
      <w:sz w:val="16"/>
      <w:szCs w:val="16"/>
    </w:rPr>
  </w:style>
  <w:style w:type="character" w:customStyle="1" w:styleId="BalloonTextChar">
    <w:name w:val="Balloon Text Char"/>
    <w:basedOn w:val="DefaultParagraphFont"/>
    <w:link w:val="BalloonText"/>
    <w:uiPriority w:val="99"/>
    <w:semiHidden/>
    <w:rsid w:val="0098749A"/>
    <w:rPr>
      <w:rFonts w:ascii="Tahoma" w:hAnsi="Tahoma" w:cs="Tahoma"/>
      <w:sz w:val="16"/>
      <w:szCs w:val="16"/>
    </w:rPr>
  </w:style>
  <w:style w:type="paragraph" w:customStyle="1" w:styleId="Endofdocument-Annex">
    <w:name w:val="[End of document - Annex]"/>
    <w:basedOn w:val="Normal"/>
    <w:rsid w:val="00D27F73"/>
    <w:pPr>
      <w:ind w:left="5534"/>
    </w:pPr>
  </w:style>
  <w:style w:type="paragraph" w:styleId="Header">
    <w:name w:val="header"/>
    <w:basedOn w:val="Normal"/>
    <w:link w:val="HeaderChar"/>
    <w:rsid w:val="00F22EE4"/>
    <w:pPr>
      <w:tabs>
        <w:tab w:val="center" w:pos="4536"/>
        <w:tab w:val="right" w:pos="9072"/>
      </w:tabs>
    </w:pPr>
  </w:style>
  <w:style w:type="character" w:customStyle="1" w:styleId="HeaderChar">
    <w:name w:val="Header Char"/>
    <w:basedOn w:val="DefaultParagraphFont"/>
    <w:link w:val="Header"/>
    <w:rsid w:val="009E1F8B"/>
    <w:rPr>
      <w:rFonts w:ascii="Arial" w:eastAsia="Times New Roman" w:hAnsi="Arial" w:cs="Arial"/>
      <w:szCs w:val="20"/>
    </w:rPr>
  </w:style>
  <w:style w:type="paragraph" w:styleId="Footer">
    <w:name w:val="footer"/>
    <w:basedOn w:val="Normal"/>
    <w:link w:val="FooterChar"/>
    <w:rsid w:val="00F22EE4"/>
    <w:pPr>
      <w:tabs>
        <w:tab w:val="center" w:pos="4320"/>
        <w:tab w:val="right" w:pos="8640"/>
      </w:tabs>
    </w:pPr>
  </w:style>
  <w:style w:type="character" w:customStyle="1" w:styleId="FooterChar">
    <w:name w:val="Footer Char"/>
    <w:basedOn w:val="DefaultParagraphFont"/>
    <w:link w:val="Footer"/>
    <w:rsid w:val="009E1F8B"/>
    <w:rPr>
      <w:rFonts w:ascii="Arial" w:eastAsia="Times New Roman" w:hAnsi="Arial" w:cs="Arial"/>
      <w:szCs w:val="20"/>
    </w:rPr>
  </w:style>
  <w:style w:type="character" w:customStyle="1" w:styleId="highlight">
    <w:name w:val="highlight"/>
    <w:basedOn w:val="DefaultParagraphFont"/>
    <w:rsid w:val="00A6504F"/>
  </w:style>
  <w:style w:type="paragraph" w:styleId="BodyText">
    <w:name w:val="Body Text"/>
    <w:basedOn w:val="Normal"/>
    <w:link w:val="BodyTextChar"/>
    <w:rsid w:val="00F22EE4"/>
    <w:pPr>
      <w:spacing w:after="220"/>
    </w:pPr>
  </w:style>
  <w:style w:type="character" w:customStyle="1" w:styleId="BodyTextChar">
    <w:name w:val="Body Text Char"/>
    <w:basedOn w:val="DefaultParagraphFont"/>
    <w:link w:val="BodyText"/>
    <w:rsid w:val="00F22EE4"/>
    <w:rPr>
      <w:rFonts w:ascii="Arial" w:eastAsia="Times New Roman" w:hAnsi="Arial" w:cs="Arial"/>
      <w:szCs w:val="20"/>
    </w:rPr>
  </w:style>
  <w:style w:type="paragraph" w:styleId="Caption">
    <w:name w:val="caption"/>
    <w:basedOn w:val="Normal"/>
    <w:next w:val="Normal"/>
    <w:qFormat/>
    <w:rsid w:val="00F22EE4"/>
    <w:rPr>
      <w:b/>
      <w:bCs/>
      <w:sz w:val="18"/>
    </w:rPr>
  </w:style>
  <w:style w:type="paragraph" w:styleId="CommentText">
    <w:name w:val="annotation text"/>
    <w:basedOn w:val="Normal"/>
    <w:link w:val="CommentTextChar"/>
    <w:semiHidden/>
    <w:rsid w:val="00F22EE4"/>
    <w:rPr>
      <w:sz w:val="18"/>
    </w:rPr>
  </w:style>
  <w:style w:type="character" w:customStyle="1" w:styleId="CommentTextChar">
    <w:name w:val="Comment Text Char"/>
    <w:basedOn w:val="DefaultParagraphFont"/>
    <w:link w:val="CommentText"/>
    <w:semiHidden/>
    <w:rsid w:val="00F22EE4"/>
    <w:rPr>
      <w:rFonts w:ascii="Arial" w:eastAsia="Times New Roman" w:hAnsi="Arial" w:cs="Arial"/>
      <w:sz w:val="18"/>
      <w:szCs w:val="20"/>
    </w:rPr>
  </w:style>
  <w:style w:type="paragraph" w:styleId="EndnoteText">
    <w:name w:val="endnote text"/>
    <w:basedOn w:val="Normal"/>
    <w:link w:val="EndnoteTextChar"/>
    <w:semiHidden/>
    <w:rsid w:val="00F22EE4"/>
    <w:rPr>
      <w:sz w:val="18"/>
    </w:rPr>
  </w:style>
  <w:style w:type="character" w:customStyle="1" w:styleId="EndnoteTextChar">
    <w:name w:val="Endnote Text Char"/>
    <w:basedOn w:val="DefaultParagraphFont"/>
    <w:link w:val="EndnoteText"/>
    <w:semiHidden/>
    <w:rsid w:val="00F22EE4"/>
    <w:rPr>
      <w:rFonts w:ascii="Arial" w:eastAsia="Times New Roman" w:hAnsi="Arial" w:cs="Arial"/>
      <w:sz w:val="18"/>
      <w:szCs w:val="20"/>
    </w:rPr>
  </w:style>
  <w:style w:type="paragraph" w:styleId="FootnoteText">
    <w:name w:val="footnote text"/>
    <w:basedOn w:val="Normal"/>
    <w:link w:val="FootnoteTextChar"/>
    <w:semiHidden/>
    <w:rsid w:val="00F22EE4"/>
    <w:rPr>
      <w:sz w:val="18"/>
    </w:rPr>
  </w:style>
  <w:style w:type="character" w:customStyle="1" w:styleId="FootnoteTextChar">
    <w:name w:val="Footnote Text Char"/>
    <w:basedOn w:val="DefaultParagraphFont"/>
    <w:link w:val="FootnoteText"/>
    <w:semiHidden/>
    <w:rsid w:val="00F22EE4"/>
    <w:rPr>
      <w:rFonts w:ascii="Arial" w:eastAsia="Times New Roman" w:hAnsi="Arial" w:cs="Arial"/>
      <w:sz w:val="18"/>
      <w:szCs w:val="20"/>
    </w:rPr>
  </w:style>
  <w:style w:type="character" w:customStyle="1" w:styleId="Heading2Char">
    <w:name w:val="Heading 2 Char"/>
    <w:basedOn w:val="DefaultParagraphFont"/>
    <w:link w:val="Heading2"/>
    <w:rsid w:val="00F22EE4"/>
    <w:rPr>
      <w:rFonts w:ascii="Arial" w:eastAsia="SimSun" w:hAnsi="Arial" w:cs="Arial"/>
      <w:bCs/>
      <w:iCs/>
      <w:caps/>
      <w:szCs w:val="28"/>
    </w:rPr>
  </w:style>
  <w:style w:type="character" w:customStyle="1" w:styleId="Heading3Char">
    <w:name w:val="Heading 3 Char"/>
    <w:basedOn w:val="DefaultParagraphFont"/>
    <w:link w:val="Heading3"/>
    <w:rsid w:val="00F22EE4"/>
    <w:rPr>
      <w:rFonts w:ascii="Arial" w:eastAsia="SimSun" w:hAnsi="Arial" w:cs="Arial"/>
      <w:bCs/>
      <w:szCs w:val="26"/>
      <w:u w:val="single"/>
    </w:rPr>
  </w:style>
  <w:style w:type="character" w:customStyle="1" w:styleId="Heading4Char">
    <w:name w:val="Heading 4 Char"/>
    <w:basedOn w:val="DefaultParagraphFont"/>
    <w:link w:val="Heading4"/>
    <w:rsid w:val="00F22EE4"/>
    <w:rPr>
      <w:rFonts w:ascii="Arial" w:eastAsia="SimSun" w:hAnsi="Arial" w:cs="Arial"/>
      <w:bCs/>
      <w:i/>
      <w:szCs w:val="28"/>
    </w:rPr>
  </w:style>
  <w:style w:type="paragraph" w:styleId="ListNumber">
    <w:name w:val="List Number"/>
    <w:basedOn w:val="Normal"/>
    <w:semiHidden/>
    <w:rsid w:val="00F22EE4"/>
    <w:pPr>
      <w:numPr>
        <w:numId w:val="2"/>
      </w:numPr>
    </w:pPr>
  </w:style>
  <w:style w:type="paragraph" w:customStyle="1" w:styleId="ONUME">
    <w:name w:val="ONUM E"/>
    <w:basedOn w:val="BodyText"/>
    <w:rsid w:val="00F22EE4"/>
    <w:pPr>
      <w:numPr>
        <w:numId w:val="3"/>
      </w:numPr>
    </w:pPr>
  </w:style>
  <w:style w:type="paragraph" w:customStyle="1" w:styleId="ONUMFS">
    <w:name w:val="ONUM FS"/>
    <w:basedOn w:val="BodyText"/>
    <w:rsid w:val="00F22EE4"/>
    <w:pPr>
      <w:numPr>
        <w:numId w:val="4"/>
      </w:numPr>
    </w:pPr>
  </w:style>
  <w:style w:type="paragraph" w:styleId="Salutation">
    <w:name w:val="Salutation"/>
    <w:basedOn w:val="Normal"/>
    <w:next w:val="Normal"/>
    <w:link w:val="SalutationChar"/>
    <w:semiHidden/>
    <w:rsid w:val="00F22EE4"/>
  </w:style>
  <w:style w:type="character" w:customStyle="1" w:styleId="SalutationChar">
    <w:name w:val="Salutation Char"/>
    <w:basedOn w:val="DefaultParagraphFont"/>
    <w:link w:val="Salutation"/>
    <w:semiHidden/>
    <w:rsid w:val="00F22EE4"/>
    <w:rPr>
      <w:rFonts w:ascii="Arial" w:eastAsia="Times New Roman" w:hAnsi="Arial" w:cs="Arial"/>
      <w:szCs w:val="20"/>
    </w:rPr>
  </w:style>
  <w:style w:type="paragraph" w:styleId="Signature">
    <w:name w:val="Signature"/>
    <w:basedOn w:val="Normal"/>
    <w:link w:val="SignatureChar"/>
    <w:semiHidden/>
    <w:rsid w:val="00F22EE4"/>
    <w:pPr>
      <w:ind w:left="5250"/>
    </w:pPr>
  </w:style>
  <w:style w:type="character" w:customStyle="1" w:styleId="SignatureChar">
    <w:name w:val="Signature Char"/>
    <w:basedOn w:val="DefaultParagraphFont"/>
    <w:link w:val="Signature"/>
    <w:semiHidden/>
    <w:rsid w:val="00F22EE4"/>
    <w:rPr>
      <w:rFonts w:ascii="Arial" w:eastAsia="Times New Roman" w:hAnsi="Arial" w:cs="Arial"/>
      <w:szCs w:val="20"/>
    </w:rPr>
  </w:style>
  <w:style w:type="character" w:styleId="Hyperlink">
    <w:name w:val="Hyperlink"/>
    <w:basedOn w:val="DefaultParagraphFont"/>
    <w:uiPriority w:val="99"/>
    <w:semiHidden/>
    <w:unhideWhenUsed/>
    <w:rsid w:val="00D0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795">
      <w:bodyDiv w:val="1"/>
      <w:marLeft w:val="0"/>
      <w:marRight w:val="0"/>
      <w:marTop w:val="0"/>
      <w:marBottom w:val="0"/>
      <w:divBdr>
        <w:top w:val="none" w:sz="0" w:space="0" w:color="auto"/>
        <w:left w:val="none" w:sz="0" w:space="0" w:color="auto"/>
        <w:bottom w:val="none" w:sz="0" w:space="0" w:color="auto"/>
        <w:right w:val="none" w:sz="0" w:space="0" w:color="auto"/>
      </w:divBdr>
      <w:divsChild>
        <w:div w:id="1125074793">
          <w:marLeft w:val="0"/>
          <w:marRight w:val="0"/>
          <w:marTop w:val="0"/>
          <w:marBottom w:val="0"/>
          <w:divBdr>
            <w:top w:val="none" w:sz="0" w:space="0" w:color="auto"/>
            <w:left w:val="none" w:sz="0" w:space="0" w:color="auto"/>
            <w:bottom w:val="none" w:sz="0" w:space="0" w:color="auto"/>
            <w:right w:val="none" w:sz="0" w:space="0" w:color="auto"/>
          </w:divBdr>
        </w:div>
        <w:div w:id="620456240">
          <w:marLeft w:val="0"/>
          <w:marRight w:val="0"/>
          <w:marTop w:val="0"/>
          <w:marBottom w:val="0"/>
          <w:divBdr>
            <w:top w:val="none" w:sz="0" w:space="0" w:color="auto"/>
            <w:left w:val="none" w:sz="0" w:space="0" w:color="auto"/>
            <w:bottom w:val="none" w:sz="0" w:space="0" w:color="auto"/>
            <w:right w:val="none" w:sz="0" w:space="0" w:color="auto"/>
          </w:divBdr>
        </w:div>
        <w:div w:id="2016955258">
          <w:marLeft w:val="0"/>
          <w:marRight w:val="0"/>
          <w:marTop w:val="0"/>
          <w:marBottom w:val="0"/>
          <w:divBdr>
            <w:top w:val="none" w:sz="0" w:space="0" w:color="auto"/>
            <w:left w:val="none" w:sz="0" w:space="0" w:color="auto"/>
            <w:bottom w:val="none" w:sz="0" w:space="0" w:color="auto"/>
            <w:right w:val="none" w:sz="0" w:space="0" w:color="auto"/>
          </w:divBdr>
        </w:div>
        <w:div w:id="338387255">
          <w:marLeft w:val="0"/>
          <w:marRight w:val="0"/>
          <w:marTop w:val="0"/>
          <w:marBottom w:val="0"/>
          <w:divBdr>
            <w:top w:val="none" w:sz="0" w:space="0" w:color="auto"/>
            <w:left w:val="none" w:sz="0" w:space="0" w:color="auto"/>
            <w:bottom w:val="none" w:sz="0" w:space="0" w:color="auto"/>
            <w:right w:val="none" w:sz="0" w:space="0" w:color="auto"/>
          </w:divBdr>
        </w:div>
        <w:div w:id="747727370">
          <w:marLeft w:val="0"/>
          <w:marRight w:val="0"/>
          <w:marTop w:val="0"/>
          <w:marBottom w:val="0"/>
          <w:divBdr>
            <w:top w:val="none" w:sz="0" w:space="0" w:color="auto"/>
            <w:left w:val="none" w:sz="0" w:space="0" w:color="auto"/>
            <w:bottom w:val="none" w:sz="0" w:space="0" w:color="auto"/>
            <w:right w:val="none" w:sz="0" w:space="0" w:color="auto"/>
          </w:divBdr>
        </w:div>
        <w:div w:id="482545365">
          <w:marLeft w:val="0"/>
          <w:marRight w:val="0"/>
          <w:marTop w:val="0"/>
          <w:marBottom w:val="0"/>
          <w:divBdr>
            <w:top w:val="none" w:sz="0" w:space="0" w:color="auto"/>
            <w:left w:val="none" w:sz="0" w:space="0" w:color="auto"/>
            <w:bottom w:val="none" w:sz="0" w:space="0" w:color="auto"/>
            <w:right w:val="none" w:sz="0" w:space="0" w:color="auto"/>
          </w:divBdr>
        </w:div>
        <w:div w:id="425929261">
          <w:marLeft w:val="0"/>
          <w:marRight w:val="0"/>
          <w:marTop w:val="0"/>
          <w:marBottom w:val="0"/>
          <w:divBdr>
            <w:top w:val="none" w:sz="0" w:space="0" w:color="auto"/>
            <w:left w:val="none" w:sz="0" w:space="0" w:color="auto"/>
            <w:bottom w:val="none" w:sz="0" w:space="0" w:color="auto"/>
            <w:right w:val="none" w:sz="0" w:space="0" w:color="auto"/>
          </w:divBdr>
        </w:div>
      </w:divsChild>
    </w:div>
    <w:div w:id="1924103079">
      <w:bodyDiv w:val="1"/>
      <w:marLeft w:val="0"/>
      <w:marRight w:val="0"/>
      <w:marTop w:val="0"/>
      <w:marBottom w:val="0"/>
      <w:divBdr>
        <w:top w:val="none" w:sz="0" w:space="0" w:color="auto"/>
        <w:left w:val="none" w:sz="0" w:space="0" w:color="auto"/>
        <w:bottom w:val="none" w:sz="0" w:space="0" w:color="auto"/>
        <w:right w:val="none" w:sz="0" w:space="0" w:color="auto"/>
      </w:divBdr>
      <w:divsChild>
        <w:div w:id="1480610041">
          <w:marLeft w:val="0"/>
          <w:marRight w:val="0"/>
          <w:marTop w:val="0"/>
          <w:marBottom w:val="0"/>
          <w:divBdr>
            <w:top w:val="none" w:sz="0" w:space="0" w:color="auto"/>
            <w:left w:val="none" w:sz="0" w:space="0" w:color="auto"/>
            <w:bottom w:val="none" w:sz="0" w:space="0" w:color="auto"/>
            <w:right w:val="none" w:sz="0" w:space="0" w:color="auto"/>
          </w:divBdr>
        </w:div>
        <w:div w:id="98914823">
          <w:marLeft w:val="0"/>
          <w:marRight w:val="0"/>
          <w:marTop w:val="0"/>
          <w:marBottom w:val="0"/>
          <w:divBdr>
            <w:top w:val="none" w:sz="0" w:space="0" w:color="auto"/>
            <w:left w:val="none" w:sz="0" w:space="0" w:color="auto"/>
            <w:bottom w:val="none" w:sz="0" w:space="0" w:color="auto"/>
            <w:right w:val="none" w:sz="0" w:space="0" w:color="auto"/>
          </w:divBdr>
        </w:div>
        <w:div w:id="164445948">
          <w:marLeft w:val="0"/>
          <w:marRight w:val="0"/>
          <w:marTop w:val="0"/>
          <w:marBottom w:val="0"/>
          <w:divBdr>
            <w:top w:val="none" w:sz="0" w:space="0" w:color="auto"/>
            <w:left w:val="none" w:sz="0" w:space="0" w:color="auto"/>
            <w:bottom w:val="none" w:sz="0" w:space="0" w:color="auto"/>
            <w:right w:val="none" w:sz="0" w:space="0" w:color="auto"/>
          </w:divBdr>
        </w:div>
        <w:div w:id="1697005212">
          <w:marLeft w:val="0"/>
          <w:marRight w:val="0"/>
          <w:marTop w:val="0"/>
          <w:marBottom w:val="0"/>
          <w:divBdr>
            <w:top w:val="none" w:sz="0" w:space="0" w:color="auto"/>
            <w:left w:val="none" w:sz="0" w:space="0" w:color="auto"/>
            <w:bottom w:val="none" w:sz="0" w:space="0" w:color="auto"/>
            <w:right w:val="none" w:sz="0" w:space="0" w:color="auto"/>
          </w:divBdr>
        </w:div>
        <w:div w:id="163516375">
          <w:marLeft w:val="0"/>
          <w:marRight w:val="0"/>
          <w:marTop w:val="0"/>
          <w:marBottom w:val="0"/>
          <w:divBdr>
            <w:top w:val="none" w:sz="0" w:space="0" w:color="auto"/>
            <w:left w:val="none" w:sz="0" w:space="0" w:color="auto"/>
            <w:bottom w:val="none" w:sz="0" w:space="0" w:color="auto"/>
            <w:right w:val="none" w:sz="0" w:space="0" w:color="auto"/>
          </w:divBdr>
        </w:div>
        <w:div w:id="730082425">
          <w:marLeft w:val="0"/>
          <w:marRight w:val="0"/>
          <w:marTop w:val="0"/>
          <w:marBottom w:val="0"/>
          <w:divBdr>
            <w:top w:val="none" w:sz="0" w:space="0" w:color="auto"/>
            <w:left w:val="none" w:sz="0" w:space="0" w:color="auto"/>
            <w:bottom w:val="none" w:sz="0" w:space="0" w:color="auto"/>
            <w:right w:val="none" w:sz="0" w:space="0" w:color="auto"/>
          </w:divBdr>
        </w:div>
        <w:div w:id="547886497">
          <w:marLeft w:val="0"/>
          <w:marRight w:val="0"/>
          <w:marTop w:val="0"/>
          <w:marBottom w:val="0"/>
          <w:divBdr>
            <w:top w:val="none" w:sz="0" w:space="0" w:color="auto"/>
            <w:left w:val="none" w:sz="0" w:space="0" w:color="auto"/>
            <w:bottom w:val="none" w:sz="0" w:space="0" w:color="auto"/>
            <w:right w:val="none" w:sz="0" w:space="0" w:color="auto"/>
          </w:divBdr>
        </w:div>
        <w:div w:id="125871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B5EA-8225-4700-8C32-B9CC0CEFCDF5}">
  <ds:schemaRefs>
    <ds:schemaRef ds:uri="http://schemas.openxmlformats.org/officeDocument/2006/bibliography"/>
  </ds:schemaRefs>
</ds:datastoreItem>
</file>

<file path=customXml/itemProps2.xml><?xml version="1.0" encoding="utf-8"?>
<ds:datastoreItem xmlns:ds="http://schemas.openxmlformats.org/officeDocument/2006/customXml" ds:itemID="{5176E06A-9517-42C0-BBD3-DFDF6395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Ammar</dc:creator>
  <cp:keywords>PB/ko</cp:keywords>
  <cp:lastModifiedBy>SHOUSHA Sally</cp:lastModifiedBy>
  <cp:revision>3</cp:revision>
  <cp:lastPrinted>2014-10-03T14:06:00Z</cp:lastPrinted>
  <dcterms:created xsi:type="dcterms:W3CDTF">2014-10-03T14:06:00Z</dcterms:created>
  <dcterms:modified xsi:type="dcterms:W3CDTF">2014-10-03T14:06:00Z</dcterms:modified>
</cp:coreProperties>
</file>