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4640A" w:rsidRPr="0044640A" w:rsidTr="008B12C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93954" w:rsidRPr="0044640A" w:rsidRDefault="00F93954" w:rsidP="008B12C8">
            <w:pPr>
              <w:rPr>
                <w:lang w:val="fr-FR"/>
              </w:rPr>
            </w:pPr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3954" w:rsidRPr="0044640A" w:rsidRDefault="00F93954" w:rsidP="008B12C8">
            <w:pPr>
              <w:rPr>
                <w:lang w:val="fr-FR"/>
              </w:rPr>
            </w:pPr>
            <w:r w:rsidRPr="0044640A">
              <w:rPr>
                <w:noProof/>
                <w:lang w:eastAsia="en-US"/>
              </w:rPr>
              <w:drawing>
                <wp:inline distT="0" distB="0" distL="0" distR="0" wp14:anchorId="78CD14AA" wp14:editId="6E9EC035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3954" w:rsidRPr="0044640A" w:rsidRDefault="00F93954" w:rsidP="008B12C8">
            <w:pPr>
              <w:jc w:val="right"/>
              <w:rPr>
                <w:lang w:val="fr-FR"/>
              </w:rPr>
            </w:pPr>
            <w:r w:rsidRPr="0044640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4640A" w:rsidRPr="0044640A" w:rsidTr="008B12C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93954" w:rsidRPr="0044640A" w:rsidRDefault="00F93954" w:rsidP="008B12C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4640A">
              <w:rPr>
                <w:rFonts w:ascii="Arial Black" w:hAnsi="Arial Black"/>
                <w:caps/>
                <w:sz w:val="15"/>
                <w:lang w:val="fr-FR"/>
              </w:rPr>
              <w:t>CDIP/15/</w:t>
            </w:r>
            <w:bookmarkStart w:id="2" w:name="Code"/>
            <w:bookmarkEnd w:id="2"/>
            <w:r w:rsidRPr="0044640A">
              <w:rPr>
                <w:rFonts w:ascii="Arial Black" w:hAnsi="Arial Black"/>
                <w:caps/>
                <w:sz w:val="15"/>
                <w:lang w:val="fr-FR"/>
              </w:rPr>
              <w:t xml:space="preserve">3 </w:t>
            </w:r>
          </w:p>
        </w:tc>
      </w:tr>
      <w:tr w:rsidR="0044640A" w:rsidRPr="0044640A" w:rsidTr="008B12C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93954" w:rsidRPr="0044640A" w:rsidRDefault="00F93954" w:rsidP="008B12C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4640A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242B7" w:rsidRPr="0044640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44640A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Original"/>
            <w:bookmarkEnd w:id="3"/>
            <w:r w:rsidRPr="0044640A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44640A" w:rsidRPr="0044640A" w:rsidTr="008B12C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93954" w:rsidRPr="0044640A" w:rsidRDefault="00F93954" w:rsidP="008B12C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4640A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242B7" w:rsidRPr="0044640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44640A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4" w:name="Date"/>
            <w:bookmarkEnd w:id="4"/>
            <w:r w:rsidRPr="0044640A">
              <w:rPr>
                <w:rFonts w:ascii="Arial Black" w:hAnsi="Arial Black"/>
                <w:caps/>
                <w:sz w:val="15"/>
                <w:lang w:val="fr-FR"/>
              </w:rPr>
              <w:t>12 février 2015</w:t>
            </w:r>
          </w:p>
        </w:tc>
      </w:tr>
    </w:tbl>
    <w:p w:rsidR="00F93954" w:rsidRPr="0044640A" w:rsidRDefault="00F93954" w:rsidP="00F93954">
      <w:pPr>
        <w:rPr>
          <w:lang w:val="fr-FR"/>
        </w:rPr>
      </w:pPr>
    </w:p>
    <w:p w:rsidR="00F93954" w:rsidRPr="0044640A" w:rsidRDefault="00F93954" w:rsidP="00F93954">
      <w:pPr>
        <w:rPr>
          <w:lang w:val="fr-FR"/>
        </w:rPr>
      </w:pPr>
    </w:p>
    <w:p w:rsidR="00F93954" w:rsidRPr="0044640A" w:rsidRDefault="00F93954" w:rsidP="00F93954">
      <w:pPr>
        <w:rPr>
          <w:lang w:val="fr-FR"/>
        </w:rPr>
      </w:pPr>
    </w:p>
    <w:p w:rsidR="00F93954" w:rsidRPr="0044640A" w:rsidRDefault="00F93954" w:rsidP="00F93954">
      <w:pPr>
        <w:rPr>
          <w:lang w:val="fr-FR"/>
        </w:rPr>
      </w:pPr>
    </w:p>
    <w:p w:rsidR="00F93954" w:rsidRPr="0044640A" w:rsidRDefault="00F93954" w:rsidP="00F93954">
      <w:pPr>
        <w:rPr>
          <w:lang w:val="fr-FR"/>
        </w:rPr>
      </w:pPr>
    </w:p>
    <w:p w:rsidR="00F93954" w:rsidRPr="0044640A" w:rsidRDefault="00F93954" w:rsidP="0044640A">
      <w:pPr>
        <w:rPr>
          <w:b/>
          <w:sz w:val="28"/>
          <w:szCs w:val="28"/>
          <w:lang w:val="fr-FR"/>
        </w:rPr>
      </w:pPr>
      <w:r w:rsidRPr="0044640A">
        <w:rPr>
          <w:b/>
          <w:sz w:val="28"/>
          <w:szCs w:val="28"/>
          <w:lang w:val="fr-FR"/>
        </w:rPr>
        <w:t>Comité du développement et de la propriété intellectuelle (CDIP)</w:t>
      </w:r>
    </w:p>
    <w:p w:rsidR="00F93954" w:rsidRPr="0044640A" w:rsidRDefault="00F93954" w:rsidP="0044640A">
      <w:pPr>
        <w:rPr>
          <w:lang w:val="fr-FR"/>
        </w:rPr>
      </w:pPr>
    </w:p>
    <w:p w:rsidR="00F93954" w:rsidRPr="0044640A" w:rsidRDefault="00F93954" w:rsidP="0044640A">
      <w:pPr>
        <w:rPr>
          <w:lang w:val="fr-FR"/>
        </w:rPr>
      </w:pPr>
    </w:p>
    <w:p w:rsidR="00F93954" w:rsidRPr="0044640A" w:rsidRDefault="00F93954" w:rsidP="0044640A">
      <w:pPr>
        <w:rPr>
          <w:b/>
          <w:sz w:val="24"/>
          <w:szCs w:val="24"/>
          <w:lang w:val="fr-FR"/>
        </w:rPr>
      </w:pPr>
      <w:r w:rsidRPr="0044640A">
        <w:rPr>
          <w:b/>
          <w:sz w:val="24"/>
          <w:szCs w:val="24"/>
          <w:lang w:val="fr-FR"/>
        </w:rPr>
        <w:t>Quinzième</w:t>
      </w:r>
      <w:r w:rsidR="00D242B7" w:rsidRPr="0044640A">
        <w:rPr>
          <w:b/>
          <w:sz w:val="24"/>
          <w:szCs w:val="24"/>
          <w:lang w:val="fr-FR"/>
        </w:rPr>
        <w:t> </w:t>
      </w:r>
      <w:r w:rsidRPr="0044640A">
        <w:rPr>
          <w:b/>
          <w:sz w:val="24"/>
          <w:szCs w:val="24"/>
          <w:lang w:val="fr-FR"/>
        </w:rPr>
        <w:t>session</w:t>
      </w:r>
    </w:p>
    <w:p w:rsidR="00F93954" w:rsidRPr="0044640A" w:rsidRDefault="00F93954" w:rsidP="0044640A">
      <w:pPr>
        <w:rPr>
          <w:b/>
          <w:sz w:val="24"/>
          <w:szCs w:val="24"/>
          <w:lang w:val="fr-FR"/>
        </w:rPr>
      </w:pPr>
      <w:r w:rsidRPr="0044640A">
        <w:rPr>
          <w:b/>
          <w:sz w:val="24"/>
          <w:szCs w:val="24"/>
          <w:lang w:val="fr-FR"/>
        </w:rPr>
        <w:t>Genève, 20 – 24 avril 2015</w:t>
      </w:r>
    </w:p>
    <w:p w:rsidR="00F93954" w:rsidRPr="0044640A" w:rsidRDefault="00F93954" w:rsidP="0044640A">
      <w:pPr>
        <w:rPr>
          <w:lang w:val="fr-FR"/>
        </w:rPr>
      </w:pPr>
    </w:p>
    <w:p w:rsidR="00F93954" w:rsidRPr="0044640A" w:rsidRDefault="00F93954" w:rsidP="0044640A">
      <w:pPr>
        <w:rPr>
          <w:lang w:val="fr-FR"/>
        </w:rPr>
      </w:pPr>
    </w:p>
    <w:p w:rsidR="00F93954" w:rsidRPr="0044640A" w:rsidRDefault="00F93954" w:rsidP="0044640A">
      <w:pPr>
        <w:rPr>
          <w:lang w:val="fr-FR"/>
        </w:rPr>
      </w:pPr>
    </w:p>
    <w:p w:rsidR="00F15065" w:rsidRPr="0044640A" w:rsidRDefault="003B72E7" w:rsidP="0044640A">
      <w:pPr>
        <w:rPr>
          <w:caps/>
          <w:sz w:val="24"/>
          <w:lang w:val="fr-FR"/>
        </w:rPr>
      </w:pPr>
      <w:r w:rsidRPr="0044640A">
        <w:rPr>
          <w:caps/>
          <w:sz w:val="24"/>
          <w:lang w:val="fr-FR"/>
        </w:rPr>
        <w:t>RÉSUMÉ D</w:t>
      </w:r>
      <w:r w:rsidR="00FA02ED" w:rsidRPr="0044640A">
        <w:rPr>
          <w:caps/>
          <w:sz w:val="24"/>
          <w:lang w:val="fr-FR"/>
        </w:rPr>
        <w:t>U RAPPORT</w:t>
      </w:r>
      <w:r w:rsidRPr="0044640A">
        <w:rPr>
          <w:caps/>
          <w:sz w:val="24"/>
          <w:lang w:val="fr-FR"/>
        </w:rPr>
        <w:t xml:space="preserve"> D</w:t>
      </w:r>
      <w:r w:rsidR="00F93954" w:rsidRPr="0044640A">
        <w:rPr>
          <w:caps/>
          <w:sz w:val="24"/>
          <w:lang w:val="fr-FR"/>
        </w:rPr>
        <w:t>’</w:t>
      </w:r>
      <w:r w:rsidRPr="0044640A">
        <w:rPr>
          <w:caps/>
          <w:sz w:val="24"/>
          <w:lang w:val="fr-FR"/>
        </w:rPr>
        <w:t xml:space="preserve">ÉVALUATION </w:t>
      </w:r>
      <w:r w:rsidR="00FA02ED" w:rsidRPr="0044640A">
        <w:rPr>
          <w:caps/>
          <w:sz w:val="24"/>
          <w:lang w:val="fr-FR"/>
        </w:rPr>
        <w:t>CONCERNANT LE</w:t>
      </w:r>
      <w:r w:rsidRPr="0044640A">
        <w:rPr>
          <w:caps/>
          <w:sz w:val="24"/>
          <w:lang w:val="fr-FR"/>
        </w:rPr>
        <w:t xml:space="preserve"> PROJET RELATIF AUX</w:t>
      </w:r>
      <w:r w:rsidR="0034418E" w:rsidRPr="0044640A">
        <w:rPr>
          <w:caps/>
          <w:sz w:val="24"/>
          <w:lang w:val="fr-FR"/>
        </w:rPr>
        <w:t> </w:t>
      </w:r>
      <w:r w:rsidRPr="0044640A">
        <w:rPr>
          <w:caps/>
          <w:sz w:val="24"/>
          <w:lang w:val="fr-FR"/>
        </w:rPr>
        <w:t xml:space="preserve">PROJETS DE PARTENARIAT OUVERT ET </w:t>
      </w:r>
      <w:r w:rsidR="00FA02ED" w:rsidRPr="0044640A">
        <w:rPr>
          <w:caps/>
          <w:sz w:val="24"/>
          <w:lang w:val="fr-FR"/>
        </w:rPr>
        <w:t xml:space="preserve">AUX </w:t>
      </w:r>
      <w:r w:rsidRPr="0044640A">
        <w:rPr>
          <w:caps/>
          <w:sz w:val="24"/>
          <w:lang w:val="fr-FR"/>
        </w:rPr>
        <w:t>MODÈLES FONDÉS SUR LA</w:t>
      </w:r>
      <w:r w:rsidR="0034418E" w:rsidRPr="0044640A">
        <w:rPr>
          <w:caps/>
          <w:sz w:val="24"/>
          <w:lang w:val="fr-FR"/>
        </w:rPr>
        <w:t> </w:t>
      </w:r>
      <w:r w:rsidRPr="0044640A">
        <w:rPr>
          <w:caps/>
          <w:sz w:val="24"/>
          <w:lang w:val="fr-FR"/>
        </w:rPr>
        <w:t>PROPRIÉTÉ INTELLECTUELLE</w:t>
      </w: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3B72E7" w:rsidP="0044640A">
      <w:pPr>
        <w:rPr>
          <w:i/>
          <w:lang w:val="fr-FR"/>
        </w:rPr>
      </w:pPr>
      <w:bookmarkStart w:id="5" w:name="Prepared"/>
      <w:bookmarkEnd w:id="5"/>
      <w:proofErr w:type="gramStart"/>
      <w:r w:rsidRPr="0044640A">
        <w:rPr>
          <w:i/>
          <w:lang w:val="fr-FR"/>
        </w:rPr>
        <w:t>établi</w:t>
      </w:r>
      <w:proofErr w:type="gramEnd"/>
      <w:r w:rsidRPr="0044640A">
        <w:rPr>
          <w:i/>
          <w:lang w:val="fr-FR"/>
        </w:rPr>
        <w:t xml:space="preserve"> par M.</w:t>
      </w:r>
      <w:r w:rsidR="00FA02ED" w:rsidRPr="0044640A">
        <w:rPr>
          <w:i/>
          <w:lang w:val="fr-FR"/>
        </w:rPr>
        <w:t> </w:t>
      </w:r>
      <w:r w:rsidRPr="0044640A">
        <w:rPr>
          <w:i/>
          <w:lang w:val="fr-FR"/>
        </w:rPr>
        <w:t>Daniel</w:t>
      </w:r>
      <w:r w:rsidR="00FA02ED" w:rsidRPr="0044640A">
        <w:rPr>
          <w:i/>
          <w:lang w:val="fr-FR"/>
        </w:rPr>
        <w:t> </w:t>
      </w:r>
      <w:r w:rsidRPr="0044640A">
        <w:rPr>
          <w:i/>
          <w:lang w:val="fr-FR"/>
        </w:rPr>
        <w:t xml:space="preserve">Keller, consultant à </w:t>
      </w:r>
      <w:proofErr w:type="spellStart"/>
      <w:r w:rsidR="008D0F05" w:rsidRPr="0044640A">
        <w:rPr>
          <w:i/>
          <w:lang w:val="fr-FR"/>
        </w:rPr>
        <w:t>Evilard</w:t>
      </w:r>
      <w:proofErr w:type="spellEnd"/>
      <w:r w:rsidRPr="0044640A">
        <w:rPr>
          <w:i/>
          <w:lang w:val="fr-FR"/>
        </w:rPr>
        <w:t xml:space="preserve"> (Suisse)</w:t>
      </w: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F15065" w:rsidP="0044640A">
      <w:pPr>
        <w:rPr>
          <w:lang w:val="fr-FR"/>
        </w:rPr>
      </w:pPr>
    </w:p>
    <w:p w:rsidR="00F93954" w:rsidRPr="0044640A" w:rsidRDefault="003B72E7" w:rsidP="0044640A">
      <w:pPr>
        <w:pStyle w:val="ONUMFS"/>
        <w:rPr>
          <w:szCs w:val="22"/>
          <w:lang w:val="fr-FR"/>
        </w:rPr>
      </w:pPr>
      <w:r w:rsidRPr="0044640A">
        <w:rPr>
          <w:lang w:val="fr-FR"/>
        </w:rPr>
        <w:t>L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 xml:space="preserve">annexe du présent document contient un résumé du rapport </w:t>
      </w:r>
      <w:r w:rsidR="007773D6" w:rsidRPr="0044640A">
        <w:rPr>
          <w:lang w:val="fr-FR"/>
        </w:rPr>
        <w:t>d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 xml:space="preserve">évaluation externe et indépendante </w:t>
      </w:r>
      <w:r w:rsidR="007773D6" w:rsidRPr="0044640A">
        <w:rPr>
          <w:lang w:val="fr-FR"/>
        </w:rPr>
        <w:t>du</w:t>
      </w:r>
      <w:r w:rsidRPr="0044640A">
        <w:rPr>
          <w:lang w:val="fr-FR"/>
        </w:rPr>
        <w:t xml:space="preserve"> projet relatif aux projets de partenariat ouvert et </w:t>
      </w:r>
      <w:r w:rsidR="0034418E" w:rsidRPr="0044640A">
        <w:rPr>
          <w:lang w:val="fr-FR"/>
        </w:rPr>
        <w:t xml:space="preserve">aux </w:t>
      </w:r>
      <w:r w:rsidRPr="0044640A">
        <w:rPr>
          <w:lang w:val="fr-FR"/>
        </w:rPr>
        <w:t>modèles fondés sur la propriété intellectuelle, réalisée par M. </w:t>
      </w:r>
      <w:r w:rsidR="008D0F05" w:rsidRPr="0044640A">
        <w:rPr>
          <w:lang w:val="fr-FR"/>
        </w:rPr>
        <w:t>Daniel </w:t>
      </w:r>
      <w:r w:rsidRPr="0044640A">
        <w:rPr>
          <w:lang w:val="fr-FR"/>
        </w:rPr>
        <w:t xml:space="preserve">Keller, consultant à </w:t>
      </w:r>
      <w:proofErr w:type="spellStart"/>
      <w:r w:rsidR="008D0F05" w:rsidRPr="0044640A">
        <w:rPr>
          <w:lang w:val="fr-FR"/>
        </w:rPr>
        <w:t>Evilard</w:t>
      </w:r>
      <w:proofErr w:type="spellEnd"/>
      <w:r w:rsidRPr="0044640A">
        <w:rPr>
          <w:lang w:val="fr-FR"/>
        </w:rPr>
        <w:t xml:space="preserve"> (Suisse).</w:t>
      </w:r>
    </w:p>
    <w:p w:rsidR="00F15065" w:rsidRPr="0044640A" w:rsidRDefault="003B72E7" w:rsidP="0044640A">
      <w:pPr>
        <w:pStyle w:val="ONUMFS"/>
        <w:ind w:left="5533"/>
        <w:rPr>
          <w:i/>
          <w:lang w:val="fr-FR"/>
        </w:rPr>
      </w:pPr>
      <w:r w:rsidRPr="0044640A">
        <w:rPr>
          <w:i/>
          <w:lang w:val="fr-FR"/>
        </w:rPr>
        <w:t>Le CDIP est invité à prendre note des informations contenues dans l</w:t>
      </w:r>
      <w:r w:rsidR="00F93954" w:rsidRPr="0044640A">
        <w:rPr>
          <w:i/>
          <w:lang w:val="fr-FR"/>
        </w:rPr>
        <w:t>’</w:t>
      </w:r>
      <w:r w:rsidRPr="0044640A">
        <w:rPr>
          <w:i/>
          <w:lang w:val="fr-FR"/>
        </w:rPr>
        <w:t>annexe du présent document.</w:t>
      </w: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F15065" w:rsidP="0044640A">
      <w:pPr>
        <w:rPr>
          <w:lang w:val="fr-FR"/>
        </w:rPr>
      </w:pPr>
    </w:p>
    <w:p w:rsidR="00F93954" w:rsidRPr="0044640A" w:rsidRDefault="00F93954" w:rsidP="0044640A">
      <w:pPr>
        <w:pStyle w:val="Endofdocument-Annex"/>
        <w:rPr>
          <w:lang w:val="fr-FR"/>
        </w:rPr>
      </w:pPr>
      <w:r w:rsidRPr="0044640A">
        <w:rPr>
          <w:lang w:val="fr-FR"/>
        </w:rPr>
        <w:t>[L’annexe suit]</w:t>
      </w: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F15065" w:rsidP="0044640A">
      <w:pPr>
        <w:rPr>
          <w:lang w:val="fr-FR"/>
        </w:rPr>
      </w:pPr>
    </w:p>
    <w:p w:rsidR="007E0764" w:rsidRPr="0044640A" w:rsidRDefault="007E0764" w:rsidP="0044640A">
      <w:pPr>
        <w:rPr>
          <w:lang w:val="fr-FR"/>
        </w:rPr>
        <w:sectPr w:rsidR="007E0764" w:rsidRPr="0044640A" w:rsidSect="00F93954">
          <w:headerReference w:type="default" r:id="rId11"/>
          <w:footerReference w:type="defaul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4E6C89" w:rsidRPr="0044640A" w:rsidRDefault="00F93954" w:rsidP="0044640A">
      <w:pPr>
        <w:pStyle w:val="Heading1"/>
        <w:rPr>
          <w:lang w:val="fr-FR"/>
        </w:rPr>
      </w:pPr>
      <w:r w:rsidRPr="0044640A">
        <w:rPr>
          <w:lang w:val="fr-FR"/>
        </w:rPr>
        <w:lastRenderedPageBreak/>
        <w:t>Liste des sigle</w:t>
      </w:r>
      <w:r w:rsidR="0034418E" w:rsidRPr="0044640A">
        <w:rPr>
          <w:lang w:val="fr-FR"/>
        </w:rPr>
        <w:t>s</w:t>
      </w:r>
    </w:p>
    <w:p w:rsidR="00F93954" w:rsidRPr="0044640A" w:rsidRDefault="00F93954" w:rsidP="0044640A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44640A" w:rsidRPr="0044640A" w:rsidTr="00F93954">
        <w:tc>
          <w:tcPr>
            <w:tcW w:w="2518" w:type="dxa"/>
          </w:tcPr>
          <w:p w:rsidR="00F93954" w:rsidRPr="0044640A" w:rsidRDefault="00F93954" w:rsidP="0044640A">
            <w:pPr>
              <w:rPr>
                <w:b/>
                <w:bCs/>
                <w:lang w:val="fr-FR"/>
              </w:rPr>
            </w:pPr>
            <w:r w:rsidRPr="0044640A">
              <w:rPr>
                <w:b/>
                <w:bCs/>
                <w:lang w:val="fr-FR"/>
              </w:rPr>
              <w:t>CATI</w:t>
            </w:r>
          </w:p>
        </w:tc>
        <w:tc>
          <w:tcPr>
            <w:tcW w:w="7053" w:type="dxa"/>
          </w:tcPr>
          <w:p w:rsidR="00F93954" w:rsidRPr="0044640A" w:rsidRDefault="00F93954" w:rsidP="0044640A">
            <w:pPr>
              <w:rPr>
                <w:lang w:val="fr-FR"/>
              </w:rPr>
            </w:pPr>
            <w:r w:rsidRPr="0044640A">
              <w:rPr>
                <w:lang w:val="fr-FR"/>
              </w:rPr>
              <w:t>Centres d’appui à la technologie et à l’innovation</w:t>
            </w:r>
          </w:p>
        </w:tc>
      </w:tr>
      <w:tr w:rsidR="0044640A" w:rsidRPr="0044640A" w:rsidTr="00F93954">
        <w:tc>
          <w:tcPr>
            <w:tcW w:w="2518" w:type="dxa"/>
          </w:tcPr>
          <w:p w:rsidR="00F93954" w:rsidRPr="0044640A" w:rsidRDefault="00F93954" w:rsidP="0044640A">
            <w:pPr>
              <w:rPr>
                <w:b/>
                <w:bCs/>
                <w:lang w:val="fr-FR"/>
              </w:rPr>
            </w:pPr>
            <w:r w:rsidRPr="0044640A">
              <w:rPr>
                <w:b/>
                <w:bCs/>
                <w:lang w:val="fr-FR"/>
              </w:rPr>
              <w:t>CDIP</w:t>
            </w:r>
          </w:p>
        </w:tc>
        <w:tc>
          <w:tcPr>
            <w:tcW w:w="7053" w:type="dxa"/>
          </w:tcPr>
          <w:p w:rsidR="00F93954" w:rsidRPr="0044640A" w:rsidRDefault="00F93954" w:rsidP="0044640A">
            <w:pPr>
              <w:rPr>
                <w:lang w:val="fr-FR"/>
              </w:rPr>
            </w:pPr>
            <w:r w:rsidRPr="0044640A">
              <w:rPr>
                <w:lang w:val="fr-FR"/>
              </w:rPr>
              <w:t>Comité du développement et de la propriété intellectuelle</w:t>
            </w:r>
          </w:p>
        </w:tc>
      </w:tr>
      <w:tr w:rsidR="0044640A" w:rsidRPr="0044640A" w:rsidTr="00F93954">
        <w:tc>
          <w:tcPr>
            <w:tcW w:w="2518" w:type="dxa"/>
          </w:tcPr>
          <w:p w:rsidR="00F93954" w:rsidRPr="0044640A" w:rsidRDefault="00F93954" w:rsidP="0044640A">
            <w:pPr>
              <w:rPr>
                <w:b/>
                <w:bCs/>
                <w:lang w:val="fr-FR"/>
              </w:rPr>
            </w:pPr>
            <w:r w:rsidRPr="0044640A">
              <w:rPr>
                <w:b/>
                <w:bCs/>
                <w:lang w:val="fr-FR"/>
              </w:rPr>
              <w:t>OCDE</w:t>
            </w:r>
          </w:p>
        </w:tc>
        <w:tc>
          <w:tcPr>
            <w:tcW w:w="7053" w:type="dxa"/>
          </w:tcPr>
          <w:p w:rsidR="00F93954" w:rsidRPr="0044640A" w:rsidRDefault="00F93954" w:rsidP="0044640A">
            <w:pPr>
              <w:rPr>
                <w:lang w:val="fr-FR"/>
              </w:rPr>
            </w:pPr>
            <w:r w:rsidRPr="0044640A">
              <w:rPr>
                <w:lang w:val="fr-FR"/>
              </w:rPr>
              <w:t>Organisation de coopération et de développement économiques</w:t>
            </w:r>
          </w:p>
        </w:tc>
      </w:tr>
      <w:tr w:rsidR="0044640A" w:rsidRPr="0044640A" w:rsidTr="00F93954">
        <w:tc>
          <w:tcPr>
            <w:tcW w:w="2518" w:type="dxa"/>
          </w:tcPr>
          <w:p w:rsidR="00F93954" w:rsidRPr="0044640A" w:rsidRDefault="00F93954" w:rsidP="0044640A">
            <w:pPr>
              <w:rPr>
                <w:b/>
                <w:bCs/>
                <w:lang w:val="fr-FR"/>
              </w:rPr>
            </w:pPr>
            <w:r w:rsidRPr="0044640A">
              <w:rPr>
                <w:b/>
                <w:bCs/>
                <w:lang w:val="fr-FR"/>
              </w:rPr>
              <w:t>OMPI</w:t>
            </w:r>
          </w:p>
        </w:tc>
        <w:tc>
          <w:tcPr>
            <w:tcW w:w="7053" w:type="dxa"/>
          </w:tcPr>
          <w:p w:rsidR="00F93954" w:rsidRPr="0044640A" w:rsidRDefault="00F93954" w:rsidP="0044640A">
            <w:pPr>
              <w:rPr>
                <w:lang w:val="fr-FR"/>
              </w:rPr>
            </w:pPr>
            <w:r w:rsidRPr="0044640A">
              <w:rPr>
                <w:lang w:val="fr-FR"/>
              </w:rPr>
              <w:t>Organisation Mondiale de la Propriété Intellectuelle</w:t>
            </w:r>
          </w:p>
        </w:tc>
      </w:tr>
      <w:tr w:rsidR="0044640A" w:rsidRPr="0044640A" w:rsidTr="00F93954">
        <w:tc>
          <w:tcPr>
            <w:tcW w:w="2518" w:type="dxa"/>
          </w:tcPr>
          <w:p w:rsidR="00F93954" w:rsidRPr="0044640A" w:rsidRDefault="00F93954" w:rsidP="0044640A">
            <w:pPr>
              <w:rPr>
                <w:b/>
                <w:bCs/>
                <w:lang w:val="fr-FR"/>
              </w:rPr>
            </w:pPr>
            <w:r w:rsidRPr="0044640A">
              <w:rPr>
                <w:b/>
                <w:bCs/>
                <w:lang w:val="fr-FR"/>
              </w:rPr>
              <w:t>PMA</w:t>
            </w:r>
          </w:p>
        </w:tc>
        <w:tc>
          <w:tcPr>
            <w:tcW w:w="7053" w:type="dxa"/>
          </w:tcPr>
          <w:p w:rsidR="00F93954" w:rsidRPr="0044640A" w:rsidRDefault="00F93954" w:rsidP="0044640A">
            <w:pPr>
              <w:rPr>
                <w:lang w:val="fr-FR"/>
              </w:rPr>
            </w:pPr>
            <w:r w:rsidRPr="0044640A">
              <w:rPr>
                <w:lang w:val="fr-FR"/>
              </w:rPr>
              <w:t>Pays les moins avancés</w:t>
            </w:r>
          </w:p>
        </w:tc>
      </w:tr>
      <w:tr w:rsidR="00F93954" w:rsidRPr="0044640A" w:rsidTr="00F93954">
        <w:tc>
          <w:tcPr>
            <w:tcW w:w="2518" w:type="dxa"/>
          </w:tcPr>
          <w:p w:rsidR="00F93954" w:rsidRPr="0044640A" w:rsidRDefault="00F93954" w:rsidP="0044640A">
            <w:pPr>
              <w:rPr>
                <w:b/>
                <w:bCs/>
                <w:lang w:val="fr-FR"/>
              </w:rPr>
            </w:pPr>
            <w:r w:rsidRPr="0044640A">
              <w:rPr>
                <w:b/>
                <w:bCs/>
                <w:lang w:val="fr-FR"/>
              </w:rPr>
              <w:t>SMART (indicateurs)</w:t>
            </w:r>
          </w:p>
        </w:tc>
        <w:tc>
          <w:tcPr>
            <w:tcW w:w="7053" w:type="dxa"/>
          </w:tcPr>
          <w:p w:rsidR="00F93954" w:rsidRPr="0044640A" w:rsidRDefault="00F93954" w:rsidP="0044640A">
            <w:pPr>
              <w:rPr>
                <w:lang w:val="fr-FR"/>
              </w:rPr>
            </w:pPr>
            <w:r w:rsidRPr="0044640A">
              <w:rPr>
                <w:lang w:val="fr-FR"/>
              </w:rPr>
              <w:t>Précis, mesurables, ambitieux, pertinents et assortis de délais</w:t>
            </w:r>
          </w:p>
        </w:tc>
      </w:tr>
    </w:tbl>
    <w:p w:rsidR="00F15065" w:rsidRPr="0044640A" w:rsidRDefault="00F15065" w:rsidP="0044640A">
      <w:pPr>
        <w:rPr>
          <w:lang w:val="fr-FR"/>
        </w:rPr>
      </w:pPr>
    </w:p>
    <w:p w:rsidR="00F15065" w:rsidRPr="0044640A" w:rsidRDefault="004E6C89" w:rsidP="0044640A">
      <w:pPr>
        <w:rPr>
          <w:lang w:val="fr-FR"/>
        </w:rPr>
      </w:pPr>
      <w:r w:rsidRPr="0044640A">
        <w:rPr>
          <w:lang w:val="fr-FR"/>
        </w:rPr>
        <w:br w:type="page"/>
      </w:r>
    </w:p>
    <w:p w:rsidR="00F15065" w:rsidRPr="0044640A" w:rsidRDefault="00C76904" w:rsidP="0044640A">
      <w:pPr>
        <w:pStyle w:val="Heading1"/>
        <w:rPr>
          <w:lang w:val="fr-FR"/>
        </w:rPr>
      </w:pPr>
      <w:r w:rsidRPr="0044640A">
        <w:rPr>
          <w:lang w:val="fr-FR"/>
        </w:rPr>
        <w:lastRenderedPageBreak/>
        <w:t>Résumé</w:t>
      </w:r>
    </w:p>
    <w:p w:rsidR="00F15065" w:rsidRPr="0044640A" w:rsidRDefault="00F15065" w:rsidP="0044640A">
      <w:pPr>
        <w:rPr>
          <w:b/>
          <w:bCs/>
          <w:lang w:val="fr-FR"/>
        </w:rPr>
      </w:pPr>
    </w:p>
    <w:p w:rsidR="00F15065" w:rsidRPr="0044640A" w:rsidRDefault="00C76904" w:rsidP="0044640A">
      <w:pPr>
        <w:rPr>
          <w:lang w:val="fr-FR"/>
        </w:rPr>
      </w:pPr>
      <w:r w:rsidRPr="0044640A">
        <w:rPr>
          <w:lang w:val="fr-FR"/>
        </w:rPr>
        <w:t xml:space="preserve">Cette évaluation indépendante finale, établie à la demande du Secrétariat, porte sur le “Projet relatif aux projets de partenariat ouvert et </w:t>
      </w:r>
      <w:r w:rsidR="0034418E" w:rsidRPr="0044640A">
        <w:rPr>
          <w:lang w:val="fr-FR"/>
        </w:rPr>
        <w:t xml:space="preserve">aux </w:t>
      </w:r>
      <w:r w:rsidRPr="0044640A">
        <w:rPr>
          <w:lang w:val="fr-FR"/>
        </w:rPr>
        <w:t>modèles fondés sur la propriété intellectuelle” (cote du projet</w:t>
      </w:r>
      <w:r w:rsidR="00BF6297" w:rsidRPr="0044640A">
        <w:rPr>
          <w:lang w:val="fr-FR"/>
        </w:rPr>
        <w:t> </w:t>
      </w:r>
      <w:r w:rsidR="006B174D" w:rsidRPr="0044640A">
        <w:rPr>
          <w:lang w:val="fr-FR"/>
        </w:rPr>
        <w:t>: DA_36, ci</w:t>
      </w:r>
      <w:r w:rsidR="008D0F05" w:rsidRPr="0044640A">
        <w:rPr>
          <w:lang w:val="fr-FR"/>
        </w:rPr>
        <w:noBreakHyphen/>
      </w:r>
      <w:r w:rsidR="006B174D" w:rsidRPr="0044640A">
        <w:rPr>
          <w:lang w:val="fr-FR"/>
        </w:rPr>
        <w:t>après “le p</w:t>
      </w:r>
      <w:r w:rsidRPr="0044640A">
        <w:rPr>
          <w:lang w:val="fr-FR"/>
        </w:rPr>
        <w:t>rojet”) qui s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inscrit dans le cadre du Plan d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action pour le développement.</w:t>
      </w:r>
      <w:r w:rsidR="004E6C89" w:rsidRPr="0044640A">
        <w:rPr>
          <w:lang w:val="fr-FR"/>
        </w:rPr>
        <w:t xml:space="preserve"> </w:t>
      </w:r>
      <w:r w:rsidR="00960829" w:rsidRPr="0044640A">
        <w:rPr>
          <w:lang w:val="fr-FR"/>
        </w:rPr>
        <w:t xml:space="preserve"> </w:t>
      </w:r>
      <w:r w:rsidRPr="0044640A">
        <w:rPr>
          <w:lang w:val="fr-FR"/>
        </w:rPr>
        <w:t xml:space="preserve">Le </w:t>
      </w:r>
      <w:r w:rsidR="006B174D" w:rsidRPr="0044640A">
        <w:rPr>
          <w:lang w:val="fr-FR"/>
        </w:rPr>
        <w:t>pr</w:t>
      </w:r>
      <w:r w:rsidRPr="0044640A">
        <w:rPr>
          <w:lang w:val="fr-FR"/>
        </w:rPr>
        <w:t>ojet a été approuvé à la sixième session du Comité du développement et de la propriété intellectuelle (CDIP), tenue en novembre 2010.</w:t>
      </w:r>
      <w:r w:rsidR="00960829" w:rsidRPr="0044640A">
        <w:rPr>
          <w:lang w:val="fr-FR"/>
        </w:rPr>
        <w:t xml:space="preserve"> </w:t>
      </w:r>
      <w:r w:rsidR="004E6C89" w:rsidRPr="0044640A">
        <w:rPr>
          <w:lang w:val="fr-FR"/>
        </w:rPr>
        <w:t xml:space="preserve"> </w:t>
      </w:r>
      <w:r w:rsidR="004D1458" w:rsidRPr="0044640A">
        <w:rPr>
          <w:lang w:val="fr-FR"/>
        </w:rPr>
        <w:t>Les objectifs du projet ont été définis par la recommandation n°</w:t>
      </w:r>
      <w:r w:rsidR="00BF6297" w:rsidRPr="0044640A">
        <w:rPr>
          <w:lang w:val="fr-FR"/>
        </w:rPr>
        <w:t> </w:t>
      </w:r>
      <w:r w:rsidR="004D1458" w:rsidRPr="0044640A">
        <w:rPr>
          <w:lang w:val="fr-FR"/>
        </w:rPr>
        <w:t>36 (Groupe</w:t>
      </w:r>
      <w:r w:rsidR="00BF6297" w:rsidRPr="0044640A">
        <w:rPr>
          <w:lang w:val="fr-FR"/>
        </w:rPr>
        <w:t> </w:t>
      </w:r>
      <w:r w:rsidR="004D1458" w:rsidRPr="0044640A">
        <w:rPr>
          <w:lang w:val="fr-FR"/>
        </w:rPr>
        <w:t>D) du Plan d</w:t>
      </w:r>
      <w:r w:rsidR="00F93954" w:rsidRPr="0044640A">
        <w:rPr>
          <w:lang w:val="fr-FR"/>
        </w:rPr>
        <w:t>’</w:t>
      </w:r>
      <w:r w:rsidR="004D1458" w:rsidRPr="0044640A">
        <w:rPr>
          <w:lang w:val="fr-FR"/>
        </w:rPr>
        <w:t>action pour le développement, qui préconise l</w:t>
      </w:r>
      <w:r w:rsidR="00F93954" w:rsidRPr="0044640A">
        <w:rPr>
          <w:lang w:val="fr-FR"/>
        </w:rPr>
        <w:t>’</w:t>
      </w:r>
      <w:r w:rsidR="004D1458" w:rsidRPr="0044640A">
        <w:rPr>
          <w:lang w:val="fr-FR"/>
        </w:rPr>
        <w:t>échange de données d</w:t>
      </w:r>
      <w:r w:rsidR="00F93954" w:rsidRPr="0044640A">
        <w:rPr>
          <w:lang w:val="fr-FR"/>
        </w:rPr>
        <w:t>’</w:t>
      </w:r>
      <w:r w:rsidR="004D1458" w:rsidRPr="0044640A">
        <w:rPr>
          <w:lang w:val="fr-FR"/>
        </w:rPr>
        <w:t>expérience sur des projets de partenariat ouvert, tels que le projet sur le génome humain, ainsi que sur des modèles de propriété intellectuelle.</w:t>
      </w:r>
      <w:r w:rsidR="00960829" w:rsidRPr="0044640A">
        <w:rPr>
          <w:lang w:val="fr-FR"/>
        </w:rPr>
        <w:t xml:space="preserve"> </w:t>
      </w:r>
      <w:r w:rsidR="004E6C89" w:rsidRPr="0044640A">
        <w:rPr>
          <w:lang w:val="fr-FR"/>
        </w:rPr>
        <w:t xml:space="preserve"> </w:t>
      </w:r>
      <w:r w:rsidR="003837C3" w:rsidRPr="0044640A">
        <w:rPr>
          <w:lang w:val="fr-FR"/>
        </w:rPr>
        <w:t>Parmi les résultats escomptés du projet figuraient</w:t>
      </w:r>
      <w:r w:rsidR="004D1458" w:rsidRPr="0044640A">
        <w:rPr>
          <w:lang w:val="fr-FR"/>
        </w:rPr>
        <w:t xml:space="preserve"> deux</w:t>
      </w:r>
      <w:r w:rsidR="00BF6297" w:rsidRPr="0044640A">
        <w:rPr>
          <w:lang w:val="fr-FR"/>
        </w:rPr>
        <w:t> </w:t>
      </w:r>
      <w:r w:rsidR="004D1458" w:rsidRPr="0044640A">
        <w:rPr>
          <w:lang w:val="fr-FR"/>
        </w:rPr>
        <w:t>études, une réunion des États membres à participation non limitée, une réunion d</w:t>
      </w:r>
      <w:r w:rsidR="00F93954" w:rsidRPr="0044640A">
        <w:rPr>
          <w:lang w:val="fr-FR"/>
        </w:rPr>
        <w:t>’</w:t>
      </w:r>
      <w:r w:rsidR="004D1458" w:rsidRPr="0044640A">
        <w:rPr>
          <w:lang w:val="fr-FR"/>
        </w:rPr>
        <w:t>experts, la mise en place d</w:t>
      </w:r>
      <w:r w:rsidR="00F93954" w:rsidRPr="0044640A">
        <w:rPr>
          <w:lang w:val="fr-FR"/>
        </w:rPr>
        <w:t>’</w:t>
      </w:r>
      <w:r w:rsidR="004D1458" w:rsidRPr="0044640A">
        <w:rPr>
          <w:lang w:val="fr-FR"/>
        </w:rPr>
        <w:t>une plate</w:t>
      </w:r>
      <w:r w:rsidR="008D0F05" w:rsidRPr="0044640A">
        <w:rPr>
          <w:lang w:val="fr-FR"/>
        </w:rPr>
        <w:noBreakHyphen/>
      </w:r>
      <w:r w:rsidR="004D1458" w:rsidRPr="0044640A">
        <w:rPr>
          <w:lang w:val="fr-FR"/>
        </w:rPr>
        <w:t>forme interactive et l</w:t>
      </w:r>
      <w:r w:rsidR="00F93954" w:rsidRPr="0044640A">
        <w:rPr>
          <w:lang w:val="fr-FR"/>
        </w:rPr>
        <w:t>’</w:t>
      </w:r>
      <w:r w:rsidR="004D1458" w:rsidRPr="0044640A">
        <w:rPr>
          <w:lang w:val="fr-FR"/>
        </w:rPr>
        <w:t>incorporation des recommandations dans les programmes pertinents de l</w:t>
      </w:r>
      <w:r w:rsidR="00F93954" w:rsidRPr="0044640A">
        <w:rPr>
          <w:lang w:val="fr-FR"/>
        </w:rPr>
        <w:t>’</w:t>
      </w:r>
      <w:r w:rsidR="004D1458" w:rsidRPr="0044640A">
        <w:rPr>
          <w:lang w:val="fr-FR"/>
        </w:rPr>
        <w:t>OMPI après approbation par les États membres.</w:t>
      </w:r>
      <w:r w:rsidR="004E6C89" w:rsidRPr="0044640A">
        <w:rPr>
          <w:lang w:val="fr-FR"/>
        </w:rPr>
        <w:t xml:space="preserve"> </w:t>
      </w:r>
      <w:r w:rsidR="00960829" w:rsidRPr="0044640A">
        <w:rPr>
          <w:lang w:val="fr-FR"/>
        </w:rPr>
        <w:t xml:space="preserve"> </w:t>
      </w:r>
      <w:r w:rsidR="004D1458" w:rsidRPr="0044640A">
        <w:rPr>
          <w:iCs/>
          <w:lang w:val="fr-FR"/>
        </w:rPr>
        <w:t>Les travaux relatifs à la plate</w:t>
      </w:r>
      <w:r w:rsidR="008D0F05" w:rsidRPr="0044640A">
        <w:rPr>
          <w:iCs/>
          <w:lang w:val="fr-FR"/>
        </w:rPr>
        <w:noBreakHyphen/>
      </w:r>
      <w:r w:rsidR="004D1458" w:rsidRPr="0044640A">
        <w:rPr>
          <w:iCs/>
          <w:lang w:val="fr-FR"/>
        </w:rPr>
        <w:t>forme sont toujours en cours.</w:t>
      </w:r>
      <w:r w:rsidR="004E6C89" w:rsidRPr="0044640A">
        <w:rPr>
          <w:lang w:val="fr-FR"/>
        </w:rPr>
        <w:t xml:space="preserve"> </w:t>
      </w:r>
      <w:r w:rsidR="00960829" w:rsidRPr="0044640A">
        <w:rPr>
          <w:lang w:val="fr-FR"/>
        </w:rPr>
        <w:t xml:space="preserve"> </w:t>
      </w:r>
      <w:r w:rsidR="00C124DB" w:rsidRPr="0044640A">
        <w:rPr>
          <w:iCs/>
          <w:lang w:val="fr-FR"/>
        </w:rPr>
        <w:t xml:space="preserve">La mise en </w:t>
      </w:r>
      <w:r w:rsidR="00BF6297" w:rsidRPr="0044640A">
        <w:rPr>
          <w:iCs/>
          <w:lang w:val="fr-FR"/>
        </w:rPr>
        <w:t xml:space="preserve">œuvre </w:t>
      </w:r>
      <w:r w:rsidR="00C124DB" w:rsidRPr="0044640A">
        <w:rPr>
          <w:iCs/>
          <w:lang w:val="fr-FR"/>
        </w:rPr>
        <w:t xml:space="preserve">du </w:t>
      </w:r>
      <w:r w:rsidR="003837C3" w:rsidRPr="0044640A">
        <w:rPr>
          <w:iCs/>
          <w:lang w:val="fr-FR"/>
        </w:rPr>
        <w:t>p</w:t>
      </w:r>
      <w:r w:rsidR="00C124DB" w:rsidRPr="0044640A">
        <w:rPr>
          <w:iCs/>
          <w:lang w:val="fr-FR"/>
        </w:rPr>
        <w:t>rojet a débuté le 1</w:t>
      </w:r>
      <w:r w:rsidR="00C124DB" w:rsidRPr="0044640A">
        <w:rPr>
          <w:iCs/>
          <w:vertAlign w:val="superscript"/>
          <w:lang w:val="fr-FR"/>
        </w:rPr>
        <w:t>er</w:t>
      </w:r>
      <w:r w:rsidR="00BF6297" w:rsidRPr="0044640A">
        <w:rPr>
          <w:iCs/>
          <w:lang w:val="fr-FR"/>
        </w:rPr>
        <w:t> </w:t>
      </w:r>
      <w:r w:rsidR="00C124DB" w:rsidRPr="0044640A">
        <w:rPr>
          <w:iCs/>
          <w:lang w:val="fr-FR"/>
        </w:rPr>
        <w:t>janvier</w:t>
      </w:r>
      <w:r w:rsidR="00BF6297" w:rsidRPr="0044640A">
        <w:rPr>
          <w:iCs/>
          <w:lang w:val="fr-FR"/>
        </w:rPr>
        <w:t> </w:t>
      </w:r>
      <w:r w:rsidR="00C124DB" w:rsidRPr="0044640A">
        <w:rPr>
          <w:iCs/>
          <w:lang w:val="fr-FR"/>
        </w:rPr>
        <w:t>2011 et a officiellement pris fin le 30</w:t>
      </w:r>
      <w:r w:rsidR="00BF6297" w:rsidRPr="0044640A">
        <w:rPr>
          <w:iCs/>
          <w:lang w:val="fr-FR"/>
        </w:rPr>
        <w:t> </w:t>
      </w:r>
      <w:r w:rsidR="00C124DB" w:rsidRPr="0044640A">
        <w:rPr>
          <w:iCs/>
          <w:lang w:val="fr-FR"/>
        </w:rPr>
        <w:t>juin</w:t>
      </w:r>
      <w:r w:rsidR="00BF6297" w:rsidRPr="0044640A">
        <w:rPr>
          <w:iCs/>
          <w:lang w:val="fr-FR"/>
        </w:rPr>
        <w:t> </w:t>
      </w:r>
      <w:r w:rsidR="00C124DB" w:rsidRPr="0044640A">
        <w:rPr>
          <w:iCs/>
          <w:lang w:val="fr-FR"/>
        </w:rPr>
        <w:t>2014, suite à une prolongation</w:t>
      </w:r>
      <w:r w:rsidR="003837C3" w:rsidRPr="0044640A">
        <w:rPr>
          <w:iCs/>
          <w:lang w:val="fr-FR"/>
        </w:rPr>
        <w:t xml:space="preserve"> sans coût supplémentaire</w:t>
      </w:r>
      <w:r w:rsidR="00C124DB" w:rsidRPr="0044640A">
        <w:rPr>
          <w:iCs/>
          <w:lang w:val="fr-FR"/>
        </w:rPr>
        <w:t xml:space="preserve"> de 12</w:t>
      </w:r>
      <w:r w:rsidR="00BF6297" w:rsidRPr="0044640A">
        <w:rPr>
          <w:iCs/>
          <w:lang w:val="fr-FR"/>
        </w:rPr>
        <w:t> </w:t>
      </w:r>
      <w:r w:rsidR="00C124DB" w:rsidRPr="0044640A">
        <w:rPr>
          <w:iCs/>
          <w:lang w:val="fr-FR"/>
        </w:rPr>
        <w:t>mois approuvée à la douzième</w:t>
      </w:r>
      <w:r w:rsidR="00BF6297" w:rsidRPr="0044640A">
        <w:rPr>
          <w:iCs/>
          <w:lang w:val="fr-FR"/>
        </w:rPr>
        <w:t> </w:t>
      </w:r>
      <w:r w:rsidR="00C124DB" w:rsidRPr="0044640A">
        <w:rPr>
          <w:iCs/>
          <w:lang w:val="fr-FR"/>
        </w:rPr>
        <w:t>session</w:t>
      </w:r>
      <w:r w:rsidR="00F93954" w:rsidRPr="0044640A">
        <w:rPr>
          <w:iCs/>
          <w:lang w:val="fr-FR"/>
        </w:rPr>
        <w:t xml:space="preserve"> du CDI</w:t>
      </w:r>
      <w:r w:rsidR="00C124DB" w:rsidRPr="0044640A">
        <w:rPr>
          <w:iCs/>
          <w:lang w:val="fr-FR"/>
        </w:rPr>
        <w:t xml:space="preserve">P.  Selon le rapport final </w:t>
      </w:r>
      <w:r w:rsidR="003837C3" w:rsidRPr="0044640A">
        <w:rPr>
          <w:iCs/>
          <w:lang w:val="fr-FR"/>
        </w:rPr>
        <w:t>sur l</w:t>
      </w:r>
      <w:r w:rsidR="00F93954" w:rsidRPr="0044640A">
        <w:rPr>
          <w:iCs/>
          <w:lang w:val="fr-FR"/>
        </w:rPr>
        <w:t>’</w:t>
      </w:r>
      <w:r w:rsidR="003837C3" w:rsidRPr="0044640A">
        <w:rPr>
          <w:iCs/>
          <w:lang w:val="fr-FR"/>
        </w:rPr>
        <w:t>état d</w:t>
      </w:r>
      <w:r w:rsidR="00F93954" w:rsidRPr="0044640A">
        <w:rPr>
          <w:iCs/>
          <w:lang w:val="fr-FR"/>
        </w:rPr>
        <w:t>’</w:t>
      </w:r>
      <w:r w:rsidR="003837C3" w:rsidRPr="0044640A">
        <w:rPr>
          <w:iCs/>
          <w:lang w:val="fr-FR"/>
        </w:rPr>
        <w:t xml:space="preserve">avancement </w:t>
      </w:r>
      <w:r w:rsidR="00C124DB" w:rsidRPr="0044640A">
        <w:rPr>
          <w:iCs/>
          <w:lang w:val="fr-FR"/>
        </w:rPr>
        <w:t>présenté à la quatorzième</w:t>
      </w:r>
      <w:r w:rsidR="00BF6297" w:rsidRPr="0044640A">
        <w:rPr>
          <w:iCs/>
          <w:lang w:val="fr-FR"/>
        </w:rPr>
        <w:t> </w:t>
      </w:r>
      <w:r w:rsidR="00C124DB" w:rsidRPr="0044640A">
        <w:rPr>
          <w:iCs/>
          <w:lang w:val="fr-FR"/>
        </w:rPr>
        <w:t>session</w:t>
      </w:r>
      <w:r w:rsidR="00F93954" w:rsidRPr="0044640A">
        <w:rPr>
          <w:iCs/>
          <w:lang w:val="fr-FR"/>
        </w:rPr>
        <w:t xml:space="preserve"> du CDI</w:t>
      </w:r>
      <w:r w:rsidR="00C124DB" w:rsidRPr="0044640A">
        <w:rPr>
          <w:iCs/>
          <w:lang w:val="fr-FR"/>
        </w:rPr>
        <w:t xml:space="preserve">P, </w:t>
      </w:r>
      <w:r w:rsidR="003837C3" w:rsidRPr="0044640A">
        <w:rPr>
          <w:iCs/>
          <w:lang w:val="fr-FR"/>
        </w:rPr>
        <w:t xml:space="preserve">le </w:t>
      </w:r>
      <w:r w:rsidR="00C124DB" w:rsidRPr="0044640A">
        <w:rPr>
          <w:iCs/>
          <w:lang w:val="fr-FR"/>
        </w:rPr>
        <w:t>budget total de 895 000</w:t>
      </w:r>
      <w:r w:rsidR="00BF6297" w:rsidRPr="0044640A">
        <w:rPr>
          <w:iCs/>
          <w:lang w:val="fr-FR"/>
        </w:rPr>
        <w:t> </w:t>
      </w:r>
      <w:r w:rsidR="00C124DB" w:rsidRPr="0044640A">
        <w:rPr>
          <w:iCs/>
          <w:lang w:val="fr-FR"/>
        </w:rPr>
        <w:t>francs suisses a été dépensé</w:t>
      </w:r>
      <w:r w:rsidR="003837C3" w:rsidRPr="0044640A">
        <w:rPr>
          <w:iCs/>
          <w:lang w:val="fr-FR"/>
        </w:rPr>
        <w:t xml:space="preserve"> à hauteur de 27%</w:t>
      </w:r>
      <w:r w:rsidR="00C124DB" w:rsidRPr="0044640A">
        <w:rPr>
          <w:iCs/>
          <w:lang w:val="fr-FR"/>
        </w:rPr>
        <w:t>.</w:t>
      </w:r>
    </w:p>
    <w:p w:rsidR="00F15065" w:rsidRPr="0044640A" w:rsidRDefault="00F15065" w:rsidP="0044640A">
      <w:pPr>
        <w:rPr>
          <w:iCs/>
          <w:lang w:val="fr-FR"/>
        </w:rPr>
      </w:pPr>
    </w:p>
    <w:p w:rsidR="00F15065" w:rsidRPr="0044640A" w:rsidRDefault="003837C3" w:rsidP="0044640A">
      <w:pPr>
        <w:rPr>
          <w:lang w:val="fr-FR"/>
        </w:rPr>
      </w:pPr>
      <w:r w:rsidRPr="0044640A">
        <w:rPr>
          <w:lang w:val="fr-FR"/>
        </w:rPr>
        <w:t>R</w:t>
      </w:r>
      <w:r w:rsidR="002C1DAB" w:rsidRPr="0044640A">
        <w:rPr>
          <w:lang w:val="fr-FR"/>
        </w:rPr>
        <w:t>éalisée entre le 10</w:t>
      </w:r>
      <w:r w:rsidR="00BF6297" w:rsidRPr="0044640A">
        <w:rPr>
          <w:lang w:val="fr-FR"/>
        </w:rPr>
        <w:t> </w:t>
      </w:r>
      <w:r w:rsidR="002C1DAB" w:rsidRPr="0044640A">
        <w:rPr>
          <w:lang w:val="fr-FR"/>
        </w:rPr>
        <w:t>décembre</w:t>
      </w:r>
      <w:r w:rsidR="00BF6297" w:rsidRPr="0044640A">
        <w:rPr>
          <w:lang w:val="fr-FR"/>
        </w:rPr>
        <w:t> </w:t>
      </w:r>
      <w:r w:rsidR="002C1DAB" w:rsidRPr="0044640A">
        <w:rPr>
          <w:lang w:val="fr-FR"/>
        </w:rPr>
        <w:t>2014 et le 24</w:t>
      </w:r>
      <w:r w:rsidR="00BF6297" w:rsidRPr="0044640A">
        <w:rPr>
          <w:lang w:val="fr-FR"/>
        </w:rPr>
        <w:t> </w:t>
      </w:r>
      <w:r w:rsidR="002C1DAB" w:rsidRPr="0044640A">
        <w:rPr>
          <w:lang w:val="fr-FR"/>
        </w:rPr>
        <w:t>avril</w:t>
      </w:r>
      <w:r w:rsidR="00BF6297" w:rsidRPr="0044640A">
        <w:rPr>
          <w:lang w:val="fr-FR"/>
        </w:rPr>
        <w:t> </w:t>
      </w:r>
      <w:r w:rsidR="002C1DAB" w:rsidRPr="0044640A">
        <w:rPr>
          <w:lang w:val="fr-FR"/>
        </w:rPr>
        <w:t>2015 par un évaluateur indépendant, en étroite collaboration avec la Division de la coordination du Plan d</w:t>
      </w:r>
      <w:r w:rsidR="00F93954" w:rsidRPr="0044640A">
        <w:rPr>
          <w:lang w:val="fr-FR"/>
        </w:rPr>
        <w:t>’</w:t>
      </w:r>
      <w:r w:rsidR="002C1DAB" w:rsidRPr="0044640A">
        <w:rPr>
          <w:lang w:val="fr-FR"/>
        </w:rPr>
        <w:t xml:space="preserve">action pour le développement, </w:t>
      </w:r>
      <w:r w:rsidRPr="0044640A">
        <w:rPr>
          <w:lang w:val="fr-FR"/>
        </w:rPr>
        <w:t>l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 xml:space="preserve">évaluation a permis de tirer </w:t>
      </w:r>
      <w:r w:rsidR="002C1DAB" w:rsidRPr="0044640A">
        <w:rPr>
          <w:lang w:val="fr-FR"/>
        </w:rPr>
        <w:t>les conclusions suivantes</w:t>
      </w:r>
      <w:r w:rsidR="00BF6297" w:rsidRPr="0044640A">
        <w:rPr>
          <w:lang w:val="fr-FR"/>
        </w:rPr>
        <w:t> </w:t>
      </w:r>
      <w:r w:rsidR="002C1DAB" w:rsidRPr="0044640A">
        <w:rPr>
          <w:lang w:val="fr-FR"/>
        </w:rPr>
        <w:t>:</w:t>
      </w: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2C1DAB" w:rsidP="0044640A">
      <w:pPr>
        <w:rPr>
          <w:b/>
          <w:bCs/>
          <w:lang w:val="fr-FR"/>
        </w:rPr>
      </w:pPr>
      <w:r w:rsidRPr="0044640A">
        <w:rPr>
          <w:b/>
          <w:bCs/>
          <w:lang w:val="fr-FR"/>
        </w:rPr>
        <w:t>Conclusion n°</w:t>
      </w:r>
      <w:r w:rsidR="00F93954" w:rsidRPr="0044640A">
        <w:rPr>
          <w:b/>
          <w:bCs/>
          <w:lang w:val="fr-FR"/>
        </w:rPr>
        <w:t> </w:t>
      </w:r>
      <w:r w:rsidRPr="0044640A">
        <w:rPr>
          <w:b/>
          <w:bCs/>
          <w:lang w:val="fr-FR"/>
        </w:rPr>
        <w:t>1 sur la pertinence</w:t>
      </w:r>
      <w:r w:rsidR="00BF6297" w:rsidRPr="0044640A">
        <w:rPr>
          <w:b/>
          <w:bCs/>
          <w:lang w:val="fr-FR"/>
        </w:rPr>
        <w:t> </w:t>
      </w:r>
      <w:r w:rsidRPr="0044640A">
        <w:rPr>
          <w:b/>
          <w:bCs/>
          <w:lang w:val="fr-FR"/>
        </w:rPr>
        <w:t xml:space="preserve">: </w:t>
      </w:r>
      <w:r w:rsidR="003837C3" w:rsidRPr="0044640A">
        <w:rPr>
          <w:b/>
          <w:bCs/>
          <w:lang w:val="fr-FR"/>
        </w:rPr>
        <w:t xml:space="preserve">le </w:t>
      </w:r>
      <w:r w:rsidRPr="0044640A">
        <w:rPr>
          <w:b/>
          <w:bCs/>
          <w:lang w:val="fr-FR"/>
        </w:rPr>
        <w:t>renforce</w:t>
      </w:r>
      <w:r w:rsidR="003837C3" w:rsidRPr="0044640A">
        <w:rPr>
          <w:b/>
          <w:bCs/>
          <w:lang w:val="fr-FR"/>
        </w:rPr>
        <w:t>ment</w:t>
      </w:r>
      <w:r w:rsidRPr="0044640A">
        <w:rPr>
          <w:b/>
          <w:bCs/>
          <w:lang w:val="fr-FR"/>
        </w:rPr>
        <w:t xml:space="preserve"> </w:t>
      </w:r>
      <w:r w:rsidR="003837C3" w:rsidRPr="0044640A">
        <w:rPr>
          <w:b/>
          <w:bCs/>
          <w:lang w:val="fr-FR"/>
        </w:rPr>
        <w:t>d</w:t>
      </w:r>
      <w:r w:rsidR="00F75446" w:rsidRPr="0044640A">
        <w:rPr>
          <w:b/>
          <w:bCs/>
          <w:lang w:val="fr-FR"/>
        </w:rPr>
        <w:t>e l</w:t>
      </w:r>
      <w:r w:rsidR="00F93954" w:rsidRPr="0044640A">
        <w:rPr>
          <w:b/>
          <w:bCs/>
          <w:lang w:val="fr-FR"/>
        </w:rPr>
        <w:t>’</w:t>
      </w:r>
      <w:r w:rsidR="003837C3" w:rsidRPr="0044640A">
        <w:rPr>
          <w:b/>
          <w:bCs/>
          <w:lang w:val="fr-FR"/>
        </w:rPr>
        <w:t>u</w:t>
      </w:r>
      <w:r w:rsidR="00F75446" w:rsidRPr="0044640A">
        <w:rPr>
          <w:b/>
          <w:bCs/>
          <w:lang w:val="fr-FR"/>
        </w:rPr>
        <w:t>tilisation</w:t>
      </w:r>
      <w:r w:rsidRPr="0044640A">
        <w:rPr>
          <w:b/>
          <w:bCs/>
          <w:lang w:val="fr-FR"/>
        </w:rPr>
        <w:t xml:space="preserve"> de projets de partenariat ouvert et modèles fondés sur la propriété intellectuelle présente toujours un intérêt</w:t>
      </w:r>
      <w:r w:rsidR="00F75446" w:rsidRPr="0044640A">
        <w:rPr>
          <w:b/>
          <w:bCs/>
          <w:lang w:val="fr-FR"/>
        </w:rPr>
        <w:t xml:space="preserve"> réel</w:t>
      </w:r>
    </w:p>
    <w:p w:rsidR="00F15065" w:rsidRPr="0044640A" w:rsidRDefault="00F15065" w:rsidP="0044640A">
      <w:pPr>
        <w:rPr>
          <w:b/>
          <w:lang w:val="fr-FR"/>
        </w:rPr>
      </w:pPr>
    </w:p>
    <w:p w:rsidR="00F15065" w:rsidRPr="0044640A" w:rsidRDefault="00064AED" w:rsidP="0044640A">
      <w:pPr>
        <w:rPr>
          <w:lang w:val="fr-FR"/>
        </w:rPr>
      </w:pPr>
      <w:r w:rsidRPr="0044640A">
        <w:rPr>
          <w:lang w:val="fr-FR"/>
        </w:rPr>
        <w:t>Les projets de partenariat ouvert offrent des possibilités d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échange délibéré d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actifs intellectuels dans le monde entier dans l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intérêt mutuel, indépendamment d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un éventuel clivage Nord</w:t>
      </w:r>
      <w:r w:rsidR="008D0F05" w:rsidRPr="0044640A">
        <w:rPr>
          <w:lang w:val="fr-FR"/>
        </w:rPr>
        <w:noBreakHyphen/>
      </w:r>
      <w:r w:rsidRPr="0044640A">
        <w:rPr>
          <w:lang w:val="fr-FR"/>
        </w:rPr>
        <w:t>Sud.</w:t>
      </w:r>
      <w:r w:rsidR="004E6C89" w:rsidRPr="0044640A">
        <w:rPr>
          <w:lang w:val="fr-FR"/>
        </w:rPr>
        <w:t xml:space="preserve"> </w:t>
      </w:r>
      <w:r w:rsidR="00732571" w:rsidRPr="0044640A">
        <w:rPr>
          <w:lang w:val="fr-FR"/>
        </w:rPr>
        <w:t xml:space="preserve"> </w:t>
      </w:r>
      <w:r w:rsidRPr="0044640A">
        <w:rPr>
          <w:lang w:val="fr-FR"/>
        </w:rPr>
        <w:t>Ce</w:t>
      </w:r>
      <w:r w:rsidR="00F75446" w:rsidRPr="0044640A">
        <w:rPr>
          <w:lang w:val="fr-FR"/>
        </w:rPr>
        <w:t>la</w:t>
      </w:r>
      <w:r w:rsidRPr="0044640A">
        <w:rPr>
          <w:lang w:val="fr-FR"/>
        </w:rPr>
        <w:t xml:space="preserve"> </w:t>
      </w:r>
      <w:r w:rsidR="00F75446" w:rsidRPr="0044640A">
        <w:rPr>
          <w:lang w:val="fr-FR"/>
        </w:rPr>
        <w:t>présente</w:t>
      </w:r>
      <w:r w:rsidRPr="0044640A">
        <w:rPr>
          <w:lang w:val="fr-FR"/>
        </w:rPr>
        <w:t xml:space="preserve"> un intérêt </w:t>
      </w:r>
      <w:r w:rsidR="00F75446" w:rsidRPr="0044640A">
        <w:rPr>
          <w:lang w:val="fr-FR"/>
        </w:rPr>
        <w:t xml:space="preserve">réel tant </w:t>
      </w:r>
      <w:r w:rsidRPr="0044640A">
        <w:rPr>
          <w:lang w:val="fr-FR"/>
        </w:rPr>
        <w:t xml:space="preserve">pour les pays en développement </w:t>
      </w:r>
      <w:r w:rsidR="00F75446" w:rsidRPr="0044640A">
        <w:rPr>
          <w:lang w:val="fr-FR"/>
        </w:rPr>
        <w:t>qu</w:t>
      </w:r>
      <w:r w:rsidRPr="0044640A">
        <w:rPr>
          <w:lang w:val="fr-FR"/>
        </w:rPr>
        <w:t>e pour les pays développés.</w:t>
      </w:r>
      <w:r w:rsidR="00732571" w:rsidRPr="0044640A">
        <w:rPr>
          <w:lang w:val="fr-FR"/>
        </w:rPr>
        <w:t xml:space="preserve"> </w:t>
      </w:r>
      <w:r w:rsidR="004E6C89" w:rsidRPr="0044640A">
        <w:rPr>
          <w:lang w:val="fr-FR"/>
        </w:rPr>
        <w:t xml:space="preserve"> </w:t>
      </w:r>
      <w:r w:rsidRPr="0044640A">
        <w:rPr>
          <w:lang w:val="fr-FR"/>
        </w:rPr>
        <w:t>En partageant les enseignements tirés des modèles utilisés, les travaux de l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OMPI apportent une valeur ajoutée unique en fav</w:t>
      </w:r>
      <w:r w:rsidR="00F75446" w:rsidRPr="0044640A">
        <w:rPr>
          <w:lang w:val="fr-FR"/>
        </w:rPr>
        <w:t>eu</w:t>
      </w:r>
      <w:r w:rsidRPr="0044640A">
        <w:rPr>
          <w:lang w:val="fr-FR"/>
        </w:rPr>
        <w:t>r de nouveaux partenariats Nord</w:t>
      </w:r>
      <w:r w:rsidR="008D0F05" w:rsidRPr="0044640A">
        <w:rPr>
          <w:lang w:val="fr-FR"/>
        </w:rPr>
        <w:noBreakHyphen/>
      </w:r>
      <w:r w:rsidRPr="0044640A">
        <w:rPr>
          <w:lang w:val="fr-FR"/>
        </w:rPr>
        <w:t>Sud.</w:t>
      </w:r>
      <w:r w:rsidR="004E6C89" w:rsidRPr="0044640A">
        <w:rPr>
          <w:lang w:val="fr-FR"/>
        </w:rPr>
        <w:t xml:space="preserve"> </w:t>
      </w:r>
      <w:r w:rsidR="00732571" w:rsidRPr="0044640A">
        <w:rPr>
          <w:lang w:val="fr-FR"/>
        </w:rPr>
        <w:t xml:space="preserve"> </w:t>
      </w:r>
      <w:r w:rsidRPr="0044640A">
        <w:rPr>
          <w:lang w:val="fr-FR"/>
        </w:rPr>
        <w:t>Le modèle de partenariat ouvert est applicable au</w:t>
      </w:r>
      <w:r w:rsidR="008D0F05" w:rsidRPr="0044640A">
        <w:rPr>
          <w:lang w:val="fr-FR"/>
        </w:rPr>
        <w:noBreakHyphen/>
      </w:r>
      <w:r w:rsidRPr="0044640A">
        <w:rPr>
          <w:lang w:val="fr-FR"/>
        </w:rPr>
        <w:t>delà de ce que l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on entend communément par “innovation” et touche également les industries de la création.</w:t>
      </w:r>
      <w:r w:rsidR="004E6C89" w:rsidRPr="0044640A">
        <w:rPr>
          <w:lang w:val="fr-FR"/>
        </w:rPr>
        <w:t xml:space="preserve"> </w:t>
      </w:r>
      <w:r w:rsidR="00732571" w:rsidRPr="0044640A">
        <w:rPr>
          <w:lang w:val="fr-FR"/>
        </w:rPr>
        <w:t xml:space="preserve"> </w:t>
      </w:r>
      <w:r w:rsidR="009F472D" w:rsidRPr="0044640A">
        <w:rPr>
          <w:lang w:val="fr-FR"/>
        </w:rPr>
        <w:t>Les projets de partenariat ouvert sont un moyen efficace pour renforcer la “valorisation” des actifs intellectuels, notamment, les droits de propriété intellectuelle dans le domaine public.</w:t>
      </w:r>
      <w:r w:rsidR="004E6C89" w:rsidRPr="0044640A">
        <w:rPr>
          <w:lang w:val="fr-FR"/>
        </w:rPr>
        <w:t xml:space="preserve"> </w:t>
      </w:r>
      <w:r w:rsidR="00BF6297" w:rsidRPr="0044640A">
        <w:rPr>
          <w:lang w:val="fr-FR"/>
        </w:rPr>
        <w:t xml:space="preserve"> </w:t>
      </w:r>
      <w:r w:rsidR="009F472D" w:rsidRPr="0044640A">
        <w:rPr>
          <w:lang w:val="fr-FR"/>
        </w:rPr>
        <w:t>Dans ce sens, les objectifs du projet revêtent un grand intérêt aux fins de favoriser l</w:t>
      </w:r>
      <w:r w:rsidR="00F93954" w:rsidRPr="0044640A">
        <w:rPr>
          <w:lang w:val="fr-FR"/>
        </w:rPr>
        <w:t>’</w:t>
      </w:r>
      <w:r w:rsidR="009F472D" w:rsidRPr="0044640A">
        <w:rPr>
          <w:lang w:val="fr-FR"/>
        </w:rPr>
        <w:t>utilisation de la propriété intellectuelle au service du développement, qui constitue une priorité internationale inscrite dans l</w:t>
      </w:r>
      <w:r w:rsidR="00F93954" w:rsidRPr="0044640A">
        <w:rPr>
          <w:lang w:val="fr-FR"/>
        </w:rPr>
        <w:t>’</w:t>
      </w:r>
      <w:r w:rsidR="009F472D" w:rsidRPr="0044640A">
        <w:rPr>
          <w:lang w:val="fr-FR"/>
        </w:rPr>
        <w:t>Objectif stratégique</w:t>
      </w:r>
      <w:r w:rsidR="00F75446" w:rsidRPr="0044640A">
        <w:rPr>
          <w:lang w:val="fr-FR"/>
        </w:rPr>
        <w:t> </w:t>
      </w:r>
      <w:r w:rsidR="009F472D" w:rsidRPr="0044640A">
        <w:rPr>
          <w:lang w:val="fr-FR"/>
        </w:rPr>
        <w:t>III du programme et budget pour l</w:t>
      </w:r>
      <w:r w:rsidR="00F93954" w:rsidRPr="0044640A">
        <w:rPr>
          <w:lang w:val="fr-FR"/>
        </w:rPr>
        <w:t>’</w:t>
      </w:r>
      <w:r w:rsidR="009F472D" w:rsidRPr="0044640A">
        <w:rPr>
          <w:lang w:val="fr-FR"/>
        </w:rPr>
        <w:t>exercice biennal</w:t>
      </w:r>
      <w:r w:rsidR="00BF6297" w:rsidRPr="0044640A">
        <w:rPr>
          <w:lang w:val="fr-FR"/>
        </w:rPr>
        <w:t> </w:t>
      </w:r>
      <w:r w:rsidR="009F472D" w:rsidRPr="0044640A">
        <w:rPr>
          <w:lang w:val="fr-FR"/>
        </w:rPr>
        <w:t>2014</w:t>
      </w:r>
      <w:r w:rsidR="008D0F05" w:rsidRPr="0044640A">
        <w:rPr>
          <w:lang w:val="fr-FR"/>
        </w:rPr>
        <w:noBreakHyphen/>
      </w:r>
      <w:r w:rsidR="009F472D" w:rsidRPr="0044640A">
        <w:rPr>
          <w:lang w:val="fr-FR"/>
        </w:rPr>
        <w:t>2015.</w:t>
      </w:r>
      <w:r w:rsidR="004E6C89" w:rsidRPr="0044640A">
        <w:rPr>
          <w:lang w:val="fr-FR"/>
        </w:rPr>
        <w:t xml:space="preserve"> </w:t>
      </w:r>
      <w:r w:rsidR="00732571" w:rsidRPr="0044640A">
        <w:rPr>
          <w:lang w:val="fr-FR"/>
        </w:rPr>
        <w:t xml:space="preserve"> </w:t>
      </w:r>
      <w:r w:rsidR="00201D9B" w:rsidRPr="0044640A">
        <w:rPr>
          <w:lang w:val="fr-FR"/>
        </w:rPr>
        <w:t xml:space="preserve">Les conclusions du </w:t>
      </w:r>
      <w:r w:rsidR="00F75446" w:rsidRPr="0044640A">
        <w:rPr>
          <w:lang w:val="fr-FR"/>
        </w:rPr>
        <w:t>p</w:t>
      </w:r>
      <w:r w:rsidR="00201D9B" w:rsidRPr="0044640A">
        <w:rPr>
          <w:lang w:val="fr-FR"/>
        </w:rPr>
        <w:t>rojet sont potentiellement pertinentes pour les travaux de l</w:t>
      </w:r>
      <w:r w:rsidR="00F93954" w:rsidRPr="0044640A">
        <w:rPr>
          <w:lang w:val="fr-FR"/>
        </w:rPr>
        <w:t>’</w:t>
      </w:r>
      <w:r w:rsidR="00201D9B" w:rsidRPr="0044640A">
        <w:rPr>
          <w:lang w:val="fr-FR"/>
        </w:rPr>
        <w:t>OMPI dans de nombreux domaines, notamment la promotion de l</w:t>
      </w:r>
      <w:r w:rsidR="00F93954" w:rsidRPr="0044640A">
        <w:rPr>
          <w:lang w:val="fr-FR"/>
        </w:rPr>
        <w:t>’</w:t>
      </w:r>
      <w:r w:rsidR="00201D9B" w:rsidRPr="0044640A">
        <w:rPr>
          <w:lang w:val="fr-FR"/>
        </w:rPr>
        <w:t>innovation, le renforcement des capacités à l</w:t>
      </w:r>
      <w:r w:rsidR="00F93954" w:rsidRPr="0044640A">
        <w:rPr>
          <w:lang w:val="fr-FR"/>
        </w:rPr>
        <w:t>’</w:t>
      </w:r>
      <w:r w:rsidR="00201D9B" w:rsidRPr="0044640A">
        <w:rPr>
          <w:lang w:val="fr-FR"/>
        </w:rPr>
        <w:t>intention des prestataires de services de propriété intellectuelle, la formation, la coopération avec les universités, et les conseils de politique générale.</w:t>
      </w: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201D9B" w:rsidP="0044640A">
      <w:pPr>
        <w:rPr>
          <w:b/>
          <w:bCs/>
          <w:lang w:val="fr-FR"/>
        </w:rPr>
      </w:pPr>
      <w:r w:rsidRPr="0044640A">
        <w:rPr>
          <w:b/>
          <w:bCs/>
          <w:lang w:val="fr-FR"/>
        </w:rPr>
        <w:t>Conclusion n°</w:t>
      </w:r>
      <w:r w:rsidR="00F93954" w:rsidRPr="0044640A">
        <w:rPr>
          <w:b/>
          <w:bCs/>
          <w:lang w:val="fr-FR"/>
        </w:rPr>
        <w:t> </w:t>
      </w:r>
      <w:r w:rsidRPr="0044640A">
        <w:rPr>
          <w:b/>
          <w:bCs/>
          <w:lang w:val="fr-FR"/>
        </w:rPr>
        <w:t>2 sur la préparation et la gestion du projet</w:t>
      </w:r>
      <w:r w:rsidR="00BF6297" w:rsidRPr="0044640A">
        <w:rPr>
          <w:b/>
          <w:bCs/>
          <w:lang w:val="fr-FR"/>
        </w:rPr>
        <w:t> </w:t>
      </w:r>
      <w:r w:rsidRPr="0044640A">
        <w:rPr>
          <w:b/>
          <w:bCs/>
          <w:lang w:val="fr-FR"/>
        </w:rPr>
        <w:t xml:space="preserve">: le projet </w:t>
      </w:r>
      <w:r w:rsidR="00F75446" w:rsidRPr="0044640A">
        <w:rPr>
          <w:b/>
          <w:bCs/>
          <w:lang w:val="fr-FR"/>
        </w:rPr>
        <w:t>s</w:t>
      </w:r>
      <w:r w:rsidR="00F93954" w:rsidRPr="0044640A">
        <w:rPr>
          <w:b/>
          <w:bCs/>
          <w:lang w:val="fr-FR"/>
        </w:rPr>
        <w:t>’</w:t>
      </w:r>
      <w:r w:rsidR="00F75446" w:rsidRPr="0044640A">
        <w:rPr>
          <w:b/>
          <w:bCs/>
          <w:lang w:val="fr-FR"/>
        </w:rPr>
        <w:t>attach</w:t>
      </w:r>
      <w:r w:rsidRPr="0044640A">
        <w:rPr>
          <w:b/>
          <w:bCs/>
          <w:lang w:val="fr-FR"/>
        </w:rPr>
        <w:t xml:space="preserve">e à mettre en </w:t>
      </w:r>
      <w:r w:rsidR="00BF6297" w:rsidRPr="0044640A">
        <w:rPr>
          <w:b/>
          <w:bCs/>
          <w:lang w:val="fr-FR"/>
        </w:rPr>
        <w:t xml:space="preserve">œuvre </w:t>
      </w:r>
      <w:r w:rsidRPr="0044640A">
        <w:rPr>
          <w:b/>
          <w:bCs/>
          <w:lang w:val="fr-FR"/>
        </w:rPr>
        <w:t>la recommandation n°</w:t>
      </w:r>
      <w:r w:rsidR="00BF6297" w:rsidRPr="0044640A">
        <w:rPr>
          <w:b/>
          <w:bCs/>
          <w:lang w:val="fr-FR"/>
        </w:rPr>
        <w:t> </w:t>
      </w:r>
      <w:r w:rsidRPr="0044640A">
        <w:rPr>
          <w:b/>
          <w:bCs/>
          <w:lang w:val="fr-FR"/>
        </w:rPr>
        <w:t>36 du Plan d</w:t>
      </w:r>
      <w:r w:rsidR="00F93954" w:rsidRPr="0044640A">
        <w:rPr>
          <w:b/>
          <w:bCs/>
          <w:lang w:val="fr-FR"/>
        </w:rPr>
        <w:t>’</w:t>
      </w:r>
      <w:r w:rsidRPr="0044640A">
        <w:rPr>
          <w:b/>
          <w:bCs/>
          <w:lang w:val="fr-FR"/>
        </w:rPr>
        <w:t>action pour le développement de manière créative et appropriée.</w:t>
      </w:r>
      <w:r w:rsidR="004E6C89" w:rsidRPr="0044640A">
        <w:rPr>
          <w:b/>
          <w:lang w:val="fr-FR"/>
        </w:rPr>
        <w:t xml:space="preserve"> </w:t>
      </w:r>
      <w:r w:rsidR="008D679C" w:rsidRPr="0044640A">
        <w:rPr>
          <w:b/>
          <w:lang w:val="fr-FR"/>
        </w:rPr>
        <w:t xml:space="preserve"> </w:t>
      </w:r>
      <w:r w:rsidR="00BF6297" w:rsidRPr="0044640A">
        <w:rPr>
          <w:b/>
          <w:bCs/>
          <w:lang w:val="fr-FR"/>
        </w:rPr>
        <w:t>Les a</w:t>
      </w:r>
      <w:r w:rsidR="004E6C89" w:rsidRPr="0044640A">
        <w:rPr>
          <w:b/>
          <w:lang w:val="fr-FR"/>
        </w:rPr>
        <w:t>ctivit</w:t>
      </w:r>
      <w:r w:rsidR="00BF6297" w:rsidRPr="0044640A">
        <w:rPr>
          <w:b/>
          <w:lang w:val="fr-FR"/>
        </w:rPr>
        <w:t xml:space="preserve">és ont été bien </w:t>
      </w:r>
      <w:r w:rsidR="004E6C89" w:rsidRPr="0044640A">
        <w:rPr>
          <w:b/>
          <w:lang w:val="fr-FR"/>
        </w:rPr>
        <w:t>organi</w:t>
      </w:r>
      <w:r w:rsidR="00BF6297" w:rsidRPr="0044640A">
        <w:rPr>
          <w:b/>
          <w:lang w:val="fr-FR"/>
        </w:rPr>
        <w:t>sées</w:t>
      </w:r>
      <w:r w:rsidR="004E6C89" w:rsidRPr="0044640A">
        <w:rPr>
          <w:b/>
          <w:lang w:val="fr-FR"/>
        </w:rPr>
        <w:t xml:space="preserve">. </w:t>
      </w:r>
      <w:r w:rsidR="00F75446" w:rsidRPr="0044640A">
        <w:rPr>
          <w:b/>
          <w:lang w:val="fr-FR"/>
        </w:rPr>
        <w:t xml:space="preserve"> L</w:t>
      </w:r>
      <w:r w:rsidR="00F93954" w:rsidRPr="0044640A">
        <w:rPr>
          <w:b/>
          <w:lang w:val="fr-FR"/>
        </w:rPr>
        <w:t>’</w:t>
      </w:r>
      <w:r w:rsidRPr="0044640A">
        <w:rPr>
          <w:b/>
          <w:lang w:val="fr-FR"/>
        </w:rPr>
        <w:t xml:space="preserve">utilisation </w:t>
      </w:r>
      <w:proofErr w:type="gramStart"/>
      <w:r w:rsidRPr="0044640A">
        <w:rPr>
          <w:b/>
          <w:lang w:val="fr-FR"/>
        </w:rPr>
        <w:t>d</w:t>
      </w:r>
      <w:r w:rsidR="00F93954" w:rsidRPr="0044640A">
        <w:rPr>
          <w:b/>
          <w:lang w:val="fr-FR"/>
        </w:rPr>
        <w:t>’</w:t>
      </w:r>
      <w:r w:rsidRPr="0044640A">
        <w:rPr>
          <w:b/>
          <w:lang w:val="fr-FR"/>
        </w:rPr>
        <w:t>outils standard</w:t>
      </w:r>
      <w:proofErr w:type="gramEnd"/>
      <w:r w:rsidRPr="0044640A">
        <w:rPr>
          <w:b/>
          <w:lang w:val="fr-FR"/>
        </w:rPr>
        <w:t xml:space="preserve"> de planification et de suivi a </w:t>
      </w:r>
      <w:r w:rsidR="00F75446" w:rsidRPr="0044640A">
        <w:rPr>
          <w:b/>
          <w:lang w:val="fr-FR"/>
        </w:rPr>
        <w:t xml:space="preserve">toutefois </w:t>
      </w:r>
      <w:r w:rsidRPr="0044640A">
        <w:rPr>
          <w:b/>
          <w:lang w:val="fr-FR"/>
        </w:rPr>
        <w:t>été insuffisante.</w:t>
      </w:r>
      <w:r w:rsidR="004E6C89" w:rsidRPr="0044640A">
        <w:rPr>
          <w:b/>
          <w:lang w:val="fr-FR"/>
        </w:rPr>
        <w:t xml:space="preserve"> </w:t>
      </w:r>
      <w:r w:rsidR="00BF6297" w:rsidRPr="0044640A">
        <w:rPr>
          <w:b/>
          <w:lang w:val="fr-FR"/>
        </w:rPr>
        <w:t xml:space="preserve"> </w:t>
      </w:r>
      <w:r w:rsidRPr="0044640A">
        <w:rPr>
          <w:b/>
          <w:bCs/>
          <w:lang w:val="fr-FR"/>
        </w:rPr>
        <w:t xml:space="preserve">Le budget </w:t>
      </w:r>
      <w:r w:rsidR="00785C18" w:rsidRPr="0044640A">
        <w:rPr>
          <w:b/>
          <w:bCs/>
          <w:lang w:val="fr-FR"/>
        </w:rPr>
        <w:t>d</w:t>
      </w:r>
      <w:r w:rsidRPr="0044640A">
        <w:rPr>
          <w:b/>
          <w:bCs/>
          <w:lang w:val="fr-FR"/>
        </w:rPr>
        <w:t>u projet a été nettement sur</w:t>
      </w:r>
      <w:r w:rsidR="00785C18" w:rsidRPr="0044640A">
        <w:rPr>
          <w:b/>
          <w:bCs/>
          <w:lang w:val="fr-FR"/>
        </w:rPr>
        <w:t>évalu</w:t>
      </w:r>
      <w:r w:rsidRPr="0044640A">
        <w:rPr>
          <w:b/>
          <w:bCs/>
          <w:lang w:val="fr-FR"/>
        </w:rPr>
        <w:t xml:space="preserve">é et </w:t>
      </w:r>
      <w:r w:rsidR="00785C18" w:rsidRPr="0044640A">
        <w:rPr>
          <w:b/>
          <w:bCs/>
          <w:lang w:val="fr-FR"/>
        </w:rPr>
        <w:t>l</w:t>
      </w:r>
      <w:r w:rsidRPr="0044640A">
        <w:rPr>
          <w:b/>
          <w:bCs/>
          <w:lang w:val="fr-FR"/>
        </w:rPr>
        <w:t xml:space="preserve">a mise en </w:t>
      </w:r>
      <w:r w:rsidR="00BF6297" w:rsidRPr="0044640A">
        <w:rPr>
          <w:b/>
          <w:bCs/>
          <w:lang w:val="fr-FR"/>
        </w:rPr>
        <w:t xml:space="preserve">œuvre </w:t>
      </w:r>
      <w:r w:rsidR="00785C18" w:rsidRPr="0044640A">
        <w:rPr>
          <w:b/>
          <w:bCs/>
          <w:lang w:val="fr-FR"/>
        </w:rPr>
        <w:t xml:space="preserve">a progressé </w:t>
      </w:r>
      <w:r w:rsidRPr="0044640A">
        <w:rPr>
          <w:b/>
          <w:bCs/>
          <w:lang w:val="fr-FR"/>
        </w:rPr>
        <w:t>lente</w:t>
      </w:r>
      <w:r w:rsidR="00785C18" w:rsidRPr="0044640A">
        <w:rPr>
          <w:b/>
          <w:bCs/>
          <w:lang w:val="fr-FR"/>
        </w:rPr>
        <w:t>ment</w:t>
      </w:r>
      <w:r w:rsidRPr="0044640A">
        <w:rPr>
          <w:b/>
          <w:bCs/>
          <w:lang w:val="fr-FR"/>
        </w:rPr>
        <w:t>.</w:t>
      </w:r>
    </w:p>
    <w:p w:rsidR="00F15065" w:rsidRPr="0044640A" w:rsidRDefault="00F15065" w:rsidP="0044640A">
      <w:pPr>
        <w:rPr>
          <w:b/>
          <w:bCs/>
          <w:lang w:val="fr-FR"/>
        </w:rPr>
      </w:pPr>
    </w:p>
    <w:p w:rsidR="00F15065" w:rsidRPr="0044640A" w:rsidRDefault="008716D6" w:rsidP="0044640A">
      <w:pPr>
        <w:rPr>
          <w:lang w:val="fr-FR"/>
        </w:rPr>
      </w:pPr>
      <w:r w:rsidRPr="0044640A">
        <w:rPr>
          <w:lang w:val="fr-FR"/>
        </w:rPr>
        <w:t xml:space="preserve">Le Secrétariat a transposé la recommandation </w:t>
      </w:r>
      <w:r w:rsidR="00BF6297" w:rsidRPr="0044640A">
        <w:rPr>
          <w:lang w:val="fr-FR"/>
        </w:rPr>
        <w:t>n° </w:t>
      </w:r>
      <w:r w:rsidRPr="0044640A">
        <w:rPr>
          <w:lang w:val="fr-FR"/>
        </w:rPr>
        <w:t>36 relativement ouverte du Plan d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 xml:space="preserve">action pour le développement en une stratégie de mise en </w:t>
      </w:r>
      <w:r w:rsidR="00BF6297" w:rsidRPr="0044640A">
        <w:rPr>
          <w:lang w:val="fr-FR"/>
        </w:rPr>
        <w:t xml:space="preserve">œuvre </w:t>
      </w:r>
      <w:r w:rsidRPr="0044640A">
        <w:rPr>
          <w:lang w:val="fr-FR"/>
        </w:rPr>
        <w:t xml:space="preserve">et une méthodologie clairement </w:t>
      </w:r>
      <w:r w:rsidR="00785C18" w:rsidRPr="0044640A">
        <w:rPr>
          <w:lang w:val="fr-FR"/>
        </w:rPr>
        <w:t>d</w:t>
      </w:r>
      <w:r w:rsidRPr="0044640A">
        <w:rPr>
          <w:lang w:val="fr-FR"/>
        </w:rPr>
        <w:t>é</w:t>
      </w:r>
      <w:r w:rsidR="00785C18" w:rsidRPr="0044640A">
        <w:rPr>
          <w:lang w:val="fr-FR"/>
        </w:rPr>
        <w:t>fi</w:t>
      </w:r>
      <w:r w:rsidRPr="0044640A">
        <w:rPr>
          <w:lang w:val="fr-FR"/>
        </w:rPr>
        <w:t>n</w:t>
      </w:r>
      <w:r w:rsidR="00785C18" w:rsidRPr="0044640A">
        <w:rPr>
          <w:lang w:val="fr-FR"/>
        </w:rPr>
        <w:t>i</w:t>
      </w:r>
      <w:r w:rsidRPr="0044640A">
        <w:rPr>
          <w:lang w:val="fr-FR"/>
        </w:rPr>
        <w:t>es.</w:t>
      </w:r>
      <w:r w:rsidR="008D679C" w:rsidRPr="0044640A">
        <w:rPr>
          <w:lang w:val="fr-FR"/>
        </w:rPr>
        <w:t xml:space="preserve"> </w:t>
      </w:r>
      <w:r w:rsidR="004E6C89" w:rsidRPr="0044640A">
        <w:rPr>
          <w:lang w:val="fr-FR"/>
        </w:rPr>
        <w:t xml:space="preserve"> </w:t>
      </w:r>
      <w:r w:rsidRPr="0044640A">
        <w:rPr>
          <w:lang w:val="fr-FR"/>
        </w:rPr>
        <w:t xml:space="preserve">Le choix des activités et leur </w:t>
      </w:r>
      <w:r w:rsidR="006B3334" w:rsidRPr="0044640A">
        <w:rPr>
          <w:lang w:val="fr-FR"/>
        </w:rPr>
        <w:t>plan de déroulement</w:t>
      </w:r>
      <w:r w:rsidRPr="0044640A">
        <w:rPr>
          <w:lang w:val="fr-FR"/>
        </w:rPr>
        <w:t xml:space="preserve"> ont </w:t>
      </w:r>
      <w:r w:rsidR="006B3334" w:rsidRPr="0044640A">
        <w:rPr>
          <w:lang w:val="fr-FR"/>
        </w:rPr>
        <w:t xml:space="preserve">contribué à </w:t>
      </w:r>
      <w:r w:rsidRPr="0044640A">
        <w:rPr>
          <w:lang w:val="fr-FR"/>
        </w:rPr>
        <w:t>l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atteinte des objectifs.</w:t>
      </w:r>
      <w:r w:rsidR="004E6C89" w:rsidRPr="0044640A">
        <w:rPr>
          <w:lang w:val="fr-FR"/>
        </w:rPr>
        <w:t xml:space="preserve"> </w:t>
      </w:r>
      <w:r w:rsidR="008D679C" w:rsidRPr="0044640A">
        <w:rPr>
          <w:lang w:val="fr-FR"/>
        </w:rPr>
        <w:t xml:space="preserve"> </w:t>
      </w:r>
      <w:r w:rsidRPr="0044640A">
        <w:rPr>
          <w:lang w:val="fr-FR"/>
        </w:rPr>
        <w:t>Les recherches menées sur l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 xml:space="preserve">utilisation des modèles de partenariat ouvert, le recensement des </w:t>
      </w:r>
      <w:r w:rsidRPr="0044640A">
        <w:rPr>
          <w:lang w:val="fr-FR"/>
        </w:rPr>
        <w:lastRenderedPageBreak/>
        <w:t>pratiques recommandées, puis la mise à disposition d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une plate</w:t>
      </w:r>
      <w:r w:rsidR="008D0F05" w:rsidRPr="0044640A">
        <w:rPr>
          <w:lang w:val="fr-FR"/>
        </w:rPr>
        <w:noBreakHyphen/>
      </w:r>
      <w:r w:rsidRPr="0044640A">
        <w:rPr>
          <w:lang w:val="fr-FR"/>
        </w:rPr>
        <w:t>forme pour étudier les résultats et partager les données d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expérience entre experts et avec les autres parties prenantes, sont un moyen approprié de favoriser l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échange de données d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expérience.</w:t>
      </w:r>
      <w:r w:rsidR="004E6C89" w:rsidRPr="0044640A">
        <w:rPr>
          <w:lang w:val="fr-FR"/>
        </w:rPr>
        <w:t xml:space="preserve"> </w:t>
      </w:r>
      <w:r w:rsidR="008D679C" w:rsidRPr="0044640A">
        <w:rPr>
          <w:lang w:val="fr-FR"/>
        </w:rPr>
        <w:t xml:space="preserve"> </w:t>
      </w:r>
      <w:r w:rsidR="0093337A" w:rsidRPr="0044640A">
        <w:rPr>
          <w:bCs/>
          <w:lang w:val="fr-FR"/>
        </w:rPr>
        <w:t xml:space="preserve">Les activités qui </w:t>
      </w:r>
      <w:r w:rsidR="006B3334" w:rsidRPr="0044640A">
        <w:rPr>
          <w:bCs/>
          <w:lang w:val="fr-FR"/>
        </w:rPr>
        <w:t>o</w:t>
      </w:r>
      <w:r w:rsidR="0093337A" w:rsidRPr="0044640A">
        <w:rPr>
          <w:bCs/>
          <w:lang w:val="fr-FR"/>
        </w:rPr>
        <w:t>nt été menées à bien étaient bien préparées et organisées.</w:t>
      </w: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93337A" w:rsidP="0044640A">
      <w:pPr>
        <w:rPr>
          <w:lang w:val="fr-FR"/>
        </w:rPr>
      </w:pPr>
      <w:r w:rsidRPr="0044640A">
        <w:rPr>
          <w:lang w:val="fr-FR"/>
        </w:rPr>
        <w:t>L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 xml:space="preserve">utilisation </w:t>
      </w:r>
      <w:proofErr w:type="gramStart"/>
      <w:r w:rsidRPr="0044640A">
        <w:rPr>
          <w:lang w:val="fr-FR"/>
        </w:rPr>
        <w:t>d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outils standard</w:t>
      </w:r>
      <w:proofErr w:type="gramEnd"/>
      <w:r w:rsidRPr="0044640A">
        <w:rPr>
          <w:lang w:val="fr-FR"/>
        </w:rPr>
        <w:t xml:space="preserve"> </w:t>
      </w:r>
      <w:r w:rsidR="006B3334" w:rsidRPr="0044640A">
        <w:rPr>
          <w:lang w:val="fr-FR"/>
        </w:rPr>
        <w:t>pour</w:t>
      </w:r>
      <w:r w:rsidRPr="0044640A">
        <w:rPr>
          <w:lang w:val="fr-FR"/>
        </w:rPr>
        <w:t xml:space="preserve"> </w:t>
      </w:r>
      <w:r w:rsidR="006B3334" w:rsidRPr="0044640A">
        <w:rPr>
          <w:lang w:val="fr-FR"/>
        </w:rPr>
        <w:t xml:space="preserve">la </w:t>
      </w:r>
      <w:r w:rsidRPr="0044640A">
        <w:rPr>
          <w:lang w:val="fr-FR"/>
        </w:rPr>
        <w:t>gestion axée sur les résultats dans le cadre de la planification et du suivi d</w:t>
      </w:r>
      <w:r w:rsidR="006B3334" w:rsidRPr="0044640A">
        <w:rPr>
          <w:lang w:val="fr-FR"/>
        </w:rPr>
        <w:t xml:space="preserve">u </w:t>
      </w:r>
      <w:r w:rsidRPr="0044640A">
        <w:rPr>
          <w:lang w:val="fr-FR"/>
        </w:rPr>
        <w:t>projet a cependant été insuffisante.</w:t>
      </w:r>
      <w:r w:rsidR="004E6C89" w:rsidRPr="0044640A">
        <w:rPr>
          <w:lang w:val="fr-FR"/>
        </w:rPr>
        <w:t xml:space="preserve"> </w:t>
      </w:r>
      <w:r w:rsidR="008D679C" w:rsidRPr="0044640A">
        <w:rPr>
          <w:lang w:val="fr-FR"/>
        </w:rPr>
        <w:t xml:space="preserve"> </w:t>
      </w:r>
      <w:r w:rsidRPr="0044640A">
        <w:rPr>
          <w:lang w:val="fr-FR"/>
        </w:rPr>
        <w:t>Les rapports sur l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état d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avancement énumèrent des activités plutôt qu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ils ne comparent les résultats obtenus par rapport aux résultats escomptés au moyen d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indicateurs précis, mesurables, ambitieux, pertinents et assortis de délais (“SMART”).</w:t>
      </w:r>
      <w:r w:rsidR="004E6C89" w:rsidRPr="0044640A">
        <w:rPr>
          <w:lang w:val="fr-FR"/>
        </w:rPr>
        <w:t xml:space="preserve"> </w:t>
      </w:r>
      <w:r w:rsidR="008D679C" w:rsidRPr="0044640A">
        <w:rPr>
          <w:lang w:val="fr-FR"/>
        </w:rPr>
        <w:t xml:space="preserve"> </w:t>
      </w:r>
      <w:r w:rsidRPr="0044640A">
        <w:rPr>
          <w:lang w:val="fr-FR"/>
        </w:rPr>
        <w:t>Les hypothèses et les risques n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 xml:space="preserve">ont </w:t>
      </w:r>
      <w:r w:rsidR="006B3334" w:rsidRPr="0044640A">
        <w:rPr>
          <w:lang w:val="fr-FR"/>
        </w:rPr>
        <w:t xml:space="preserve">pas </w:t>
      </w:r>
      <w:r w:rsidRPr="0044640A">
        <w:rPr>
          <w:lang w:val="fr-FR"/>
        </w:rPr>
        <w:t xml:space="preserve">été recensés </w:t>
      </w:r>
      <w:r w:rsidR="006B3334" w:rsidRPr="0044640A">
        <w:rPr>
          <w:lang w:val="fr-FR"/>
        </w:rPr>
        <w:t>et n</w:t>
      </w:r>
      <w:r w:rsidR="00F93954" w:rsidRPr="0044640A">
        <w:rPr>
          <w:lang w:val="fr-FR"/>
        </w:rPr>
        <w:t>’</w:t>
      </w:r>
      <w:r w:rsidR="006B3334" w:rsidRPr="0044640A">
        <w:rPr>
          <w:lang w:val="fr-FR"/>
        </w:rPr>
        <w:t>ont pas fait l</w:t>
      </w:r>
      <w:r w:rsidR="00F93954" w:rsidRPr="0044640A">
        <w:rPr>
          <w:lang w:val="fr-FR"/>
        </w:rPr>
        <w:t>’</w:t>
      </w:r>
      <w:r w:rsidR="006B3334" w:rsidRPr="0044640A">
        <w:rPr>
          <w:lang w:val="fr-FR"/>
        </w:rPr>
        <w:t>objet d</w:t>
      </w:r>
      <w:r w:rsidR="00F93954" w:rsidRPr="0044640A">
        <w:rPr>
          <w:lang w:val="fr-FR"/>
        </w:rPr>
        <w:t>’</w:t>
      </w:r>
      <w:r w:rsidR="006B3334" w:rsidRPr="0044640A">
        <w:rPr>
          <w:lang w:val="fr-FR"/>
        </w:rPr>
        <w:t>un suiv</w:t>
      </w:r>
      <w:r w:rsidRPr="0044640A">
        <w:rPr>
          <w:lang w:val="fr-FR"/>
        </w:rPr>
        <w:t>i.</w:t>
      </w:r>
      <w:r w:rsidR="004E6C89" w:rsidRPr="0044640A">
        <w:rPr>
          <w:lang w:val="fr-FR"/>
        </w:rPr>
        <w:t xml:space="preserve"> </w:t>
      </w:r>
      <w:r w:rsidR="008D679C" w:rsidRPr="0044640A">
        <w:rPr>
          <w:lang w:val="fr-FR"/>
        </w:rPr>
        <w:t xml:space="preserve"> </w:t>
      </w:r>
      <w:r w:rsidR="006B3334" w:rsidRPr="0044640A">
        <w:rPr>
          <w:lang w:val="fr-FR"/>
        </w:rPr>
        <w:t>Faute</w:t>
      </w:r>
      <w:r w:rsidRPr="0044640A">
        <w:rPr>
          <w:lang w:val="fr-FR"/>
        </w:rPr>
        <w:t xml:space="preserve"> d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 xml:space="preserve">un calcul des coûts réaliste et détaillé, le budget alloué au </w:t>
      </w:r>
      <w:r w:rsidR="006B3334" w:rsidRPr="0044640A">
        <w:rPr>
          <w:lang w:val="fr-FR"/>
        </w:rPr>
        <w:t>p</w:t>
      </w:r>
      <w:r w:rsidRPr="0044640A">
        <w:rPr>
          <w:lang w:val="fr-FR"/>
        </w:rPr>
        <w:t>rojet a été largement sur</w:t>
      </w:r>
      <w:r w:rsidR="006B3334" w:rsidRPr="0044640A">
        <w:rPr>
          <w:lang w:val="fr-FR"/>
        </w:rPr>
        <w:t>évalu</w:t>
      </w:r>
      <w:r w:rsidRPr="0044640A">
        <w:rPr>
          <w:lang w:val="fr-FR"/>
        </w:rPr>
        <w:t>é.</w:t>
      </w:r>
      <w:r w:rsidR="004E6C89" w:rsidRPr="0044640A">
        <w:rPr>
          <w:lang w:val="fr-FR"/>
        </w:rPr>
        <w:t xml:space="preserve"> </w:t>
      </w:r>
      <w:r w:rsidR="00BF6297" w:rsidRPr="0044640A">
        <w:rPr>
          <w:lang w:val="fr-FR"/>
        </w:rPr>
        <w:t xml:space="preserve"> </w:t>
      </w:r>
      <w:r w:rsidR="00777AAF" w:rsidRPr="0044640A">
        <w:rPr>
          <w:lang w:val="fr-FR"/>
        </w:rPr>
        <w:t xml:space="preserve">Une budgétisation approximative bloque </w:t>
      </w:r>
      <w:r w:rsidR="006B3334" w:rsidRPr="0044640A">
        <w:rPr>
          <w:lang w:val="fr-FR"/>
        </w:rPr>
        <w:t>d</w:t>
      </w:r>
      <w:r w:rsidR="00777AAF" w:rsidRPr="0044640A">
        <w:rPr>
          <w:lang w:val="fr-FR"/>
        </w:rPr>
        <w:t>es ressources qui contribueraient no</w:t>
      </w:r>
      <w:r w:rsidR="00E1772A" w:rsidRPr="0044640A">
        <w:rPr>
          <w:lang w:val="fr-FR"/>
        </w:rPr>
        <w:t>rmalement</w:t>
      </w:r>
      <w:r w:rsidR="00777AAF" w:rsidRPr="0044640A">
        <w:rPr>
          <w:lang w:val="fr-FR"/>
        </w:rPr>
        <w:t xml:space="preserve"> à générer des retombées positives pour les </w:t>
      </w:r>
      <w:r w:rsidR="00BF6297" w:rsidRPr="0044640A">
        <w:rPr>
          <w:lang w:val="fr-FR"/>
        </w:rPr>
        <w:t>É</w:t>
      </w:r>
      <w:r w:rsidR="00777AAF" w:rsidRPr="0044640A">
        <w:rPr>
          <w:lang w:val="fr-FR"/>
        </w:rPr>
        <w:t>tats membres.</w:t>
      </w:r>
      <w:r w:rsidR="004E6C89" w:rsidRPr="0044640A">
        <w:rPr>
          <w:lang w:val="fr-FR"/>
        </w:rPr>
        <w:t xml:space="preserve"> </w:t>
      </w:r>
      <w:r w:rsidR="008D679C" w:rsidRPr="0044640A">
        <w:rPr>
          <w:lang w:val="fr-FR"/>
        </w:rPr>
        <w:t xml:space="preserve"> </w:t>
      </w:r>
      <w:r w:rsidR="00777AAF" w:rsidRPr="0044640A">
        <w:rPr>
          <w:lang w:val="fr-FR"/>
        </w:rPr>
        <w:t xml:space="preserve">Il existe en outre le risque que les projets soient “reconduits” au seul motif que </w:t>
      </w:r>
      <w:r w:rsidR="00E1772A" w:rsidRPr="0044640A">
        <w:rPr>
          <w:lang w:val="fr-FR"/>
        </w:rPr>
        <w:t>d</w:t>
      </w:r>
      <w:r w:rsidR="00777AAF" w:rsidRPr="0044640A">
        <w:rPr>
          <w:lang w:val="fr-FR"/>
        </w:rPr>
        <w:t xml:space="preserve">es ressources </w:t>
      </w:r>
      <w:r w:rsidR="00E1772A" w:rsidRPr="0044640A">
        <w:rPr>
          <w:lang w:val="fr-FR"/>
        </w:rPr>
        <w:t>demeure</w:t>
      </w:r>
      <w:r w:rsidR="00777AAF" w:rsidRPr="0044640A">
        <w:rPr>
          <w:lang w:val="fr-FR"/>
        </w:rPr>
        <w:t>nt disponibles.</w:t>
      </w:r>
      <w:r w:rsidR="008D679C" w:rsidRPr="0044640A">
        <w:rPr>
          <w:lang w:val="fr-FR"/>
        </w:rPr>
        <w:t xml:space="preserve"> </w:t>
      </w:r>
      <w:r w:rsidR="004E6C89" w:rsidRPr="0044640A">
        <w:rPr>
          <w:lang w:val="fr-FR"/>
        </w:rPr>
        <w:t xml:space="preserve"> </w:t>
      </w:r>
      <w:r w:rsidR="00777AAF" w:rsidRPr="0044640A">
        <w:rPr>
          <w:lang w:val="fr-FR"/>
        </w:rPr>
        <w:t>Un rapport budgétaire et financier présentant les types de coûts pour chaque objectif fait défaut.</w:t>
      </w: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777AAF" w:rsidP="0044640A">
      <w:pPr>
        <w:rPr>
          <w:lang w:val="fr-FR"/>
        </w:rPr>
      </w:pPr>
      <w:r w:rsidRPr="0044640A">
        <w:rPr>
          <w:lang w:val="fr-FR"/>
        </w:rPr>
        <w:t xml:space="preserve">La mise en </w:t>
      </w:r>
      <w:r w:rsidR="00BF6297" w:rsidRPr="0044640A">
        <w:rPr>
          <w:lang w:val="fr-FR"/>
        </w:rPr>
        <w:t xml:space="preserve">œuvre </w:t>
      </w:r>
      <w:r w:rsidRPr="0044640A">
        <w:rPr>
          <w:lang w:val="fr-FR"/>
        </w:rPr>
        <w:t xml:space="preserve">du projet a </w:t>
      </w:r>
      <w:r w:rsidR="00E1772A" w:rsidRPr="0044640A">
        <w:rPr>
          <w:lang w:val="fr-FR"/>
        </w:rPr>
        <w:t>progress</w:t>
      </w:r>
      <w:r w:rsidRPr="0044640A">
        <w:rPr>
          <w:lang w:val="fr-FR"/>
        </w:rPr>
        <w:t>é lentement.</w:t>
      </w:r>
      <w:r w:rsidR="008D679C" w:rsidRPr="0044640A">
        <w:rPr>
          <w:lang w:val="fr-FR"/>
        </w:rPr>
        <w:t xml:space="preserve"> </w:t>
      </w:r>
      <w:r w:rsidR="004E6C89" w:rsidRPr="0044640A">
        <w:rPr>
          <w:lang w:val="fr-FR"/>
        </w:rPr>
        <w:t xml:space="preserve"> </w:t>
      </w:r>
      <w:r w:rsidR="004F3307" w:rsidRPr="0044640A">
        <w:rPr>
          <w:lang w:val="fr-FR"/>
        </w:rPr>
        <w:t>Les 30</w:t>
      </w:r>
      <w:r w:rsidR="00BF6297" w:rsidRPr="0044640A">
        <w:rPr>
          <w:lang w:val="fr-FR"/>
        </w:rPr>
        <w:t> </w:t>
      </w:r>
      <w:r w:rsidR="004F3307" w:rsidRPr="0044640A">
        <w:rPr>
          <w:lang w:val="fr-FR"/>
        </w:rPr>
        <w:t>mois prévus initialement auraient dû être suffisants pour mener à bien le nombre limité d</w:t>
      </w:r>
      <w:r w:rsidR="00F93954" w:rsidRPr="0044640A">
        <w:rPr>
          <w:lang w:val="fr-FR"/>
        </w:rPr>
        <w:t>’</w:t>
      </w:r>
      <w:r w:rsidR="004F3307" w:rsidRPr="0044640A">
        <w:rPr>
          <w:lang w:val="fr-FR"/>
        </w:rPr>
        <w:t>activités.</w:t>
      </w:r>
      <w:r w:rsidR="004E6C89" w:rsidRPr="0044640A">
        <w:rPr>
          <w:lang w:val="fr-FR"/>
        </w:rPr>
        <w:t xml:space="preserve"> </w:t>
      </w:r>
      <w:r w:rsidR="00BF6297" w:rsidRPr="0044640A">
        <w:rPr>
          <w:lang w:val="fr-FR"/>
        </w:rPr>
        <w:t xml:space="preserve"> </w:t>
      </w:r>
      <w:r w:rsidR="004F3307" w:rsidRPr="0044640A">
        <w:rPr>
          <w:lang w:val="fr-FR"/>
        </w:rPr>
        <w:t>Même après la prolongation accordée par</w:t>
      </w:r>
      <w:r w:rsidR="00F93954" w:rsidRPr="0044640A">
        <w:rPr>
          <w:lang w:val="fr-FR"/>
        </w:rPr>
        <w:t xml:space="preserve"> le CDI</w:t>
      </w:r>
      <w:r w:rsidR="004F3307" w:rsidRPr="0044640A">
        <w:rPr>
          <w:lang w:val="fr-FR"/>
        </w:rPr>
        <w:t>P, aucune mesure n</w:t>
      </w:r>
      <w:r w:rsidR="00F93954" w:rsidRPr="0044640A">
        <w:rPr>
          <w:lang w:val="fr-FR"/>
        </w:rPr>
        <w:t>’</w:t>
      </w:r>
      <w:r w:rsidR="004F3307" w:rsidRPr="0044640A">
        <w:rPr>
          <w:lang w:val="fr-FR"/>
        </w:rPr>
        <w:t xml:space="preserve">a été prise pour accélérer la mise en </w:t>
      </w:r>
      <w:r w:rsidR="00BF6297" w:rsidRPr="0044640A">
        <w:rPr>
          <w:lang w:val="fr-FR"/>
        </w:rPr>
        <w:t>œuvre</w:t>
      </w:r>
      <w:r w:rsidR="004F3307" w:rsidRPr="0044640A">
        <w:rPr>
          <w:lang w:val="fr-FR"/>
        </w:rPr>
        <w:t>.</w:t>
      </w:r>
      <w:r w:rsidR="004E6C89" w:rsidRPr="0044640A">
        <w:rPr>
          <w:lang w:val="fr-FR"/>
        </w:rPr>
        <w:t xml:space="preserve"> </w:t>
      </w:r>
      <w:r w:rsidR="008D679C" w:rsidRPr="0044640A">
        <w:rPr>
          <w:lang w:val="fr-FR"/>
        </w:rPr>
        <w:t xml:space="preserve"> </w:t>
      </w:r>
      <w:r w:rsidR="004F3307" w:rsidRPr="0044640A">
        <w:rPr>
          <w:lang w:val="fr-FR"/>
        </w:rPr>
        <w:t>Les</w:t>
      </w:r>
      <w:r w:rsidR="00E1772A" w:rsidRPr="0044640A">
        <w:rPr>
          <w:lang w:val="fr-FR"/>
        </w:rPr>
        <w:t> </w:t>
      </w:r>
      <w:r w:rsidR="004F3307" w:rsidRPr="0044640A">
        <w:rPr>
          <w:lang w:val="fr-FR"/>
        </w:rPr>
        <w:t>retards sont coûteux et entraînent un</w:t>
      </w:r>
      <w:r w:rsidR="00E1772A" w:rsidRPr="0044640A">
        <w:rPr>
          <w:lang w:val="fr-FR"/>
        </w:rPr>
        <w:t xml:space="preserve"> certain essoufflement</w:t>
      </w:r>
      <w:r w:rsidR="004F3307" w:rsidRPr="0044640A">
        <w:rPr>
          <w:lang w:val="fr-FR"/>
        </w:rPr>
        <w:t>.</w:t>
      </w:r>
      <w:r w:rsidR="008D679C" w:rsidRPr="0044640A">
        <w:rPr>
          <w:lang w:val="fr-FR"/>
        </w:rPr>
        <w:t xml:space="preserve"> </w:t>
      </w:r>
      <w:r w:rsidR="004E6C89" w:rsidRPr="0044640A">
        <w:rPr>
          <w:lang w:val="fr-FR"/>
        </w:rPr>
        <w:t xml:space="preserve"> </w:t>
      </w:r>
      <w:r w:rsidR="004F3307" w:rsidRPr="0044640A">
        <w:rPr>
          <w:lang w:val="fr-FR"/>
        </w:rPr>
        <w:t>S</w:t>
      </w:r>
      <w:r w:rsidR="00F93954" w:rsidRPr="0044640A">
        <w:rPr>
          <w:lang w:val="fr-FR"/>
        </w:rPr>
        <w:t>’</w:t>
      </w:r>
      <w:r w:rsidR="004F3307" w:rsidRPr="0044640A">
        <w:rPr>
          <w:lang w:val="fr-FR"/>
        </w:rPr>
        <w:t xml:space="preserve">ils ne </w:t>
      </w:r>
      <w:r w:rsidR="00E1772A" w:rsidRPr="0044640A">
        <w:rPr>
          <w:lang w:val="fr-FR"/>
        </w:rPr>
        <w:t>so</w:t>
      </w:r>
      <w:r w:rsidR="004F3307" w:rsidRPr="0044640A">
        <w:rPr>
          <w:lang w:val="fr-FR"/>
        </w:rPr>
        <w:t xml:space="preserve">nt </w:t>
      </w:r>
      <w:r w:rsidR="00E1772A" w:rsidRPr="0044640A">
        <w:rPr>
          <w:lang w:val="fr-FR"/>
        </w:rPr>
        <w:t>pas d</w:t>
      </w:r>
      <w:r w:rsidR="004F3307" w:rsidRPr="0044640A">
        <w:rPr>
          <w:lang w:val="fr-FR"/>
        </w:rPr>
        <w:t>us à de</w:t>
      </w:r>
      <w:r w:rsidR="00BF6297" w:rsidRPr="0044640A">
        <w:rPr>
          <w:lang w:val="fr-FR"/>
        </w:rPr>
        <w:t>s</w:t>
      </w:r>
      <w:r w:rsidR="004F3307" w:rsidRPr="0044640A">
        <w:rPr>
          <w:lang w:val="fr-FR"/>
        </w:rPr>
        <w:t xml:space="preserve"> facteurs externes imprévisibles,</w:t>
      </w:r>
      <w:r w:rsidR="00BF6297" w:rsidRPr="0044640A">
        <w:rPr>
          <w:lang w:val="fr-FR"/>
        </w:rPr>
        <w:t xml:space="preserve"> </w:t>
      </w:r>
      <w:r w:rsidR="004F3307" w:rsidRPr="0044640A">
        <w:rPr>
          <w:lang w:val="fr-FR"/>
        </w:rPr>
        <w:t>les retards dans l</w:t>
      </w:r>
      <w:r w:rsidR="00F93954" w:rsidRPr="0044640A">
        <w:rPr>
          <w:lang w:val="fr-FR"/>
        </w:rPr>
        <w:t>’</w:t>
      </w:r>
      <w:r w:rsidR="00E1772A" w:rsidRPr="0044640A">
        <w:rPr>
          <w:lang w:val="fr-FR"/>
        </w:rPr>
        <w:t>exécution</w:t>
      </w:r>
      <w:r w:rsidR="00BF6297" w:rsidRPr="0044640A">
        <w:rPr>
          <w:lang w:val="fr-FR"/>
        </w:rPr>
        <w:t xml:space="preserve"> </w:t>
      </w:r>
      <w:r w:rsidR="004F3307" w:rsidRPr="0044640A">
        <w:rPr>
          <w:lang w:val="fr-FR"/>
        </w:rPr>
        <w:t>érodent la confiance des États membres dans l</w:t>
      </w:r>
      <w:r w:rsidR="00E1772A" w:rsidRPr="0044640A">
        <w:rPr>
          <w:lang w:val="fr-FR"/>
        </w:rPr>
        <w:t>a</w:t>
      </w:r>
      <w:r w:rsidR="004F3307" w:rsidRPr="0044640A">
        <w:rPr>
          <w:lang w:val="fr-FR"/>
        </w:rPr>
        <w:t xml:space="preserve"> capacité de mise en </w:t>
      </w:r>
      <w:r w:rsidR="00BF6297" w:rsidRPr="0044640A">
        <w:rPr>
          <w:lang w:val="fr-FR"/>
        </w:rPr>
        <w:t xml:space="preserve">œuvre </w:t>
      </w:r>
      <w:r w:rsidR="004F3307" w:rsidRPr="0044640A">
        <w:rPr>
          <w:lang w:val="fr-FR"/>
        </w:rPr>
        <w:t>d</w:t>
      </w:r>
      <w:r w:rsidR="00E1772A" w:rsidRPr="0044640A">
        <w:rPr>
          <w:lang w:val="fr-FR"/>
        </w:rPr>
        <w:t>u</w:t>
      </w:r>
      <w:r w:rsidR="004F3307" w:rsidRPr="0044640A">
        <w:rPr>
          <w:lang w:val="fr-FR"/>
        </w:rPr>
        <w:t xml:space="preserve"> projet du Secrétariat.</w:t>
      </w: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AA58A2" w:rsidP="0044640A">
      <w:pPr>
        <w:rPr>
          <w:b/>
          <w:lang w:val="fr-FR"/>
        </w:rPr>
      </w:pPr>
      <w:r w:rsidRPr="0044640A">
        <w:rPr>
          <w:b/>
          <w:lang w:val="fr-FR"/>
        </w:rPr>
        <w:t>Conclusion n°</w:t>
      </w:r>
      <w:r w:rsidR="00BF6297" w:rsidRPr="0044640A">
        <w:rPr>
          <w:b/>
          <w:lang w:val="fr-FR"/>
        </w:rPr>
        <w:t> </w:t>
      </w:r>
      <w:r w:rsidRPr="0044640A">
        <w:rPr>
          <w:b/>
          <w:lang w:val="fr-FR"/>
        </w:rPr>
        <w:t>3</w:t>
      </w:r>
      <w:r w:rsidR="00BF6297" w:rsidRPr="0044640A">
        <w:rPr>
          <w:b/>
          <w:lang w:val="fr-FR"/>
        </w:rPr>
        <w:t> </w:t>
      </w:r>
      <w:r w:rsidRPr="0044640A">
        <w:rPr>
          <w:b/>
          <w:lang w:val="fr-FR"/>
        </w:rPr>
        <w:t>: les résultats étaient de grande qualité, mais ils n</w:t>
      </w:r>
      <w:r w:rsidR="00F93954" w:rsidRPr="0044640A">
        <w:rPr>
          <w:b/>
          <w:lang w:val="fr-FR"/>
        </w:rPr>
        <w:t>’</w:t>
      </w:r>
      <w:r w:rsidRPr="0044640A">
        <w:rPr>
          <w:b/>
          <w:lang w:val="fr-FR"/>
        </w:rPr>
        <w:t>ont pas tous été obtenus.</w:t>
      </w:r>
      <w:r w:rsidR="004E6C89" w:rsidRPr="0044640A">
        <w:rPr>
          <w:b/>
          <w:lang w:val="fr-FR"/>
        </w:rPr>
        <w:t xml:space="preserve"> </w:t>
      </w:r>
      <w:r w:rsidR="00807AFB" w:rsidRPr="0044640A">
        <w:rPr>
          <w:b/>
          <w:lang w:val="fr-FR"/>
        </w:rPr>
        <w:t xml:space="preserve"> </w:t>
      </w:r>
      <w:r w:rsidRPr="0044640A">
        <w:rPr>
          <w:b/>
          <w:lang w:val="fr-FR"/>
        </w:rPr>
        <w:t>D</w:t>
      </w:r>
      <w:r w:rsidR="00F93954" w:rsidRPr="0044640A">
        <w:rPr>
          <w:b/>
          <w:lang w:val="fr-FR"/>
        </w:rPr>
        <w:t>’</w:t>
      </w:r>
      <w:r w:rsidRPr="0044640A">
        <w:rPr>
          <w:b/>
          <w:lang w:val="fr-FR"/>
        </w:rPr>
        <w:t>une manière générale, le Secrétariat a fait un usage économique des ressources.</w:t>
      </w:r>
      <w:r w:rsidR="00807AFB" w:rsidRPr="0044640A">
        <w:rPr>
          <w:b/>
          <w:lang w:val="fr-FR"/>
        </w:rPr>
        <w:t xml:space="preserve"> </w:t>
      </w:r>
      <w:r w:rsidR="004E6C89" w:rsidRPr="0044640A">
        <w:rPr>
          <w:b/>
          <w:lang w:val="fr-FR"/>
        </w:rPr>
        <w:t xml:space="preserve"> </w:t>
      </w:r>
      <w:r w:rsidR="00E1772A" w:rsidRPr="0044640A">
        <w:rPr>
          <w:b/>
          <w:lang w:val="fr-FR"/>
        </w:rPr>
        <w:t>En l</w:t>
      </w:r>
      <w:r w:rsidR="00F93954" w:rsidRPr="0044640A">
        <w:rPr>
          <w:b/>
          <w:lang w:val="fr-FR"/>
        </w:rPr>
        <w:t>’</w:t>
      </w:r>
      <w:r w:rsidR="00E1772A" w:rsidRPr="0044640A">
        <w:rPr>
          <w:b/>
          <w:lang w:val="fr-FR"/>
        </w:rPr>
        <w:t>absence</w:t>
      </w:r>
      <w:r w:rsidRPr="0044640A">
        <w:rPr>
          <w:b/>
          <w:lang w:val="fr-FR"/>
        </w:rPr>
        <w:t xml:space="preserve"> </w:t>
      </w:r>
      <w:r w:rsidR="00E1772A" w:rsidRPr="0044640A">
        <w:rPr>
          <w:b/>
          <w:lang w:val="fr-FR"/>
        </w:rPr>
        <w:t>de</w:t>
      </w:r>
      <w:r w:rsidRPr="0044640A">
        <w:rPr>
          <w:b/>
          <w:lang w:val="fr-FR"/>
        </w:rPr>
        <w:t xml:space="preserve"> suivi, des résultats initialement prometteurs risquent d</w:t>
      </w:r>
      <w:r w:rsidR="00F93954" w:rsidRPr="0044640A">
        <w:rPr>
          <w:b/>
          <w:lang w:val="fr-FR"/>
        </w:rPr>
        <w:t>’</w:t>
      </w:r>
      <w:r w:rsidRPr="0044640A">
        <w:rPr>
          <w:b/>
          <w:lang w:val="fr-FR"/>
        </w:rPr>
        <w:t>être perdus.</w:t>
      </w:r>
    </w:p>
    <w:p w:rsidR="00F15065" w:rsidRPr="0044640A" w:rsidRDefault="00F15065" w:rsidP="0044640A">
      <w:pPr>
        <w:rPr>
          <w:b/>
          <w:lang w:val="fr-FR"/>
        </w:rPr>
      </w:pPr>
    </w:p>
    <w:p w:rsidR="00F15065" w:rsidRPr="0044640A" w:rsidRDefault="00AA58A2" w:rsidP="0044640A">
      <w:pPr>
        <w:rPr>
          <w:lang w:val="fr-FR"/>
        </w:rPr>
      </w:pPr>
      <w:r w:rsidRPr="0044640A">
        <w:rPr>
          <w:lang w:val="fr-FR"/>
        </w:rPr>
        <w:t>Le projet n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 xml:space="preserve">a pas atteint tous les objectifs </w:t>
      </w:r>
      <w:r w:rsidR="00E1772A" w:rsidRPr="0044640A">
        <w:rPr>
          <w:lang w:val="fr-FR"/>
        </w:rPr>
        <w:t>visés</w:t>
      </w:r>
      <w:r w:rsidRPr="0044640A">
        <w:rPr>
          <w:lang w:val="fr-FR"/>
        </w:rPr>
        <w:t>.</w:t>
      </w:r>
      <w:r w:rsidR="004E6C89" w:rsidRPr="0044640A">
        <w:rPr>
          <w:lang w:val="fr-FR"/>
        </w:rPr>
        <w:t xml:space="preserve"> </w:t>
      </w:r>
      <w:r w:rsidR="00807AFB" w:rsidRPr="0044640A">
        <w:rPr>
          <w:lang w:val="fr-FR"/>
        </w:rPr>
        <w:t xml:space="preserve"> </w:t>
      </w:r>
      <w:r w:rsidR="009339AC" w:rsidRPr="0044640A">
        <w:rPr>
          <w:lang w:val="fr-FR"/>
        </w:rPr>
        <w:t>En réalisant quatre des six</w:t>
      </w:r>
      <w:r w:rsidR="00BF6297" w:rsidRPr="0044640A">
        <w:rPr>
          <w:lang w:val="fr-FR"/>
        </w:rPr>
        <w:t> </w:t>
      </w:r>
      <w:r w:rsidR="009339AC" w:rsidRPr="0044640A">
        <w:rPr>
          <w:lang w:val="fr-FR"/>
        </w:rPr>
        <w:t>résultats escomptés, le projet a contribué au recensement de projets de partenariat ouvert couronnés de succès, notamment dans les pays en développement, s</w:t>
      </w:r>
      <w:r w:rsidR="00F93954" w:rsidRPr="0044640A">
        <w:rPr>
          <w:lang w:val="fr-FR"/>
        </w:rPr>
        <w:t>’</w:t>
      </w:r>
      <w:r w:rsidR="009339AC" w:rsidRPr="0044640A">
        <w:rPr>
          <w:lang w:val="fr-FR"/>
        </w:rPr>
        <w:t xml:space="preserve">inspirant des meilleures pratiques mises en </w:t>
      </w:r>
      <w:r w:rsidR="00BF6297" w:rsidRPr="0044640A">
        <w:rPr>
          <w:lang w:val="fr-FR"/>
        </w:rPr>
        <w:t xml:space="preserve">œuvre </w:t>
      </w:r>
      <w:r w:rsidR="009339AC" w:rsidRPr="0044640A">
        <w:rPr>
          <w:lang w:val="fr-FR"/>
        </w:rPr>
        <w:t xml:space="preserve">et étudiant les résultats </w:t>
      </w:r>
      <w:r w:rsidR="001362AF" w:rsidRPr="0044640A">
        <w:rPr>
          <w:lang w:val="fr-FR"/>
        </w:rPr>
        <w:t>au sein d</w:t>
      </w:r>
      <w:r w:rsidR="00F93954" w:rsidRPr="0044640A">
        <w:rPr>
          <w:lang w:val="fr-FR"/>
        </w:rPr>
        <w:t>’</w:t>
      </w:r>
      <w:r w:rsidR="001362AF" w:rsidRPr="0044640A">
        <w:rPr>
          <w:lang w:val="fr-FR"/>
        </w:rPr>
        <w:t>un public</w:t>
      </w:r>
      <w:r w:rsidR="009339AC" w:rsidRPr="0044640A">
        <w:rPr>
          <w:lang w:val="fr-FR"/>
        </w:rPr>
        <w:t xml:space="preserve"> restreint.</w:t>
      </w:r>
      <w:r w:rsidR="004E6C89" w:rsidRPr="0044640A">
        <w:rPr>
          <w:lang w:val="fr-FR"/>
        </w:rPr>
        <w:t xml:space="preserve"> </w:t>
      </w:r>
      <w:r w:rsidR="00807AFB" w:rsidRPr="0044640A">
        <w:rPr>
          <w:lang w:val="fr-FR"/>
        </w:rPr>
        <w:t xml:space="preserve"> </w:t>
      </w:r>
      <w:r w:rsidR="00041E85" w:rsidRPr="0044640A">
        <w:rPr>
          <w:lang w:val="fr-FR"/>
        </w:rPr>
        <w:t>La plate</w:t>
      </w:r>
      <w:r w:rsidR="008D0F05" w:rsidRPr="0044640A">
        <w:rPr>
          <w:lang w:val="fr-FR"/>
        </w:rPr>
        <w:noBreakHyphen/>
      </w:r>
      <w:r w:rsidR="00041E85" w:rsidRPr="0044640A">
        <w:rPr>
          <w:lang w:val="fr-FR"/>
        </w:rPr>
        <w:t>forme interactive</w:t>
      </w:r>
      <w:r w:rsidR="00BF6297" w:rsidRPr="0044640A">
        <w:rPr>
          <w:lang w:val="fr-FR"/>
        </w:rPr>
        <w:t>,</w:t>
      </w:r>
      <w:r w:rsidR="00041E85" w:rsidRPr="0044640A">
        <w:rPr>
          <w:lang w:val="fr-FR"/>
        </w:rPr>
        <w:t xml:space="preserve"> qui n</w:t>
      </w:r>
      <w:r w:rsidR="00F93954" w:rsidRPr="0044640A">
        <w:rPr>
          <w:lang w:val="fr-FR"/>
        </w:rPr>
        <w:t>’</w:t>
      </w:r>
      <w:r w:rsidR="00041E85" w:rsidRPr="0044640A">
        <w:rPr>
          <w:lang w:val="fr-FR"/>
        </w:rPr>
        <w:t>est pas encore achevée (résultat</w:t>
      </w:r>
      <w:r w:rsidR="00646A21" w:rsidRPr="0044640A">
        <w:rPr>
          <w:lang w:val="fr-FR"/>
        </w:rPr>
        <w:t xml:space="preserve"> n° </w:t>
      </w:r>
      <w:r w:rsidR="00041E85" w:rsidRPr="0044640A">
        <w:rPr>
          <w:lang w:val="fr-FR"/>
        </w:rPr>
        <w:t>5)</w:t>
      </w:r>
      <w:r w:rsidR="00BF6297" w:rsidRPr="0044640A">
        <w:rPr>
          <w:lang w:val="fr-FR"/>
        </w:rPr>
        <w:t>,</w:t>
      </w:r>
      <w:r w:rsidR="00041E85" w:rsidRPr="0044640A">
        <w:rPr>
          <w:lang w:val="fr-FR"/>
        </w:rPr>
        <w:t xml:space="preserve"> joue un rôle central dans l</w:t>
      </w:r>
      <w:r w:rsidR="00F93954" w:rsidRPr="0044640A">
        <w:rPr>
          <w:lang w:val="fr-FR"/>
        </w:rPr>
        <w:t>’</w:t>
      </w:r>
      <w:r w:rsidR="00041E85" w:rsidRPr="0044640A">
        <w:rPr>
          <w:lang w:val="fr-FR"/>
        </w:rPr>
        <w:t>échange de bonnes pratiques avec un public plus large et la mise à disposition d</w:t>
      </w:r>
      <w:r w:rsidR="00F93954" w:rsidRPr="0044640A">
        <w:rPr>
          <w:lang w:val="fr-FR"/>
        </w:rPr>
        <w:t>’</w:t>
      </w:r>
      <w:r w:rsidR="00041E85" w:rsidRPr="0044640A">
        <w:rPr>
          <w:lang w:val="fr-FR"/>
        </w:rPr>
        <w:t>outils pratiques pour soutenir l</w:t>
      </w:r>
      <w:r w:rsidR="00F93954" w:rsidRPr="0044640A">
        <w:rPr>
          <w:lang w:val="fr-FR"/>
        </w:rPr>
        <w:t>’</w:t>
      </w:r>
      <w:r w:rsidR="00041E85" w:rsidRPr="0044640A">
        <w:rPr>
          <w:lang w:val="fr-FR"/>
        </w:rPr>
        <w:t>innovation ouverte.</w:t>
      </w:r>
      <w:r w:rsidR="004E6C89" w:rsidRPr="0044640A">
        <w:rPr>
          <w:lang w:val="fr-FR"/>
        </w:rPr>
        <w:t xml:space="preserve"> </w:t>
      </w:r>
      <w:r w:rsidR="00807AFB" w:rsidRPr="0044640A">
        <w:rPr>
          <w:lang w:val="fr-FR"/>
        </w:rPr>
        <w:t xml:space="preserve"> </w:t>
      </w:r>
      <w:r w:rsidR="00041E85" w:rsidRPr="0044640A">
        <w:rPr>
          <w:lang w:val="fr-FR"/>
        </w:rPr>
        <w:t>En raison des retards dans la réalisation de la plate</w:t>
      </w:r>
      <w:r w:rsidR="008D0F05" w:rsidRPr="0044640A">
        <w:rPr>
          <w:lang w:val="fr-FR"/>
        </w:rPr>
        <w:noBreakHyphen/>
      </w:r>
      <w:r w:rsidR="00041E85" w:rsidRPr="0044640A">
        <w:rPr>
          <w:lang w:val="fr-FR"/>
        </w:rPr>
        <w:t>forme, les travaux de l</w:t>
      </w:r>
      <w:r w:rsidR="00F93954" w:rsidRPr="0044640A">
        <w:rPr>
          <w:lang w:val="fr-FR"/>
        </w:rPr>
        <w:t>’</w:t>
      </w:r>
      <w:r w:rsidR="00041E85" w:rsidRPr="0044640A">
        <w:rPr>
          <w:lang w:val="fr-FR"/>
        </w:rPr>
        <w:t>OMPI dans le domaine des partenariats ouverts risquent de s</w:t>
      </w:r>
      <w:r w:rsidR="00F93954" w:rsidRPr="0044640A">
        <w:rPr>
          <w:lang w:val="fr-FR"/>
        </w:rPr>
        <w:t>’</w:t>
      </w:r>
      <w:r w:rsidR="00041E85" w:rsidRPr="0044640A">
        <w:rPr>
          <w:lang w:val="fr-FR"/>
        </w:rPr>
        <w:t>essouffler.</w:t>
      </w:r>
      <w:r w:rsidR="004E6C89" w:rsidRPr="0044640A">
        <w:rPr>
          <w:lang w:val="fr-FR"/>
        </w:rPr>
        <w:t xml:space="preserve"> </w:t>
      </w:r>
      <w:r w:rsidR="00BF6297" w:rsidRPr="0044640A">
        <w:rPr>
          <w:lang w:val="fr-FR"/>
        </w:rPr>
        <w:t xml:space="preserve"> </w:t>
      </w:r>
      <w:r w:rsidR="001A38F8" w:rsidRPr="0044640A">
        <w:rPr>
          <w:lang w:val="fr-FR"/>
        </w:rPr>
        <w:t>Aucune mesure n</w:t>
      </w:r>
      <w:r w:rsidR="00F93954" w:rsidRPr="0044640A">
        <w:rPr>
          <w:lang w:val="fr-FR"/>
        </w:rPr>
        <w:t>’</w:t>
      </w:r>
      <w:r w:rsidR="001A38F8" w:rsidRPr="0044640A">
        <w:rPr>
          <w:lang w:val="fr-FR"/>
        </w:rPr>
        <w:t>a été prise pour intégrer les résultats du projet dans les activités de programme existantes de l</w:t>
      </w:r>
      <w:r w:rsidR="00F93954" w:rsidRPr="0044640A">
        <w:rPr>
          <w:lang w:val="fr-FR"/>
        </w:rPr>
        <w:t>’</w:t>
      </w:r>
      <w:r w:rsidR="001A38F8" w:rsidRPr="0044640A">
        <w:rPr>
          <w:lang w:val="fr-FR"/>
        </w:rPr>
        <w:t>OMPI.</w:t>
      </w:r>
      <w:r w:rsidR="004E6C89" w:rsidRPr="0044640A">
        <w:rPr>
          <w:lang w:val="fr-FR"/>
        </w:rPr>
        <w:t xml:space="preserve"> </w:t>
      </w:r>
      <w:r w:rsidR="00807AFB" w:rsidRPr="0044640A">
        <w:rPr>
          <w:lang w:val="fr-FR"/>
        </w:rPr>
        <w:t xml:space="preserve"> </w:t>
      </w:r>
      <w:r w:rsidR="001A38F8" w:rsidRPr="0044640A">
        <w:rPr>
          <w:lang w:val="fr-FR"/>
        </w:rPr>
        <w:t>Selon les termes du “résultat”</w:t>
      </w:r>
      <w:r w:rsidR="00646A21" w:rsidRPr="0044640A">
        <w:rPr>
          <w:lang w:val="fr-FR"/>
        </w:rPr>
        <w:t xml:space="preserve"> n° </w:t>
      </w:r>
      <w:r w:rsidR="001A38F8" w:rsidRPr="0044640A">
        <w:rPr>
          <w:lang w:val="fr-FR"/>
        </w:rPr>
        <w:t xml:space="preserve">6, les </w:t>
      </w:r>
      <w:r w:rsidR="00BF6297" w:rsidRPr="0044640A">
        <w:rPr>
          <w:lang w:val="fr-FR"/>
        </w:rPr>
        <w:t>É</w:t>
      </w:r>
      <w:r w:rsidR="001A38F8" w:rsidRPr="0044640A">
        <w:rPr>
          <w:lang w:val="fr-FR"/>
        </w:rPr>
        <w:t>tats membres attendraient une proposition précise du Secrétariat.</w:t>
      </w:r>
      <w:r w:rsidR="004E6C89" w:rsidRPr="0044640A">
        <w:rPr>
          <w:lang w:val="fr-FR"/>
        </w:rPr>
        <w:t xml:space="preserve"> </w:t>
      </w:r>
      <w:r w:rsidR="00BF6297" w:rsidRPr="0044640A">
        <w:rPr>
          <w:lang w:val="fr-FR"/>
        </w:rPr>
        <w:t xml:space="preserve"> </w:t>
      </w:r>
      <w:r w:rsidR="001A38F8" w:rsidRPr="0044640A">
        <w:rPr>
          <w:lang w:val="fr-FR"/>
        </w:rPr>
        <w:t>Sans un suivi, la portée du projet reste limitée et des premiers résultats encour</w:t>
      </w:r>
      <w:r w:rsidR="00BF6297" w:rsidRPr="0044640A">
        <w:rPr>
          <w:lang w:val="fr-FR"/>
        </w:rPr>
        <w:t>a</w:t>
      </w:r>
      <w:r w:rsidR="001A38F8" w:rsidRPr="0044640A">
        <w:rPr>
          <w:lang w:val="fr-FR"/>
        </w:rPr>
        <w:t>geants risquent d</w:t>
      </w:r>
      <w:r w:rsidR="00F93954" w:rsidRPr="0044640A">
        <w:rPr>
          <w:lang w:val="fr-FR"/>
        </w:rPr>
        <w:t>’</w:t>
      </w:r>
      <w:r w:rsidR="001A38F8" w:rsidRPr="0044640A">
        <w:rPr>
          <w:lang w:val="fr-FR"/>
        </w:rPr>
        <w:t>être perdus.</w:t>
      </w: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BF6297" w:rsidP="0044640A">
      <w:pPr>
        <w:rPr>
          <w:lang w:val="fr-FR"/>
        </w:rPr>
      </w:pPr>
      <w:r w:rsidRPr="0044640A">
        <w:rPr>
          <w:lang w:val="fr-FR"/>
        </w:rPr>
        <w:t>RECOMMANDATIONS</w:t>
      </w: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1A38F8" w:rsidP="0044640A">
      <w:pPr>
        <w:rPr>
          <w:b/>
          <w:bCs/>
          <w:lang w:val="fr-FR"/>
        </w:rPr>
      </w:pPr>
      <w:r w:rsidRPr="0044640A">
        <w:rPr>
          <w:b/>
          <w:bCs/>
          <w:lang w:val="fr-FR"/>
        </w:rPr>
        <w:t>Recommandation n°</w:t>
      </w:r>
      <w:r w:rsidR="00191370" w:rsidRPr="0044640A">
        <w:rPr>
          <w:b/>
          <w:bCs/>
          <w:lang w:val="fr-FR"/>
        </w:rPr>
        <w:t> </w:t>
      </w:r>
      <w:r w:rsidRPr="0044640A">
        <w:rPr>
          <w:b/>
          <w:bCs/>
          <w:lang w:val="fr-FR"/>
        </w:rPr>
        <w:t>1 (conclusion</w:t>
      </w:r>
      <w:r w:rsidR="00646A21" w:rsidRPr="0044640A">
        <w:rPr>
          <w:b/>
          <w:bCs/>
          <w:lang w:val="fr-FR"/>
        </w:rPr>
        <w:t xml:space="preserve"> n° </w:t>
      </w:r>
      <w:r w:rsidRPr="0044640A">
        <w:rPr>
          <w:b/>
          <w:bCs/>
          <w:lang w:val="fr-FR"/>
        </w:rPr>
        <w:t xml:space="preserve">3) </w:t>
      </w:r>
      <w:r w:rsidR="00BF6297" w:rsidRPr="0044640A">
        <w:rPr>
          <w:b/>
          <w:bCs/>
          <w:lang w:val="fr-FR"/>
        </w:rPr>
        <w:t>à l</w:t>
      </w:r>
      <w:r w:rsidR="00F93954" w:rsidRPr="0044640A">
        <w:rPr>
          <w:b/>
          <w:bCs/>
          <w:lang w:val="fr-FR"/>
        </w:rPr>
        <w:t>’</w:t>
      </w:r>
      <w:r w:rsidR="00BF6297" w:rsidRPr="0044640A">
        <w:rPr>
          <w:b/>
          <w:bCs/>
          <w:lang w:val="fr-FR"/>
        </w:rPr>
        <w:t>intention d</w:t>
      </w:r>
      <w:r w:rsidRPr="0044640A">
        <w:rPr>
          <w:b/>
          <w:bCs/>
          <w:lang w:val="fr-FR"/>
        </w:rPr>
        <w:t>u Secrétariat de l</w:t>
      </w:r>
      <w:r w:rsidR="00F93954" w:rsidRPr="0044640A">
        <w:rPr>
          <w:b/>
          <w:bCs/>
          <w:lang w:val="fr-FR"/>
        </w:rPr>
        <w:t>’</w:t>
      </w:r>
      <w:r w:rsidRPr="0044640A">
        <w:rPr>
          <w:b/>
          <w:bCs/>
          <w:lang w:val="fr-FR"/>
        </w:rPr>
        <w:t>OMPI concernant la finalisation de la plate</w:t>
      </w:r>
      <w:r w:rsidR="008D0F05" w:rsidRPr="0044640A">
        <w:rPr>
          <w:b/>
          <w:bCs/>
          <w:lang w:val="fr-FR"/>
        </w:rPr>
        <w:noBreakHyphen/>
      </w:r>
      <w:r w:rsidRPr="0044640A">
        <w:rPr>
          <w:b/>
          <w:bCs/>
          <w:lang w:val="fr-FR"/>
        </w:rPr>
        <w:t>forme interactive (résultat escompté n°</w:t>
      </w:r>
      <w:r w:rsidR="00646A21" w:rsidRPr="0044640A">
        <w:rPr>
          <w:b/>
          <w:bCs/>
          <w:lang w:val="fr-FR"/>
        </w:rPr>
        <w:t> </w:t>
      </w:r>
      <w:r w:rsidRPr="0044640A">
        <w:rPr>
          <w:b/>
          <w:bCs/>
          <w:lang w:val="fr-FR"/>
        </w:rPr>
        <w:t>5 du projet)</w:t>
      </w: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191370" w:rsidP="0044640A">
      <w:pPr>
        <w:numPr>
          <w:ilvl w:val="0"/>
          <w:numId w:val="8"/>
        </w:numPr>
        <w:ind w:left="567" w:firstLine="7"/>
        <w:rPr>
          <w:lang w:val="fr-FR"/>
        </w:rPr>
      </w:pPr>
      <w:r w:rsidRPr="0044640A">
        <w:rPr>
          <w:lang w:val="fr-FR"/>
        </w:rPr>
        <w:t>Finaliser</w:t>
      </w:r>
      <w:r w:rsidR="001A38F8" w:rsidRPr="0044640A">
        <w:rPr>
          <w:lang w:val="fr-FR"/>
        </w:rPr>
        <w:t xml:space="preserve"> une version bêta de la plate</w:t>
      </w:r>
      <w:r w:rsidR="008D0F05" w:rsidRPr="0044640A">
        <w:rPr>
          <w:lang w:val="fr-FR"/>
        </w:rPr>
        <w:noBreakHyphen/>
      </w:r>
      <w:r w:rsidR="001A38F8" w:rsidRPr="0044640A">
        <w:rPr>
          <w:lang w:val="fr-FR"/>
        </w:rPr>
        <w:t>forme interactive;</w:t>
      </w:r>
    </w:p>
    <w:p w:rsidR="00F15065" w:rsidRPr="0044640A" w:rsidRDefault="00F15065" w:rsidP="0044640A">
      <w:pPr>
        <w:pStyle w:val="ListParagraph"/>
        <w:spacing w:line="240" w:lineRule="auto"/>
        <w:ind w:left="567" w:firstLine="7"/>
        <w:rPr>
          <w:lang w:val="fr-FR"/>
        </w:rPr>
      </w:pPr>
    </w:p>
    <w:p w:rsidR="00F15065" w:rsidRPr="0044640A" w:rsidRDefault="000B24AB" w:rsidP="0044640A">
      <w:pPr>
        <w:numPr>
          <w:ilvl w:val="0"/>
          <w:numId w:val="8"/>
        </w:numPr>
        <w:ind w:left="567" w:firstLine="7"/>
        <w:rPr>
          <w:lang w:val="fr-FR"/>
        </w:rPr>
      </w:pPr>
      <w:r w:rsidRPr="0044640A">
        <w:rPr>
          <w:lang w:val="fr-FR"/>
        </w:rPr>
        <w:t>Procéder à un essai de la plate</w:t>
      </w:r>
      <w:r w:rsidR="008D0F05" w:rsidRPr="0044640A">
        <w:rPr>
          <w:lang w:val="fr-FR"/>
        </w:rPr>
        <w:noBreakHyphen/>
      </w:r>
      <w:r w:rsidRPr="0044640A">
        <w:rPr>
          <w:lang w:val="fr-FR"/>
        </w:rPr>
        <w:t>forme interactive et recueillir les impressions des utilisateurs;</w:t>
      </w:r>
    </w:p>
    <w:p w:rsidR="00F15065" w:rsidRPr="0044640A" w:rsidRDefault="00F15065" w:rsidP="0044640A">
      <w:pPr>
        <w:pStyle w:val="ListParagraph"/>
        <w:spacing w:line="240" w:lineRule="auto"/>
        <w:ind w:left="567" w:firstLine="7"/>
        <w:rPr>
          <w:lang w:val="fr-FR"/>
        </w:rPr>
      </w:pPr>
    </w:p>
    <w:p w:rsidR="00F93954" w:rsidRPr="0044640A" w:rsidRDefault="000B24AB" w:rsidP="0044640A">
      <w:pPr>
        <w:numPr>
          <w:ilvl w:val="0"/>
          <w:numId w:val="8"/>
        </w:numPr>
        <w:ind w:left="567" w:firstLine="7"/>
        <w:rPr>
          <w:lang w:val="fr-FR"/>
        </w:rPr>
      </w:pPr>
      <w:r w:rsidRPr="0044640A">
        <w:rPr>
          <w:lang w:val="fr-FR"/>
        </w:rPr>
        <w:t>Intégrer les informations reçues en retour des utilisateurs;</w:t>
      </w:r>
    </w:p>
    <w:p w:rsidR="00F15065" w:rsidRPr="0044640A" w:rsidRDefault="00F15065" w:rsidP="0044640A">
      <w:pPr>
        <w:pStyle w:val="ListParagraph"/>
        <w:spacing w:line="240" w:lineRule="auto"/>
        <w:ind w:left="567" w:firstLine="7"/>
        <w:rPr>
          <w:lang w:val="fr-FR"/>
        </w:rPr>
      </w:pPr>
    </w:p>
    <w:p w:rsidR="00F15065" w:rsidRPr="0044640A" w:rsidRDefault="00191370" w:rsidP="0044640A">
      <w:pPr>
        <w:numPr>
          <w:ilvl w:val="0"/>
          <w:numId w:val="8"/>
        </w:numPr>
        <w:ind w:left="567" w:firstLine="7"/>
        <w:rPr>
          <w:lang w:val="fr-FR"/>
        </w:rPr>
      </w:pPr>
      <w:r w:rsidRPr="0044640A">
        <w:rPr>
          <w:lang w:val="fr-FR"/>
        </w:rPr>
        <w:lastRenderedPageBreak/>
        <w:t>P</w:t>
      </w:r>
      <w:r w:rsidR="000B24AB" w:rsidRPr="0044640A">
        <w:rPr>
          <w:lang w:val="fr-FR"/>
        </w:rPr>
        <w:t>résenter une version finale de la plate</w:t>
      </w:r>
      <w:r w:rsidR="008D0F05" w:rsidRPr="0044640A">
        <w:rPr>
          <w:lang w:val="fr-FR"/>
        </w:rPr>
        <w:noBreakHyphen/>
      </w:r>
      <w:r w:rsidR="000B24AB" w:rsidRPr="0044640A">
        <w:rPr>
          <w:lang w:val="fr-FR"/>
        </w:rPr>
        <w:t>forme à la dix</w:t>
      </w:r>
      <w:r w:rsidR="008D0F05" w:rsidRPr="0044640A">
        <w:rPr>
          <w:lang w:val="fr-FR"/>
        </w:rPr>
        <w:noBreakHyphen/>
      </w:r>
      <w:r w:rsidR="000B24AB" w:rsidRPr="0044640A">
        <w:rPr>
          <w:lang w:val="fr-FR"/>
        </w:rPr>
        <w:t>septième</w:t>
      </w:r>
      <w:r w:rsidR="00DF15A4" w:rsidRPr="0044640A">
        <w:rPr>
          <w:lang w:val="fr-FR"/>
        </w:rPr>
        <w:t> </w:t>
      </w:r>
      <w:r w:rsidR="000B24AB" w:rsidRPr="0044640A">
        <w:rPr>
          <w:lang w:val="fr-FR"/>
        </w:rPr>
        <w:t>session</w:t>
      </w:r>
      <w:r w:rsidR="00F93954" w:rsidRPr="0044640A">
        <w:rPr>
          <w:lang w:val="fr-FR"/>
        </w:rPr>
        <w:t xml:space="preserve"> du CDI</w:t>
      </w:r>
      <w:r w:rsidR="000B24AB" w:rsidRPr="0044640A">
        <w:rPr>
          <w:lang w:val="fr-FR"/>
        </w:rPr>
        <w:t>P en novembre 2015;  et</w:t>
      </w:r>
    </w:p>
    <w:p w:rsidR="00F15065" w:rsidRPr="0044640A" w:rsidRDefault="00F15065" w:rsidP="0044640A">
      <w:pPr>
        <w:pStyle w:val="ListParagraph"/>
        <w:spacing w:line="240" w:lineRule="auto"/>
        <w:ind w:left="567" w:firstLine="7"/>
        <w:rPr>
          <w:lang w:val="fr-FR"/>
        </w:rPr>
      </w:pPr>
    </w:p>
    <w:p w:rsidR="00F15065" w:rsidRPr="0044640A" w:rsidRDefault="00191370" w:rsidP="0044640A">
      <w:pPr>
        <w:numPr>
          <w:ilvl w:val="0"/>
          <w:numId w:val="8"/>
        </w:numPr>
        <w:ind w:left="567" w:firstLine="7"/>
        <w:rPr>
          <w:lang w:val="fr-FR"/>
        </w:rPr>
      </w:pPr>
      <w:r w:rsidRPr="0044640A">
        <w:rPr>
          <w:lang w:val="fr-FR"/>
        </w:rPr>
        <w:t>A</w:t>
      </w:r>
      <w:r w:rsidR="000B24AB" w:rsidRPr="0044640A">
        <w:rPr>
          <w:lang w:val="fr-FR"/>
        </w:rPr>
        <w:t xml:space="preserve">ttribuer </w:t>
      </w:r>
      <w:r w:rsidRPr="0044640A">
        <w:rPr>
          <w:lang w:val="fr-FR"/>
        </w:rPr>
        <w:t>d</w:t>
      </w:r>
      <w:r w:rsidR="000B24AB" w:rsidRPr="0044640A">
        <w:rPr>
          <w:lang w:val="fr-FR"/>
        </w:rPr>
        <w:t>e</w:t>
      </w:r>
      <w:r w:rsidRPr="0044640A">
        <w:rPr>
          <w:lang w:val="fr-FR"/>
        </w:rPr>
        <w:t>s</w:t>
      </w:r>
      <w:r w:rsidR="000B24AB" w:rsidRPr="0044640A">
        <w:rPr>
          <w:lang w:val="fr-FR"/>
        </w:rPr>
        <w:t xml:space="preserve"> responsabilité</w:t>
      </w:r>
      <w:r w:rsidRPr="0044640A">
        <w:rPr>
          <w:lang w:val="fr-FR"/>
        </w:rPr>
        <w:t>s</w:t>
      </w:r>
      <w:r w:rsidR="000B24AB" w:rsidRPr="0044640A">
        <w:rPr>
          <w:lang w:val="fr-FR"/>
        </w:rPr>
        <w:t xml:space="preserve"> claire</w:t>
      </w:r>
      <w:r w:rsidRPr="0044640A">
        <w:rPr>
          <w:lang w:val="fr-FR"/>
        </w:rPr>
        <w:t>s</w:t>
      </w:r>
      <w:r w:rsidR="000B24AB" w:rsidRPr="0044640A">
        <w:rPr>
          <w:lang w:val="fr-FR"/>
        </w:rPr>
        <w:t xml:space="preserve"> et allouer les ressources nécessaires pour assurer la maintenance et la mise à jour régulière de la plate</w:t>
      </w:r>
      <w:r w:rsidR="008D0F05" w:rsidRPr="0044640A">
        <w:rPr>
          <w:lang w:val="fr-FR"/>
        </w:rPr>
        <w:noBreakHyphen/>
      </w:r>
      <w:r w:rsidR="000B24AB" w:rsidRPr="0044640A">
        <w:rPr>
          <w:lang w:val="fr-FR"/>
        </w:rPr>
        <w:t>forme interactive.</w:t>
      </w: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FA17D6" w:rsidP="0044640A">
      <w:pPr>
        <w:rPr>
          <w:b/>
          <w:bCs/>
          <w:lang w:val="fr-FR"/>
        </w:rPr>
      </w:pPr>
      <w:r w:rsidRPr="0044640A">
        <w:rPr>
          <w:b/>
          <w:bCs/>
          <w:lang w:val="fr-FR"/>
        </w:rPr>
        <w:t>Recommandation n°</w:t>
      </w:r>
      <w:r w:rsidR="00191370" w:rsidRPr="0044640A">
        <w:rPr>
          <w:b/>
          <w:bCs/>
          <w:lang w:val="fr-FR"/>
        </w:rPr>
        <w:t> </w:t>
      </w:r>
      <w:r w:rsidRPr="0044640A">
        <w:rPr>
          <w:b/>
          <w:bCs/>
          <w:lang w:val="fr-FR"/>
        </w:rPr>
        <w:t>2 (conclusions n</w:t>
      </w:r>
      <w:r w:rsidR="00062DB6" w:rsidRPr="0044640A">
        <w:rPr>
          <w:b/>
          <w:bCs/>
          <w:vertAlign w:val="superscript"/>
          <w:lang w:val="fr-FR"/>
        </w:rPr>
        <w:t>os</w:t>
      </w:r>
      <w:r w:rsidR="00062DB6" w:rsidRPr="0044640A">
        <w:rPr>
          <w:b/>
          <w:bCs/>
          <w:lang w:val="fr-FR"/>
        </w:rPr>
        <w:t> </w:t>
      </w:r>
      <w:r w:rsidRPr="0044640A">
        <w:rPr>
          <w:b/>
          <w:bCs/>
          <w:lang w:val="fr-FR"/>
        </w:rPr>
        <w:t>1 et 3) à l</w:t>
      </w:r>
      <w:r w:rsidR="00F93954" w:rsidRPr="0044640A">
        <w:rPr>
          <w:b/>
          <w:bCs/>
          <w:lang w:val="fr-FR"/>
        </w:rPr>
        <w:t>’</w:t>
      </w:r>
      <w:r w:rsidRPr="0044640A">
        <w:rPr>
          <w:b/>
          <w:bCs/>
          <w:lang w:val="fr-FR"/>
        </w:rPr>
        <w:t>intention du Secrétariat de l</w:t>
      </w:r>
      <w:r w:rsidR="00F93954" w:rsidRPr="0044640A">
        <w:rPr>
          <w:b/>
          <w:bCs/>
          <w:lang w:val="fr-FR"/>
        </w:rPr>
        <w:t>’</w:t>
      </w:r>
      <w:r w:rsidRPr="0044640A">
        <w:rPr>
          <w:b/>
          <w:bCs/>
          <w:lang w:val="fr-FR"/>
        </w:rPr>
        <w:t>OMPI concernant l</w:t>
      </w:r>
      <w:r w:rsidR="00F93954" w:rsidRPr="0044640A">
        <w:rPr>
          <w:b/>
          <w:bCs/>
          <w:lang w:val="fr-FR"/>
        </w:rPr>
        <w:t>’</w:t>
      </w:r>
      <w:r w:rsidRPr="0044640A">
        <w:rPr>
          <w:b/>
          <w:bCs/>
          <w:lang w:val="fr-FR"/>
        </w:rPr>
        <w:t>établissement d</w:t>
      </w:r>
      <w:r w:rsidR="00F93954" w:rsidRPr="0044640A">
        <w:rPr>
          <w:b/>
          <w:bCs/>
          <w:lang w:val="fr-FR"/>
        </w:rPr>
        <w:t>’</w:t>
      </w:r>
      <w:r w:rsidRPr="0044640A">
        <w:rPr>
          <w:b/>
          <w:bCs/>
          <w:lang w:val="fr-FR"/>
        </w:rPr>
        <w:t>une proposition</w:t>
      </w:r>
      <w:r w:rsidR="00F93954" w:rsidRPr="0044640A">
        <w:rPr>
          <w:b/>
          <w:bCs/>
          <w:lang w:val="fr-FR"/>
        </w:rPr>
        <w:t xml:space="preserve"> au CDI</w:t>
      </w:r>
      <w:r w:rsidRPr="0044640A">
        <w:rPr>
          <w:b/>
          <w:bCs/>
          <w:lang w:val="fr-FR"/>
        </w:rPr>
        <w:t>P visant à favoriser l</w:t>
      </w:r>
      <w:r w:rsidR="00F93954" w:rsidRPr="0044640A">
        <w:rPr>
          <w:b/>
          <w:bCs/>
          <w:lang w:val="fr-FR"/>
        </w:rPr>
        <w:t>’</w:t>
      </w:r>
      <w:r w:rsidRPr="0044640A">
        <w:rPr>
          <w:b/>
          <w:bCs/>
          <w:lang w:val="fr-FR"/>
        </w:rPr>
        <w:t>innovation ouverte par le biais des programmes existants de l</w:t>
      </w:r>
      <w:r w:rsidR="00F93954" w:rsidRPr="0044640A">
        <w:rPr>
          <w:b/>
          <w:bCs/>
          <w:lang w:val="fr-FR"/>
        </w:rPr>
        <w:t>’</w:t>
      </w:r>
      <w:r w:rsidRPr="0044640A">
        <w:rPr>
          <w:b/>
          <w:bCs/>
          <w:lang w:val="fr-FR"/>
        </w:rPr>
        <w:t>OMPI (résultat escompté n°</w:t>
      </w:r>
      <w:r w:rsidR="00062DB6" w:rsidRPr="0044640A">
        <w:rPr>
          <w:b/>
          <w:bCs/>
          <w:lang w:val="fr-FR"/>
        </w:rPr>
        <w:t> </w:t>
      </w:r>
      <w:r w:rsidRPr="0044640A">
        <w:rPr>
          <w:b/>
          <w:bCs/>
          <w:lang w:val="fr-FR"/>
        </w:rPr>
        <w:t>6 du projet)</w:t>
      </w:r>
    </w:p>
    <w:p w:rsidR="00F15065" w:rsidRPr="0044640A" w:rsidRDefault="00F15065" w:rsidP="0044640A">
      <w:pPr>
        <w:rPr>
          <w:bCs/>
          <w:lang w:val="fr-FR"/>
        </w:rPr>
      </w:pPr>
    </w:p>
    <w:p w:rsidR="00F15065" w:rsidRPr="0044640A" w:rsidRDefault="00FA17D6" w:rsidP="0044640A">
      <w:pPr>
        <w:numPr>
          <w:ilvl w:val="0"/>
          <w:numId w:val="32"/>
        </w:numPr>
        <w:ind w:left="567" w:firstLine="0"/>
        <w:rPr>
          <w:bCs/>
          <w:lang w:val="fr-FR"/>
        </w:rPr>
      </w:pPr>
      <w:r w:rsidRPr="0044640A">
        <w:rPr>
          <w:bCs/>
          <w:lang w:val="fr-FR"/>
        </w:rPr>
        <w:t>Continuer de recenser, rassembler et partager les meilleures pratiques dans le domaine des projets de partenariat ouvert (études);</w:t>
      </w:r>
    </w:p>
    <w:p w:rsidR="00F15065" w:rsidRPr="0044640A" w:rsidRDefault="00F15065" w:rsidP="0044640A">
      <w:pPr>
        <w:ind w:left="720"/>
        <w:rPr>
          <w:bCs/>
          <w:lang w:val="fr-FR"/>
        </w:rPr>
      </w:pPr>
    </w:p>
    <w:p w:rsidR="00F15065" w:rsidRPr="0044640A" w:rsidRDefault="00062DB6" w:rsidP="0044640A">
      <w:pPr>
        <w:numPr>
          <w:ilvl w:val="0"/>
          <w:numId w:val="32"/>
        </w:numPr>
        <w:ind w:left="567" w:firstLine="7"/>
        <w:rPr>
          <w:bCs/>
          <w:lang w:val="fr-FR"/>
        </w:rPr>
      </w:pPr>
      <w:r w:rsidRPr="0044640A">
        <w:rPr>
          <w:bCs/>
          <w:lang w:val="fr-FR"/>
        </w:rPr>
        <w:t>Proposer des moyens concrets de r</w:t>
      </w:r>
      <w:r w:rsidR="00FA17D6" w:rsidRPr="0044640A">
        <w:rPr>
          <w:bCs/>
          <w:lang w:val="fr-FR"/>
        </w:rPr>
        <w:t>enforce</w:t>
      </w:r>
      <w:r w:rsidRPr="0044640A">
        <w:rPr>
          <w:bCs/>
          <w:lang w:val="fr-FR"/>
        </w:rPr>
        <w:t>m</w:t>
      </w:r>
      <w:r w:rsidR="00FA17D6" w:rsidRPr="0044640A">
        <w:rPr>
          <w:bCs/>
          <w:lang w:val="fr-FR"/>
        </w:rPr>
        <w:t xml:space="preserve">ent </w:t>
      </w:r>
      <w:r w:rsidRPr="0044640A">
        <w:rPr>
          <w:bCs/>
          <w:lang w:val="fr-FR"/>
        </w:rPr>
        <w:t>d</w:t>
      </w:r>
      <w:r w:rsidR="00FA17D6" w:rsidRPr="0044640A">
        <w:rPr>
          <w:bCs/>
          <w:lang w:val="fr-FR"/>
        </w:rPr>
        <w:t>es capacité</w:t>
      </w:r>
      <w:r w:rsidRPr="0044640A">
        <w:rPr>
          <w:bCs/>
          <w:lang w:val="fr-FR"/>
        </w:rPr>
        <w:t>s</w:t>
      </w:r>
      <w:r w:rsidR="00FA17D6" w:rsidRPr="0044640A">
        <w:rPr>
          <w:bCs/>
          <w:lang w:val="fr-FR"/>
        </w:rPr>
        <w:t xml:space="preserve"> (</w:t>
      </w:r>
      <w:r w:rsidR="00F93954" w:rsidRPr="0044640A">
        <w:rPr>
          <w:bCs/>
          <w:lang w:val="fr-FR"/>
        </w:rPr>
        <w:t>y compris</w:t>
      </w:r>
      <w:r w:rsidR="00FA17D6" w:rsidRPr="0044640A">
        <w:rPr>
          <w:bCs/>
          <w:lang w:val="fr-FR"/>
        </w:rPr>
        <w:t xml:space="preserve"> </w:t>
      </w:r>
      <w:r w:rsidRPr="0044640A">
        <w:rPr>
          <w:bCs/>
          <w:lang w:val="fr-FR"/>
        </w:rPr>
        <w:t>d</w:t>
      </w:r>
      <w:r w:rsidR="00FA17D6" w:rsidRPr="0044640A">
        <w:rPr>
          <w:bCs/>
          <w:lang w:val="fr-FR"/>
        </w:rPr>
        <w:t>e</w:t>
      </w:r>
      <w:r w:rsidRPr="0044640A">
        <w:rPr>
          <w:bCs/>
          <w:lang w:val="fr-FR"/>
        </w:rPr>
        <w:t>s</w:t>
      </w:r>
      <w:r w:rsidR="00FA17D6" w:rsidRPr="0044640A">
        <w:rPr>
          <w:bCs/>
          <w:lang w:val="fr-FR"/>
        </w:rPr>
        <w:t xml:space="preserve"> panoplie</w:t>
      </w:r>
      <w:r w:rsidRPr="0044640A">
        <w:rPr>
          <w:bCs/>
          <w:lang w:val="fr-FR"/>
        </w:rPr>
        <w:t>s</w:t>
      </w:r>
      <w:r w:rsidR="00FA17D6" w:rsidRPr="0044640A">
        <w:rPr>
          <w:bCs/>
          <w:lang w:val="fr-FR"/>
        </w:rPr>
        <w:t xml:space="preserve"> d</w:t>
      </w:r>
      <w:r w:rsidR="00F93954" w:rsidRPr="0044640A">
        <w:rPr>
          <w:bCs/>
          <w:lang w:val="fr-FR"/>
        </w:rPr>
        <w:t>’</w:t>
      </w:r>
      <w:r w:rsidR="00FA17D6" w:rsidRPr="0044640A">
        <w:rPr>
          <w:bCs/>
          <w:lang w:val="fr-FR"/>
        </w:rPr>
        <w:t>outils) spécifiquement adapté</w:t>
      </w:r>
      <w:r w:rsidRPr="0044640A">
        <w:rPr>
          <w:bCs/>
          <w:lang w:val="fr-FR"/>
        </w:rPr>
        <w:t>s</w:t>
      </w:r>
      <w:r w:rsidR="00FA17D6" w:rsidRPr="0044640A">
        <w:rPr>
          <w:bCs/>
          <w:lang w:val="fr-FR"/>
        </w:rPr>
        <w:t xml:space="preserve"> aux besoins des utilisateurs ciblés;</w:t>
      </w:r>
    </w:p>
    <w:p w:rsidR="00F15065" w:rsidRPr="0044640A" w:rsidRDefault="00F15065" w:rsidP="0044640A">
      <w:pPr>
        <w:rPr>
          <w:bCs/>
          <w:lang w:val="fr-FR"/>
        </w:rPr>
      </w:pPr>
    </w:p>
    <w:p w:rsidR="00F15065" w:rsidRPr="0044640A" w:rsidRDefault="00B819EA" w:rsidP="0044640A">
      <w:pPr>
        <w:numPr>
          <w:ilvl w:val="0"/>
          <w:numId w:val="32"/>
        </w:numPr>
        <w:ind w:left="567" w:firstLine="7"/>
        <w:rPr>
          <w:bCs/>
          <w:lang w:val="fr-FR"/>
        </w:rPr>
      </w:pPr>
      <w:r w:rsidRPr="0044640A">
        <w:rPr>
          <w:bCs/>
          <w:lang w:val="fr-FR"/>
        </w:rPr>
        <w:t xml:space="preserve">Offrir </w:t>
      </w:r>
      <w:r w:rsidR="00062DB6" w:rsidRPr="0044640A">
        <w:rPr>
          <w:bCs/>
          <w:lang w:val="fr-FR"/>
        </w:rPr>
        <w:t>des activités de</w:t>
      </w:r>
      <w:r w:rsidRPr="0044640A">
        <w:rPr>
          <w:bCs/>
          <w:lang w:val="fr-FR"/>
        </w:rPr>
        <w:t xml:space="preserve"> renforcement des capacités </w:t>
      </w:r>
      <w:r w:rsidR="00062DB6" w:rsidRPr="0044640A">
        <w:rPr>
          <w:bCs/>
          <w:lang w:val="fr-FR"/>
        </w:rPr>
        <w:t>à l</w:t>
      </w:r>
      <w:r w:rsidR="00F93954" w:rsidRPr="0044640A">
        <w:rPr>
          <w:bCs/>
          <w:lang w:val="fr-FR"/>
        </w:rPr>
        <w:t>’</w:t>
      </w:r>
      <w:r w:rsidR="00062DB6" w:rsidRPr="0044640A">
        <w:rPr>
          <w:bCs/>
          <w:lang w:val="fr-FR"/>
        </w:rPr>
        <w:t>intention des</w:t>
      </w:r>
      <w:r w:rsidRPr="0044640A">
        <w:rPr>
          <w:bCs/>
          <w:lang w:val="fr-FR"/>
        </w:rPr>
        <w:t xml:space="preserve"> </w:t>
      </w:r>
      <w:r w:rsidR="00062DB6" w:rsidRPr="0044640A">
        <w:rPr>
          <w:bCs/>
          <w:lang w:val="fr-FR"/>
        </w:rPr>
        <w:t>prestataires</w:t>
      </w:r>
      <w:r w:rsidRPr="0044640A">
        <w:rPr>
          <w:bCs/>
          <w:lang w:val="fr-FR"/>
        </w:rPr>
        <w:t xml:space="preserve"> de services dans le domaine de la propriété intellectuelle ou de l</w:t>
      </w:r>
      <w:r w:rsidR="00F93954" w:rsidRPr="0044640A">
        <w:rPr>
          <w:bCs/>
          <w:lang w:val="fr-FR"/>
        </w:rPr>
        <w:t>’</w:t>
      </w:r>
      <w:r w:rsidRPr="0044640A">
        <w:rPr>
          <w:bCs/>
          <w:lang w:val="fr-FR"/>
        </w:rPr>
        <w:t xml:space="preserve">innovation dans les pays en développement, par exemple </w:t>
      </w:r>
      <w:r w:rsidR="00062DB6" w:rsidRPr="0044640A">
        <w:rPr>
          <w:bCs/>
          <w:lang w:val="fr-FR"/>
        </w:rPr>
        <w:t>aux</w:t>
      </w:r>
      <w:r w:rsidRPr="0044640A">
        <w:rPr>
          <w:bCs/>
          <w:lang w:val="fr-FR"/>
        </w:rPr>
        <w:t xml:space="preserve"> offices de propriété intellectuelle, aux centres chargés du transfert de technologie, etc.;</w:t>
      </w:r>
    </w:p>
    <w:p w:rsidR="00F15065" w:rsidRPr="0044640A" w:rsidRDefault="00F15065" w:rsidP="0044640A">
      <w:pPr>
        <w:ind w:left="720"/>
        <w:rPr>
          <w:bCs/>
          <w:lang w:val="fr-FR"/>
        </w:rPr>
      </w:pPr>
    </w:p>
    <w:p w:rsidR="00F15065" w:rsidRPr="0044640A" w:rsidRDefault="00B819EA" w:rsidP="0044640A">
      <w:pPr>
        <w:numPr>
          <w:ilvl w:val="0"/>
          <w:numId w:val="32"/>
        </w:numPr>
        <w:ind w:left="567" w:firstLine="7"/>
        <w:rPr>
          <w:bCs/>
          <w:lang w:val="fr-FR"/>
        </w:rPr>
      </w:pPr>
      <w:r w:rsidRPr="0044640A">
        <w:rPr>
          <w:bCs/>
          <w:lang w:val="fr-FR"/>
        </w:rPr>
        <w:t>Soutenir des projets pilotes spécifiques de partenariat ouvert dans les pays en développement;  et</w:t>
      </w:r>
    </w:p>
    <w:p w:rsidR="00F15065" w:rsidRPr="0044640A" w:rsidRDefault="00F15065" w:rsidP="0044640A">
      <w:pPr>
        <w:ind w:left="720"/>
        <w:rPr>
          <w:bCs/>
          <w:lang w:val="fr-FR"/>
        </w:rPr>
      </w:pPr>
    </w:p>
    <w:p w:rsidR="00F15065" w:rsidRPr="0044640A" w:rsidRDefault="00B819EA" w:rsidP="0044640A">
      <w:pPr>
        <w:numPr>
          <w:ilvl w:val="0"/>
          <w:numId w:val="32"/>
        </w:numPr>
        <w:ind w:left="567" w:firstLine="7"/>
        <w:rPr>
          <w:bCs/>
          <w:lang w:val="fr-FR"/>
        </w:rPr>
      </w:pPr>
      <w:r w:rsidRPr="0044640A">
        <w:rPr>
          <w:bCs/>
          <w:lang w:val="fr-FR"/>
        </w:rPr>
        <w:t>Conseiller les États membres pour mettre en place un environnement propice aux partenariats ouverts dans leurs politiques en matière de propriété intellectuelle.</w:t>
      </w:r>
    </w:p>
    <w:p w:rsidR="00F15065" w:rsidRPr="0044640A" w:rsidRDefault="00F15065" w:rsidP="0044640A">
      <w:pPr>
        <w:rPr>
          <w:bCs/>
          <w:lang w:val="fr-FR"/>
        </w:rPr>
      </w:pPr>
    </w:p>
    <w:p w:rsidR="00F15065" w:rsidRPr="0044640A" w:rsidRDefault="00B819EA" w:rsidP="0044640A">
      <w:pPr>
        <w:keepNext/>
        <w:keepLines/>
        <w:rPr>
          <w:b/>
          <w:bCs/>
          <w:lang w:val="fr-FR"/>
        </w:rPr>
      </w:pPr>
      <w:r w:rsidRPr="0044640A">
        <w:rPr>
          <w:b/>
          <w:bCs/>
          <w:lang w:val="fr-FR"/>
        </w:rPr>
        <w:t>Recommandation n°</w:t>
      </w:r>
      <w:r w:rsidR="00062DB6" w:rsidRPr="0044640A">
        <w:rPr>
          <w:b/>
          <w:bCs/>
          <w:lang w:val="fr-FR"/>
        </w:rPr>
        <w:t> </w:t>
      </w:r>
      <w:r w:rsidRPr="0044640A">
        <w:rPr>
          <w:b/>
          <w:bCs/>
          <w:lang w:val="fr-FR"/>
        </w:rPr>
        <w:t>3 (conclusion n°</w:t>
      </w:r>
      <w:r w:rsidR="00062DB6" w:rsidRPr="0044640A">
        <w:rPr>
          <w:b/>
          <w:bCs/>
          <w:lang w:val="fr-FR"/>
        </w:rPr>
        <w:t> </w:t>
      </w:r>
      <w:r w:rsidRPr="0044640A">
        <w:rPr>
          <w:b/>
          <w:bCs/>
          <w:lang w:val="fr-FR"/>
        </w:rPr>
        <w:t>3) à l</w:t>
      </w:r>
      <w:r w:rsidR="00F93954" w:rsidRPr="0044640A">
        <w:rPr>
          <w:b/>
          <w:bCs/>
          <w:lang w:val="fr-FR"/>
        </w:rPr>
        <w:t>’</w:t>
      </w:r>
      <w:r w:rsidRPr="0044640A">
        <w:rPr>
          <w:b/>
          <w:bCs/>
          <w:lang w:val="fr-FR"/>
        </w:rPr>
        <w:t>intention du Secrétariat de l</w:t>
      </w:r>
      <w:r w:rsidR="00F93954" w:rsidRPr="0044640A">
        <w:rPr>
          <w:b/>
          <w:bCs/>
          <w:lang w:val="fr-FR"/>
        </w:rPr>
        <w:t>’</w:t>
      </w:r>
      <w:r w:rsidRPr="0044640A">
        <w:rPr>
          <w:b/>
          <w:bCs/>
          <w:lang w:val="fr-FR"/>
        </w:rPr>
        <w:t>OMPI concernant le renforcement de la présence de l</w:t>
      </w:r>
      <w:r w:rsidR="00F93954" w:rsidRPr="0044640A">
        <w:rPr>
          <w:b/>
          <w:bCs/>
          <w:lang w:val="fr-FR"/>
        </w:rPr>
        <w:t>’</w:t>
      </w:r>
      <w:r w:rsidRPr="0044640A">
        <w:rPr>
          <w:b/>
          <w:bCs/>
          <w:lang w:val="fr-FR"/>
        </w:rPr>
        <w:t>OMPI dans les conférences et forums consacrés aux partenariats ouverts</w:t>
      </w:r>
    </w:p>
    <w:p w:rsidR="00F15065" w:rsidRPr="0044640A" w:rsidRDefault="00F15065" w:rsidP="0044640A">
      <w:pPr>
        <w:keepNext/>
        <w:keepLines/>
        <w:rPr>
          <w:bCs/>
          <w:lang w:val="fr-FR"/>
        </w:rPr>
      </w:pPr>
    </w:p>
    <w:p w:rsidR="00F15065" w:rsidRPr="0044640A" w:rsidRDefault="00810264" w:rsidP="0044640A">
      <w:pPr>
        <w:keepNext/>
        <w:keepLines/>
        <w:rPr>
          <w:bCs/>
          <w:lang w:val="fr-FR"/>
        </w:rPr>
      </w:pPr>
      <w:r w:rsidRPr="0044640A">
        <w:rPr>
          <w:bCs/>
          <w:lang w:val="fr-FR"/>
        </w:rPr>
        <w:t>La p</w:t>
      </w:r>
      <w:r w:rsidR="00062DB6" w:rsidRPr="0044640A">
        <w:rPr>
          <w:bCs/>
          <w:lang w:val="fr-FR"/>
        </w:rPr>
        <w:t>a</w:t>
      </w:r>
      <w:r w:rsidRPr="0044640A">
        <w:rPr>
          <w:bCs/>
          <w:lang w:val="fr-FR"/>
        </w:rPr>
        <w:t>r</w:t>
      </w:r>
      <w:r w:rsidR="00062DB6" w:rsidRPr="0044640A">
        <w:rPr>
          <w:bCs/>
          <w:lang w:val="fr-FR"/>
        </w:rPr>
        <w:t>ticipatio</w:t>
      </w:r>
      <w:r w:rsidRPr="0044640A">
        <w:rPr>
          <w:bCs/>
          <w:lang w:val="fr-FR"/>
        </w:rPr>
        <w:t>n régulière et la visibilité de l</w:t>
      </w:r>
      <w:r w:rsidR="00F93954" w:rsidRPr="0044640A">
        <w:rPr>
          <w:bCs/>
          <w:lang w:val="fr-FR"/>
        </w:rPr>
        <w:t>’</w:t>
      </w:r>
      <w:r w:rsidRPr="0044640A">
        <w:rPr>
          <w:bCs/>
          <w:lang w:val="fr-FR"/>
        </w:rPr>
        <w:t>OMPI dans les conférences internationales sur l</w:t>
      </w:r>
      <w:r w:rsidR="00F93954" w:rsidRPr="0044640A">
        <w:rPr>
          <w:bCs/>
          <w:lang w:val="fr-FR"/>
        </w:rPr>
        <w:t>’</w:t>
      </w:r>
      <w:r w:rsidRPr="0044640A">
        <w:rPr>
          <w:bCs/>
          <w:lang w:val="fr-FR"/>
        </w:rPr>
        <w:t>innovation ouverte (</w:t>
      </w:r>
      <w:r w:rsidR="00F93954" w:rsidRPr="0044640A">
        <w:rPr>
          <w:bCs/>
          <w:lang w:val="fr-FR"/>
        </w:rPr>
        <w:t>y compris</w:t>
      </w:r>
      <w:r w:rsidR="00062DB6" w:rsidRPr="0044640A">
        <w:rPr>
          <w:bCs/>
          <w:lang w:val="fr-FR"/>
        </w:rPr>
        <w:t>,</w:t>
      </w:r>
      <w:r w:rsidRPr="0044640A">
        <w:rPr>
          <w:bCs/>
          <w:lang w:val="fr-FR"/>
        </w:rPr>
        <w:t xml:space="preserve"> mais pas uniquement</w:t>
      </w:r>
      <w:r w:rsidR="00062DB6" w:rsidRPr="0044640A">
        <w:rPr>
          <w:bCs/>
          <w:lang w:val="fr-FR"/>
        </w:rPr>
        <w:t>,</w:t>
      </w:r>
      <w:r w:rsidRPr="0044640A">
        <w:rPr>
          <w:bCs/>
          <w:lang w:val="fr-FR"/>
        </w:rPr>
        <w:t xml:space="preserve"> lors d</w:t>
      </w:r>
      <w:r w:rsidR="00F93954" w:rsidRPr="0044640A">
        <w:rPr>
          <w:bCs/>
          <w:lang w:val="fr-FR"/>
        </w:rPr>
        <w:t>’</w:t>
      </w:r>
      <w:r w:rsidRPr="0044640A">
        <w:rPr>
          <w:bCs/>
          <w:lang w:val="fr-FR"/>
        </w:rPr>
        <w:t xml:space="preserve">événements organisés par une autre organisation des </w:t>
      </w:r>
      <w:r w:rsidR="00F93954" w:rsidRPr="0044640A">
        <w:rPr>
          <w:bCs/>
          <w:lang w:val="fr-FR"/>
        </w:rPr>
        <w:t>Nations Unies</w:t>
      </w:r>
      <w:r w:rsidRPr="0044640A">
        <w:rPr>
          <w:bCs/>
          <w:lang w:val="fr-FR"/>
        </w:rPr>
        <w:t>) peuvent aider l</w:t>
      </w:r>
      <w:r w:rsidR="00F93954" w:rsidRPr="0044640A">
        <w:rPr>
          <w:bCs/>
          <w:lang w:val="fr-FR"/>
        </w:rPr>
        <w:t>’</w:t>
      </w:r>
      <w:r w:rsidRPr="0044640A">
        <w:rPr>
          <w:bCs/>
          <w:lang w:val="fr-FR"/>
        </w:rPr>
        <w:t>OMPI à se positionner en tant que “centre de compétence” dans le domaine des projets de partenariat ouvert, à assurer sa visibilité et à tirer parti des expériences d</w:t>
      </w:r>
      <w:r w:rsidR="00F93954" w:rsidRPr="0044640A">
        <w:rPr>
          <w:bCs/>
          <w:lang w:val="fr-FR"/>
        </w:rPr>
        <w:t>’</w:t>
      </w:r>
      <w:r w:rsidRPr="0044640A">
        <w:rPr>
          <w:bCs/>
          <w:lang w:val="fr-FR"/>
        </w:rPr>
        <w:t>un large éventail de participants à ces conférences.</w:t>
      </w:r>
    </w:p>
    <w:p w:rsidR="00F15065" w:rsidRPr="0044640A" w:rsidRDefault="00F15065" w:rsidP="0044640A">
      <w:pPr>
        <w:rPr>
          <w:bCs/>
          <w:lang w:val="fr-FR"/>
        </w:rPr>
      </w:pPr>
    </w:p>
    <w:p w:rsidR="00F15065" w:rsidRPr="0044640A" w:rsidRDefault="00810264" w:rsidP="0044640A">
      <w:pPr>
        <w:rPr>
          <w:b/>
          <w:bCs/>
          <w:lang w:val="fr-FR"/>
        </w:rPr>
      </w:pPr>
      <w:r w:rsidRPr="0044640A">
        <w:rPr>
          <w:b/>
          <w:bCs/>
          <w:lang w:val="fr-FR"/>
        </w:rPr>
        <w:t>Recommandation n°</w:t>
      </w:r>
      <w:r w:rsidR="00062DB6" w:rsidRPr="0044640A">
        <w:rPr>
          <w:b/>
          <w:bCs/>
          <w:lang w:val="fr-FR"/>
        </w:rPr>
        <w:t> </w:t>
      </w:r>
      <w:r w:rsidRPr="0044640A">
        <w:rPr>
          <w:b/>
          <w:bCs/>
          <w:lang w:val="fr-FR"/>
        </w:rPr>
        <w:t>4 (conclusion n°</w:t>
      </w:r>
      <w:r w:rsidR="00062DB6" w:rsidRPr="0044640A">
        <w:rPr>
          <w:b/>
          <w:bCs/>
          <w:lang w:val="fr-FR"/>
        </w:rPr>
        <w:t> </w:t>
      </w:r>
      <w:r w:rsidRPr="0044640A">
        <w:rPr>
          <w:b/>
          <w:bCs/>
          <w:lang w:val="fr-FR"/>
        </w:rPr>
        <w:t>2) à l</w:t>
      </w:r>
      <w:r w:rsidR="00F93954" w:rsidRPr="0044640A">
        <w:rPr>
          <w:b/>
          <w:bCs/>
          <w:lang w:val="fr-FR"/>
        </w:rPr>
        <w:t>’</w:t>
      </w:r>
      <w:r w:rsidRPr="0044640A">
        <w:rPr>
          <w:b/>
          <w:bCs/>
          <w:lang w:val="fr-FR"/>
        </w:rPr>
        <w:t>intention du Secrétariat concernant l</w:t>
      </w:r>
      <w:r w:rsidR="00F93954" w:rsidRPr="0044640A">
        <w:rPr>
          <w:b/>
          <w:bCs/>
          <w:lang w:val="fr-FR"/>
        </w:rPr>
        <w:t>’</w:t>
      </w:r>
      <w:r w:rsidRPr="0044640A">
        <w:rPr>
          <w:b/>
          <w:bCs/>
          <w:lang w:val="fr-FR"/>
        </w:rPr>
        <w:t>utilisation d</w:t>
      </w:r>
      <w:r w:rsidR="00F93954" w:rsidRPr="0044640A">
        <w:rPr>
          <w:b/>
          <w:bCs/>
          <w:lang w:val="fr-FR"/>
        </w:rPr>
        <w:t>’</w:t>
      </w:r>
      <w:r w:rsidRPr="0044640A">
        <w:rPr>
          <w:b/>
          <w:bCs/>
          <w:lang w:val="fr-FR"/>
        </w:rPr>
        <w:t>outils de planification et de suivi dans la gestion du cycle de projet</w:t>
      </w: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1C7E8C" w:rsidP="0044640A">
      <w:pPr>
        <w:numPr>
          <w:ilvl w:val="0"/>
          <w:numId w:val="12"/>
        </w:numPr>
        <w:ind w:left="567" w:firstLine="0"/>
        <w:rPr>
          <w:lang w:val="fr-FR"/>
        </w:rPr>
      </w:pPr>
      <w:r w:rsidRPr="0044640A">
        <w:rPr>
          <w:lang w:val="fr-FR"/>
        </w:rPr>
        <w:t>Renforcer le contrôle de la qualité des nouveaux projets soumis</w:t>
      </w:r>
      <w:r w:rsidR="00F93954" w:rsidRPr="0044640A">
        <w:rPr>
          <w:lang w:val="fr-FR"/>
        </w:rPr>
        <w:t xml:space="preserve"> au CDI</w:t>
      </w:r>
      <w:r w:rsidRPr="0044640A">
        <w:rPr>
          <w:lang w:val="fr-FR"/>
        </w:rPr>
        <w:t>P en ce qui concerne l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utilisation appropriée des outils de projet existants de l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OMPI destinés à la gestion du cycle de projet;</w:t>
      </w:r>
    </w:p>
    <w:p w:rsidR="00F15065" w:rsidRPr="0044640A" w:rsidRDefault="00F15065" w:rsidP="0044640A">
      <w:pPr>
        <w:ind w:left="567"/>
        <w:rPr>
          <w:lang w:val="fr-FR"/>
        </w:rPr>
      </w:pPr>
    </w:p>
    <w:p w:rsidR="00F15065" w:rsidRPr="0044640A" w:rsidRDefault="001C7E8C" w:rsidP="0044640A">
      <w:pPr>
        <w:numPr>
          <w:ilvl w:val="0"/>
          <w:numId w:val="12"/>
        </w:numPr>
        <w:ind w:left="567" w:firstLine="0"/>
        <w:rPr>
          <w:lang w:val="fr-FR"/>
        </w:rPr>
      </w:pPr>
      <w:r w:rsidRPr="0044640A">
        <w:rPr>
          <w:lang w:val="fr-FR"/>
        </w:rPr>
        <w:t>Renforcer le contrôle de la qualité des rapports sur l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état d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avancement des projets soumis</w:t>
      </w:r>
      <w:r w:rsidR="00F93954" w:rsidRPr="0044640A">
        <w:rPr>
          <w:lang w:val="fr-FR"/>
        </w:rPr>
        <w:t xml:space="preserve"> au CDI</w:t>
      </w:r>
      <w:r w:rsidRPr="0044640A">
        <w:rPr>
          <w:lang w:val="fr-FR"/>
        </w:rPr>
        <w:t>P de manière à assurer la bonne application des outils de projet existants de l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OMPI destinés à la gestion du cycle de projet;</w:t>
      </w:r>
    </w:p>
    <w:p w:rsidR="00F15065" w:rsidRPr="0044640A" w:rsidRDefault="00F15065" w:rsidP="0044640A">
      <w:pPr>
        <w:ind w:left="567"/>
        <w:rPr>
          <w:lang w:val="fr-FR"/>
        </w:rPr>
      </w:pPr>
    </w:p>
    <w:p w:rsidR="00F15065" w:rsidRPr="0044640A" w:rsidRDefault="001C7E8C" w:rsidP="0044640A">
      <w:pPr>
        <w:numPr>
          <w:ilvl w:val="0"/>
          <w:numId w:val="12"/>
        </w:numPr>
        <w:ind w:left="567" w:firstLine="0"/>
        <w:rPr>
          <w:lang w:val="fr-FR"/>
        </w:rPr>
      </w:pPr>
      <w:r w:rsidRPr="0044640A">
        <w:rPr>
          <w:lang w:val="fr-FR"/>
        </w:rPr>
        <w:t>Envisager de mettre en place le cadre logique comme base pour la gestion du cycle de projet;</w:t>
      </w:r>
    </w:p>
    <w:p w:rsidR="00F15065" w:rsidRPr="0044640A" w:rsidRDefault="00F15065" w:rsidP="0044640A">
      <w:pPr>
        <w:ind w:left="567"/>
        <w:rPr>
          <w:lang w:val="fr-FR"/>
        </w:rPr>
      </w:pPr>
    </w:p>
    <w:p w:rsidR="00F15065" w:rsidRPr="0044640A" w:rsidRDefault="001C7E8C" w:rsidP="0044640A">
      <w:pPr>
        <w:numPr>
          <w:ilvl w:val="0"/>
          <w:numId w:val="12"/>
        </w:numPr>
        <w:ind w:left="567" w:firstLine="0"/>
        <w:rPr>
          <w:lang w:val="fr-FR"/>
        </w:rPr>
      </w:pPr>
      <w:r w:rsidRPr="0044640A">
        <w:rPr>
          <w:lang w:val="fr-FR"/>
        </w:rPr>
        <w:t>Envisager l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introduction de cours obligatoires sur la gestion du cycle de projet</w:t>
      </w:r>
      <w:r w:rsidR="005E73F3" w:rsidRPr="0044640A">
        <w:rPr>
          <w:lang w:val="fr-FR"/>
        </w:rPr>
        <w:t xml:space="preserve"> à l</w:t>
      </w:r>
      <w:r w:rsidR="00F93954" w:rsidRPr="0044640A">
        <w:rPr>
          <w:lang w:val="fr-FR"/>
        </w:rPr>
        <w:t>’</w:t>
      </w:r>
      <w:r w:rsidR="005E73F3" w:rsidRPr="0044640A">
        <w:rPr>
          <w:lang w:val="fr-FR"/>
        </w:rPr>
        <w:t>intention des futurs responsables de projets</w:t>
      </w:r>
      <w:r w:rsidRPr="0044640A">
        <w:rPr>
          <w:lang w:val="fr-FR"/>
        </w:rPr>
        <w:t>;  et</w:t>
      </w:r>
    </w:p>
    <w:p w:rsidR="00F15065" w:rsidRPr="0044640A" w:rsidRDefault="00F15065" w:rsidP="0044640A">
      <w:pPr>
        <w:ind w:left="567"/>
        <w:rPr>
          <w:lang w:val="fr-FR"/>
        </w:rPr>
      </w:pPr>
    </w:p>
    <w:p w:rsidR="00F15065" w:rsidRPr="0044640A" w:rsidRDefault="00FA02ED" w:rsidP="0044640A">
      <w:pPr>
        <w:numPr>
          <w:ilvl w:val="0"/>
          <w:numId w:val="12"/>
        </w:numPr>
        <w:ind w:left="567" w:firstLine="0"/>
        <w:rPr>
          <w:lang w:val="fr-FR"/>
        </w:rPr>
      </w:pPr>
      <w:r w:rsidRPr="0044640A">
        <w:rPr>
          <w:lang w:val="fr-FR"/>
        </w:rPr>
        <w:lastRenderedPageBreak/>
        <w:t>Assurer un encadrement régulier des responsables de projet en fonction de la demande.</w:t>
      </w: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F15065" w:rsidP="0044640A">
      <w:pPr>
        <w:rPr>
          <w:lang w:val="fr-FR"/>
        </w:rPr>
      </w:pPr>
    </w:p>
    <w:p w:rsidR="00F15065" w:rsidRPr="0044640A" w:rsidRDefault="00FA02ED" w:rsidP="0044640A">
      <w:pPr>
        <w:pStyle w:val="Endofdocument-Annex"/>
        <w:rPr>
          <w:lang w:val="fr-FR"/>
        </w:rPr>
      </w:pPr>
      <w:r w:rsidRPr="0044640A">
        <w:rPr>
          <w:lang w:val="fr-FR"/>
        </w:rPr>
        <w:t>[Fin de l</w:t>
      </w:r>
      <w:r w:rsidR="00F93954" w:rsidRPr="0044640A">
        <w:rPr>
          <w:lang w:val="fr-FR"/>
        </w:rPr>
        <w:t>’</w:t>
      </w:r>
      <w:r w:rsidRPr="0044640A">
        <w:rPr>
          <w:lang w:val="fr-FR"/>
        </w:rPr>
        <w:t>annexe et du document]</w:t>
      </w:r>
    </w:p>
    <w:p w:rsidR="00F15065" w:rsidRPr="0044640A" w:rsidRDefault="00F15065" w:rsidP="0044640A">
      <w:pPr>
        <w:pStyle w:val="Endofdocument-Annex"/>
        <w:rPr>
          <w:lang w:val="fr-FR"/>
        </w:rPr>
      </w:pPr>
    </w:p>
    <w:p w:rsidR="003B1F3B" w:rsidRPr="0044640A" w:rsidRDefault="003B1F3B" w:rsidP="0044640A">
      <w:pPr>
        <w:pStyle w:val="Endofdocument-Annex"/>
        <w:rPr>
          <w:lang w:val="fr-FR"/>
        </w:rPr>
      </w:pPr>
    </w:p>
    <w:sectPr w:rsidR="003B1F3B" w:rsidRPr="0044640A" w:rsidSect="00F93954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A5" w:rsidRDefault="00276EA5">
      <w:r>
        <w:separator/>
      </w:r>
    </w:p>
  </w:endnote>
  <w:endnote w:type="continuationSeparator" w:id="0">
    <w:p w:rsidR="00276EA5" w:rsidRDefault="00276EA5" w:rsidP="003B38C1">
      <w:r>
        <w:separator/>
      </w:r>
    </w:p>
    <w:p w:rsidR="00276EA5" w:rsidRPr="003B38C1" w:rsidRDefault="00276EA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6EA5" w:rsidRPr="003B38C1" w:rsidRDefault="00276EA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54" w:rsidRDefault="00F93954" w:rsidP="00F93954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34418E">
      <w:rPr>
        <w:noProof/>
        <w:sz w:val="16"/>
      </w:rPr>
      <w:t>n:\orglan\aem\pool\cdip_15_3_36733_fr.docx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(CB/</w:t>
    </w:r>
    <w:proofErr w:type="spellStart"/>
    <w:r>
      <w:rPr>
        <w:sz w:val="16"/>
      </w:rPr>
      <w:t>sc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5E1E22">
      <w:rPr>
        <w:noProof/>
        <w:sz w:val="16"/>
      </w:rPr>
      <w:t>23-Feb-15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5E1E22">
      <w:rPr>
        <w:noProof/>
        <w:sz w:val="16"/>
      </w:rPr>
      <w:t>2:46</w:t>
    </w:r>
    <w:r>
      <w:rPr>
        <w:sz w:val="16"/>
      </w:rPr>
      <w:fldChar w:fldCharType="end"/>
    </w:r>
    <w:r>
      <w:rPr>
        <w:sz w:val="16"/>
      </w:rPr>
      <w:t>)</w:t>
    </w:r>
  </w:p>
  <w:p w:rsidR="00F93954" w:rsidRDefault="00F939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54" w:rsidRPr="00F93954" w:rsidRDefault="00F93954" w:rsidP="00F93954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1D3" w:rsidRDefault="008221D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1D3" w:rsidRPr="00DF4C96" w:rsidRDefault="008221D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A5" w:rsidRDefault="00276EA5">
      <w:r>
        <w:separator/>
      </w:r>
    </w:p>
  </w:footnote>
  <w:footnote w:type="continuationSeparator" w:id="0">
    <w:p w:rsidR="00276EA5" w:rsidRDefault="00276EA5" w:rsidP="008B60B2">
      <w:r>
        <w:separator/>
      </w:r>
    </w:p>
    <w:p w:rsidR="00276EA5" w:rsidRPr="00ED77FB" w:rsidRDefault="00276EA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6EA5" w:rsidRPr="00ED77FB" w:rsidRDefault="00276EA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1D3" w:rsidRDefault="008221D3" w:rsidP="00C218BD">
    <w:pPr>
      <w:jc w:val="right"/>
    </w:pPr>
    <w:bookmarkStart w:id="6" w:name="Code2"/>
    <w:bookmarkEnd w:id="6"/>
    <w:r>
      <w:t>CDIP/15/3</w:t>
    </w:r>
  </w:p>
  <w:p w:rsidR="008221D3" w:rsidRDefault="008221D3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34418E">
      <w:rPr>
        <w:noProof/>
      </w:rPr>
      <w:t>1</w:t>
    </w:r>
    <w:r>
      <w:fldChar w:fldCharType="end"/>
    </w:r>
  </w:p>
  <w:p w:rsidR="008221D3" w:rsidRDefault="008221D3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1D3" w:rsidRDefault="008221D3" w:rsidP="00C218BD">
    <w:pPr>
      <w:jc w:val="right"/>
    </w:pPr>
    <w:r>
      <w:t>CDIP/15/3</w:t>
    </w:r>
  </w:p>
  <w:p w:rsidR="008221D3" w:rsidRDefault="003972F7" w:rsidP="009E4489">
    <w:pPr>
      <w:jc w:val="right"/>
    </w:pPr>
    <w:proofErr w:type="spellStart"/>
    <w:r>
      <w:t>Annex</w:t>
    </w:r>
    <w:r w:rsidR="00F93954">
      <w:t>e</w:t>
    </w:r>
    <w:proofErr w:type="spellEnd"/>
    <w:r w:rsidR="008221D3">
      <w:t xml:space="preserve">, page </w:t>
    </w:r>
    <w:r w:rsidR="008221D3">
      <w:fldChar w:fldCharType="begin"/>
    </w:r>
    <w:r w:rsidR="008221D3">
      <w:instrText xml:space="preserve"> PAGE  \* MERGEFORMAT </w:instrText>
    </w:r>
    <w:r w:rsidR="008221D3">
      <w:fldChar w:fldCharType="separate"/>
    </w:r>
    <w:r w:rsidR="00D95C70">
      <w:rPr>
        <w:noProof/>
      </w:rPr>
      <w:t>5</w:t>
    </w:r>
    <w:r w:rsidR="008221D3">
      <w:fldChar w:fldCharType="end"/>
    </w:r>
  </w:p>
  <w:p w:rsidR="008221D3" w:rsidRDefault="008221D3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1D3" w:rsidRDefault="008221D3" w:rsidP="00F93954">
    <w:pPr>
      <w:pStyle w:val="Header"/>
      <w:jc w:val="right"/>
    </w:pPr>
    <w:r>
      <w:t>CDIP/15/</w:t>
    </w:r>
    <w:r w:rsidR="00717EA3">
      <w:t>3</w:t>
    </w:r>
  </w:p>
  <w:p w:rsidR="008221D3" w:rsidRDefault="003972F7" w:rsidP="00F93954">
    <w:pPr>
      <w:pStyle w:val="Header"/>
      <w:jc w:val="right"/>
    </w:pPr>
    <w:r>
      <w:t>ANNEX</w:t>
    </w:r>
    <w:r w:rsidR="006B174D">
      <w:t>E</w:t>
    </w:r>
  </w:p>
  <w:p w:rsidR="008221D3" w:rsidRDefault="008221D3" w:rsidP="00F9395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E577AA"/>
    <w:multiLevelType w:val="hybridMultilevel"/>
    <w:tmpl w:val="01B60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CD29E3"/>
    <w:multiLevelType w:val="multilevel"/>
    <w:tmpl w:val="BBD800E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2102C17"/>
    <w:multiLevelType w:val="hybridMultilevel"/>
    <w:tmpl w:val="675CA5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C61D20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04539C4"/>
    <w:multiLevelType w:val="hybridMultilevel"/>
    <w:tmpl w:val="B1080E88"/>
    <w:lvl w:ilvl="0" w:tplc="110A22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86C69"/>
    <w:multiLevelType w:val="hybridMultilevel"/>
    <w:tmpl w:val="331E8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912FCE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AF59B7"/>
    <w:multiLevelType w:val="hybridMultilevel"/>
    <w:tmpl w:val="E690A4EA"/>
    <w:lvl w:ilvl="0" w:tplc="5A54B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92E75"/>
    <w:multiLevelType w:val="hybridMultilevel"/>
    <w:tmpl w:val="19ECB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58083E"/>
    <w:multiLevelType w:val="multilevel"/>
    <w:tmpl w:val="BAFE37E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>
      <w:start w:val="1"/>
      <w:numFmt w:val="upperLetter"/>
      <w:lvlText w:val="(%2)"/>
      <w:lvlJc w:val="left"/>
      <w:pPr>
        <w:tabs>
          <w:tab w:val="num" w:pos="1135"/>
        </w:tabs>
        <w:ind w:left="568" w:firstLine="0"/>
      </w:pPr>
      <w:rPr>
        <w:rFonts w:hint="default"/>
        <w:caps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49327F"/>
    <w:multiLevelType w:val="hybridMultilevel"/>
    <w:tmpl w:val="DC7AB300"/>
    <w:lvl w:ilvl="0" w:tplc="228CC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793221"/>
    <w:multiLevelType w:val="hybridMultilevel"/>
    <w:tmpl w:val="B2A04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3F4531"/>
    <w:multiLevelType w:val="hybridMultilevel"/>
    <w:tmpl w:val="6B7C0B2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7D6E75"/>
    <w:multiLevelType w:val="hybridMultilevel"/>
    <w:tmpl w:val="9F1EC76A"/>
    <w:lvl w:ilvl="0" w:tplc="459607EC">
      <w:start w:val="1"/>
      <w:numFmt w:val="bullet"/>
      <w:lvlText w:val="―"/>
      <w:lvlJc w:val="left"/>
      <w:pPr>
        <w:tabs>
          <w:tab w:val="num" w:pos="927"/>
        </w:tabs>
        <w:ind w:left="-207" w:firstLine="567"/>
      </w:pPr>
      <w:rPr>
        <w:rFonts w:ascii="Century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7E3EAD"/>
    <w:multiLevelType w:val="hybridMultilevel"/>
    <w:tmpl w:val="9E6E5AC0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>
    <w:nsid w:val="5097029D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B80011"/>
    <w:multiLevelType w:val="hybridMultilevel"/>
    <w:tmpl w:val="62EECF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470BD4"/>
    <w:multiLevelType w:val="hybridMultilevel"/>
    <w:tmpl w:val="E690A4EA"/>
    <w:lvl w:ilvl="0" w:tplc="5A54B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6719F"/>
    <w:multiLevelType w:val="hybridMultilevel"/>
    <w:tmpl w:val="748A2B80"/>
    <w:lvl w:ilvl="0" w:tplc="8C0C23D4">
      <w:start w:val="1"/>
      <w:numFmt w:val="lowerLetter"/>
      <w:lvlText w:val="(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0C7EC4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32B0673"/>
    <w:multiLevelType w:val="hybridMultilevel"/>
    <w:tmpl w:val="3D80B2B6"/>
    <w:lvl w:ilvl="0" w:tplc="459607EC">
      <w:start w:val="1"/>
      <w:numFmt w:val="bullet"/>
      <w:lvlText w:val="―"/>
      <w:lvlJc w:val="left"/>
      <w:pPr>
        <w:tabs>
          <w:tab w:val="num" w:pos="927"/>
        </w:tabs>
        <w:ind w:left="-207" w:firstLine="567"/>
      </w:pPr>
      <w:rPr>
        <w:rFonts w:ascii="Century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381904"/>
    <w:multiLevelType w:val="hybridMultilevel"/>
    <w:tmpl w:val="A1DA9D7A"/>
    <w:lvl w:ilvl="0" w:tplc="C4629B2C">
      <w:start w:val="1"/>
      <w:numFmt w:val="lowerRoman"/>
      <w:lvlText w:val="(%1)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7">
    <w:nsid w:val="7D4A5D4D"/>
    <w:multiLevelType w:val="hybridMultilevel"/>
    <w:tmpl w:val="51603132"/>
    <w:lvl w:ilvl="0" w:tplc="459607EC">
      <w:start w:val="1"/>
      <w:numFmt w:val="bullet"/>
      <w:lvlText w:val="―"/>
      <w:lvlJc w:val="left"/>
      <w:pPr>
        <w:tabs>
          <w:tab w:val="num" w:pos="927"/>
        </w:tabs>
        <w:ind w:left="-207" w:firstLine="567"/>
      </w:pPr>
      <w:rPr>
        <w:rFonts w:ascii="Century" w:hAnsi="Century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AD20AD"/>
    <w:multiLevelType w:val="hybridMultilevel"/>
    <w:tmpl w:val="E690A4EA"/>
    <w:lvl w:ilvl="0" w:tplc="5A54B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7"/>
  </w:num>
  <w:num w:numId="5">
    <w:abstractNumId w:val="2"/>
  </w:num>
  <w:num w:numId="6">
    <w:abstractNumId w:val="6"/>
  </w:num>
  <w:num w:numId="7">
    <w:abstractNumId w:val="12"/>
  </w:num>
  <w:num w:numId="8">
    <w:abstractNumId w:val="19"/>
  </w:num>
  <w:num w:numId="9">
    <w:abstractNumId w:val="3"/>
  </w:num>
  <w:num w:numId="10">
    <w:abstractNumId w:val="16"/>
  </w:num>
  <w:num w:numId="11">
    <w:abstractNumId w:val="21"/>
  </w:num>
  <w:num w:numId="12">
    <w:abstractNumId w:val="8"/>
  </w:num>
  <w:num w:numId="13">
    <w:abstractNumId w:val="9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1"/>
  </w:num>
  <w:num w:numId="17">
    <w:abstractNumId w:val="15"/>
  </w:num>
  <w:num w:numId="18">
    <w:abstractNumId w:val="10"/>
  </w:num>
  <w:num w:numId="19">
    <w:abstractNumId w:val="20"/>
  </w:num>
  <w:num w:numId="20">
    <w:abstractNumId w:val="22"/>
  </w:num>
  <w:num w:numId="21">
    <w:abstractNumId w:val="2"/>
  </w:num>
  <w:num w:numId="22">
    <w:abstractNumId w:val="24"/>
  </w:num>
  <w:num w:numId="23">
    <w:abstractNumId w:val="2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8"/>
  </w:num>
  <w:num w:numId="27">
    <w:abstractNumId w:val="25"/>
  </w:num>
  <w:num w:numId="28">
    <w:abstractNumId w:val="23"/>
  </w:num>
  <w:num w:numId="29">
    <w:abstractNumId w:val="27"/>
  </w:num>
  <w:num w:numId="30">
    <w:abstractNumId w:val="7"/>
  </w:num>
  <w:num w:numId="31">
    <w:abstractNumId w:val="2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WO_CC|WorkspaceFTS\EN-FR\WO_GA|WorkspaceFTS\EN-FR\WO_PBC|WorkspaceFTS\EN-FR\UPOV|Glossaries\EN-FR|Treaties\Model Laws|Treaties\Other Laws and Agreements|Treaties\WIPO-administered|Patents\Meetings|Patents\Other|Patent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IP in General\SpeechDG2014|Trademarks\Meetings|Trademarks\Other|Trademarks\Publications"/>
    <w:docVar w:name="TextBaseURL" w:val="empty"/>
    <w:docVar w:name="UILng" w:val="en"/>
  </w:docVars>
  <w:rsids>
    <w:rsidRoot w:val="002B0E21"/>
    <w:rsid w:val="0000078C"/>
    <w:rsid w:val="000063B2"/>
    <w:rsid w:val="000208E8"/>
    <w:rsid w:val="00023541"/>
    <w:rsid w:val="00041E85"/>
    <w:rsid w:val="00043CAA"/>
    <w:rsid w:val="000511FF"/>
    <w:rsid w:val="00062DB6"/>
    <w:rsid w:val="00064AED"/>
    <w:rsid w:val="000726AC"/>
    <w:rsid w:val="00072B79"/>
    <w:rsid w:val="00075432"/>
    <w:rsid w:val="000809DE"/>
    <w:rsid w:val="00094DB3"/>
    <w:rsid w:val="000968ED"/>
    <w:rsid w:val="000B24AB"/>
    <w:rsid w:val="000C22FE"/>
    <w:rsid w:val="000C3131"/>
    <w:rsid w:val="000C48A1"/>
    <w:rsid w:val="000C7762"/>
    <w:rsid w:val="000E4925"/>
    <w:rsid w:val="000E7231"/>
    <w:rsid w:val="000F5E56"/>
    <w:rsid w:val="00101FFB"/>
    <w:rsid w:val="001021BA"/>
    <w:rsid w:val="00102D01"/>
    <w:rsid w:val="00117CD6"/>
    <w:rsid w:val="00122039"/>
    <w:rsid w:val="001362AF"/>
    <w:rsid w:val="001362EE"/>
    <w:rsid w:val="00137FAD"/>
    <w:rsid w:val="00140006"/>
    <w:rsid w:val="00142B33"/>
    <w:rsid w:val="00147F2D"/>
    <w:rsid w:val="00151D83"/>
    <w:rsid w:val="00170C54"/>
    <w:rsid w:val="0018181B"/>
    <w:rsid w:val="00182B5F"/>
    <w:rsid w:val="001832A6"/>
    <w:rsid w:val="00191370"/>
    <w:rsid w:val="001A38F8"/>
    <w:rsid w:val="001A48D7"/>
    <w:rsid w:val="001A53D1"/>
    <w:rsid w:val="001A6318"/>
    <w:rsid w:val="001C09C1"/>
    <w:rsid w:val="001C7E8C"/>
    <w:rsid w:val="001D6E74"/>
    <w:rsid w:val="001E4432"/>
    <w:rsid w:val="001E6ECA"/>
    <w:rsid w:val="001F256D"/>
    <w:rsid w:val="001F6541"/>
    <w:rsid w:val="00201D9B"/>
    <w:rsid w:val="002071C9"/>
    <w:rsid w:val="00212BF3"/>
    <w:rsid w:val="00212FA0"/>
    <w:rsid w:val="0021644B"/>
    <w:rsid w:val="002178C6"/>
    <w:rsid w:val="002179B8"/>
    <w:rsid w:val="00217BEF"/>
    <w:rsid w:val="00227F98"/>
    <w:rsid w:val="002356C2"/>
    <w:rsid w:val="00235BF5"/>
    <w:rsid w:val="00236332"/>
    <w:rsid w:val="002634C4"/>
    <w:rsid w:val="00265BF1"/>
    <w:rsid w:val="00276EA5"/>
    <w:rsid w:val="002928D3"/>
    <w:rsid w:val="00296098"/>
    <w:rsid w:val="002A7502"/>
    <w:rsid w:val="002B0E21"/>
    <w:rsid w:val="002B1EE2"/>
    <w:rsid w:val="002B3CB6"/>
    <w:rsid w:val="002C1DAB"/>
    <w:rsid w:val="002F10D8"/>
    <w:rsid w:val="002F1FE6"/>
    <w:rsid w:val="002F4E68"/>
    <w:rsid w:val="003021C0"/>
    <w:rsid w:val="00307DDF"/>
    <w:rsid w:val="00312F7F"/>
    <w:rsid w:val="00325C52"/>
    <w:rsid w:val="003352E6"/>
    <w:rsid w:val="0034418E"/>
    <w:rsid w:val="00361450"/>
    <w:rsid w:val="00362CCF"/>
    <w:rsid w:val="003673CF"/>
    <w:rsid w:val="003837C3"/>
    <w:rsid w:val="003845C1"/>
    <w:rsid w:val="00394582"/>
    <w:rsid w:val="003966A8"/>
    <w:rsid w:val="003972F7"/>
    <w:rsid w:val="003A6F89"/>
    <w:rsid w:val="003B1F3B"/>
    <w:rsid w:val="003B38C1"/>
    <w:rsid w:val="003B50FE"/>
    <w:rsid w:val="003B516B"/>
    <w:rsid w:val="003B6978"/>
    <w:rsid w:val="003B72E7"/>
    <w:rsid w:val="003D505A"/>
    <w:rsid w:val="003E158A"/>
    <w:rsid w:val="003F4F2C"/>
    <w:rsid w:val="004024F6"/>
    <w:rsid w:val="004073E1"/>
    <w:rsid w:val="00416739"/>
    <w:rsid w:val="004174D0"/>
    <w:rsid w:val="00423E3E"/>
    <w:rsid w:val="00427AF4"/>
    <w:rsid w:val="004319EF"/>
    <w:rsid w:val="0044640A"/>
    <w:rsid w:val="00455A5B"/>
    <w:rsid w:val="004647DA"/>
    <w:rsid w:val="004659EB"/>
    <w:rsid w:val="00474062"/>
    <w:rsid w:val="004748E4"/>
    <w:rsid w:val="00477D6B"/>
    <w:rsid w:val="004B0A84"/>
    <w:rsid w:val="004C7148"/>
    <w:rsid w:val="004D1458"/>
    <w:rsid w:val="004E5354"/>
    <w:rsid w:val="004E6C89"/>
    <w:rsid w:val="004F3307"/>
    <w:rsid w:val="004F5DEC"/>
    <w:rsid w:val="005019FF"/>
    <w:rsid w:val="0050747A"/>
    <w:rsid w:val="005133AF"/>
    <w:rsid w:val="00517FD4"/>
    <w:rsid w:val="0053057A"/>
    <w:rsid w:val="005366F4"/>
    <w:rsid w:val="00540749"/>
    <w:rsid w:val="005410D1"/>
    <w:rsid w:val="0054465E"/>
    <w:rsid w:val="00544B3F"/>
    <w:rsid w:val="0054674A"/>
    <w:rsid w:val="00557BDC"/>
    <w:rsid w:val="00560A29"/>
    <w:rsid w:val="00561F66"/>
    <w:rsid w:val="005761F4"/>
    <w:rsid w:val="005B527E"/>
    <w:rsid w:val="005C6649"/>
    <w:rsid w:val="005D227D"/>
    <w:rsid w:val="005D6F79"/>
    <w:rsid w:val="005E11CF"/>
    <w:rsid w:val="005E1E22"/>
    <w:rsid w:val="005E47E6"/>
    <w:rsid w:val="005E4B45"/>
    <w:rsid w:val="005E73F3"/>
    <w:rsid w:val="005F0482"/>
    <w:rsid w:val="00605827"/>
    <w:rsid w:val="00606A9D"/>
    <w:rsid w:val="0064223F"/>
    <w:rsid w:val="00646050"/>
    <w:rsid w:val="00646A21"/>
    <w:rsid w:val="0065511F"/>
    <w:rsid w:val="006671AD"/>
    <w:rsid w:val="006713CA"/>
    <w:rsid w:val="00673AC1"/>
    <w:rsid w:val="00676C5C"/>
    <w:rsid w:val="006934D7"/>
    <w:rsid w:val="006961A1"/>
    <w:rsid w:val="006B174D"/>
    <w:rsid w:val="006B3334"/>
    <w:rsid w:val="006D1F2B"/>
    <w:rsid w:val="006D54E9"/>
    <w:rsid w:val="00705B42"/>
    <w:rsid w:val="0070686C"/>
    <w:rsid w:val="00715BF3"/>
    <w:rsid w:val="00717EA3"/>
    <w:rsid w:val="007308B6"/>
    <w:rsid w:val="00732571"/>
    <w:rsid w:val="00741FEE"/>
    <w:rsid w:val="0076509D"/>
    <w:rsid w:val="007773D6"/>
    <w:rsid w:val="00777AAF"/>
    <w:rsid w:val="0078448E"/>
    <w:rsid w:val="00785C18"/>
    <w:rsid w:val="00787AC6"/>
    <w:rsid w:val="00795C15"/>
    <w:rsid w:val="007A58BB"/>
    <w:rsid w:val="007B0690"/>
    <w:rsid w:val="007C107B"/>
    <w:rsid w:val="007C451E"/>
    <w:rsid w:val="007D1613"/>
    <w:rsid w:val="007E0764"/>
    <w:rsid w:val="00801170"/>
    <w:rsid w:val="00803DB2"/>
    <w:rsid w:val="00807AFB"/>
    <w:rsid w:val="00810264"/>
    <w:rsid w:val="008221D3"/>
    <w:rsid w:val="008251BC"/>
    <w:rsid w:val="008316E5"/>
    <w:rsid w:val="00837381"/>
    <w:rsid w:val="008453F5"/>
    <w:rsid w:val="00853C8C"/>
    <w:rsid w:val="008649F2"/>
    <w:rsid w:val="0086577B"/>
    <w:rsid w:val="008716D6"/>
    <w:rsid w:val="00872ECE"/>
    <w:rsid w:val="00880C76"/>
    <w:rsid w:val="00883143"/>
    <w:rsid w:val="008A0D01"/>
    <w:rsid w:val="008A6FC3"/>
    <w:rsid w:val="008B2CC1"/>
    <w:rsid w:val="008B60B2"/>
    <w:rsid w:val="008D0F05"/>
    <w:rsid w:val="008D679C"/>
    <w:rsid w:val="008E305B"/>
    <w:rsid w:val="008F4AC1"/>
    <w:rsid w:val="0090030C"/>
    <w:rsid w:val="0090267C"/>
    <w:rsid w:val="0090731E"/>
    <w:rsid w:val="00913EB1"/>
    <w:rsid w:val="00916EE2"/>
    <w:rsid w:val="00920D01"/>
    <w:rsid w:val="00922D28"/>
    <w:rsid w:val="0093337A"/>
    <w:rsid w:val="009339AC"/>
    <w:rsid w:val="00933BE6"/>
    <w:rsid w:val="009415D7"/>
    <w:rsid w:val="00950381"/>
    <w:rsid w:val="00960829"/>
    <w:rsid w:val="00966A22"/>
    <w:rsid w:val="0096722F"/>
    <w:rsid w:val="00980843"/>
    <w:rsid w:val="0098136E"/>
    <w:rsid w:val="00981AFC"/>
    <w:rsid w:val="0098446F"/>
    <w:rsid w:val="00995A55"/>
    <w:rsid w:val="009A0B0F"/>
    <w:rsid w:val="009A43B4"/>
    <w:rsid w:val="009C3032"/>
    <w:rsid w:val="009D557E"/>
    <w:rsid w:val="009E0375"/>
    <w:rsid w:val="009E134D"/>
    <w:rsid w:val="009E2791"/>
    <w:rsid w:val="009E3F6F"/>
    <w:rsid w:val="009E4489"/>
    <w:rsid w:val="009F3D40"/>
    <w:rsid w:val="009F472D"/>
    <w:rsid w:val="009F499F"/>
    <w:rsid w:val="00A07E08"/>
    <w:rsid w:val="00A303E1"/>
    <w:rsid w:val="00A42DAF"/>
    <w:rsid w:val="00A45BD8"/>
    <w:rsid w:val="00A46CD4"/>
    <w:rsid w:val="00A60F14"/>
    <w:rsid w:val="00A62E69"/>
    <w:rsid w:val="00A64563"/>
    <w:rsid w:val="00A72D16"/>
    <w:rsid w:val="00A76521"/>
    <w:rsid w:val="00A869B7"/>
    <w:rsid w:val="00AA1B76"/>
    <w:rsid w:val="00AA2A3C"/>
    <w:rsid w:val="00AA58A2"/>
    <w:rsid w:val="00AA6FAE"/>
    <w:rsid w:val="00AC205C"/>
    <w:rsid w:val="00AC6606"/>
    <w:rsid w:val="00AF0A6B"/>
    <w:rsid w:val="00AF771D"/>
    <w:rsid w:val="00B00747"/>
    <w:rsid w:val="00B04B70"/>
    <w:rsid w:val="00B05A69"/>
    <w:rsid w:val="00B0743E"/>
    <w:rsid w:val="00B14E0A"/>
    <w:rsid w:val="00B33C48"/>
    <w:rsid w:val="00B35E37"/>
    <w:rsid w:val="00B45017"/>
    <w:rsid w:val="00B54E06"/>
    <w:rsid w:val="00B64E3C"/>
    <w:rsid w:val="00B6653A"/>
    <w:rsid w:val="00B76D17"/>
    <w:rsid w:val="00B819EA"/>
    <w:rsid w:val="00B92292"/>
    <w:rsid w:val="00B9734B"/>
    <w:rsid w:val="00BB310E"/>
    <w:rsid w:val="00BC0553"/>
    <w:rsid w:val="00BD12A1"/>
    <w:rsid w:val="00BD737B"/>
    <w:rsid w:val="00BE1AA8"/>
    <w:rsid w:val="00BE2AA0"/>
    <w:rsid w:val="00BF2DE8"/>
    <w:rsid w:val="00BF6297"/>
    <w:rsid w:val="00BF6852"/>
    <w:rsid w:val="00BF727E"/>
    <w:rsid w:val="00C00DF1"/>
    <w:rsid w:val="00C11BFE"/>
    <w:rsid w:val="00C124DB"/>
    <w:rsid w:val="00C218BD"/>
    <w:rsid w:val="00C30CA4"/>
    <w:rsid w:val="00C375C6"/>
    <w:rsid w:val="00C524F0"/>
    <w:rsid w:val="00C7462E"/>
    <w:rsid w:val="00C76904"/>
    <w:rsid w:val="00C7692D"/>
    <w:rsid w:val="00C80EEB"/>
    <w:rsid w:val="00C82D2D"/>
    <w:rsid w:val="00CB56B0"/>
    <w:rsid w:val="00CD33D8"/>
    <w:rsid w:val="00CD4126"/>
    <w:rsid w:val="00CD78D6"/>
    <w:rsid w:val="00CF67F5"/>
    <w:rsid w:val="00CF7D22"/>
    <w:rsid w:val="00D242B7"/>
    <w:rsid w:val="00D255DA"/>
    <w:rsid w:val="00D45252"/>
    <w:rsid w:val="00D46D17"/>
    <w:rsid w:val="00D66091"/>
    <w:rsid w:val="00D71B4D"/>
    <w:rsid w:val="00D72726"/>
    <w:rsid w:val="00D7545B"/>
    <w:rsid w:val="00D93D55"/>
    <w:rsid w:val="00D95C70"/>
    <w:rsid w:val="00DA1CF5"/>
    <w:rsid w:val="00DB2490"/>
    <w:rsid w:val="00DC03E6"/>
    <w:rsid w:val="00DE5B56"/>
    <w:rsid w:val="00DF15A4"/>
    <w:rsid w:val="00DF4C96"/>
    <w:rsid w:val="00E02923"/>
    <w:rsid w:val="00E1772A"/>
    <w:rsid w:val="00E335FE"/>
    <w:rsid w:val="00E35FA9"/>
    <w:rsid w:val="00E37416"/>
    <w:rsid w:val="00E41304"/>
    <w:rsid w:val="00E6327C"/>
    <w:rsid w:val="00E64EDB"/>
    <w:rsid w:val="00E77C80"/>
    <w:rsid w:val="00E864DE"/>
    <w:rsid w:val="00EA697C"/>
    <w:rsid w:val="00EA7E67"/>
    <w:rsid w:val="00EB0EF7"/>
    <w:rsid w:val="00EC0FC1"/>
    <w:rsid w:val="00EC4E49"/>
    <w:rsid w:val="00ED6F90"/>
    <w:rsid w:val="00ED77FB"/>
    <w:rsid w:val="00EE05CB"/>
    <w:rsid w:val="00EE45FA"/>
    <w:rsid w:val="00EE5D64"/>
    <w:rsid w:val="00EE66E5"/>
    <w:rsid w:val="00EF4543"/>
    <w:rsid w:val="00F107C8"/>
    <w:rsid w:val="00F11D30"/>
    <w:rsid w:val="00F15065"/>
    <w:rsid w:val="00F269D5"/>
    <w:rsid w:val="00F42446"/>
    <w:rsid w:val="00F435A3"/>
    <w:rsid w:val="00F64FAB"/>
    <w:rsid w:val="00F66152"/>
    <w:rsid w:val="00F70060"/>
    <w:rsid w:val="00F75446"/>
    <w:rsid w:val="00F93954"/>
    <w:rsid w:val="00FA02ED"/>
    <w:rsid w:val="00FA17D6"/>
    <w:rsid w:val="00FB5503"/>
    <w:rsid w:val="00FC053B"/>
    <w:rsid w:val="00FD7BED"/>
    <w:rsid w:val="00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33B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E6C8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rsid w:val="004E6C89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character" w:customStyle="1" w:styleId="Endofdocument-AnnexChar">
    <w:name w:val="[End of document - Annex] Char"/>
    <w:link w:val="Endofdocument-Annex"/>
    <w:rsid w:val="00CF7D22"/>
    <w:rPr>
      <w:rFonts w:ascii="Arial" w:eastAsia="SimSun" w:hAnsi="Arial" w:cs="Arial"/>
      <w:sz w:val="22"/>
      <w:lang w:eastAsia="zh-CN"/>
    </w:r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4E6C89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aliases w:val="Footnote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aliases w:val="Footnote Char"/>
    <w:link w:val="FootnoteText"/>
    <w:locked/>
    <w:rsid w:val="004E6C89"/>
    <w:rPr>
      <w:rFonts w:ascii="Arial" w:eastAsia="SimSun" w:hAnsi="Arial" w:cs="Arial"/>
      <w:sz w:val="18"/>
      <w:lang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4E6C89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paragraph" w:styleId="TOC3">
    <w:name w:val="toc 3"/>
    <w:basedOn w:val="Normal"/>
    <w:next w:val="Normal"/>
    <w:autoRedefine/>
    <w:uiPriority w:val="39"/>
    <w:rsid w:val="004E6C89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4E6C89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4E6C89"/>
    <w:pPr>
      <w:spacing w:before="120" w:after="120"/>
      <w:ind w:left="221"/>
    </w:pPr>
    <w:rPr>
      <w:caps/>
    </w:rPr>
  </w:style>
  <w:style w:type="character" w:styleId="FootnoteReference">
    <w:name w:val="footnote reference"/>
    <w:rsid w:val="004E6C89"/>
    <w:rPr>
      <w:rFonts w:cs="Times New Roman"/>
      <w:vertAlign w:val="superscript"/>
    </w:rPr>
  </w:style>
  <w:style w:type="character" w:styleId="Hyperlink">
    <w:name w:val="Hyperlink"/>
    <w:uiPriority w:val="99"/>
    <w:rsid w:val="004E6C89"/>
    <w:rPr>
      <w:color w:val="0000FF"/>
      <w:u w:val="single"/>
    </w:rPr>
  </w:style>
  <w:style w:type="paragraph" w:styleId="BodyText3">
    <w:name w:val="Body Text 3"/>
    <w:basedOn w:val="Normal"/>
    <w:link w:val="BodyText3Char"/>
    <w:rsid w:val="004E6C89"/>
    <w:pPr>
      <w:spacing w:after="120" w:line="260" w:lineRule="atLeast"/>
      <w:ind w:left="1021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4E6C89"/>
    <w:rPr>
      <w:rFonts w:ascii="Arial" w:hAnsi="Arial"/>
      <w:sz w:val="16"/>
      <w:szCs w:val="16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4E6C8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CommentReference">
    <w:name w:val="annotation reference"/>
    <w:rsid w:val="004E6C89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4E6C89"/>
    <w:rPr>
      <w:rFonts w:cs="Times New Roman"/>
      <w:b/>
      <w:bCs/>
      <w:lang w:val="x-none"/>
    </w:rPr>
  </w:style>
  <w:style w:type="character" w:customStyle="1" w:styleId="CommentSubjectChar">
    <w:name w:val="Comment Subject Char"/>
    <w:basedOn w:val="CommentTextChar"/>
    <w:link w:val="CommentSubject"/>
    <w:rsid w:val="004E6C89"/>
    <w:rPr>
      <w:rFonts w:ascii="Arial" w:eastAsia="SimSun" w:hAnsi="Arial" w:cs="Arial"/>
      <w:b/>
      <w:bCs/>
      <w:sz w:val="18"/>
      <w:lang w:val="x-none" w:eastAsia="zh-CN"/>
    </w:rPr>
  </w:style>
  <w:style w:type="paragraph" w:styleId="NormalWeb">
    <w:name w:val="Normal (Web)"/>
    <w:basedOn w:val="Normal"/>
    <w:rsid w:val="004E6C8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15D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415D7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link w:val="EndofdocumentChar"/>
    <w:rsid w:val="005D6F79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EndofdocumentChar">
    <w:name w:val="End of document Char"/>
    <w:basedOn w:val="DefaultParagraphFont"/>
    <w:link w:val="Endofdocument"/>
    <w:rsid w:val="005D6F79"/>
    <w:rPr>
      <w:sz w:val="24"/>
    </w:rPr>
  </w:style>
  <w:style w:type="character" w:customStyle="1" w:styleId="FooterChar">
    <w:name w:val="Footer Char"/>
    <w:basedOn w:val="DefaultParagraphFont"/>
    <w:link w:val="Footer"/>
    <w:rsid w:val="005D6F79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5D6F79"/>
  </w:style>
  <w:style w:type="character" w:customStyle="1" w:styleId="Heading5Char">
    <w:name w:val="Heading 5 Char"/>
    <w:basedOn w:val="DefaultParagraphFont"/>
    <w:link w:val="Heading5"/>
    <w:semiHidden/>
    <w:rsid w:val="00933BE6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33BE6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Theme="minorEastAsia" w:hAnsi="Times New Roman" w:cs="Times New Roman"/>
      <w:kern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33B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E6C8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rsid w:val="004E6C89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character" w:customStyle="1" w:styleId="Endofdocument-AnnexChar">
    <w:name w:val="[End of document - Annex] Char"/>
    <w:link w:val="Endofdocument-Annex"/>
    <w:rsid w:val="00CF7D22"/>
    <w:rPr>
      <w:rFonts w:ascii="Arial" w:eastAsia="SimSun" w:hAnsi="Arial" w:cs="Arial"/>
      <w:sz w:val="22"/>
      <w:lang w:eastAsia="zh-CN"/>
    </w:r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4E6C89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aliases w:val="Footnote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aliases w:val="Footnote Char"/>
    <w:link w:val="FootnoteText"/>
    <w:locked/>
    <w:rsid w:val="004E6C89"/>
    <w:rPr>
      <w:rFonts w:ascii="Arial" w:eastAsia="SimSun" w:hAnsi="Arial" w:cs="Arial"/>
      <w:sz w:val="18"/>
      <w:lang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4E6C89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paragraph" w:styleId="TOC3">
    <w:name w:val="toc 3"/>
    <w:basedOn w:val="Normal"/>
    <w:next w:val="Normal"/>
    <w:autoRedefine/>
    <w:uiPriority w:val="39"/>
    <w:rsid w:val="004E6C89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4E6C89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4E6C89"/>
    <w:pPr>
      <w:spacing w:before="120" w:after="120"/>
      <w:ind w:left="221"/>
    </w:pPr>
    <w:rPr>
      <w:caps/>
    </w:rPr>
  </w:style>
  <w:style w:type="character" w:styleId="FootnoteReference">
    <w:name w:val="footnote reference"/>
    <w:rsid w:val="004E6C89"/>
    <w:rPr>
      <w:rFonts w:cs="Times New Roman"/>
      <w:vertAlign w:val="superscript"/>
    </w:rPr>
  </w:style>
  <w:style w:type="character" w:styleId="Hyperlink">
    <w:name w:val="Hyperlink"/>
    <w:uiPriority w:val="99"/>
    <w:rsid w:val="004E6C89"/>
    <w:rPr>
      <w:color w:val="0000FF"/>
      <w:u w:val="single"/>
    </w:rPr>
  </w:style>
  <w:style w:type="paragraph" w:styleId="BodyText3">
    <w:name w:val="Body Text 3"/>
    <w:basedOn w:val="Normal"/>
    <w:link w:val="BodyText3Char"/>
    <w:rsid w:val="004E6C89"/>
    <w:pPr>
      <w:spacing w:after="120" w:line="260" w:lineRule="atLeast"/>
      <w:ind w:left="1021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4E6C89"/>
    <w:rPr>
      <w:rFonts w:ascii="Arial" w:hAnsi="Arial"/>
      <w:sz w:val="16"/>
      <w:szCs w:val="16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4E6C8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CommentReference">
    <w:name w:val="annotation reference"/>
    <w:rsid w:val="004E6C89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4E6C89"/>
    <w:rPr>
      <w:rFonts w:cs="Times New Roman"/>
      <w:b/>
      <w:bCs/>
      <w:lang w:val="x-none"/>
    </w:rPr>
  </w:style>
  <w:style w:type="character" w:customStyle="1" w:styleId="CommentSubjectChar">
    <w:name w:val="Comment Subject Char"/>
    <w:basedOn w:val="CommentTextChar"/>
    <w:link w:val="CommentSubject"/>
    <w:rsid w:val="004E6C89"/>
    <w:rPr>
      <w:rFonts w:ascii="Arial" w:eastAsia="SimSun" w:hAnsi="Arial" w:cs="Arial"/>
      <w:b/>
      <w:bCs/>
      <w:sz w:val="18"/>
      <w:lang w:val="x-none" w:eastAsia="zh-CN"/>
    </w:rPr>
  </w:style>
  <w:style w:type="paragraph" w:styleId="NormalWeb">
    <w:name w:val="Normal (Web)"/>
    <w:basedOn w:val="Normal"/>
    <w:rsid w:val="004E6C8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15D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415D7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link w:val="EndofdocumentChar"/>
    <w:rsid w:val="005D6F79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EndofdocumentChar">
    <w:name w:val="End of document Char"/>
    <w:basedOn w:val="DefaultParagraphFont"/>
    <w:link w:val="Endofdocument"/>
    <w:rsid w:val="005D6F79"/>
    <w:rPr>
      <w:sz w:val="24"/>
    </w:rPr>
  </w:style>
  <w:style w:type="character" w:customStyle="1" w:styleId="FooterChar">
    <w:name w:val="Footer Char"/>
    <w:basedOn w:val="DefaultParagraphFont"/>
    <w:link w:val="Footer"/>
    <w:rsid w:val="005D6F79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5D6F79"/>
  </w:style>
  <w:style w:type="character" w:customStyle="1" w:styleId="Heading5Char">
    <w:name w:val="Heading 5 Char"/>
    <w:basedOn w:val="DefaultParagraphFont"/>
    <w:link w:val="Heading5"/>
    <w:semiHidden/>
    <w:rsid w:val="00933BE6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33BE6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Theme="minorEastAsia" w:hAnsi="Times New Roman" w:cs="Times New Roman"/>
      <w:kern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8CB42-5AA0-41F8-82F4-03CCCDAE96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A5098-066F-45EC-83B2-B89A8D8A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1792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</dc:creator>
  <cp:keywords>CB/sc</cp:keywords>
  <cp:lastModifiedBy>BRACI Biljana</cp:lastModifiedBy>
  <cp:revision>3</cp:revision>
  <cp:lastPrinted>2015-02-23T12:05:00Z</cp:lastPrinted>
  <dcterms:created xsi:type="dcterms:W3CDTF">2015-02-23T13:47:00Z</dcterms:created>
  <dcterms:modified xsi:type="dcterms:W3CDTF">2015-02-23T13:47:00Z</dcterms:modified>
</cp:coreProperties>
</file>